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104B8" w14:textId="77777777" w:rsidR="00D614C4" w:rsidRPr="00DC5557" w:rsidRDefault="00D614C4" w:rsidP="00D614C4">
      <w:pPr>
        <w:spacing w:after="200" w:line="276" w:lineRule="auto"/>
        <w:jc w:val="center"/>
        <w:rPr>
          <w:rFonts w:ascii="Times New Roman" w:eastAsia="Calibri" w:hAnsi="Times New Roman" w:cs="Times New Roman"/>
          <w:sz w:val="24"/>
          <w:szCs w:val="24"/>
        </w:rPr>
      </w:pPr>
      <w:bookmarkStart w:id="0" w:name="_GoBack"/>
      <w:bookmarkEnd w:id="0"/>
      <w:r w:rsidRPr="00DC5557">
        <w:rPr>
          <w:rFonts w:ascii="Times New Roman" w:eastAsia="Calibri" w:hAnsi="Times New Roman" w:cs="Times New Roman"/>
          <w:noProof/>
          <w:sz w:val="24"/>
          <w:szCs w:val="24"/>
          <w:lang w:eastAsia="hr-HR"/>
        </w:rPr>
        <w:drawing>
          <wp:inline distT="0" distB="0" distL="0" distR="0" wp14:anchorId="35CD0185" wp14:editId="14C01A4B">
            <wp:extent cx="504825" cy="685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Pr="00DC5557">
        <w:rPr>
          <w:rFonts w:ascii="Times New Roman" w:eastAsia="Calibri" w:hAnsi="Times New Roman" w:cs="Times New Roman"/>
          <w:sz w:val="24"/>
          <w:szCs w:val="24"/>
        </w:rPr>
        <w:fldChar w:fldCharType="begin"/>
      </w:r>
      <w:r w:rsidRPr="00DC5557">
        <w:rPr>
          <w:rFonts w:ascii="Times New Roman" w:eastAsia="Calibri" w:hAnsi="Times New Roman" w:cs="Times New Roman"/>
          <w:sz w:val="24"/>
          <w:szCs w:val="24"/>
        </w:rPr>
        <w:instrText xml:space="preserve"> INCLUDEPICTURE "http://www.inet.hr/~box/images/grb-rh.gif" \* MERGEFORMATINET </w:instrText>
      </w:r>
      <w:r w:rsidRPr="00DC5557">
        <w:rPr>
          <w:rFonts w:ascii="Times New Roman" w:eastAsia="Calibri" w:hAnsi="Times New Roman" w:cs="Times New Roman"/>
          <w:sz w:val="24"/>
          <w:szCs w:val="24"/>
        </w:rPr>
        <w:fldChar w:fldCharType="end"/>
      </w:r>
    </w:p>
    <w:p w14:paraId="2D8EBA3F" w14:textId="77777777" w:rsidR="00D614C4" w:rsidRPr="00DC5557" w:rsidRDefault="00D614C4" w:rsidP="00D614C4">
      <w:pPr>
        <w:spacing w:before="60" w:after="1680" w:line="276" w:lineRule="auto"/>
        <w:jc w:val="center"/>
        <w:rPr>
          <w:rFonts w:ascii="Times New Roman" w:eastAsia="Calibri" w:hAnsi="Times New Roman" w:cs="Times New Roman"/>
          <w:sz w:val="24"/>
          <w:szCs w:val="24"/>
        </w:rPr>
      </w:pPr>
      <w:r w:rsidRPr="00DC5557">
        <w:rPr>
          <w:rFonts w:ascii="Times New Roman" w:eastAsia="Calibri" w:hAnsi="Times New Roman" w:cs="Times New Roman"/>
          <w:sz w:val="24"/>
          <w:szCs w:val="24"/>
        </w:rPr>
        <w:t>VLADA REPUBLIKE HRVATSKE</w:t>
      </w:r>
    </w:p>
    <w:p w14:paraId="578BCD97" w14:textId="77777777" w:rsidR="00D614C4" w:rsidRPr="00DC5557" w:rsidRDefault="00C543A5" w:rsidP="00C543A5">
      <w:pPr>
        <w:spacing w:after="200" w:line="276" w:lineRule="auto"/>
        <w:jc w:val="right"/>
        <w:rPr>
          <w:rFonts w:ascii="Times New Roman" w:eastAsia="Calibri" w:hAnsi="Times New Roman" w:cs="Times New Roman"/>
          <w:b/>
          <w:sz w:val="24"/>
          <w:szCs w:val="24"/>
        </w:rPr>
      </w:pPr>
      <w:r w:rsidRPr="00DC5557">
        <w:rPr>
          <w:rFonts w:ascii="Times New Roman" w:eastAsia="Calibri" w:hAnsi="Times New Roman" w:cs="Times New Roman"/>
          <w:sz w:val="24"/>
          <w:szCs w:val="24"/>
        </w:rPr>
        <w:tab/>
      </w:r>
    </w:p>
    <w:p w14:paraId="295B0E5F" w14:textId="77777777" w:rsidR="00D614C4" w:rsidRPr="00DC5557" w:rsidRDefault="00D614C4" w:rsidP="00D614C4">
      <w:pPr>
        <w:spacing w:after="200" w:line="276" w:lineRule="auto"/>
        <w:jc w:val="right"/>
        <w:rPr>
          <w:rFonts w:ascii="Times New Roman" w:eastAsia="Calibri" w:hAnsi="Times New Roman" w:cs="Times New Roman"/>
          <w:sz w:val="24"/>
          <w:szCs w:val="24"/>
        </w:rPr>
      </w:pPr>
      <w:r w:rsidRPr="00DC5557">
        <w:rPr>
          <w:rFonts w:ascii="Times New Roman" w:eastAsia="Calibri" w:hAnsi="Times New Roman" w:cs="Times New Roman"/>
          <w:sz w:val="24"/>
          <w:szCs w:val="24"/>
        </w:rPr>
        <w:t xml:space="preserve">Zagreb, </w:t>
      </w:r>
      <w:r w:rsidR="000858E9">
        <w:rPr>
          <w:rFonts w:ascii="Times New Roman" w:hAnsi="Times New Roman" w:cs="Times New Roman"/>
          <w:sz w:val="24"/>
          <w:szCs w:val="24"/>
        </w:rPr>
        <w:t>15</w:t>
      </w:r>
      <w:r w:rsidR="002A5113">
        <w:rPr>
          <w:rFonts w:ascii="Times New Roman" w:hAnsi="Times New Roman" w:cs="Times New Roman"/>
          <w:sz w:val="24"/>
          <w:szCs w:val="24"/>
        </w:rPr>
        <w:t>.</w:t>
      </w:r>
      <w:r w:rsidR="001E6413" w:rsidRPr="0015044C">
        <w:rPr>
          <w:rFonts w:ascii="Times New Roman" w:hAnsi="Times New Roman" w:cs="Times New Roman"/>
          <w:sz w:val="24"/>
          <w:szCs w:val="24"/>
        </w:rPr>
        <w:t xml:space="preserve"> </w:t>
      </w:r>
      <w:r w:rsidR="002A5113">
        <w:rPr>
          <w:rFonts w:ascii="Times New Roman" w:eastAsia="Calibri" w:hAnsi="Times New Roman" w:cs="Times New Roman"/>
          <w:sz w:val="24"/>
          <w:szCs w:val="24"/>
        </w:rPr>
        <w:t xml:space="preserve">prosinca </w:t>
      </w:r>
      <w:r w:rsidRPr="00DC5557">
        <w:rPr>
          <w:rFonts w:ascii="Times New Roman" w:eastAsia="Calibri" w:hAnsi="Times New Roman" w:cs="Times New Roman"/>
          <w:sz w:val="24"/>
          <w:szCs w:val="24"/>
        </w:rPr>
        <w:t>202</w:t>
      </w:r>
      <w:r w:rsidR="00247199">
        <w:rPr>
          <w:rFonts w:ascii="Times New Roman" w:eastAsia="Calibri" w:hAnsi="Times New Roman" w:cs="Times New Roman"/>
          <w:sz w:val="24"/>
          <w:szCs w:val="24"/>
        </w:rPr>
        <w:t>1</w:t>
      </w:r>
      <w:r w:rsidRPr="00DC5557">
        <w:rPr>
          <w:rFonts w:ascii="Times New Roman" w:eastAsia="Calibri" w:hAnsi="Times New Roman" w:cs="Times New Roman"/>
          <w:sz w:val="24"/>
          <w:szCs w:val="24"/>
        </w:rPr>
        <w:t>.</w:t>
      </w:r>
    </w:p>
    <w:p w14:paraId="2543174C" w14:textId="77777777" w:rsidR="00D614C4" w:rsidRPr="00DC5557" w:rsidRDefault="00D614C4" w:rsidP="00D614C4">
      <w:pPr>
        <w:spacing w:after="200" w:line="276" w:lineRule="auto"/>
        <w:jc w:val="right"/>
        <w:rPr>
          <w:rFonts w:ascii="Times New Roman" w:eastAsia="Calibri" w:hAnsi="Times New Roman" w:cs="Times New Roman"/>
          <w:sz w:val="24"/>
          <w:szCs w:val="24"/>
        </w:rPr>
      </w:pPr>
    </w:p>
    <w:p w14:paraId="19E18EB6" w14:textId="77777777" w:rsidR="00D614C4" w:rsidRPr="00DC5557" w:rsidRDefault="00D614C4" w:rsidP="00D614C4">
      <w:pPr>
        <w:spacing w:after="200" w:line="276" w:lineRule="auto"/>
        <w:jc w:val="right"/>
        <w:rPr>
          <w:rFonts w:ascii="Times New Roman" w:eastAsia="Calibri" w:hAnsi="Times New Roman" w:cs="Times New Roman"/>
          <w:sz w:val="24"/>
          <w:szCs w:val="24"/>
        </w:rPr>
      </w:pPr>
    </w:p>
    <w:p w14:paraId="7D2C9642" w14:textId="77777777" w:rsidR="00D614C4" w:rsidRPr="00DC5557" w:rsidRDefault="00D614C4" w:rsidP="00D614C4">
      <w:pPr>
        <w:spacing w:after="200" w:line="276" w:lineRule="auto"/>
        <w:jc w:val="right"/>
        <w:rPr>
          <w:rFonts w:ascii="Times New Roman" w:eastAsia="Calibri" w:hAnsi="Times New Roman" w:cs="Times New Roman"/>
          <w:sz w:val="24"/>
          <w:szCs w:val="24"/>
        </w:rPr>
      </w:pPr>
    </w:p>
    <w:p w14:paraId="328D6062" w14:textId="77777777" w:rsidR="00D614C4" w:rsidRPr="00DC5557" w:rsidRDefault="00D614C4" w:rsidP="00D614C4">
      <w:pPr>
        <w:spacing w:after="200" w:line="276" w:lineRule="auto"/>
        <w:jc w:val="both"/>
        <w:rPr>
          <w:rFonts w:ascii="Times New Roman" w:eastAsia="Calibri" w:hAnsi="Times New Roman" w:cs="Times New Roman"/>
          <w:sz w:val="24"/>
          <w:szCs w:val="24"/>
        </w:rPr>
      </w:pPr>
      <w:r w:rsidRPr="00DC5557">
        <w:rPr>
          <w:rFonts w:ascii="Times New Roman" w:eastAsia="Calibri" w:hAnsi="Times New Roman" w:cs="Times New Roman"/>
          <w:sz w:val="24"/>
          <w:szCs w:val="24"/>
        </w:rPr>
        <w:t>__________________________________________________________________________</w:t>
      </w:r>
    </w:p>
    <w:tbl>
      <w:tblPr>
        <w:tblW w:w="0" w:type="auto"/>
        <w:tblLook w:val="04A0" w:firstRow="1" w:lastRow="0" w:firstColumn="1" w:lastColumn="0" w:noHBand="0" w:noVBand="1"/>
      </w:tblPr>
      <w:tblGrid>
        <w:gridCol w:w="1949"/>
        <w:gridCol w:w="7121"/>
      </w:tblGrid>
      <w:tr w:rsidR="00A14591" w:rsidRPr="00DC5557" w14:paraId="7AACFBAB" w14:textId="77777777" w:rsidTr="004F7547">
        <w:tc>
          <w:tcPr>
            <w:tcW w:w="1951" w:type="dxa"/>
            <w:shd w:val="clear" w:color="auto" w:fill="auto"/>
          </w:tcPr>
          <w:p w14:paraId="74B7538F" w14:textId="77777777" w:rsidR="00D614C4" w:rsidRPr="000858E9" w:rsidRDefault="00D614C4" w:rsidP="004F7547">
            <w:pPr>
              <w:spacing w:line="360" w:lineRule="auto"/>
              <w:rPr>
                <w:rFonts w:ascii="Times New Roman" w:hAnsi="Times New Roman" w:cs="Times New Roman"/>
                <w:b/>
                <w:sz w:val="24"/>
                <w:szCs w:val="24"/>
              </w:rPr>
            </w:pPr>
            <w:r w:rsidRPr="000858E9">
              <w:rPr>
                <w:rFonts w:ascii="Times New Roman" w:hAnsi="Times New Roman" w:cs="Times New Roman"/>
                <w:b/>
                <w:smallCaps/>
                <w:sz w:val="24"/>
                <w:szCs w:val="24"/>
              </w:rPr>
              <w:t>Predlagatelj</w:t>
            </w:r>
            <w:r w:rsidRPr="000858E9">
              <w:rPr>
                <w:rFonts w:ascii="Times New Roman" w:hAnsi="Times New Roman" w:cs="Times New Roman"/>
                <w:b/>
                <w:sz w:val="24"/>
                <w:szCs w:val="24"/>
              </w:rPr>
              <w:t>:</w:t>
            </w:r>
          </w:p>
        </w:tc>
        <w:tc>
          <w:tcPr>
            <w:tcW w:w="7229" w:type="dxa"/>
            <w:shd w:val="clear" w:color="auto" w:fill="auto"/>
          </w:tcPr>
          <w:p w14:paraId="380D8B7D" w14:textId="77777777" w:rsidR="00D614C4" w:rsidRPr="000858E9" w:rsidRDefault="003B2CE3" w:rsidP="00247199">
            <w:pPr>
              <w:spacing w:line="360" w:lineRule="auto"/>
              <w:rPr>
                <w:rFonts w:ascii="Times New Roman" w:hAnsi="Times New Roman" w:cs="Times New Roman"/>
                <w:sz w:val="24"/>
                <w:szCs w:val="24"/>
              </w:rPr>
            </w:pPr>
            <w:r w:rsidRPr="000858E9">
              <w:rPr>
                <w:rFonts w:ascii="Times New Roman" w:hAnsi="Times New Roman" w:cs="Times New Roman"/>
                <w:sz w:val="24"/>
                <w:szCs w:val="24"/>
              </w:rPr>
              <w:t xml:space="preserve">Ministarstvo </w:t>
            </w:r>
            <w:r w:rsidR="00247199" w:rsidRPr="000858E9">
              <w:rPr>
                <w:rFonts w:ascii="Times New Roman" w:hAnsi="Times New Roman" w:cs="Times New Roman"/>
                <w:sz w:val="24"/>
                <w:szCs w:val="24"/>
              </w:rPr>
              <w:t>vanjskih i europskih poslova</w:t>
            </w:r>
          </w:p>
        </w:tc>
      </w:tr>
    </w:tbl>
    <w:p w14:paraId="593FD757" w14:textId="77777777" w:rsidR="00D614C4" w:rsidRPr="00DC5557" w:rsidRDefault="00D614C4" w:rsidP="00D614C4">
      <w:pPr>
        <w:spacing w:after="200" w:line="276" w:lineRule="auto"/>
        <w:jc w:val="both"/>
        <w:rPr>
          <w:rFonts w:ascii="Times New Roman" w:eastAsia="Calibri" w:hAnsi="Times New Roman" w:cs="Times New Roman"/>
          <w:sz w:val="24"/>
          <w:szCs w:val="24"/>
        </w:rPr>
      </w:pPr>
      <w:r w:rsidRPr="00DC5557">
        <w:rPr>
          <w:rFonts w:ascii="Times New Roman" w:eastAsia="Calibri" w:hAnsi="Times New Roman" w:cs="Times New Roman"/>
          <w:sz w:val="24"/>
          <w:szCs w:val="24"/>
        </w:rPr>
        <w:t>__________________________________________________________________________</w:t>
      </w:r>
    </w:p>
    <w:tbl>
      <w:tblPr>
        <w:tblW w:w="0" w:type="auto"/>
        <w:tblLook w:val="04A0" w:firstRow="1" w:lastRow="0" w:firstColumn="1" w:lastColumn="0" w:noHBand="0" w:noVBand="1"/>
      </w:tblPr>
      <w:tblGrid>
        <w:gridCol w:w="1938"/>
        <w:gridCol w:w="7132"/>
      </w:tblGrid>
      <w:tr w:rsidR="00A14591" w:rsidRPr="00DC5557" w14:paraId="5189A6D0" w14:textId="77777777" w:rsidTr="004F7547">
        <w:tc>
          <w:tcPr>
            <w:tcW w:w="1951" w:type="dxa"/>
            <w:shd w:val="clear" w:color="auto" w:fill="auto"/>
          </w:tcPr>
          <w:p w14:paraId="01350724" w14:textId="77777777" w:rsidR="00D614C4" w:rsidRPr="000858E9" w:rsidRDefault="00D614C4" w:rsidP="00A41D08">
            <w:pPr>
              <w:spacing w:line="360" w:lineRule="auto"/>
              <w:jc w:val="both"/>
              <w:rPr>
                <w:rFonts w:ascii="Times New Roman" w:hAnsi="Times New Roman" w:cs="Times New Roman"/>
                <w:b/>
                <w:sz w:val="24"/>
                <w:szCs w:val="24"/>
              </w:rPr>
            </w:pPr>
            <w:r w:rsidRPr="000858E9">
              <w:rPr>
                <w:rFonts w:ascii="Times New Roman" w:hAnsi="Times New Roman" w:cs="Times New Roman"/>
                <w:b/>
                <w:smallCaps/>
                <w:sz w:val="24"/>
                <w:szCs w:val="24"/>
              </w:rPr>
              <w:t>Predmet</w:t>
            </w:r>
            <w:r w:rsidRPr="000858E9">
              <w:rPr>
                <w:rFonts w:ascii="Times New Roman" w:hAnsi="Times New Roman" w:cs="Times New Roman"/>
                <w:b/>
                <w:sz w:val="24"/>
                <w:szCs w:val="24"/>
              </w:rPr>
              <w:t>:</w:t>
            </w:r>
          </w:p>
        </w:tc>
        <w:tc>
          <w:tcPr>
            <w:tcW w:w="7229" w:type="dxa"/>
            <w:shd w:val="clear" w:color="auto" w:fill="auto"/>
          </w:tcPr>
          <w:p w14:paraId="6A5F9E15" w14:textId="79954953" w:rsidR="00E02758" w:rsidRPr="000858E9" w:rsidRDefault="001657F7" w:rsidP="003B2CE3">
            <w:pPr>
              <w:jc w:val="both"/>
              <w:rPr>
                <w:rFonts w:ascii="Times New Roman" w:hAnsi="Times New Roman" w:cs="Times New Roman"/>
                <w:sz w:val="24"/>
                <w:szCs w:val="24"/>
              </w:rPr>
            </w:pPr>
            <w:r w:rsidRPr="00D035FC">
              <w:rPr>
                <w:rFonts w:ascii="Times New Roman" w:hAnsi="Times New Roman" w:cs="Times New Roman"/>
                <w:sz w:val="24"/>
                <w:szCs w:val="24"/>
              </w:rPr>
              <w:t xml:space="preserve">Prijedlog </w:t>
            </w:r>
            <w:r w:rsidR="000858E9" w:rsidRPr="00D035FC">
              <w:rPr>
                <w:rFonts w:ascii="Times New Roman" w:hAnsi="Times New Roman" w:cs="Times New Roman"/>
                <w:sz w:val="24"/>
                <w:szCs w:val="24"/>
              </w:rPr>
              <w:t>z</w:t>
            </w:r>
            <w:r w:rsidR="00E02758" w:rsidRPr="00D035FC">
              <w:rPr>
                <w:rFonts w:ascii="Times New Roman" w:hAnsi="Times New Roman" w:cs="Times New Roman"/>
                <w:sz w:val="24"/>
                <w:szCs w:val="24"/>
              </w:rPr>
              <w:t xml:space="preserve">aključka </w:t>
            </w:r>
            <w:r w:rsidR="00A41D08" w:rsidRPr="00D035FC">
              <w:rPr>
                <w:rFonts w:ascii="Times New Roman" w:hAnsi="Times New Roman" w:cs="Times New Roman"/>
                <w:sz w:val="24"/>
                <w:szCs w:val="24"/>
              </w:rPr>
              <w:t xml:space="preserve">o </w:t>
            </w:r>
            <w:r w:rsidR="003B2CE3" w:rsidRPr="00D035FC">
              <w:rPr>
                <w:rFonts w:ascii="Times New Roman" w:hAnsi="Times New Roman" w:cs="Times New Roman"/>
                <w:sz w:val="24"/>
                <w:szCs w:val="24"/>
              </w:rPr>
              <w:t xml:space="preserve">davanju ovlasti za </w:t>
            </w:r>
            <w:r w:rsidR="00247199" w:rsidRPr="00D035FC">
              <w:rPr>
                <w:rFonts w:ascii="Times New Roman" w:hAnsi="Times New Roman" w:cs="Times New Roman"/>
                <w:sz w:val="24"/>
                <w:szCs w:val="24"/>
              </w:rPr>
              <w:t xml:space="preserve">potpisivanje Sporazuma o prijateljskom rješenju spora </w:t>
            </w:r>
            <w:r w:rsidR="00D035FC" w:rsidRPr="00D035FC">
              <w:rPr>
                <w:rFonts w:ascii="Times New Roman" w:hAnsi="Times New Roman" w:cs="Times New Roman"/>
                <w:sz w:val="24"/>
                <w:szCs w:val="24"/>
              </w:rPr>
              <w:t>između Republike Hrvatske, s jedne strane, i Colgate/McCallum, Ltd. i Gavina Michaela Susmana, s druge strane</w:t>
            </w:r>
          </w:p>
          <w:p w14:paraId="714079B2" w14:textId="77777777" w:rsidR="003B2CE3" w:rsidRPr="00DC5557" w:rsidRDefault="003B2CE3" w:rsidP="003B2CE3">
            <w:pPr>
              <w:jc w:val="both"/>
              <w:rPr>
                <w:rFonts w:ascii="Times New Roman" w:hAnsi="Times New Roman" w:cs="Times New Roman"/>
                <w:b/>
                <w:sz w:val="24"/>
                <w:szCs w:val="24"/>
              </w:rPr>
            </w:pPr>
          </w:p>
        </w:tc>
      </w:tr>
    </w:tbl>
    <w:p w14:paraId="28D14ADD" w14:textId="77777777" w:rsidR="00D614C4" w:rsidRPr="00DC5557" w:rsidRDefault="003B2CE3" w:rsidP="00D614C4">
      <w:pPr>
        <w:spacing w:after="200" w:line="276" w:lineRule="auto"/>
        <w:jc w:val="both"/>
        <w:rPr>
          <w:rFonts w:ascii="Times New Roman" w:eastAsia="Calibri" w:hAnsi="Times New Roman" w:cs="Times New Roman"/>
          <w:sz w:val="24"/>
          <w:szCs w:val="24"/>
        </w:rPr>
      </w:pPr>
      <w:r w:rsidRPr="00DC5557">
        <w:rPr>
          <w:rFonts w:ascii="Times New Roman" w:eastAsia="Calibri" w:hAnsi="Times New Roman" w:cs="Times New Roman"/>
          <w:sz w:val="24"/>
          <w:szCs w:val="24"/>
        </w:rPr>
        <w:t>_________________________</w:t>
      </w:r>
      <w:r w:rsidR="00D614C4" w:rsidRPr="00DC5557">
        <w:rPr>
          <w:rFonts w:ascii="Times New Roman" w:eastAsia="Calibri" w:hAnsi="Times New Roman" w:cs="Times New Roman"/>
          <w:sz w:val="24"/>
          <w:szCs w:val="24"/>
        </w:rPr>
        <w:t>_______________________________________________</w:t>
      </w:r>
    </w:p>
    <w:p w14:paraId="0031B6D6" w14:textId="77777777" w:rsidR="00D614C4" w:rsidRPr="00DC5557" w:rsidRDefault="00D614C4" w:rsidP="00D614C4">
      <w:pPr>
        <w:spacing w:after="200" w:line="276" w:lineRule="auto"/>
        <w:jc w:val="both"/>
        <w:rPr>
          <w:rFonts w:ascii="Times New Roman" w:eastAsia="Calibri" w:hAnsi="Times New Roman" w:cs="Times New Roman"/>
          <w:sz w:val="24"/>
          <w:szCs w:val="24"/>
        </w:rPr>
      </w:pPr>
    </w:p>
    <w:p w14:paraId="0E3FEC36" w14:textId="77777777" w:rsidR="004347F1" w:rsidRPr="00DC5557" w:rsidRDefault="004347F1" w:rsidP="00D614C4">
      <w:pPr>
        <w:spacing w:after="200" w:line="276" w:lineRule="auto"/>
        <w:rPr>
          <w:rFonts w:ascii="Times New Roman" w:eastAsia="Calibri" w:hAnsi="Times New Roman" w:cs="Times New Roman"/>
          <w:sz w:val="24"/>
          <w:szCs w:val="24"/>
        </w:rPr>
      </w:pPr>
    </w:p>
    <w:p w14:paraId="45559D7F" w14:textId="77777777" w:rsidR="00A41D08" w:rsidRPr="00DC5557" w:rsidRDefault="00A41D08" w:rsidP="00D614C4">
      <w:pPr>
        <w:spacing w:after="200" w:line="276" w:lineRule="auto"/>
        <w:rPr>
          <w:rFonts w:ascii="Times New Roman" w:eastAsia="Calibri" w:hAnsi="Times New Roman" w:cs="Times New Roman"/>
          <w:sz w:val="24"/>
          <w:szCs w:val="24"/>
        </w:rPr>
      </w:pPr>
    </w:p>
    <w:p w14:paraId="0087FD18" w14:textId="77777777" w:rsidR="004347F1" w:rsidRPr="00DC5557" w:rsidRDefault="004347F1" w:rsidP="00D614C4">
      <w:pPr>
        <w:spacing w:after="200" w:line="276" w:lineRule="auto"/>
        <w:rPr>
          <w:rFonts w:ascii="Times New Roman" w:eastAsia="Calibri" w:hAnsi="Times New Roman" w:cs="Times New Roman"/>
          <w:sz w:val="24"/>
          <w:szCs w:val="24"/>
        </w:rPr>
      </w:pPr>
    </w:p>
    <w:p w14:paraId="7C05333E" w14:textId="77777777" w:rsidR="00D614C4" w:rsidRPr="00DC5557" w:rsidRDefault="00D614C4" w:rsidP="00D614C4">
      <w:pPr>
        <w:tabs>
          <w:tab w:val="center" w:pos="4536"/>
          <w:tab w:val="right" w:pos="9072"/>
        </w:tabs>
        <w:rPr>
          <w:rFonts w:ascii="Times New Roman" w:eastAsia="Calibri" w:hAnsi="Times New Roman" w:cs="Times New Roman"/>
          <w:sz w:val="24"/>
          <w:szCs w:val="24"/>
        </w:rPr>
      </w:pPr>
    </w:p>
    <w:p w14:paraId="6E8BD432" w14:textId="77777777" w:rsidR="00D614C4" w:rsidRPr="00DC5557" w:rsidRDefault="00D614C4" w:rsidP="00D614C4">
      <w:pPr>
        <w:spacing w:after="200" w:line="276" w:lineRule="auto"/>
        <w:rPr>
          <w:rFonts w:ascii="Times New Roman" w:eastAsia="Calibri" w:hAnsi="Times New Roman" w:cs="Times New Roman"/>
          <w:sz w:val="24"/>
          <w:szCs w:val="24"/>
        </w:rPr>
      </w:pPr>
    </w:p>
    <w:p w14:paraId="05588584" w14:textId="77777777" w:rsidR="001657F7" w:rsidRPr="00DC5557" w:rsidRDefault="001657F7">
      <w:pPr>
        <w:spacing w:line="259" w:lineRule="auto"/>
        <w:rPr>
          <w:rFonts w:ascii="Times New Roman" w:hAnsi="Times New Roman" w:cs="Times New Roman"/>
          <w:b/>
          <w:sz w:val="24"/>
          <w:szCs w:val="24"/>
        </w:rPr>
      </w:pPr>
      <w:r w:rsidRPr="00DC5557">
        <w:rPr>
          <w:rFonts w:ascii="Times New Roman" w:hAnsi="Times New Roman" w:cs="Times New Roman"/>
          <w:b/>
          <w:sz w:val="24"/>
          <w:szCs w:val="24"/>
        </w:rPr>
        <w:lastRenderedPageBreak/>
        <w:br w:type="page"/>
      </w:r>
    </w:p>
    <w:p w14:paraId="3006DC77" w14:textId="77777777" w:rsidR="00C543A5" w:rsidRPr="0090547E" w:rsidRDefault="0090547E" w:rsidP="00C543A5">
      <w:pPr>
        <w:pStyle w:val="BodyText"/>
        <w:tabs>
          <w:tab w:val="left" w:pos="0"/>
        </w:tabs>
        <w:jc w:val="right"/>
        <w:rPr>
          <w:rFonts w:ascii="Times New Roman" w:hAnsi="Times New Roman"/>
          <w:i/>
          <w:szCs w:val="24"/>
          <w:lang w:val="hr-HR"/>
        </w:rPr>
      </w:pPr>
      <w:r w:rsidRPr="0090547E">
        <w:rPr>
          <w:rFonts w:ascii="Times New Roman" w:hAnsi="Times New Roman"/>
          <w:i/>
          <w:szCs w:val="24"/>
          <w:lang w:val="hr-HR"/>
        </w:rPr>
        <w:lastRenderedPageBreak/>
        <w:t>PRIJEDLOG</w:t>
      </w:r>
    </w:p>
    <w:p w14:paraId="12448DF6" w14:textId="77777777" w:rsidR="0090547E" w:rsidRDefault="0090547E" w:rsidP="00C543A5">
      <w:pPr>
        <w:pStyle w:val="BodyText"/>
        <w:tabs>
          <w:tab w:val="left" w:pos="0"/>
        </w:tabs>
        <w:jc w:val="right"/>
        <w:rPr>
          <w:rFonts w:ascii="Times New Roman" w:hAnsi="Times New Roman"/>
          <w:b/>
          <w:szCs w:val="24"/>
          <w:lang w:val="hr-HR"/>
        </w:rPr>
      </w:pPr>
    </w:p>
    <w:p w14:paraId="6B06C9D7" w14:textId="77777777" w:rsidR="0090547E" w:rsidRPr="00DC5557" w:rsidRDefault="0090547E" w:rsidP="00C543A5">
      <w:pPr>
        <w:pStyle w:val="BodyText"/>
        <w:tabs>
          <w:tab w:val="left" w:pos="0"/>
        </w:tabs>
        <w:jc w:val="right"/>
        <w:rPr>
          <w:rFonts w:ascii="Times New Roman" w:hAnsi="Times New Roman"/>
          <w:b/>
          <w:szCs w:val="24"/>
          <w:lang w:val="hr-HR"/>
        </w:rPr>
      </w:pPr>
    </w:p>
    <w:p w14:paraId="7E7A3523" w14:textId="77777777" w:rsidR="007813D2" w:rsidRDefault="0090547E" w:rsidP="003B0A75">
      <w:pPr>
        <w:pStyle w:val="BodyText"/>
        <w:tabs>
          <w:tab w:val="left" w:pos="0"/>
        </w:tabs>
        <w:rPr>
          <w:rFonts w:ascii="Times New Roman" w:hAnsi="Times New Roman"/>
          <w:szCs w:val="24"/>
          <w:lang w:val="hr-HR"/>
        </w:rPr>
      </w:pPr>
      <w:r>
        <w:rPr>
          <w:rFonts w:ascii="Times New Roman" w:hAnsi="Times New Roman"/>
          <w:szCs w:val="24"/>
          <w:lang w:val="hr-HR"/>
        </w:rPr>
        <w:tab/>
      </w:r>
      <w:r w:rsidR="007813D2" w:rsidRPr="007813D2">
        <w:rPr>
          <w:rFonts w:ascii="Times New Roman" w:hAnsi="Times New Roman"/>
          <w:szCs w:val="24"/>
          <w:lang w:val="hr-HR"/>
        </w:rPr>
        <w:t xml:space="preserve">Na temelju članka 31. stavka </w:t>
      </w:r>
      <w:r w:rsidR="007813D2">
        <w:rPr>
          <w:rFonts w:ascii="Times New Roman" w:hAnsi="Times New Roman"/>
          <w:szCs w:val="24"/>
          <w:lang w:val="hr-HR"/>
        </w:rPr>
        <w:t>3</w:t>
      </w:r>
      <w:r w:rsidR="007813D2" w:rsidRPr="007813D2">
        <w:rPr>
          <w:rFonts w:ascii="Times New Roman" w:hAnsi="Times New Roman"/>
          <w:szCs w:val="24"/>
          <w:lang w:val="hr-HR"/>
        </w:rPr>
        <w:t xml:space="preserve">. Zakona o Vladi Republike Hrvatske (Narodne novine, broj </w:t>
      </w:r>
      <w:r w:rsidR="007813D2">
        <w:rPr>
          <w:rFonts w:ascii="Times New Roman" w:hAnsi="Times New Roman"/>
          <w:szCs w:val="24"/>
          <w:lang w:val="hr-HR"/>
        </w:rPr>
        <w:t>150/11, 119/14, 93/16 i 116/18) i</w:t>
      </w:r>
      <w:r w:rsidR="007813D2" w:rsidRPr="007813D2">
        <w:rPr>
          <w:rFonts w:ascii="Times New Roman" w:hAnsi="Times New Roman"/>
          <w:szCs w:val="24"/>
          <w:lang w:val="hr-HR"/>
        </w:rPr>
        <w:t xml:space="preserve"> članka 10. stavka 1. Ugovora između Vlade Republike Hrvatske i Vlade Sjedinjenih Američkih Država o poticanju i uzajamnoj zaštiti ulaganja (Narodne novine – Međunarodni ugovori, broj 6/97), Vlada Republike Hrvatske je na sjednici održanoj _________ 2021. godine donijela</w:t>
      </w:r>
    </w:p>
    <w:p w14:paraId="31557F9E" w14:textId="77777777" w:rsidR="007813D2" w:rsidRDefault="007813D2" w:rsidP="00C543A5">
      <w:pPr>
        <w:pStyle w:val="BodyText"/>
        <w:rPr>
          <w:rFonts w:ascii="Times New Roman" w:hAnsi="Times New Roman"/>
          <w:szCs w:val="24"/>
          <w:lang w:val="hr-HR"/>
        </w:rPr>
      </w:pPr>
    </w:p>
    <w:p w14:paraId="380DACA3" w14:textId="77777777" w:rsidR="00247199" w:rsidRDefault="00247199" w:rsidP="00C543A5">
      <w:pPr>
        <w:jc w:val="center"/>
        <w:rPr>
          <w:rFonts w:ascii="Times New Roman" w:hAnsi="Times New Roman" w:cs="Times New Roman"/>
          <w:b/>
          <w:sz w:val="24"/>
          <w:szCs w:val="24"/>
        </w:rPr>
      </w:pPr>
    </w:p>
    <w:p w14:paraId="7FA4B3B1" w14:textId="77777777" w:rsidR="00C543A5" w:rsidRPr="00DC5557" w:rsidRDefault="00F427C9" w:rsidP="00F427C9">
      <w:pPr>
        <w:tabs>
          <w:tab w:val="center" w:pos="4535"/>
          <w:tab w:val="left" w:pos="7949"/>
        </w:tabs>
        <w:rPr>
          <w:rFonts w:ascii="Times New Roman" w:hAnsi="Times New Roman" w:cs="Times New Roman"/>
          <w:b/>
          <w:sz w:val="24"/>
          <w:szCs w:val="24"/>
        </w:rPr>
      </w:pPr>
      <w:r>
        <w:rPr>
          <w:rFonts w:ascii="Times New Roman" w:hAnsi="Times New Roman" w:cs="Times New Roman"/>
          <w:b/>
          <w:sz w:val="24"/>
          <w:szCs w:val="24"/>
        </w:rPr>
        <w:tab/>
      </w:r>
      <w:r w:rsidR="00C543A5" w:rsidRPr="00DC5557">
        <w:rPr>
          <w:rFonts w:ascii="Times New Roman" w:hAnsi="Times New Roman" w:cs="Times New Roman"/>
          <w:b/>
          <w:sz w:val="24"/>
          <w:szCs w:val="24"/>
        </w:rPr>
        <w:t>Z</w:t>
      </w:r>
      <w:r w:rsidR="004D0C41">
        <w:rPr>
          <w:rFonts w:ascii="Times New Roman" w:hAnsi="Times New Roman" w:cs="Times New Roman"/>
          <w:b/>
          <w:sz w:val="24"/>
          <w:szCs w:val="24"/>
        </w:rPr>
        <w:t xml:space="preserve"> </w:t>
      </w:r>
      <w:r w:rsidR="00C543A5" w:rsidRPr="00DC5557">
        <w:rPr>
          <w:rFonts w:ascii="Times New Roman" w:hAnsi="Times New Roman" w:cs="Times New Roman"/>
          <w:b/>
          <w:sz w:val="24"/>
          <w:szCs w:val="24"/>
        </w:rPr>
        <w:t>A</w:t>
      </w:r>
      <w:r w:rsidR="004D0C41">
        <w:rPr>
          <w:rFonts w:ascii="Times New Roman" w:hAnsi="Times New Roman" w:cs="Times New Roman"/>
          <w:b/>
          <w:sz w:val="24"/>
          <w:szCs w:val="24"/>
        </w:rPr>
        <w:t xml:space="preserve"> </w:t>
      </w:r>
      <w:r w:rsidR="00C543A5" w:rsidRPr="00DC5557">
        <w:rPr>
          <w:rFonts w:ascii="Times New Roman" w:hAnsi="Times New Roman" w:cs="Times New Roman"/>
          <w:b/>
          <w:sz w:val="24"/>
          <w:szCs w:val="24"/>
        </w:rPr>
        <w:t>K</w:t>
      </w:r>
      <w:r w:rsidR="004D0C41">
        <w:rPr>
          <w:rFonts w:ascii="Times New Roman" w:hAnsi="Times New Roman" w:cs="Times New Roman"/>
          <w:b/>
          <w:sz w:val="24"/>
          <w:szCs w:val="24"/>
        </w:rPr>
        <w:t xml:space="preserve"> </w:t>
      </w:r>
      <w:r w:rsidR="00C543A5" w:rsidRPr="00DC5557">
        <w:rPr>
          <w:rFonts w:ascii="Times New Roman" w:hAnsi="Times New Roman" w:cs="Times New Roman"/>
          <w:b/>
          <w:sz w:val="24"/>
          <w:szCs w:val="24"/>
        </w:rPr>
        <w:t>L</w:t>
      </w:r>
      <w:r w:rsidR="004D0C41">
        <w:rPr>
          <w:rFonts w:ascii="Times New Roman" w:hAnsi="Times New Roman" w:cs="Times New Roman"/>
          <w:b/>
          <w:sz w:val="24"/>
          <w:szCs w:val="24"/>
        </w:rPr>
        <w:t xml:space="preserve"> </w:t>
      </w:r>
      <w:r w:rsidR="00C543A5" w:rsidRPr="00DC5557">
        <w:rPr>
          <w:rFonts w:ascii="Times New Roman" w:hAnsi="Times New Roman" w:cs="Times New Roman"/>
          <w:b/>
          <w:sz w:val="24"/>
          <w:szCs w:val="24"/>
        </w:rPr>
        <w:t>J</w:t>
      </w:r>
      <w:r w:rsidR="004D0C41">
        <w:rPr>
          <w:rFonts w:ascii="Times New Roman" w:hAnsi="Times New Roman" w:cs="Times New Roman"/>
          <w:b/>
          <w:sz w:val="24"/>
          <w:szCs w:val="24"/>
        </w:rPr>
        <w:t xml:space="preserve"> </w:t>
      </w:r>
      <w:r w:rsidR="00C543A5" w:rsidRPr="00DC5557">
        <w:rPr>
          <w:rFonts w:ascii="Times New Roman" w:hAnsi="Times New Roman" w:cs="Times New Roman"/>
          <w:b/>
          <w:sz w:val="24"/>
          <w:szCs w:val="24"/>
        </w:rPr>
        <w:t>U</w:t>
      </w:r>
      <w:r w:rsidR="004D0C41">
        <w:rPr>
          <w:rFonts w:ascii="Times New Roman" w:hAnsi="Times New Roman" w:cs="Times New Roman"/>
          <w:b/>
          <w:sz w:val="24"/>
          <w:szCs w:val="24"/>
        </w:rPr>
        <w:t xml:space="preserve"> </w:t>
      </w:r>
      <w:r w:rsidR="00C543A5" w:rsidRPr="00DC5557">
        <w:rPr>
          <w:rFonts w:ascii="Times New Roman" w:hAnsi="Times New Roman" w:cs="Times New Roman"/>
          <w:b/>
          <w:sz w:val="24"/>
          <w:szCs w:val="24"/>
        </w:rPr>
        <w:t>Č</w:t>
      </w:r>
      <w:r w:rsidR="004D0C41">
        <w:rPr>
          <w:rFonts w:ascii="Times New Roman" w:hAnsi="Times New Roman" w:cs="Times New Roman"/>
          <w:b/>
          <w:sz w:val="24"/>
          <w:szCs w:val="24"/>
        </w:rPr>
        <w:t xml:space="preserve"> </w:t>
      </w:r>
      <w:r w:rsidR="00C543A5" w:rsidRPr="00DC5557">
        <w:rPr>
          <w:rFonts w:ascii="Times New Roman" w:hAnsi="Times New Roman" w:cs="Times New Roman"/>
          <w:b/>
          <w:sz w:val="24"/>
          <w:szCs w:val="24"/>
        </w:rPr>
        <w:t>A</w:t>
      </w:r>
      <w:r w:rsidR="004D0C41">
        <w:rPr>
          <w:rFonts w:ascii="Times New Roman" w:hAnsi="Times New Roman" w:cs="Times New Roman"/>
          <w:b/>
          <w:sz w:val="24"/>
          <w:szCs w:val="24"/>
        </w:rPr>
        <w:t xml:space="preserve"> </w:t>
      </w:r>
      <w:r w:rsidR="00C543A5" w:rsidRPr="00DC5557">
        <w:rPr>
          <w:rFonts w:ascii="Times New Roman" w:hAnsi="Times New Roman" w:cs="Times New Roman"/>
          <w:b/>
          <w:sz w:val="24"/>
          <w:szCs w:val="24"/>
        </w:rPr>
        <w:t>K</w:t>
      </w:r>
      <w:r>
        <w:rPr>
          <w:rFonts w:ascii="Times New Roman" w:hAnsi="Times New Roman" w:cs="Times New Roman"/>
          <w:b/>
          <w:sz w:val="24"/>
          <w:szCs w:val="24"/>
        </w:rPr>
        <w:tab/>
      </w:r>
    </w:p>
    <w:p w14:paraId="6C8E7C44" w14:textId="77777777" w:rsidR="00C543A5" w:rsidRPr="00DC5557" w:rsidRDefault="00C543A5" w:rsidP="00C543A5">
      <w:pPr>
        <w:pStyle w:val="BodyText"/>
        <w:jc w:val="center"/>
        <w:rPr>
          <w:rFonts w:ascii="Times New Roman" w:hAnsi="Times New Roman"/>
          <w:szCs w:val="24"/>
          <w:lang w:val="hr-HR"/>
        </w:rPr>
      </w:pPr>
    </w:p>
    <w:p w14:paraId="31423D5B" w14:textId="77777777" w:rsidR="00194CEB" w:rsidRPr="00F427C9" w:rsidRDefault="00194CEB" w:rsidP="00194CEB">
      <w:pPr>
        <w:pStyle w:val="BodyText"/>
        <w:numPr>
          <w:ilvl w:val="0"/>
          <w:numId w:val="2"/>
        </w:numPr>
        <w:tabs>
          <w:tab w:val="left" w:pos="0"/>
        </w:tabs>
        <w:rPr>
          <w:rFonts w:ascii="Times New Roman" w:hAnsi="Times New Roman"/>
          <w:szCs w:val="24"/>
          <w:lang w:val="hr-HR"/>
        </w:rPr>
      </w:pPr>
      <w:r w:rsidRPr="00F427C9">
        <w:rPr>
          <w:rFonts w:ascii="Times New Roman" w:hAnsi="Times New Roman"/>
          <w:szCs w:val="24"/>
          <w:lang w:val="hr-HR"/>
        </w:rPr>
        <w:t>Prihvaća se prijedlog Međuresornog povjerenstva za postupanje po zahtjevima stranih ulagača vezanim uz sporove koji proizlaze iz međunarodnih ugovora Republike Hrvatske iz područja poticanja i zaštite ulaganja da se s ulagačima iz Sjedinjenih Američkih Država, Colgate/McCallum, Ltd. i Gavinom Michaelom Susmanom, postigne prijateljsko rješenje spora</w:t>
      </w:r>
      <w:r w:rsidR="00B51918" w:rsidRPr="00F427C9">
        <w:rPr>
          <w:rFonts w:ascii="Times New Roman" w:hAnsi="Times New Roman"/>
          <w:szCs w:val="24"/>
          <w:lang w:val="hr-HR"/>
        </w:rPr>
        <w:t>.</w:t>
      </w:r>
    </w:p>
    <w:p w14:paraId="5538A140" w14:textId="77777777" w:rsidR="00194CEB" w:rsidRPr="00F427C9" w:rsidRDefault="00194CEB" w:rsidP="00194CEB">
      <w:pPr>
        <w:pStyle w:val="BodyText"/>
        <w:tabs>
          <w:tab w:val="left" w:pos="0"/>
        </w:tabs>
        <w:ind w:left="720"/>
        <w:rPr>
          <w:rFonts w:ascii="Times New Roman" w:hAnsi="Times New Roman"/>
          <w:szCs w:val="24"/>
          <w:lang w:val="hr-HR"/>
        </w:rPr>
      </w:pPr>
    </w:p>
    <w:p w14:paraId="788F023E" w14:textId="77777777" w:rsidR="00C543A5" w:rsidRPr="00F427C9" w:rsidRDefault="00551397" w:rsidP="002A5113">
      <w:pPr>
        <w:pStyle w:val="BodyText"/>
        <w:numPr>
          <w:ilvl w:val="0"/>
          <w:numId w:val="2"/>
        </w:numPr>
        <w:tabs>
          <w:tab w:val="left" w:pos="0"/>
        </w:tabs>
        <w:rPr>
          <w:rFonts w:ascii="Times New Roman" w:hAnsi="Times New Roman"/>
          <w:szCs w:val="24"/>
          <w:lang w:val="hr-HR"/>
        </w:rPr>
      </w:pPr>
      <w:r w:rsidRPr="00F427C9">
        <w:rPr>
          <w:rFonts w:ascii="Times New Roman" w:hAnsi="Times New Roman"/>
          <w:szCs w:val="24"/>
          <w:lang w:val="hr-HR"/>
        </w:rPr>
        <w:t xml:space="preserve">Ovlašćuje se </w:t>
      </w:r>
      <w:r w:rsidR="00876CC8" w:rsidRPr="00F427C9">
        <w:rPr>
          <w:rFonts w:ascii="Times New Roman" w:hAnsi="Times New Roman"/>
          <w:szCs w:val="24"/>
          <w:lang w:val="hr-HR"/>
        </w:rPr>
        <w:t xml:space="preserve">potpredsjednik Vlade Republike Hrvatske i ministar financija dr. sc. Zdravko Marić </w:t>
      </w:r>
      <w:r w:rsidRPr="00F427C9">
        <w:rPr>
          <w:rFonts w:ascii="Times New Roman" w:hAnsi="Times New Roman"/>
          <w:szCs w:val="24"/>
          <w:lang w:val="hr-HR"/>
        </w:rPr>
        <w:t xml:space="preserve">da, u ime Republike Hrvatske, potpiše </w:t>
      </w:r>
      <w:r w:rsidR="00247199" w:rsidRPr="00F427C9">
        <w:rPr>
          <w:rFonts w:ascii="Times New Roman" w:hAnsi="Times New Roman"/>
          <w:szCs w:val="24"/>
          <w:lang w:val="hr-HR"/>
        </w:rPr>
        <w:t xml:space="preserve">Sporazum o prijateljskom rješenju spora između </w:t>
      </w:r>
      <w:r w:rsidR="00194CEB" w:rsidRPr="00F427C9">
        <w:rPr>
          <w:rFonts w:ascii="Times New Roman" w:hAnsi="Times New Roman"/>
          <w:szCs w:val="24"/>
          <w:lang w:val="hr-HR"/>
        </w:rPr>
        <w:t xml:space="preserve">Republike Hrvatske, s jedne strane, i </w:t>
      </w:r>
      <w:r w:rsidR="00247199" w:rsidRPr="00F427C9">
        <w:rPr>
          <w:rFonts w:ascii="Times New Roman" w:hAnsi="Times New Roman"/>
          <w:szCs w:val="24"/>
          <w:lang w:val="hr-HR"/>
        </w:rPr>
        <w:t xml:space="preserve">Colgate/McCallum, Ltd. i Gavina </w:t>
      </w:r>
      <w:r w:rsidR="00194CEB" w:rsidRPr="00F427C9">
        <w:rPr>
          <w:rFonts w:ascii="Times New Roman" w:hAnsi="Times New Roman"/>
          <w:szCs w:val="24"/>
          <w:lang w:val="hr-HR"/>
        </w:rPr>
        <w:t xml:space="preserve">Michaela </w:t>
      </w:r>
      <w:r w:rsidR="00247199" w:rsidRPr="00F427C9">
        <w:rPr>
          <w:rFonts w:ascii="Times New Roman" w:hAnsi="Times New Roman"/>
          <w:szCs w:val="24"/>
          <w:lang w:val="hr-HR"/>
        </w:rPr>
        <w:t xml:space="preserve">Susmana, </w:t>
      </w:r>
      <w:r w:rsidR="00194CEB" w:rsidRPr="00F427C9">
        <w:rPr>
          <w:rFonts w:ascii="Times New Roman" w:hAnsi="Times New Roman"/>
          <w:szCs w:val="24"/>
          <w:lang w:val="hr-HR"/>
        </w:rPr>
        <w:t xml:space="preserve">s druge strane, </w:t>
      </w:r>
      <w:r w:rsidRPr="00F427C9">
        <w:rPr>
          <w:rFonts w:ascii="Times New Roman" w:hAnsi="Times New Roman"/>
          <w:szCs w:val="24"/>
          <w:lang w:val="hr-HR"/>
        </w:rPr>
        <w:t xml:space="preserve">u tekstu koji je Vladi Republike Hrvatske dostavilo </w:t>
      </w:r>
      <w:r w:rsidR="00194CEB" w:rsidRPr="00F427C9">
        <w:rPr>
          <w:rFonts w:ascii="Times New Roman" w:hAnsi="Times New Roman"/>
          <w:szCs w:val="24"/>
          <w:lang w:val="hr-HR"/>
        </w:rPr>
        <w:t>Međuresorno</w:t>
      </w:r>
      <w:r w:rsidR="0058773C" w:rsidRPr="00F427C9">
        <w:rPr>
          <w:rFonts w:ascii="Times New Roman" w:hAnsi="Times New Roman"/>
          <w:szCs w:val="24"/>
          <w:lang w:val="hr-HR"/>
        </w:rPr>
        <w:t xml:space="preserve"> </w:t>
      </w:r>
      <w:r w:rsidR="00194CEB" w:rsidRPr="00F427C9">
        <w:rPr>
          <w:rFonts w:ascii="Times New Roman" w:hAnsi="Times New Roman"/>
          <w:szCs w:val="24"/>
          <w:lang w:val="hr-HR"/>
        </w:rPr>
        <w:t>povjerenstv</w:t>
      </w:r>
      <w:r w:rsidR="0058773C" w:rsidRPr="00F427C9">
        <w:rPr>
          <w:rFonts w:ascii="Times New Roman" w:hAnsi="Times New Roman"/>
          <w:szCs w:val="24"/>
          <w:lang w:val="hr-HR"/>
        </w:rPr>
        <w:t xml:space="preserve">o </w:t>
      </w:r>
      <w:r w:rsidR="00194CEB" w:rsidRPr="00F427C9">
        <w:rPr>
          <w:rFonts w:ascii="Times New Roman" w:hAnsi="Times New Roman"/>
          <w:szCs w:val="24"/>
          <w:lang w:val="hr-HR"/>
        </w:rPr>
        <w:t xml:space="preserve">za postupanje po zahtjevima stranih ulagača vezanim uz sporove koji proizlaze iz međunarodnih ugovora Republike Hrvatske iz područja poticanja i zaštite ulaganja </w:t>
      </w:r>
      <w:r w:rsidRPr="00F427C9">
        <w:rPr>
          <w:rFonts w:ascii="Times New Roman" w:hAnsi="Times New Roman"/>
          <w:szCs w:val="24"/>
          <w:lang w:val="hr-HR"/>
        </w:rPr>
        <w:t>aktom, KLASA:</w:t>
      </w:r>
      <w:r w:rsidR="002A5113" w:rsidRPr="00F427C9">
        <w:rPr>
          <w:rFonts w:ascii="Times New Roman" w:hAnsi="Times New Roman"/>
          <w:szCs w:val="24"/>
          <w:lang w:val="hr-HR"/>
        </w:rPr>
        <w:t xml:space="preserve"> 018-05/20-48/4, </w:t>
      </w:r>
      <w:r w:rsidR="001E6413" w:rsidRPr="00F427C9">
        <w:rPr>
          <w:rFonts w:ascii="Times New Roman" w:hAnsi="Times New Roman"/>
          <w:szCs w:val="24"/>
          <w:lang w:val="hr-HR"/>
        </w:rPr>
        <w:t>URBROJ:</w:t>
      </w:r>
      <w:r w:rsidR="002A5113" w:rsidRPr="00F427C9">
        <w:rPr>
          <w:rFonts w:ascii="Times New Roman" w:hAnsi="Times New Roman"/>
          <w:szCs w:val="24"/>
          <w:lang w:val="hr-HR"/>
        </w:rPr>
        <w:t xml:space="preserve"> 521-VIII-02-21-20</w:t>
      </w:r>
      <w:r w:rsidR="001E6413" w:rsidRPr="00F427C9">
        <w:rPr>
          <w:rFonts w:ascii="Times New Roman" w:hAnsi="Times New Roman"/>
          <w:szCs w:val="24"/>
          <w:lang w:val="hr-HR"/>
        </w:rPr>
        <w:t>, od</w:t>
      </w:r>
      <w:r w:rsidR="00B114CA" w:rsidRPr="00F427C9">
        <w:rPr>
          <w:rFonts w:ascii="Times New Roman" w:hAnsi="Times New Roman"/>
          <w:szCs w:val="24"/>
          <w:lang w:val="hr-HR"/>
        </w:rPr>
        <w:t xml:space="preserve"> </w:t>
      </w:r>
      <w:r w:rsidR="00876CC8" w:rsidRPr="00F427C9">
        <w:rPr>
          <w:rFonts w:ascii="Times New Roman" w:hAnsi="Times New Roman"/>
          <w:szCs w:val="24"/>
          <w:lang w:val="hr-HR"/>
        </w:rPr>
        <w:t>14</w:t>
      </w:r>
      <w:r w:rsidR="00B114CA" w:rsidRPr="00F427C9">
        <w:rPr>
          <w:rFonts w:ascii="Times New Roman" w:hAnsi="Times New Roman"/>
          <w:szCs w:val="24"/>
          <w:lang w:val="hr-HR"/>
        </w:rPr>
        <w:t xml:space="preserve">. </w:t>
      </w:r>
      <w:r w:rsidR="00876CC8" w:rsidRPr="00F427C9">
        <w:rPr>
          <w:rFonts w:ascii="Times New Roman" w:hAnsi="Times New Roman"/>
          <w:szCs w:val="24"/>
          <w:lang w:val="hr-HR"/>
        </w:rPr>
        <w:t xml:space="preserve">prosinca </w:t>
      </w:r>
      <w:r w:rsidRPr="00F427C9">
        <w:rPr>
          <w:rFonts w:ascii="Times New Roman" w:hAnsi="Times New Roman"/>
          <w:szCs w:val="24"/>
          <w:lang w:val="hr-HR"/>
        </w:rPr>
        <w:t>202</w:t>
      </w:r>
      <w:r w:rsidR="00247199" w:rsidRPr="00F427C9">
        <w:rPr>
          <w:rFonts w:ascii="Times New Roman" w:hAnsi="Times New Roman"/>
          <w:szCs w:val="24"/>
          <w:lang w:val="hr-HR"/>
        </w:rPr>
        <w:t>1</w:t>
      </w:r>
      <w:r w:rsidRPr="00F427C9">
        <w:rPr>
          <w:rFonts w:ascii="Times New Roman" w:hAnsi="Times New Roman"/>
          <w:szCs w:val="24"/>
          <w:lang w:val="hr-HR"/>
        </w:rPr>
        <w:t>.</w:t>
      </w:r>
    </w:p>
    <w:p w14:paraId="2155F73E" w14:textId="77777777" w:rsidR="00C543A5" w:rsidRPr="00F427C9" w:rsidRDefault="00C543A5" w:rsidP="00C543A5">
      <w:pPr>
        <w:pStyle w:val="BodyText"/>
        <w:tabs>
          <w:tab w:val="left" w:pos="0"/>
        </w:tabs>
        <w:ind w:left="720"/>
        <w:rPr>
          <w:rFonts w:ascii="Times New Roman" w:hAnsi="Times New Roman"/>
          <w:szCs w:val="24"/>
          <w:lang w:val="hr-HR"/>
        </w:rPr>
      </w:pPr>
    </w:p>
    <w:p w14:paraId="79FABC98" w14:textId="77777777" w:rsidR="008179CC" w:rsidRPr="00F427C9" w:rsidRDefault="008179CC" w:rsidP="006B520D">
      <w:pPr>
        <w:pStyle w:val="BodyText"/>
        <w:numPr>
          <w:ilvl w:val="0"/>
          <w:numId w:val="2"/>
        </w:numPr>
        <w:rPr>
          <w:rFonts w:ascii="Times New Roman" w:hAnsi="Times New Roman"/>
          <w:szCs w:val="24"/>
          <w:lang w:val="hr-HR"/>
        </w:rPr>
      </w:pPr>
      <w:r w:rsidRPr="00F427C9">
        <w:rPr>
          <w:rFonts w:ascii="Times New Roman" w:hAnsi="Times New Roman"/>
          <w:szCs w:val="24"/>
          <w:lang w:val="hr-HR"/>
        </w:rPr>
        <w:t>Zadužuje se Ministarstvo financija da</w:t>
      </w:r>
      <w:r w:rsidR="003E505C" w:rsidRPr="00F427C9">
        <w:rPr>
          <w:rFonts w:ascii="Times New Roman" w:hAnsi="Times New Roman"/>
          <w:szCs w:val="24"/>
          <w:lang w:val="hr-HR"/>
        </w:rPr>
        <w:t xml:space="preserve"> izvrši isplatu </w:t>
      </w:r>
      <w:r w:rsidRPr="00F427C9">
        <w:rPr>
          <w:rFonts w:ascii="Times New Roman" w:hAnsi="Times New Roman"/>
          <w:szCs w:val="24"/>
          <w:lang w:val="hr-HR"/>
        </w:rPr>
        <w:t>iznos</w:t>
      </w:r>
      <w:r w:rsidR="003E505C" w:rsidRPr="00F427C9">
        <w:rPr>
          <w:rFonts w:ascii="Times New Roman" w:hAnsi="Times New Roman"/>
          <w:szCs w:val="24"/>
          <w:lang w:val="hr-HR"/>
        </w:rPr>
        <w:t>a</w:t>
      </w:r>
      <w:r w:rsidRPr="00F427C9">
        <w:rPr>
          <w:rFonts w:ascii="Times New Roman" w:hAnsi="Times New Roman"/>
          <w:szCs w:val="24"/>
          <w:lang w:val="hr-HR"/>
        </w:rPr>
        <w:t xml:space="preserve"> od 297.000.000,00 </w:t>
      </w:r>
      <w:r w:rsidR="003E505C" w:rsidRPr="00F427C9">
        <w:rPr>
          <w:rFonts w:ascii="Times New Roman" w:hAnsi="Times New Roman"/>
          <w:szCs w:val="24"/>
          <w:lang w:val="hr-HR"/>
        </w:rPr>
        <w:t>kuna, sukladno odredbama Sporazuma iz točke 2. ovog Zaključka iz D</w:t>
      </w:r>
      <w:r w:rsidRPr="00F427C9">
        <w:rPr>
          <w:rFonts w:ascii="Times New Roman" w:hAnsi="Times New Roman"/>
          <w:szCs w:val="24"/>
          <w:lang w:val="hr-HR"/>
        </w:rPr>
        <w:t>ržavnog proračuna Republike Hrvatske za 2021. godinu</w:t>
      </w:r>
      <w:r w:rsidR="00302AAF" w:rsidRPr="00F427C9">
        <w:rPr>
          <w:rFonts w:ascii="Times New Roman" w:hAnsi="Times New Roman"/>
          <w:szCs w:val="24"/>
          <w:lang w:val="hr-HR"/>
        </w:rPr>
        <w:t xml:space="preserve"> i projekcijama za 2022. i 2023. godinu </w:t>
      </w:r>
      <w:r w:rsidR="00F87CC1" w:rsidRPr="00F427C9">
        <w:rPr>
          <w:rFonts w:ascii="Times New Roman" w:hAnsi="Times New Roman"/>
          <w:szCs w:val="24"/>
          <w:lang w:val="hr-HR"/>
        </w:rPr>
        <w:t>unutar aktivnosti A539287 obveze po sudskim sporovima, izvor financiranja 11 opći prihodi i primici, skupina računa 383 kazne, penali i naknade šteta, glava 02506 Ministarstvo financija – ostali izdatci države.</w:t>
      </w:r>
    </w:p>
    <w:p w14:paraId="23220077" w14:textId="77777777" w:rsidR="00F31DEB" w:rsidRDefault="00F31DEB" w:rsidP="00DC5557">
      <w:pPr>
        <w:pStyle w:val="BodyText"/>
        <w:rPr>
          <w:rFonts w:ascii="Times New Roman" w:hAnsi="Times New Roman"/>
          <w:b/>
          <w:szCs w:val="24"/>
          <w:lang w:val="hr-HR"/>
        </w:rPr>
      </w:pPr>
    </w:p>
    <w:p w14:paraId="6A78A8C6" w14:textId="77777777" w:rsidR="00F31DEB" w:rsidRPr="00DC5557" w:rsidRDefault="00F31DEB" w:rsidP="00DC5557">
      <w:pPr>
        <w:pStyle w:val="BodyText"/>
        <w:rPr>
          <w:rFonts w:ascii="Times New Roman" w:hAnsi="Times New Roman"/>
          <w:b/>
          <w:szCs w:val="24"/>
          <w:lang w:val="hr-HR"/>
        </w:rPr>
      </w:pPr>
    </w:p>
    <w:p w14:paraId="31EFA213" w14:textId="77777777" w:rsidR="00C543A5" w:rsidRPr="00DC5557" w:rsidRDefault="003E505C" w:rsidP="00DC5557">
      <w:pPr>
        <w:spacing w:after="0"/>
        <w:jc w:val="both"/>
        <w:rPr>
          <w:rFonts w:ascii="Times New Roman" w:hAnsi="Times New Roman" w:cs="Times New Roman"/>
          <w:sz w:val="24"/>
          <w:szCs w:val="24"/>
        </w:rPr>
      </w:pPr>
      <w:r>
        <w:rPr>
          <w:rFonts w:ascii="Times New Roman" w:hAnsi="Times New Roman" w:cs="Times New Roman"/>
          <w:sz w:val="24"/>
          <w:szCs w:val="24"/>
        </w:rPr>
        <w:t>KLASA</w:t>
      </w:r>
      <w:r w:rsidR="00C543A5" w:rsidRPr="00DC5557">
        <w:rPr>
          <w:rFonts w:ascii="Times New Roman" w:hAnsi="Times New Roman" w:cs="Times New Roman"/>
          <w:sz w:val="24"/>
          <w:szCs w:val="24"/>
        </w:rPr>
        <w:t>:</w:t>
      </w:r>
      <w:r w:rsidR="00C543A5" w:rsidRPr="00DC5557">
        <w:rPr>
          <w:rFonts w:ascii="Times New Roman" w:hAnsi="Times New Roman" w:cs="Times New Roman"/>
          <w:sz w:val="24"/>
          <w:szCs w:val="24"/>
        </w:rPr>
        <w:tab/>
      </w:r>
      <w:r w:rsidR="00C543A5" w:rsidRPr="00DC5557">
        <w:rPr>
          <w:rFonts w:ascii="Times New Roman" w:hAnsi="Times New Roman" w:cs="Times New Roman"/>
          <w:sz w:val="24"/>
          <w:szCs w:val="24"/>
        </w:rPr>
        <w:tab/>
      </w:r>
    </w:p>
    <w:p w14:paraId="51298D31" w14:textId="77777777" w:rsidR="00C543A5" w:rsidRPr="00DC5557" w:rsidRDefault="003E505C" w:rsidP="00DC5557">
      <w:pPr>
        <w:spacing w:after="0"/>
        <w:jc w:val="both"/>
        <w:rPr>
          <w:rFonts w:ascii="Times New Roman" w:hAnsi="Times New Roman" w:cs="Times New Roman"/>
          <w:sz w:val="24"/>
          <w:szCs w:val="24"/>
        </w:rPr>
      </w:pPr>
      <w:r>
        <w:rPr>
          <w:rFonts w:ascii="Times New Roman" w:hAnsi="Times New Roman" w:cs="Times New Roman"/>
          <w:sz w:val="24"/>
          <w:szCs w:val="24"/>
        </w:rPr>
        <w:t>URBROJ</w:t>
      </w:r>
      <w:r w:rsidR="00C543A5" w:rsidRPr="00DC5557">
        <w:rPr>
          <w:rFonts w:ascii="Times New Roman" w:hAnsi="Times New Roman" w:cs="Times New Roman"/>
          <w:sz w:val="24"/>
          <w:szCs w:val="24"/>
        </w:rPr>
        <w:t>:</w:t>
      </w:r>
      <w:r>
        <w:rPr>
          <w:rFonts w:ascii="Times New Roman" w:hAnsi="Times New Roman" w:cs="Times New Roman"/>
          <w:sz w:val="24"/>
          <w:szCs w:val="24"/>
        </w:rPr>
        <w:tab/>
      </w:r>
    </w:p>
    <w:p w14:paraId="421A65EB" w14:textId="77777777" w:rsidR="00C543A5" w:rsidRPr="00DC5557" w:rsidRDefault="00C543A5" w:rsidP="00DC5557">
      <w:pPr>
        <w:spacing w:after="0"/>
        <w:jc w:val="both"/>
        <w:rPr>
          <w:rFonts w:ascii="Times New Roman" w:hAnsi="Times New Roman" w:cs="Times New Roman"/>
          <w:sz w:val="24"/>
          <w:szCs w:val="24"/>
        </w:rPr>
      </w:pPr>
    </w:p>
    <w:p w14:paraId="09C4CF67" w14:textId="77777777" w:rsidR="00C543A5" w:rsidRPr="00DC5557" w:rsidRDefault="00C543A5" w:rsidP="00DC5557">
      <w:pPr>
        <w:spacing w:after="0"/>
        <w:jc w:val="both"/>
        <w:rPr>
          <w:rFonts w:ascii="Times New Roman" w:hAnsi="Times New Roman" w:cs="Times New Roman"/>
          <w:sz w:val="24"/>
          <w:szCs w:val="24"/>
        </w:rPr>
      </w:pPr>
      <w:r w:rsidRPr="00DC5557">
        <w:rPr>
          <w:rFonts w:ascii="Times New Roman" w:hAnsi="Times New Roman" w:cs="Times New Roman"/>
          <w:sz w:val="24"/>
          <w:szCs w:val="24"/>
        </w:rPr>
        <w:t>Zagreb,</w:t>
      </w:r>
      <w:r w:rsidRPr="00DC5557">
        <w:rPr>
          <w:rFonts w:ascii="Times New Roman" w:hAnsi="Times New Roman" w:cs="Times New Roman"/>
          <w:sz w:val="24"/>
          <w:szCs w:val="24"/>
        </w:rPr>
        <w:tab/>
      </w:r>
      <w:r w:rsidR="000858E9">
        <w:rPr>
          <w:rFonts w:ascii="Times New Roman" w:hAnsi="Times New Roman" w:cs="Times New Roman"/>
          <w:sz w:val="24"/>
          <w:szCs w:val="24"/>
        </w:rPr>
        <w:t>________</w:t>
      </w:r>
      <w:r w:rsidR="00876CC8" w:rsidRPr="00DC5557">
        <w:rPr>
          <w:rFonts w:ascii="Times New Roman" w:hAnsi="Times New Roman" w:cs="Times New Roman"/>
          <w:sz w:val="24"/>
          <w:szCs w:val="24"/>
        </w:rPr>
        <w:t xml:space="preserve"> </w:t>
      </w:r>
      <w:r w:rsidRPr="00DC5557">
        <w:rPr>
          <w:rFonts w:ascii="Times New Roman" w:hAnsi="Times New Roman" w:cs="Times New Roman"/>
          <w:sz w:val="24"/>
          <w:szCs w:val="24"/>
        </w:rPr>
        <w:t>202</w:t>
      </w:r>
      <w:r w:rsidR="00247199">
        <w:rPr>
          <w:rFonts w:ascii="Times New Roman" w:hAnsi="Times New Roman" w:cs="Times New Roman"/>
          <w:sz w:val="24"/>
          <w:szCs w:val="24"/>
        </w:rPr>
        <w:t>1</w:t>
      </w:r>
      <w:r w:rsidRPr="00DC5557">
        <w:rPr>
          <w:rFonts w:ascii="Times New Roman" w:hAnsi="Times New Roman" w:cs="Times New Roman"/>
          <w:sz w:val="24"/>
          <w:szCs w:val="24"/>
        </w:rPr>
        <w:t>.</w:t>
      </w:r>
    </w:p>
    <w:p w14:paraId="5E554C87" w14:textId="77777777" w:rsidR="00C543A5" w:rsidRPr="000858E9" w:rsidRDefault="00C543A5" w:rsidP="00C543A5">
      <w:pPr>
        <w:jc w:val="both"/>
        <w:rPr>
          <w:rFonts w:ascii="Times New Roman" w:hAnsi="Times New Roman" w:cs="Times New Roman"/>
          <w:sz w:val="24"/>
          <w:szCs w:val="24"/>
        </w:rPr>
      </w:pPr>
    </w:p>
    <w:p w14:paraId="0965B408" w14:textId="77777777" w:rsidR="00C543A5" w:rsidRPr="000858E9" w:rsidRDefault="00C543A5" w:rsidP="00C543A5">
      <w:pPr>
        <w:ind w:left="3828"/>
        <w:jc w:val="center"/>
        <w:rPr>
          <w:rFonts w:ascii="Times New Roman" w:hAnsi="Times New Roman" w:cs="Times New Roman"/>
          <w:sz w:val="24"/>
          <w:szCs w:val="24"/>
        </w:rPr>
      </w:pPr>
      <w:r w:rsidRPr="000858E9">
        <w:rPr>
          <w:rFonts w:ascii="Times New Roman" w:hAnsi="Times New Roman" w:cs="Times New Roman"/>
          <w:sz w:val="24"/>
          <w:szCs w:val="24"/>
        </w:rPr>
        <w:t>PREDSJEDNIK</w:t>
      </w:r>
    </w:p>
    <w:p w14:paraId="1DB85A58" w14:textId="77777777" w:rsidR="00C543A5" w:rsidRPr="000858E9" w:rsidRDefault="00C543A5" w:rsidP="00C543A5">
      <w:pPr>
        <w:ind w:left="3828"/>
        <w:jc w:val="center"/>
        <w:rPr>
          <w:rFonts w:ascii="Times New Roman" w:hAnsi="Times New Roman" w:cs="Times New Roman"/>
          <w:sz w:val="24"/>
          <w:szCs w:val="24"/>
        </w:rPr>
      </w:pPr>
    </w:p>
    <w:p w14:paraId="446EA7BA" w14:textId="61FE3C4C" w:rsidR="00C543A5" w:rsidRDefault="00C543A5" w:rsidP="00C543A5">
      <w:pPr>
        <w:ind w:left="3828"/>
        <w:jc w:val="center"/>
        <w:rPr>
          <w:rFonts w:ascii="Times New Roman" w:hAnsi="Times New Roman" w:cs="Times New Roman"/>
          <w:sz w:val="24"/>
          <w:szCs w:val="24"/>
        </w:rPr>
      </w:pPr>
      <w:r w:rsidRPr="000858E9">
        <w:rPr>
          <w:rFonts w:ascii="Times New Roman" w:hAnsi="Times New Roman" w:cs="Times New Roman"/>
          <w:sz w:val="24"/>
          <w:szCs w:val="24"/>
        </w:rPr>
        <w:lastRenderedPageBreak/>
        <w:t>mr. sc. Andrej Plenković, v. r.</w:t>
      </w:r>
    </w:p>
    <w:p w14:paraId="715C15F5" w14:textId="68E0D58E" w:rsidR="009E01EC" w:rsidRDefault="009E01EC" w:rsidP="00C543A5">
      <w:pPr>
        <w:ind w:left="3828"/>
        <w:jc w:val="center"/>
        <w:rPr>
          <w:rFonts w:ascii="Times New Roman" w:hAnsi="Times New Roman" w:cs="Times New Roman"/>
          <w:sz w:val="24"/>
          <w:szCs w:val="24"/>
        </w:rPr>
      </w:pPr>
    </w:p>
    <w:p w14:paraId="29CC9A46" w14:textId="23642BC9" w:rsidR="009E01EC" w:rsidRDefault="009E01EC" w:rsidP="009E01EC">
      <w:pPr>
        <w:rPr>
          <w:rFonts w:ascii="Times New Roman" w:hAnsi="Times New Roman" w:cs="Times New Roman"/>
          <w:sz w:val="24"/>
          <w:szCs w:val="24"/>
        </w:rPr>
      </w:pPr>
    </w:p>
    <w:p w14:paraId="04AA858D" w14:textId="77777777" w:rsidR="009E01EC" w:rsidRPr="009E01EC" w:rsidRDefault="009E01EC" w:rsidP="009E01EC">
      <w:pPr>
        <w:spacing w:line="259" w:lineRule="auto"/>
        <w:jc w:val="center"/>
        <w:rPr>
          <w:rFonts w:ascii="Times New Roman" w:hAnsi="Times New Roman" w:cs="Times New Roman"/>
          <w:caps/>
          <w:sz w:val="24"/>
          <w:szCs w:val="24"/>
        </w:rPr>
      </w:pPr>
      <w:r w:rsidRPr="009E01EC">
        <w:rPr>
          <w:rFonts w:ascii="Times New Roman" w:hAnsi="Times New Roman" w:cs="Times New Roman"/>
          <w:caps/>
          <w:sz w:val="24"/>
          <w:szCs w:val="24"/>
        </w:rPr>
        <w:t>Obrazloženje</w:t>
      </w:r>
    </w:p>
    <w:p w14:paraId="1CD23536" w14:textId="77777777" w:rsidR="009E01EC" w:rsidRPr="0015044C" w:rsidRDefault="009E01EC" w:rsidP="009E01EC">
      <w:pPr>
        <w:spacing w:after="240"/>
        <w:jc w:val="both"/>
        <w:rPr>
          <w:rFonts w:ascii="Times New Roman" w:hAnsi="Times New Roman" w:cs="Times New Roman"/>
          <w:color w:val="000000" w:themeColor="text1"/>
          <w:sz w:val="24"/>
          <w:szCs w:val="24"/>
        </w:rPr>
      </w:pPr>
      <w:r w:rsidRPr="00BD5DA8">
        <w:rPr>
          <w:rFonts w:ascii="Times New Roman" w:hAnsi="Times New Roman" w:cs="Times New Roman"/>
          <w:sz w:val="24"/>
          <w:szCs w:val="24"/>
        </w:rPr>
        <w:t>Temeljem</w:t>
      </w:r>
      <w:r>
        <w:rPr>
          <w:rFonts w:ascii="Times New Roman" w:hAnsi="Times New Roman" w:cs="Times New Roman"/>
          <w:sz w:val="24"/>
          <w:szCs w:val="24"/>
        </w:rPr>
        <w:t xml:space="preserve"> članka 10.</w:t>
      </w:r>
      <w:r w:rsidRPr="00BD5DA8">
        <w:rPr>
          <w:rFonts w:ascii="Times New Roman" w:hAnsi="Times New Roman" w:cs="Times New Roman"/>
          <w:sz w:val="24"/>
          <w:szCs w:val="24"/>
        </w:rPr>
        <w:t xml:space="preserve"> </w:t>
      </w:r>
      <w:r w:rsidRPr="006B520D">
        <w:rPr>
          <w:rFonts w:ascii="Times New Roman" w:hAnsi="Times New Roman" w:cs="Times New Roman"/>
          <w:sz w:val="24"/>
          <w:szCs w:val="24"/>
        </w:rPr>
        <w:t>Ugovora između Vlade Republike Hrvatske i Vlade Sjedinjenih Američkih Država o poticanju i zaštiti ulaganja</w:t>
      </w:r>
      <w:r>
        <w:rPr>
          <w:rFonts w:ascii="Times New Roman" w:hAnsi="Times New Roman" w:cs="Times New Roman"/>
          <w:sz w:val="24"/>
          <w:szCs w:val="24"/>
        </w:rPr>
        <w:t xml:space="preserve"> </w:t>
      </w:r>
      <w:r w:rsidRPr="00BD5DA8">
        <w:rPr>
          <w:rFonts w:ascii="Times New Roman" w:hAnsi="Times New Roman" w:cs="Times New Roman"/>
          <w:sz w:val="24"/>
          <w:szCs w:val="24"/>
        </w:rPr>
        <w:t>(Narodne novi</w:t>
      </w:r>
      <w:r>
        <w:rPr>
          <w:rFonts w:ascii="Times New Roman" w:hAnsi="Times New Roman" w:cs="Times New Roman"/>
          <w:sz w:val="24"/>
          <w:szCs w:val="24"/>
        </w:rPr>
        <w:t xml:space="preserve">ne – Međunarodni ugovori, broj </w:t>
      </w:r>
      <w:r w:rsidRPr="00BD5DA8">
        <w:rPr>
          <w:rFonts w:ascii="Times New Roman" w:hAnsi="Times New Roman" w:cs="Times New Roman"/>
          <w:sz w:val="24"/>
          <w:szCs w:val="24"/>
        </w:rPr>
        <w:t>6/</w:t>
      </w:r>
      <w:r>
        <w:rPr>
          <w:rFonts w:ascii="Times New Roman" w:hAnsi="Times New Roman" w:cs="Times New Roman"/>
          <w:sz w:val="24"/>
          <w:szCs w:val="24"/>
        </w:rPr>
        <w:t>19</w:t>
      </w:r>
      <w:r w:rsidRPr="00BD5DA8">
        <w:rPr>
          <w:rFonts w:ascii="Times New Roman" w:hAnsi="Times New Roman" w:cs="Times New Roman"/>
          <w:sz w:val="24"/>
          <w:szCs w:val="24"/>
        </w:rPr>
        <w:t>97)</w:t>
      </w:r>
      <w:r>
        <w:rPr>
          <w:rFonts w:ascii="Times New Roman" w:hAnsi="Times New Roman" w:cs="Times New Roman"/>
          <w:sz w:val="24"/>
          <w:szCs w:val="24"/>
        </w:rPr>
        <w:t xml:space="preserve">, </w:t>
      </w:r>
      <w:r w:rsidRPr="00BD5DA8">
        <w:rPr>
          <w:rFonts w:ascii="Times New Roman" w:hAnsi="Times New Roman" w:cs="Times New Roman"/>
          <w:sz w:val="24"/>
          <w:szCs w:val="24"/>
        </w:rPr>
        <w:t>sklopljenog 13. srpnja 1996.</w:t>
      </w:r>
      <w:r>
        <w:rPr>
          <w:rFonts w:ascii="Times New Roman" w:hAnsi="Times New Roman" w:cs="Times New Roman"/>
          <w:sz w:val="24"/>
          <w:szCs w:val="24"/>
        </w:rPr>
        <w:t xml:space="preserve">, i koji je snazi od 20. lipnja 2001. </w:t>
      </w:r>
      <w:r w:rsidRPr="00BD5DA8">
        <w:rPr>
          <w:rFonts w:ascii="Times New Roman" w:hAnsi="Times New Roman" w:cs="Times New Roman"/>
          <w:sz w:val="24"/>
          <w:szCs w:val="24"/>
        </w:rPr>
        <w:t>(u daljnjem tekstu: Ugovor), američki ulagač</w:t>
      </w:r>
      <w:r>
        <w:rPr>
          <w:rFonts w:ascii="Times New Roman" w:hAnsi="Times New Roman" w:cs="Times New Roman"/>
          <w:sz w:val="24"/>
          <w:szCs w:val="24"/>
        </w:rPr>
        <w:t>i</w:t>
      </w:r>
      <w:r w:rsidRPr="00BD5DA8">
        <w:rPr>
          <w:rFonts w:ascii="Times New Roman" w:hAnsi="Times New Roman" w:cs="Times New Roman"/>
          <w:sz w:val="24"/>
          <w:szCs w:val="24"/>
        </w:rPr>
        <w:t xml:space="preserve"> Colgate/McCallum</w:t>
      </w:r>
      <w:r>
        <w:rPr>
          <w:rFonts w:ascii="Times New Roman" w:hAnsi="Times New Roman" w:cs="Times New Roman"/>
          <w:sz w:val="24"/>
          <w:szCs w:val="24"/>
        </w:rPr>
        <w:t xml:space="preserve">, Ltd. i </w:t>
      </w:r>
      <w:r w:rsidRPr="00BD5DA8">
        <w:rPr>
          <w:rFonts w:ascii="Times New Roman" w:hAnsi="Times New Roman" w:cs="Times New Roman"/>
          <w:sz w:val="24"/>
          <w:szCs w:val="24"/>
        </w:rPr>
        <w:t>Gavin</w:t>
      </w:r>
      <w:r>
        <w:rPr>
          <w:rFonts w:ascii="Times New Roman" w:hAnsi="Times New Roman" w:cs="Times New Roman"/>
          <w:sz w:val="24"/>
          <w:szCs w:val="24"/>
        </w:rPr>
        <w:t xml:space="preserve"> Michael</w:t>
      </w:r>
      <w:r w:rsidRPr="00BD5DA8">
        <w:rPr>
          <w:rFonts w:ascii="Times New Roman" w:hAnsi="Times New Roman" w:cs="Times New Roman"/>
          <w:sz w:val="24"/>
          <w:szCs w:val="24"/>
        </w:rPr>
        <w:t xml:space="preserve"> Susman</w:t>
      </w:r>
      <w:r>
        <w:rPr>
          <w:rFonts w:ascii="Times New Roman" w:hAnsi="Times New Roman" w:cs="Times New Roman"/>
          <w:sz w:val="24"/>
          <w:szCs w:val="24"/>
        </w:rPr>
        <w:t xml:space="preserve"> (u daljnjem tekstu: Ulagači) </w:t>
      </w:r>
      <w:r w:rsidRPr="00BD5DA8">
        <w:rPr>
          <w:rFonts w:ascii="Times New Roman" w:hAnsi="Times New Roman" w:cs="Times New Roman"/>
          <w:sz w:val="24"/>
          <w:szCs w:val="24"/>
        </w:rPr>
        <w:t>podni</w:t>
      </w:r>
      <w:r>
        <w:rPr>
          <w:rFonts w:ascii="Times New Roman" w:hAnsi="Times New Roman" w:cs="Times New Roman"/>
          <w:sz w:val="24"/>
          <w:szCs w:val="24"/>
        </w:rPr>
        <w:t xml:space="preserve">jeli su </w:t>
      </w:r>
      <w:r w:rsidRPr="00BD5DA8">
        <w:rPr>
          <w:rFonts w:ascii="Times New Roman" w:hAnsi="Times New Roman" w:cs="Times New Roman"/>
          <w:sz w:val="24"/>
          <w:szCs w:val="24"/>
        </w:rPr>
        <w:t>13. kolovoza 2020.</w:t>
      </w:r>
      <w:r>
        <w:rPr>
          <w:rFonts w:ascii="Times New Roman" w:hAnsi="Times New Roman" w:cs="Times New Roman"/>
          <w:sz w:val="24"/>
          <w:szCs w:val="24"/>
        </w:rPr>
        <w:t xml:space="preserve"> zahtjev</w:t>
      </w:r>
      <w:r w:rsidRPr="00BD5DA8">
        <w:rPr>
          <w:rFonts w:ascii="Times New Roman" w:hAnsi="Times New Roman" w:cs="Times New Roman"/>
          <w:sz w:val="24"/>
          <w:szCs w:val="24"/>
        </w:rPr>
        <w:t xml:space="preserve"> za mirnim rješenjem spora</w:t>
      </w:r>
      <w:r>
        <w:rPr>
          <w:rFonts w:ascii="Times New Roman" w:hAnsi="Times New Roman" w:cs="Times New Roman"/>
          <w:sz w:val="24"/>
          <w:szCs w:val="24"/>
        </w:rPr>
        <w:t xml:space="preserve"> Republici Hrvatskoj, koji spor je vezan uz njihovo ulaganje u Proficio d.d., </w:t>
      </w:r>
      <w:r w:rsidRPr="0015044C">
        <w:rPr>
          <w:rFonts w:ascii="Times New Roman" w:hAnsi="Times New Roman" w:cs="Times New Roman"/>
          <w:color w:val="000000" w:themeColor="text1"/>
          <w:sz w:val="24"/>
          <w:szCs w:val="24"/>
        </w:rPr>
        <w:t xml:space="preserve">kao pravnog sljednika društava Expandia Invest d.o.o. za upravljanje fondovima i EXPANDIA FOND privatizacijski investicijski fond d.d, koja su sudjelovala u programu kuponske privatizacije u razdoblju od 1997. do 1999. </w:t>
      </w:r>
    </w:p>
    <w:p w14:paraId="47501AEE" w14:textId="77777777" w:rsidR="009E01EC" w:rsidRDefault="009E01EC" w:rsidP="009E01EC">
      <w:pPr>
        <w:spacing w:after="2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Program kuponske </w:t>
      </w:r>
      <w:r w:rsidRPr="00C50BDA">
        <w:rPr>
          <w:rFonts w:ascii="Times New Roman" w:eastAsia="Calibri" w:hAnsi="Times New Roman" w:cs="Times New Roman"/>
          <w:sz w:val="24"/>
          <w:szCs w:val="24"/>
        </w:rPr>
        <w:t xml:space="preserve">privatizacije </w:t>
      </w:r>
      <w:r>
        <w:rPr>
          <w:rFonts w:ascii="Times New Roman" w:eastAsia="Calibri" w:hAnsi="Times New Roman" w:cs="Times New Roman"/>
          <w:sz w:val="24"/>
          <w:szCs w:val="24"/>
        </w:rPr>
        <w:t xml:space="preserve">bio je </w:t>
      </w:r>
      <w:r w:rsidRPr="00C50BDA">
        <w:rPr>
          <w:rFonts w:ascii="Times New Roman" w:eastAsia="Calibri" w:hAnsi="Times New Roman" w:cs="Times New Roman"/>
          <w:sz w:val="24"/>
          <w:szCs w:val="24"/>
        </w:rPr>
        <w:t>reguliran</w:t>
      </w:r>
      <w:r>
        <w:rPr>
          <w:rFonts w:ascii="Times New Roman" w:eastAsia="Calibri" w:hAnsi="Times New Roman" w:cs="Times New Roman"/>
          <w:sz w:val="24"/>
          <w:szCs w:val="24"/>
        </w:rPr>
        <w:t>, među ostalim,</w:t>
      </w:r>
      <w:r w:rsidRPr="00C50BDA">
        <w:rPr>
          <w:rFonts w:ascii="Times New Roman" w:eastAsia="Calibri" w:hAnsi="Times New Roman" w:cs="Times New Roman"/>
          <w:sz w:val="24"/>
          <w:szCs w:val="24"/>
        </w:rPr>
        <w:t xml:space="preserve"> Zakonom o privatizaciji (Narodne novine, br. 21/1996, 16/1998, 71/1997</w:t>
      </w:r>
      <w:r w:rsidRPr="00910B01">
        <w:rPr>
          <w:rFonts w:ascii="Times New Roman" w:eastAsia="Calibri" w:hAnsi="Times New Roman" w:cs="Times New Roman"/>
          <w:sz w:val="24"/>
          <w:szCs w:val="24"/>
        </w:rPr>
        <w:t>, 73/2000), Zakonom o privatizacijskim investicijskim fondovima (Narodne novine, br.</w:t>
      </w:r>
      <w:r>
        <w:rPr>
          <w:rFonts w:ascii="Times New Roman" w:eastAsia="Calibri" w:hAnsi="Times New Roman" w:cs="Times New Roman"/>
          <w:sz w:val="24"/>
          <w:szCs w:val="24"/>
        </w:rPr>
        <w:t xml:space="preserve"> </w:t>
      </w:r>
      <w:r w:rsidRPr="00910B01">
        <w:rPr>
          <w:rFonts w:ascii="Times New Roman" w:eastAsia="Calibri" w:hAnsi="Times New Roman" w:cs="Times New Roman"/>
          <w:sz w:val="24"/>
          <w:szCs w:val="24"/>
        </w:rPr>
        <w:t>109/1997)</w:t>
      </w:r>
      <w:r>
        <w:rPr>
          <w:rFonts w:ascii="Times New Roman" w:eastAsia="Calibri" w:hAnsi="Times New Roman" w:cs="Times New Roman"/>
          <w:sz w:val="24"/>
          <w:szCs w:val="24"/>
        </w:rPr>
        <w:t xml:space="preserve"> te </w:t>
      </w:r>
      <w:r w:rsidRPr="00910B01">
        <w:rPr>
          <w:rFonts w:ascii="Times New Roman" w:eastAsia="Calibri" w:hAnsi="Times New Roman" w:cs="Times New Roman"/>
          <w:sz w:val="24"/>
          <w:szCs w:val="24"/>
        </w:rPr>
        <w:t>Pravilnikom o dodjeli dionica bez naplate (Narodne novine, br. 44/1996, 1/1997, 137/1997, 6/1998)</w:t>
      </w:r>
      <w:r>
        <w:rPr>
          <w:rFonts w:ascii="Times New Roman" w:eastAsia="Calibri" w:hAnsi="Times New Roman" w:cs="Times New Roman"/>
          <w:sz w:val="24"/>
          <w:szCs w:val="24"/>
        </w:rPr>
        <w:t xml:space="preserve">, a bio je osmišljen kako bi se obeštetile </w:t>
      </w:r>
      <w:r w:rsidRPr="001E6413">
        <w:rPr>
          <w:rFonts w:ascii="Times New Roman" w:eastAsia="Calibri" w:hAnsi="Times New Roman" w:cs="Times New Roman"/>
          <w:sz w:val="24"/>
          <w:szCs w:val="24"/>
        </w:rPr>
        <w:t>određene kategorije hrvatskih državljana, i to</w:t>
      </w:r>
      <w:r>
        <w:rPr>
          <w:rFonts w:ascii="Times New Roman" w:eastAsia="Calibri" w:hAnsi="Times New Roman" w:cs="Times New Roman"/>
          <w:sz w:val="24"/>
          <w:szCs w:val="24"/>
        </w:rPr>
        <w:t xml:space="preserve">, sukladno Zakonu o privatizaciji, </w:t>
      </w:r>
      <w:r w:rsidRPr="001E6413">
        <w:rPr>
          <w:rFonts w:ascii="Times New Roman" w:eastAsia="Calibri" w:hAnsi="Times New Roman" w:cs="Times New Roman"/>
          <w:sz w:val="24"/>
          <w:szCs w:val="24"/>
        </w:rPr>
        <w:t>ratni vojni invalidi Domovinskog rata, obitelji poginulih hrvatskih branitelja, obitelji zatočenih ili nestalih hrvatskih branitelja, obitelji poginulih, zatočenih i nestalih civila, hrvatski branitelji i civili koji su bili zatočeni, civilni invalidi rata, mirnodopski vojni invalidi, prognanici i izbjeglice – povratnici i bivši politički zatvorenici, te hrvatski državljani koji su bili zaposleni u pravnim osobama čije se sjedište nalazi na tada ili prethodno okupiranom području ako su ostali bez zaposlenja i ako imaju prebivalište na</w:t>
      </w:r>
      <w:r>
        <w:rPr>
          <w:rFonts w:ascii="Times New Roman" w:eastAsia="Calibri" w:hAnsi="Times New Roman" w:cs="Times New Roman"/>
          <w:sz w:val="24"/>
          <w:szCs w:val="24"/>
        </w:rPr>
        <w:t xml:space="preserve"> području Republike Hrvatske. Program se provodio na način da su se ovlaštenim sudionicima programa izdavali kuponi </w:t>
      </w:r>
      <w:r w:rsidRPr="0021770D">
        <w:rPr>
          <w:rFonts w:ascii="Times New Roman" w:eastAsia="Calibri" w:hAnsi="Times New Roman" w:cs="Times New Roman"/>
          <w:sz w:val="24"/>
          <w:szCs w:val="24"/>
        </w:rPr>
        <w:t xml:space="preserve">na </w:t>
      </w:r>
      <w:r>
        <w:rPr>
          <w:rFonts w:ascii="Times New Roman" w:eastAsia="Calibri" w:hAnsi="Times New Roman" w:cs="Times New Roman"/>
          <w:sz w:val="24"/>
          <w:szCs w:val="24"/>
        </w:rPr>
        <w:t xml:space="preserve">kojima </w:t>
      </w:r>
      <w:r w:rsidRPr="0021770D">
        <w:rPr>
          <w:rFonts w:ascii="Times New Roman" w:eastAsia="Calibri" w:hAnsi="Times New Roman" w:cs="Times New Roman"/>
          <w:sz w:val="24"/>
          <w:szCs w:val="24"/>
        </w:rPr>
        <w:t>je bio upisan broj bodova koje je imao pojedini ovlašteni sudionik. Broj bodova ovisio je o kategoriji ovlaštenih sudionika kojoj je pojedini ovlašteni sudionik pripadao. Broj bodova odgovarao je nazivnoj vrijednosti dionica na koje je ovlašteni sudionik imao pravo</w:t>
      </w:r>
      <w:r>
        <w:rPr>
          <w:rFonts w:ascii="Times New Roman" w:eastAsia="Calibri" w:hAnsi="Times New Roman" w:cs="Times New Roman"/>
          <w:sz w:val="24"/>
          <w:szCs w:val="24"/>
        </w:rPr>
        <w:t xml:space="preserve">. </w:t>
      </w:r>
      <w:r w:rsidRPr="0021770D">
        <w:rPr>
          <w:rFonts w:ascii="Times New Roman" w:eastAsia="Calibri" w:hAnsi="Times New Roman" w:cs="Times New Roman"/>
          <w:sz w:val="24"/>
          <w:szCs w:val="24"/>
        </w:rPr>
        <w:t xml:space="preserve">Iako su ovlašteni sudionici na dražbama kupone mogli koristiti osobno, putem investicijskih fondova ili izravnim ulaganjem u dionice pravnih osoba čije je sjedište bilo na oslobođenom području, čak je oko 95% ovlaštenih sudionika svoje kupone prenijelo na </w:t>
      </w:r>
      <w:r>
        <w:rPr>
          <w:rFonts w:ascii="Times New Roman" w:eastAsia="Calibri" w:hAnsi="Times New Roman" w:cs="Times New Roman"/>
          <w:sz w:val="24"/>
          <w:szCs w:val="24"/>
        </w:rPr>
        <w:t xml:space="preserve">privatizacijske investicijske fondove (u daljnjem tekstu: PIF). </w:t>
      </w:r>
      <w:r w:rsidRPr="0021770D">
        <w:rPr>
          <w:rFonts w:ascii="Times New Roman" w:eastAsia="Calibri" w:hAnsi="Times New Roman" w:cs="Times New Roman"/>
          <w:sz w:val="24"/>
          <w:szCs w:val="24"/>
        </w:rPr>
        <w:t>Primarna djelatnost PIF-ova je bila upravo prikupljanje privatizacijskih kupona od ovlaštenih sudionika, njihova zamjena za dionice trgovačkih društava uključenih u proces te investiranje i upravljanje stečenim dionicama.</w:t>
      </w:r>
      <w:r>
        <w:rPr>
          <w:rFonts w:ascii="Times New Roman" w:eastAsia="Calibri" w:hAnsi="Times New Roman" w:cs="Times New Roman"/>
          <w:sz w:val="24"/>
          <w:szCs w:val="24"/>
        </w:rPr>
        <w:t xml:space="preserve"> </w:t>
      </w:r>
      <w:r>
        <w:rPr>
          <w:rFonts w:ascii="Times New Roman" w:hAnsi="Times New Roman" w:cs="Times New Roman"/>
          <w:sz w:val="24"/>
        </w:rPr>
        <w:t xml:space="preserve">Način utvrđivanja prava na dodjelu dionica, funkcioniranje Središnjeg registra imatelja kupona te provedba programa dodjele dionica bez naplate bili su preciznije definirani </w:t>
      </w:r>
      <w:r w:rsidRPr="00910B01">
        <w:rPr>
          <w:rFonts w:ascii="Times New Roman" w:eastAsia="Calibri" w:hAnsi="Times New Roman" w:cs="Times New Roman"/>
          <w:sz w:val="24"/>
          <w:szCs w:val="24"/>
        </w:rPr>
        <w:t>Pravilnikom o dodjeli dionica bez naplate</w:t>
      </w:r>
      <w:r>
        <w:rPr>
          <w:rFonts w:ascii="Times New Roman" w:eastAsia="Calibri" w:hAnsi="Times New Roman" w:cs="Times New Roman"/>
          <w:sz w:val="24"/>
          <w:szCs w:val="24"/>
        </w:rPr>
        <w:t>.</w:t>
      </w:r>
    </w:p>
    <w:p w14:paraId="6725ECC8" w14:textId="77777777" w:rsidR="009E01EC" w:rsidRDefault="009E01EC" w:rsidP="009E01EC">
      <w:pPr>
        <w:tabs>
          <w:tab w:val="left" w:pos="426"/>
        </w:tabs>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U programu kuponske privatizacije sudjelovao je i Expandia Invest d.o.o. za upravljanje fondovima, a na fond </w:t>
      </w:r>
      <w:r w:rsidRPr="00C532E4">
        <w:rPr>
          <w:rFonts w:ascii="Times New Roman" w:eastAsia="Calibri" w:hAnsi="Times New Roman" w:cs="Times New Roman"/>
          <w:sz w:val="24"/>
          <w:szCs w:val="24"/>
        </w:rPr>
        <w:t>EXPANDIA FOND privatizacijski investicijski fond d.d.</w:t>
      </w:r>
      <w:r>
        <w:rPr>
          <w:rFonts w:ascii="Times New Roman" w:eastAsia="Calibri" w:hAnsi="Times New Roman" w:cs="Times New Roman"/>
          <w:sz w:val="24"/>
          <w:szCs w:val="24"/>
        </w:rPr>
        <w:t>, kojeg je Expandia Invest d.o.o. za upravljanje fondovima osnovao, prenesene su određene dionice slijedom sudjelovanja u programu kuponske privatizacije.</w:t>
      </w:r>
    </w:p>
    <w:p w14:paraId="34F9AA12" w14:textId="77777777" w:rsidR="009E01EC" w:rsidRPr="004B4922" w:rsidRDefault="009E01EC" w:rsidP="009E01EC">
      <w:pPr>
        <w:tabs>
          <w:tab w:val="left" w:pos="426"/>
        </w:tabs>
        <w:jc w:val="both"/>
        <w:rPr>
          <w:rFonts w:ascii="Times New Roman" w:eastAsia="Times New Roman" w:hAnsi="Times New Roman" w:cs="Times New Roman"/>
          <w:sz w:val="24"/>
          <w:szCs w:val="24"/>
        </w:rPr>
      </w:pPr>
      <w:r w:rsidRPr="00FF6D55">
        <w:rPr>
          <w:rFonts w:ascii="Times New Roman" w:eastAsia="Calibri" w:hAnsi="Times New Roman" w:cs="Times New Roman"/>
          <w:sz w:val="24"/>
          <w:szCs w:val="24"/>
        </w:rPr>
        <w:t>Ulagač</w:t>
      </w:r>
      <w:r>
        <w:rPr>
          <w:rFonts w:ascii="Times New Roman" w:eastAsia="Calibri" w:hAnsi="Times New Roman" w:cs="Times New Roman"/>
          <w:sz w:val="24"/>
          <w:szCs w:val="24"/>
        </w:rPr>
        <w:t>i</w:t>
      </w:r>
      <w:r w:rsidRPr="00FF6D55">
        <w:rPr>
          <w:rFonts w:ascii="Times New Roman" w:eastAsia="Calibri" w:hAnsi="Times New Roman" w:cs="Times New Roman"/>
          <w:sz w:val="24"/>
          <w:szCs w:val="24"/>
        </w:rPr>
        <w:t xml:space="preserve"> u </w:t>
      </w:r>
      <w:r>
        <w:rPr>
          <w:rFonts w:ascii="Times New Roman" w:eastAsia="Calibri" w:hAnsi="Times New Roman" w:cs="Times New Roman"/>
          <w:sz w:val="24"/>
          <w:szCs w:val="24"/>
        </w:rPr>
        <w:t xml:space="preserve">svojem </w:t>
      </w:r>
      <w:r w:rsidRPr="00FF6D55">
        <w:rPr>
          <w:rFonts w:ascii="Times New Roman" w:eastAsia="Calibri" w:hAnsi="Times New Roman" w:cs="Times New Roman"/>
          <w:sz w:val="24"/>
          <w:szCs w:val="24"/>
        </w:rPr>
        <w:t xml:space="preserve">zahtjevu </w:t>
      </w:r>
      <w:r>
        <w:rPr>
          <w:rFonts w:ascii="Times New Roman" w:eastAsia="Calibri" w:hAnsi="Times New Roman" w:cs="Times New Roman"/>
          <w:sz w:val="24"/>
          <w:szCs w:val="24"/>
        </w:rPr>
        <w:t xml:space="preserve">ističu da je Republika Hrvatska u programu kuponske privatizacije, kako prilikom prijenosa dionica, tako i prilikom naknadnih postupaka zamjene dionica i posljedičnih sudskih i arbitražnih postupaka, prekršila odredbe </w:t>
      </w:r>
      <w:r w:rsidRPr="00FF6D55">
        <w:rPr>
          <w:rFonts w:ascii="Times New Roman" w:eastAsia="Calibri" w:hAnsi="Times New Roman" w:cs="Times New Roman"/>
          <w:sz w:val="24"/>
          <w:szCs w:val="24"/>
        </w:rPr>
        <w:t xml:space="preserve">članka 2. stavaka 1., 3., 4. i 5. </w:t>
      </w:r>
      <w:r>
        <w:rPr>
          <w:rFonts w:ascii="Times New Roman" w:eastAsia="Calibri" w:hAnsi="Times New Roman" w:cs="Times New Roman"/>
          <w:sz w:val="24"/>
          <w:szCs w:val="24"/>
        </w:rPr>
        <w:t xml:space="preserve">Ugovora </w:t>
      </w:r>
      <w:r w:rsidRPr="00FF6D55">
        <w:rPr>
          <w:rFonts w:ascii="Times New Roman" w:eastAsia="Calibri" w:hAnsi="Times New Roman" w:cs="Times New Roman"/>
          <w:sz w:val="24"/>
          <w:szCs w:val="24"/>
        </w:rPr>
        <w:t xml:space="preserve">koji se odnose na povredu nacionalnog tretmana i </w:t>
      </w:r>
      <w:r>
        <w:rPr>
          <w:rFonts w:ascii="Times New Roman" w:eastAsia="Calibri" w:hAnsi="Times New Roman" w:cs="Times New Roman"/>
          <w:sz w:val="24"/>
          <w:szCs w:val="24"/>
        </w:rPr>
        <w:t>tretmana</w:t>
      </w:r>
      <w:r w:rsidRPr="00FF6D55">
        <w:rPr>
          <w:rFonts w:ascii="Times New Roman" w:eastAsia="Calibri" w:hAnsi="Times New Roman" w:cs="Times New Roman"/>
          <w:sz w:val="24"/>
          <w:szCs w:val="24"/>
        </w:rPr>
        <w:t xml:space="preserve"> najpovlaštenije nacije, poštenog i pravičnog tretmana (legitimna očekivanja ulagača), </w:t>
      </w:r>
      <w:r w:rsidRPr="004917D8">
        <w:rPr>
          <w:rFonts w:ascii="Times New Roman" w:eastAsia="Calibri" w:hAnsi="Times New Roman" w:cs="Times New Roman"/>
          <w:sz w:val="24"/>
          <w:szCs w:val="24"/>
        </w:rPr>
        <w:t>uskraćivanje učinkovite pravne zaštite i transparentnosti</w:t>
      </w:r>
      <w:r w:rsidRPr="004B4922">
        <w:rPr>
          <w:rFonts w:ascii="Times New Roman" w:eastAsia="Calibri" w:hAnsi="Times New Roman" w:cs="Times New Roman"/>
          <w:sz w:val="24"/>
          <w:szCs w:val="24"/>
        </w:rPr>
        <w:t xml:space="preserve"> te članka 3. stavka 1. kojim je definirano izvlaštenje ulaganja</w:t>
      </w:r>
      <w:r w:rsidRPr="004B49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sljedećim postupanjem:</w:t>
      </w:r>
    </w:p>
    <w:p w14:paraId="68FE4037" w14:textId="77777777" w:rsidR="009E01EC" w:rsidRPr="004B4922" w:rsidRDefault="009E01EC" w:rsidP="009E01EC">
      <w:pPr>
        <w:pStyle w:val="ListParagraph"/>
        <w:numPr>
          <w:ilvl w:val="0"/>
          <w:numId w:val="4"/>
        </w:numPr>
        <w:spacing w:after="120"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Pr="004B4922">
        <w:rPr>
          <w:rFonts w:ascii="Times New Roman" w:eastAsia="Times New Roman" w:hAnsi="Times New Roman" w:cs="Times New Roman"/>
          <w:sz w:val="24"/>
          <w:szCs w:val="24"/>
        </w:rPr>
        <w:t xml:space="preserve"> </w:t>
      </w:r>
      <w:r>
        <w:rPr>
          <w:rFonts w:ascii="Times New Roman" w:eastAsia="Calibri" w:hAnsi="Times New Roman" w:cs="Times New Roman"/>
          <w:sz w:val="24"/>
          <w:szCs w:val="24"/>
        </w:rPr>
        <w:t xml:space="preserve">programu </w:t>
      </w:r>
      <w:r w:rsidRPr="004B4922">
        <w:rPr>
          <w:rFonts w:ascii="Times New Roman" w:eastAsia="Times New Roman" w:hAnsi="Times New Roman" w:cs="Times New Roman"/>
          <w:sz w:val="24"/>
          <w:szCs w:val="24"/>
        </w:rPr>
        <w:t>kuponske privatizacije R</w:t>
      </w:r>
      <w:r>
        <w:rPr>
          <w:rFonts w:ascii="Times New Roman" w:eastAsia="Times New Roman" w:hAnsi="Times New Roman" w:cs="Times New Roman"/>
          <w:sz w:val="24"/>
          <w:szCs w:val="24"/>
        </w:rPr>
        <w:t>epublika Hrvatska</w:t>
      </w:r>
      <w:r w:rsidRPr="004B4922">
        <w:rPr>
          <w:rFonts w:ascii="Times New Roman" w:eastAsia="Times New Roman" w:hAnsi="Times New Roman" w:cs="Times New Roman"/>
          <w:sz w:val="24"/>
          <w:szCs w:val="24"/>
        </w:rPr>
        <w:t xml:space="preserve"> nije ponudila samo dionice profitabilnih i solventnih društava, kako je jamčila </w:t>
      </w:r>
      <w:r>
        <w:rPr>
          <w:rFonts w:ascii="Times New Roman" w:eastAsia="Times New Roman" w:hAnsi="Times New Roman" w:cs="Times New Roman"/>
          <w:sz w:val="24"/>
          <w:szCs w:val="24"/>
        </w:rPr>
        <w:t>svojim zakonskim i podzakonskim propisima,</w:t>
      </w:r>
    </w:p>
    <w:p w14:paraId="7CF26959" w14:textId="77777777" w:rsidR="009E01EC" w:rsidRPr="004B4922" w:rsidRDefault="009E01EC" w:rsidP="009E01EC">
      <w:pPr>
        <w:pStyle w:val="ListParagraph"/>
        <w:numPr>
          <w:ilvl w:val="0"/>
          <w:numId w:val="4"/>
        </w:numPr>
        <w:spacing w:after="120"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Pr="004B4922">
        <w:rPr>
          <w:rFonts w:ascii="Times New Roman" w:eastAsia="Times New Roman" w:hAnsi="Times New Roman" w:cs="Times New Roman"/>
          <w:sz w:val="24"/>
          <w:szCs w:val="24"/>
        </w:rPr>
        <w:t xml:space="preserve"> naknadnim postupcima zamjene nesolventnih dionica</w:t>
      </w:r>
      <w:r w:rsidRPr="0003502F">
        <w:rPr>
          <w:rFonts w:ascii="Times New Roman" w:eastAsia="Calibri" w:hAnsi="Times New Roman" w:cs="Times New Roman"/>
          <w:sz w:val="24"/>
          <w:szCs w:val="24"/>
        </w:rPr>
        <w:t xml:space="preserve"> </w:t>
      </w:r>
      <w:r w:rsidRPr="00FF6D55">
        <w:rPr>
          <w:rFonts w:ascii="Times New Roman" w:eastAsia="Calibri" w:hAnsi="Times New Roman" w:cs="Times New Roman"/>
          <w:sz w:val="24"/>
          <w:szCs w:val="24"/>
        </w:rPr>
        <w:t>sklapanjem ugovora o nadoknadi dionica s PIF-ovima</w:t>
      </w:r>
      <w:r>
        <w:rPr>
          <w:rFonts w:ascii="Times New Roman" w:eastAsia="Times New Roman" w:hAnsi="Times New Roman" w:cs="Times New Roman"/>
          <w:sz w:val="24"/>
          <w:szCs w:val="24"/>
        </w:rPr>
        <w:t xml:space="preserve">, Republika Hrvatska </w:t>
      </w:r>
      <w:r w:rsidRPr="004B4922">
        <w:rPr>
          <w:rFonts w:ascii="Times New Roman" w:eastAsia="Times New Roman" w:hAnsi="Times New Roman" w:cs="Times New Roman"/>
          <w:sz w:val="24"/>
          <w:szCs w:val="24"/>
        </w:rPr>
        <w:t xml:space="preserve">je </w:t>
      </w:r>
      <w:r w:rsidRPr="004B4922">
        <w:rPr>
          <w:rFonts w:ascii="Times New Roman" w:eastAsia="Times New Roman" w:hAnsi="Times New Roman" w:cs="Times New Roman"/>
          <w:i/>
          <w:sz w:val="24"/>
          <w:szCs w:val="24"/>
        </w:rPr>
        <w:t xml:space="preserve">de facto </w:t>
      </w:r>
      <w:r w:rsidRPr="004B4922">
        <w:rPr>
          <w:rFonts w:ascii="Times New Roman" w:eastAsia="Times New Roman" w:hAnsi="Times New Roman" w:cs="Times New Roman"/>
          <w:sz w:val="24"/>
          <w:szCs w:val="24"/>
        </w:rPr>
        <w:t xml:space="preserve">izvlastila </w:t>
      </w:r>
      <w:r>
        <w:rPr>
          <w:rFonts w:ascii="Times New Roman" w:eastAsia="Times New Roman" w:hAnsi="Times New Roman" w:cs="Times New Roman"/>
          <w:sz w:val="24"/>
          <w:szCs w:val="24"/>
        </w:rPr>
        <w:t xml:space="preserve">Ulagače, </w:t>
      </w:r>
      <w:r w:rsidRPr="004B4922">
        <w:rPr>
          <w:rFonts w:ascii="Times New Roman" w:eastAsia="Times New Roman" w:hAnsi="Times New Roman" w:cs="Times New Roman"/>
          <w:sz w:val="24"/>
          <w:szCs w:val="24"/>
        </w:rPr>
        <w:t xml:space="preserve">uzevši nesolventne dionice, a ne prenijevši zauzvrat „dobre“ dionice, </w:t>
      </w:r>
      <w:r>
        <w:rPr>
          <w:rFonts w:ascii="Times New Roman" w:eastAsia="Times New Roman" w:hAnsi="Times New Roman" w:cs="Times New Roman"/>
          <w:sz w:val="24"/>
          <w:szCs w:val="24"/>
        </w:rPr>
        <w:t xml:space="preserve">te im tako </w:t>
      </w:r>
      <w:r w:rsidRPr="004B4922">
        <w:rPr>
          <w:rFonts w:ascii="Times New Roman" w:eastAsia="Times New Roman" w:hAnsi="Times New Roman" w:cs="Times New Roman"/>
          <w:sz w:val="24"/>
          <w:szCs w:val="24"/>
        </w:rPr>
        <w:t>nan</w:t>
      </w:r>
      <w:r>
        <w:rPr>
          <w:rFonts w:ascii="Times New Roman" w:eastAsia="Times New Roman" w:hAnsi="Times New Roman" w:cs="Times New Roman"/>
          <w:sz w:val="24"/>
          <w:szCs w:val="24"/>
        </w:rPr>
        <w:t>ijela</w:t>
      </w:r>
      <w:r w:rsidRPr="004B49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 </w:t>
      </w:r>
      <w:r w:rsidRPr="004B4922">
        <w:rPr>
          <w:rFonts w:ascii="Times New Roman" w:eastAsia="Times New Roman" w:hAnsi="Times New Roman" w:cs="Times New Roman"/>
          <w:sz w:val="24"/>
          <w:szCs w:val="24"/>
        </w:rPr>
        <w:t>dodatnu štetu</w:t>
      </w:r>
      <w:r>
        <w:rPr>
          <w:rFonts w:ascii="Times New Roman" w:eastAsia="Times New Roman" w:hAnsi="Times New Roman" w:cs="Times New Roman"/>
          <w:sz w:val="24"/>
          <w:szCs w:val="24"/>
        </w:rPr>
        <w:t>, pri čemu Ulagači tvrde da je upravo takvim postupanjem u vidu sklapanja ugovora o nadoknadi dionica Republika Hrvatska priznala da je program kuponske privatizacije inicijalno proveden nepropisno,</w:t>
      </w:r>
    </w:p>
    <w:p w14:paraId="7AC086B2" w14:textId="77777777" w:rsidR="009E01EC" w:rsidRPr="004B4922" w:rsidRDefault="009E01EC" w:rsidP="009E01EC">
      <w:pPr>
        <w:pStyle w:val="ListParagraph"/>
        <w:numPr>
          <w:ilvl w:val="0"/>
          <w:numId w:val="4"/>
        </w:numPr>
        <w:spacing w:after="120" w:line="240" w:lineRule="auto"/>
        <w:contextualSpacing w:val="0"/>
        <w:jc w:val="both"/>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pravomoćnom presudom Županijskog suda u Zagrebu </w:t>
      </w:r>
      <w:r w:rsidRPr="004B4922">
        <w:rPr>
          <w:rFonts w:ascii="Times New Roman" w:eastAsia="Times New Roman" w:hAnsi="Times New Roman" w:cs="Times New Roman"/>
          <w:sz w:val="24"/>
          <w:szCs w:val="24"/>
        </w:rPr>
        <w:t>Profici</w:t>
      </w:r>
      <w:r>
        <w:rPr>
          <w:rFonts w:ascii="Times New Roman" w:eastAsia="Times New Roman" w:hAnsi="Times New Roman" w:cs="Times New Roman"/>
          <w:sz w:val="24"/>
          <w:szCs w:val="24"/>
        </w:rPr>
        <w:t>o d.d.</w:t>
      </w:r>
      <w:r w:rsidRPr="004B4922">
        <w:rPr>
          <w:rFonts w:ascii="Times New Roman" w:eastAsia="Times New Roman" w:hAnsi="Times New Roman" w:cs="Times New Roman"/>
          <w:sz w:val="24"/>
          <w:szCs w:val="24"/>
        </w:rPr>
        <w:t xml:space="preserve"> je krajem 2015. </w:t>
      </w:r>
      <w:r>
        <w:rPr>
          <w:rFonts w:ascii="Times New Roman" w:eastAsia="Times New Roman" w:hAnsi="Times New Roman" w:cs="Times New Roman"/>
          <w:sz w:val="24"/>
          <w:szCs w:val="24"/>
        </w:rPr>
        <w:t xml:space="preserve">stekao pravo na naknadu štete od Republike Hrvatske, slijedom čega je s Republikom Hrvatskom sklopljen </w:t>
      </w:r>
      <w:r w:rsidRPr="0003502F">
        <w:rPr>
          <w:rFonts w:ascii="Times New Roman" w:eastAsia="Times New Roman" w:hAnsi="Times New Roman" w:cs="Times New Roman"/>
          <w:sz w:val="24"/>
          <w:szCs w:val="24"/>
        </w:rPr>
        <w:t>sporazum o izvršenju</w:t>
      </w:r>
      <w:r w:rsidRPr="004B4922">
        <w:rPr>
          <w:rFonts w:ascii="Times New Roman" w:eastAsia="Times New Roman" w:hAnsi="Times New Roman" w:cs="Times New Roman"/>
          <w:sz w:val="24"/>
          <w:szCs w:val="24"/>
        </w:rPr>
        <w:t xml:space="preserve"> sudske presude</w:t>
      </w:r>
      <w:r>
        <w:rPr>
          <w:rFonts w:ascii="Times New Roman" w:eastAsia="Times New Roman" w:hAnsi="Times New Roman" w:cs="Times New Roman"/>
          <w:sz w:val="24"/>
          <w:szCs w:val="24"/>
        </w:rPr>
        <w:t xml:space="preserve">, nakon kojega je </w:t>
      </w:r>
      <w:r w:rsidRPr="004B4922">
        <w:rPr>
          <w:rFonts w:ascii="Times New Roman" w:eastAsia="Times New Roman" w:hAnsi="Times New Roman" w:cs="Times New Roman"/>
          <w:sz w:val="24"/>
          <w:szCs w:val="24"/>
        </w:rPr>
        <w:t xml:space="preserve">Vrhovni sud </w:t>
      </w:r>
      <w:r>
        <w:rPr>
          <w:rFonts w:ascii="Times New Roman" w:eastAsia="Times New Roman" w:hAnsi="Times New Roman" w:cs="Times New Roman"/>
          <w:sz w:val="24"/>
          <w:szCs w:val="24"/>
        </w:rPr>
        <w:t xml:space="preserve">Republike Hrvatske </w:t>
      </w:r>
      <w:r w:rsidRPr="004B4922">
        <w:rPr>
          <w:rFonts w:ascii="Times New Roman" w:eastAsia="Times New Roman" w:hAnsi="Times New Roman" w:cs="Times New Roman"/>
          <w:sz w:val="24"/>
          <w:szCs w:val="24"/>
        </w:rPr>
        <w:t xml:space="preserve">povodom revizije </w:t>
      </w:r>
      <w:r>
        <w:rPr>
          <w:rFonts w:ascii="Times New Roman" w:eastAsia="Times New Roman" w:hAnsi="Times New Roman" w:cs="Times New Roman"/>
          <w:sz w:val="24"/>
          <w:szCs w:val="24"/>
        </w:rPr>
        <w:t xml:space="preserve">spomenutu </w:t>
      </w:r>
      <w:r w:rsidRPr="004B4922">
        <w:rPr>
          <w:rFonts w:ascii="Times New Roman" w:eastAsia="Times New Roman" w:hAnsi="Times New Roman" w:cs="Times New Roman"/>
          <w:sz w:val="24"/>
          <w:szCs w:val="24"/>
        </w:rPr>
        <w:t>presudu</w:t>
      </w:r>
      <w:r>
        <w:rPr>
          <w:rFonts w:ascii="Times New Roman" w:eastAsia="Times New Roman" w:hAnsi="Times New Roman" w:cs="Times New Roman"/>
          <w:sz w:val="24"/>
          <w:szCs w:val="24"/>
        </w:rPr>
        <w:t xml:space="preserve"> ukinuo, i to u, kako tvrde Ulagači, neobično kratkom roku u odnosu na prosječno trajanje te vrste postupaka te uz bitne nedostatke u samom postupku podnošenja revizije i odlučivanja o istoj,</w:t>
      </w:r>
    </w:p>
    <w:p w14:paraId="46FC552C" w14:textId="77777777" w:rsidR="009E01EC" w:rsidRDefault="009E01EC" w:rsidP="009E01EC">
      <w:pPr>
        <w:pStyle w:val="ListParagraph"/>
        <w:numPr>
          <w:ilvl w:val="0"/>
          <w:numId w:val="4"/>
        </w:numPr>
        <w:spacing w:after="120"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Republika </w:t>
      </w:r>
      <w:r w:rsidRPr="004B4922">
        <w:rPr>
          <w:rFonts w:ascii="Times New Roman" w:eastAsia="Times New Roman" w:hAnsi="Times New Roman" w:cs="Times New Roman"/>
          <w:sz w:val="24"/>
          <w:szCs w:val="24"/>
        </w:rPr>
        <w:t xml:space="preserve">Hrvatska je tijekom godina obeštetila </w:t>
      </w:r>
      <w:r>
        <w:rPr>
          <w:rFonts w:ascii="Times New Roman" w:eastAsia="Times New Roman" w:hAnsi="Times New Roman" w:cs="Times New Roman"/>
          <w:sz w:val="24"/>
          <w:szCs w:val="24"/>
        </w:rPr>
        <w:t xml:space="preserve">samo one </w:t>
      </w:r>
      <w:r w:rsidRPr="004B4922">
        <w:rPr>
          <w:rFonts w:ascii="Times New Roman" w:eastAsia="Times New Roman" w:hAnsi="Times New Roman" w:cs="Times New Roman"/>
          <w:sz w:val="24"/>
          <w:szCs w:val="24"/>
        </w:rPr>
        <w:t xml:space="preserve">PIF-ove </w:t>
      </w:r>
      <w:r>
        <w:rPr>
          <w:rFonts w:ascii="Times New Roman" w:eastAsia="Times New Roman" w:hAnsi="Times New Roman" w:cs="Times New Roman"/>
          <w:sz w:val="24"/>
          <w:szCs w:val="24"/>
        </w:rPr>
        <w:t>koji su bili, kako navode Ulagači, u</w:t>
      </w:r>
      <w:r w:rsidRPr="004B4922">
        <w:rPr>
          <w:rFonts w:ascii="Times New Roman" w:eastAsia="Times New Roman" w:hAnsi="Times New Roman" w:cs="Times New Roman"/>
          <w:sz w:val="24"/>
          <w:szCs w:val="24"/>
        </w:rPr>
        <w:t xml:space="preserve"> vlasništvu </w:t>
      </w:r>
      <w:r w:rsidRPr="007E07E7">
        <w:rPr>
          <w:rFonts w:ascii="Times New Roman" w:eastAsia="Times New Roman" w:hAnsi="Times New Roman" w:cs="Times New Roman"/>
          <w:sz w:val="24"/>
          <w:szCs w:val="24"/>
        </w:rPr>
        <w:t xml:space="preserve">utjecajnih hrvatskih </w:t>
      </w:r>
      <w:r>
        <w:rPr>
          <w:rFonts w:ascii="Times New Roman" w:eastAsia="Times New Roman" w:hAnsi="Times New Roman" w:cs="Times New Roman"/>
          <w:sz w:val="24"/>
          <w:szCs w:val="24"/>
        </w:rPr>
        <w:t xml:space="preserve">državljana, sklapajući tako nagodbe s PIF-ovima </w:t>
      </w:r>
      <w:r w:rsidRPr="004C7284">
        <w:rPr>
          <w:rFonts w:ascii="Times New Roman" w:eastAsia="Times New Roman" w:hAnsi="Times New Roman" w:cs="Times New Roman"/>
          <w:sz w:val="24"/>
          <w:szCs w:val="24"/>
        </w:rPr>
        <w:t>DOM HOLDING d.d. Zagreb</w:t>
      </w:r>
      <w:r>
        <w:rPr>
          <w:rFonts w:ascii="Times New Roman" w:eastAsia="Times New Roman" w:hAnsi="Times New Roman" w:cs="Times New Roman"/>
          <w:sz w:val="24"/>
          <w:szCs w:val="24"/>
        </w:rPr>
        <w:t xml:space="preserve">, </w:t>
      </w:r>
      <w:r w:rsidRPr="004C7284">
        <w:rPr>
          <w:rFonts w:ascii="Times New Roman" w:eastAsia="Times New Roman" w:hAnsi="Times New Roman" w:cs="Times New Roman"/>
          <w:sz w:val="24"/>
          <w:szCs w:val="24"/>
        </w:rPr>
        <w:t>SN HOLDING d.d. Zagreb</w:t>
      </w:r>
      <w:r>
        <w:rPr>
          <w:rFonts w:ascii="Times New Roman" w:eastAsia="Times New Roman" w:hAnsi="Times New Roman" w:cs="Times New Roman"/>
          <w:sz w:val="24"/>
          <w:szCs w:val="24"/>
        </w:rPr>
        <w:t xml:space="preserve"> i VALIDUS d.d., kao sljednikom FIMA-INVEST d.d. i Pleter d.d., </w:t>
      </w:r>
      <w:r w:rsidRPr="004B4922">
        <w:rPr>
          <w:rFonts w:ascii="Times New Roman" w:eastAsia="Times New Roman" w:hAnsi="Times New Roman" w:cs="Times New Roman"/>
          <w:sz w:val="24"/>
          <w:szCs w:val="24"/>
        </w:rPr>
        <w:t xml:space="preserve">ali ne i </w:t>
      </w:r>
      <w:r>
        <w:rPr>
          <w:rFonts w:ascii="Times New Roman" w:eastAsia="Times New Roman" w:hAnsi="Times New Roman" w:cs="Times New Roman"/>
          <w:sz w:val="24"/>
          <w:szCs w:val="24"/>
        </w:rPr>
        <w:t xml:space="preserve">s </w:t>
      </w:r>
      <w:r w:rsidRPr="004B4922">
        <w:rPr>
          <w:rFonts w:ascii="Times New Roman" w:eastAsia="Times New Roman" w:hAnsi="Times New Roman" w:cs="Times New Roman"/>
          <w:sz w:val="24"/>
          <w:szCs w:val="24"/>
        </w:rPr>
        <w:t>Proficio</w:t>
      </w:r>
      <w:r>
        <w:rPr>
          <w:rFonts w:ascii="Times New Roman" w:eastAsia="Times New Roman" w:hAnsi="Times New Roman" w:cs="Times New Roman"/>
          <w:sz w:val="24"/>
          <w:szCs w:val="24"/>
        </w:rPr>
        <w:t xml:space="preserve"> d.d., priznajući još jednom na taj način </w:t>
      </w:r>
      <w:r w:rsidRPr="004C7284">
        <w:rPr>
          <w:rFonts w:ascii="Times New Roman" w:eastAsia="Times New Roman" w:hAnsi="Times New Roman" w:cs="Times New Roman"/>
          <w:sz w:val="24"/>
          <w:szCs w:val="24"/>
        </w:rPr>
        <w:t>da je program kuponske privatizacije inicijalno proveden nepropisno</w:t>
      </w:r>
      <w:r>
        <w:rPr>
          <w:rFonts w:ascii="Times New Roman" w:eastAsia="Times New Roman" w:hAnsi="Times New Roman" w:cs="Times New Roman"/>
          <w:sz w:val="24"/>
          <w:szCs w:val="24"/>
        </w:rPr>
        <w:t>.</w:t>
      </w:r>
    </w:p>
    <w:p w14:paraId="595C5239" w14:textId="77777777" w:rsidR="009E01EC" w:rsidRDefault="009E01EC" w:rsidP="009E01EC">
      <w:pPr>
        <w:tabs>
          <w:tab w:val="left" w:pos="426"/>
        </w:tabs>
        <w:jc w:val="both"/>
        <w:rPr>
          <w:rFonts w:ascii="Times New Roman" w:eastAsia="Calibri" w:hAnsi="Times New Roman" w:cs="Times New Roman"/>
          <w:sz w:val="24"/>
          <w:szCs w:val="24"/>
        </w:rPr>
      </w:pPr>
      <w:r>
        <w:rPr>
          <w:rFonts w:ascii="Times New Roman" w:eastAsia="Calibri" w:hAnsi="Times New Roman" w:cs="Times New Roman"/>
          <w:sz w:val="24"/>
          <w:szCs w:val="24"/>
        </w:rPr>
        <w:t>U svojem zahtjevu Ulagači se osobito pozivaju i na „</w:t>
      </w:r>
      <w:r w:rsidRPr="004C7284">
        <w:rPr>
          <w:rFonts w:ascii="Times New Roman" w:eastAsia="Calibri" w:hAnsi="Times New Roman" w:cs="Times New Roman"/>
          <w:sz w:val="24"/>
          <w:szCs w:val="24"/>
        </w:rPr>
        <w:t>Izvješće o obavljenoj reviziji: Proces kuponske privatizacije</w:t>
      </w:r>
      <w:r>
        <w:rPr>
          <w:rFonts w:ascii="Times New Roman" w:eastAsia="Calibri" w:hAnsi="Times New Roman" w:cs="Times New Roman"/>
          <w:sz w:val="24"/>
          <w:szCs w:val="24"/>
        </w:rPr>
        <w:t xml:space="preserve">“ Državnog </w:t>
      </w:r>
      <w:r w:rsidRPr="004C7284">
        <w:rPr>
          <w:rFonts w:ascii="Times New Roman" w:eastAsia="Calibri" w:hAnsi="Times New Roman" w:cs="Times New Roman"/>
          <w:sz w:val="24"/>
          <w:szCs w:val="24"/>
        </w:rPr>
        <w:t>ured</w:t>
      </w:r>
      <w:r>
        <w:rPr>
          <w:rFonts w:ascii="Times New Roman" w:eastAsia="Calibri" w:hAnsi="Times New Roman" w:cs="Times New Roman"/>
          <w:sz w:val="24"/>
          <w:szCs w:val="24"/>
        </w:rPr>
        <w:t>a</w:t>
      </w:r>
      <w:r w:rsidRPr="004C7284">
        <w:rPr>
          <w:rFonts w:ascii="Times New Roman" w:eastAsia="Calibri" w:hAnsi="Times New Roman" w:cs="Times New Roman"/>
          <w:sz w:val="24"/>
          <w:szCs w:val="24"/>
        </w:rPr>
        <w:t xml:space="preserve"> za reviziju</w:t>
      </w:r>
      <w:r>
        <w:rPr>
          <w:rFonts w:ascii="Times New Roman" w:eastAsia="Calibri" w:hAnsi="Times New Roman" w:cs="Times New Roman"/>
          <w:sz w:val="24"/>
          <w:szCs w:val="24"/>
        </w:rPr>
        <w:t xml:space="preserve"> iz 2002., u kojem su, prema njihovim navodima, utvrđene nepravilnosti i koji treba poslužiti kao priznanje Republike Hrvatske da je </w:t>
      </w:r>
      <w:r w:rsidRPr="004C7284">
        <w:rPr>
          <w:rFonts w:ascii="Times New Roman" w:eastAsia="Times New Roman" w:hAnsi="Times New Roman" w:cs="Times New Roman"/>
          <w:sz w:val="24"/>
          <w:szCs w:val="24"/>
        </w:rPr>
        <w:t>program kuponske privatizacije proveden nepropisno</w:t>
      </w:r>
      <w:r>
        <w:rPr>
          <w:rFonts w:ascii="Times New Roman" w:eastAsia="Calibri" w:hAnsi="Times New Roman" w:cs="Times New Roman"/>
          <w:sz w:val="24"/>
          <w:szCs w:val="24"/>
        </w:rPr>
        <w:t>.</w:t>
      </w:r>
    </w:p>
    <w:p w14:paraId="45CB3B5C" w14:textId="77777777" w:rsidR="009E01EC" w:rsidRPr="00FF6D55" w:rsidRDefault="009E01EC" w:rsidP="009E01EC">
      <w:pPr>
        <w:tabs>
          <w:tab w:val="left" w:pos="426"/>
        </w:tabs>
        <w:jc w:val="both"/>
        <w:rPr>
          <w:rFonts w:ascii="Times New Roman" w:eastAsia="Calibri" w:hAnsi="Times New Roman" w:cs="Times New Roman"/>
          <w:sz w:val="24"/>
          <w:szCs w:val="24"/>
        </w:rPr>
      </w:pPr>
      <w:r>
        <w:rPr>
          <w:rFonts w:ascii="Times New Roman" w:eastAsia="Calibri" w:hAnsi="Times New Roman" w:cs="Times New Roman"/>
          <w:sz w:val="24"/>
          <w:szCs w:val="24"/>
        </w:rPr>
        <w:t>Za razmatranje zahtjeva za mirnim rješenjem sporova</w:t>
      </w:r>
      <w:r w:rsidRPr="00FF6D55">
        <w:rPr>
          <w:rFonts w:ascii="Times New Roman" w:eastAsia="Calibri" w:hAnsi="Times New Roman" w:cs="Times New Roman"/>
          <w:sz w:val="24"/>
          <w:szCs w:val="24"/>
        </w:rPr>
        <w:t xml:space="preserve"> temeljem ugovor</w:t>
      </w:r>
      <w:r>
        <w:rPr>
          <w:rFonts w:ascii="Times New Roman" w:eastAsia="Calibri" w:hAnsi="Times New Roman" w:cs="Times New Roman"/>
          <w:sz w:val="24"/>
          <w:szCs w:val="24"/>
        </w:rPr>
        <w:t>â</w:t>
      </w:r>
      <w:r w:rsidRPr="00FF6D55">
        <w:rPr>
          <w:rFonts w:ascii="Times New Roman" w:eastAsia="Calibri" w:hAnsi="Times New Roman" w:cs="Times New Roman"/>
          <w:sz w:val="24"/>
          <w:szCs w:val="24"/>
        </w:rPr>
        <w:t xml:space="preserve"> o zaštiti ulaganja</w:t>
      </w:r>
      <w:r>
        <w:rPr>
          <w:rFonts w:ascii="Times New Roman" w:eastAsia="Calibri" w:hAnsi="Times New Roman" w:cs="Times New Roman"/>
          <w:sz w:val="24"/>
          <w:szCs w:val="24"/>
        </w:rPr>
        <w:t xml:space="preserve">, Vlada Republike Hrvatske (u daljnjem tekstu: Vlada) osnovala je </w:t>
      </w:r>
      <w:r w:rsidRPr="006B520D">
        <w:rPr>
          <w:rFonts w:ascii="Times New Roman" w:eastAsia="Calibri" w:hAnsi="Times New Roman" w:cs="Times New Roman"/>
          <w:sz w:val="24"/>
          <w:szCs w:val="24"/>
        </w:rPr>
        <w:t xml:space="preserve">Međuresorno povjerenstvo za postupanje po zahtjevima stranih ulagača vezanim uz sporove koji proizlaze iz međunarodnih ugovora Republike Hrvatske iz područja poticanja i </w:t>
      </w:r>
      <w:r w:rsidRPr="006B520D">
        <w:rPr>
          <w:rFonts w:ascii="Times New Roman" w:eastAsia="Calibri" w:hAnsi="Times New Roman" w:cs="Times New Roman"/>
          <w:sz w:val="24"/>
          <w:szCs w:val="24"/>
        </w:rPr>
        <w:lastRenderedPageBreak/>
        <w:t>zaštite ulaganja</w:t>
      </w:r>
      <w:r w:rsidRPr="00FF6D55">
        <w:rPr>
          <w:rFonts w:ascii="Times New Roman" w:eastAsia="Calibri" w:hAnsi="Times New Roman" w:cs="Times New Roman"/>
          <w:sz w:val="24"/>
          <w:szCs w:val="24"/>
        </w:rPr>
        <w:t xml:space="preserve"> (u daljnjem tekstu: Povjerenstvo)</w:t>
      </w:r>
      <w:r>
        <w:rPr>
          <w:rFonts w:ascii="Times New Roman" w:eastAsia="Calibri" w:hAnsi="Times New Roman" w:cs="Times New Roman"/>
          <w:sz w:val="24"/>
          <w:szCs w:val="24"/>
        </w:rPr>
        <w:t>, koje u kontinuitetu djeluje od 2012. Sukladno Odluci Vlade Republike Hrvatske od 26. studenog 2020.</w:t>
      </w:r>
      <w:r w:rsidRPr="0050294E">
        <w:t xml:space="preserve"> </w:t>
      </w:r>
      <w:r>
        <w:t xml:space="preserve"> (</w:t>
      </w:r>
      <w:r w:rsidRPr="0050294E">
        <w:rPr>
          <w:rFonts w:ascii="Times New Roman" w:eastAsia="Calibri" w:hAnsi="Times New Roman" w:cs="Times New Roman"/>
          <w:sz w:val="24"/>
          <w:szCs w:val="24"/>
        </w:rPr>
        <w:t xml:space="preserve">KLASA: </w:t>
      </w:r>
      <w:r>
        <w:rPr>
          <w:rFonts w:ascii="Times New Roman" w:eastAsia="Calibri" w:hAnsi="Times New Roman" w:cs="Times New Roman"/>
          <w:sz w:val="24"/>
          <w:szCs w:val="24"/>
        </w:rPr>
        <w:t xml:space="preserve">022-03/20-04/425, URBROJ: </w:t>
      </w:r>
      <w:r w:rsidRPr="0050294E">
        <w:rPr>
          <w:rFonts w:ascii="Times New Roman" w:eastAsia="Calibri" w:hAnsi="Times New Roman" w:cs="Times New Roman"/>
          <w:sz w:val="24"/>
          <w:szCs w:val="24"/>
        </w:rPr>
        <w:t>50301-21/21-20-2</w:t>
      </w:r>
      <w:r>
        <w:rPr>
          <w:rFonts w:ascii="Times New Roman" w:eastAsia="Calibri" w:hAnsi="Times New Roman" w:cs="Times New Roman"/>
          <w:sz w:val="24"/>
          <w:szCs w:val="24"/>
        </w:rPr>
        <w:t>), n</w:t>
      </w:r>
      <w:r w:rsidRPr="00FF6D55">
        <w:rPr>
          <w:rFonts w:ascii="Times New Roman" w:eastAsia="Calibri" w:hAnsi="Times New Roman" w:cs="Times New Roman"/>
          <w:sz w:val="24"/>
          <w:szCs w:val="24"/>
        </w:rPr>
        <w:t>ositelj rada Povjerenstva je Ministarstvo vanjskih i europskih poslova, a u radu Povjerenstva sudjeluju državni tajnik u Ministarstvu vanjskih i europskih poslova kao predsjednik Povjerenstva</w:t>
      </w:r>
      <w:r>
        <w:rPr>
          <w:rFonts w:ascii="Times New Roman" w:eastAsia="Calibri" w:hAnsi="Times New Roman" w:cs="Times New Roman"/>
          <w:sz w:val="24"/>
          <w:szCs w:val="24"/>
        </w:rPr>
        <w:t xml:space="preserve"> te kao članovi </w:t>
      </w:r>
      <w:r w:rsidRPr="00FF6D55">
        <w:rPr>
          <w:rFonts w:ascii="Times New Roman" w:eastAsia="Calibri" w:hAnsi="Times New Roman" w:cs="Times New Roman"/>
          <w:sz w:val="24"/>
          <w:szCs w:val="24"/>
        </w:rPr>
        <w:t xml:space="preserve">državni tajnik u Ministarstvu financija, državni tajnik u Ministarstvu gospodarstva i održivog razvoja, državni tajnik u Ministarstvu pravosuđa i uprave, zamjenik Glavnog državnog odvjetnika i predstavnik Ureda predsjednika Vlade Republike Hrvatske. </w:t>
      </w:r>
    </w:p>
    <w:p w14:paraId="20B10C6B" w14:textId="77777777" w:rsidR="009E01EC" w:rsidRDefault="009E01EC" w:rsidP="009E01EC">
      <w:pPr>
        <w:spacing w:after="2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Sjednice Povjerenstva na kojima je raspravljan ovaj zahtjev održane su </w:t>
      </w:r>
      <w:r w:rsidRPr="0050294E">
        <w:rPr>
          <w:rFonts w:ascii="Times New Roman" w:eastAsia="Calibri" w:hAnsi="Times New Roman" w:cs="Times New Roman"/>
          <w:sz w:val="24"/>
          <w:szCs w:val="24"/>
        </w:rPr>
        <w:t>7. prosinca 2020., 15. prosinca 2020., 15. siječnja 2021., 19. travnja 2021., 30. travnja 2021., 14. rujna 2021. i 25. listopada 2021</w:t>
      </w:r>
      <w:r>
        <w:rPr>
          <w:rFonts w:ascii="Times New Roman" w:eastAsia="Calibri" w:hAnsi="Times New Roman" w:cs="Times New Roman"/>
          <w:sz w:val="24"/>
          <w:szCs w:val="24"/>
        </w:rPr>
        <w:t>. te je u odnosu na iznesene</w:t>
      </w:r>
      <w:r w:rsidRPr="00FF6D55">
        <w:rPr>
          <w:rFonts w:ascii="Times New Roman" w:eastAsia="Calibri" w:hAnsi="Times New Roman" w:cs="Times New Roman"/>
          <w:sz w:val="24"/>
          <w:szCs w:val="24"/>
        </w:rPr>
        <w:t xml:space="preserve"> povrede Ugovora na koje se </w:t>
      </w:r>
      <w:r>
        <w:rPr>
          <w:rFonts w:ascii="Times New Roman" w:eastAsia="Calibri" w:hAnsi="Times New Roman" w:cs="Times New Roman"/>
          <w:sz w:val="24"/>
          <w:szCs w:val="24"/>
        </w:rPr>
        <w:t>U</w:t>
      </w:r>
      <w:r w:rsidRPr="00FF6D55">
        <w:rPr>
          <w:rFonts w:ascii="Times New Roman" w:eastAsia="Calibri" w:hAnsi="Times New Roman" w:cs="Times New Roman"/>
          <w:sz w:val="24"/>
          <w:szCs w:val="24"/>
        </w:rPr>
        <w:t>lagač</w:t>
      </w:r>
      <w:r>
        <w:rPr>
          <w:rFonts w:ascii="Times New Roman" w:eastAsia="Calibri" w:hAnsi="Times New Roman" w:cs="Times New Roman"/>
          <w:sz w:val="24"/>
          <w:szCs w:val="24"/>
        </w:rPr>
        <w:t>i</w:t>
      </w:r>
      <w:r w:rsidRPr="00FF6D55">
        <w:rPr>
          <w:rFonts w:ascii="Times New Roman" w:eastAsia="Calibri" w:hAnsi="Times New Roman" w:cs="Times New Roman"/>
          <w:sz w:val="24"/>
          <w:szCs w:val="24"/>
        </w:rPr>
        <w:t xml:space="preserve"> u svo</w:t>
      </w:r>
      <w:r>
        <w:rPr>
          <w:rFonts w:ascii="Times New Roman" w:eastAsia="Calibri" w:hAnsi="Times New Roman" w:cs="Times New Roman"/>
          <w:sz w:val="24"/>
          <w:szCs w:val="24"/>
        </w:rPr>
        <w:t>je</w:t>
      </w:r>
      <w:r w:rsidRPr="00FF6D55">
        <w:rPr>
          <w:rFonts w:ascii="Times New Roman" w:eastAsia="Calibri" w:hAnsi="Times New Roman" w:cs="Times New Roman"/>
          <w:sz w:val="24"/>
          <w:szCs w:val="24"/>
        </w:rPr>
        <w:t>m zahtjevu poziva</w:t>
      </w:r>
      <w:r>
        <w:rPr>
          <w:rFonts w:ascii="Times New Roman" w:eastAsia="Calibri" w:hAnsi="Times New Roman" w:cs="Times New Roman"/>
          <w:sz w:val="24"/>
          <w:szCs w:val="24"/>
        </w:rPr>
        <w:t>ju utvrđeno sljedeće:</w:t>
      </w:r>
    </w:p>
    <w:p w14:paraId="43363019" w14:textId="77777777" w:rsidR="009E01EC" w:rsidRDefault="009E01EC" w:rsidP="009E01EC">
      <w:pPr>
        <w:pStyle w:val="ListParagraph"/>
        <w:numPr>
          <w:ilvl w:val="0"/>
          <w:numId w:val="7"/>
        </w:numPr>
        <w:tabs>
          <w:tab w:val="left" w:pos="426"/>
        </w:tabs>
        <w:jc w:val="both"/>
        <w:rPr>
          <w:rFonts w:ascii="Times New Roman" w:eastAsia="Calibri" w:hAnsi="Times New Roman" w:cs="Times New Roman"/>
          <w:sz w:val="24"/>
          <w:szCs w:val="24"/>
        </w:rPr>
      </w:pPr>
      <w:r w:rsidRPr="006B520D">
        <w:rPr>
          <w:rFonts w:ascii="Times New Roman" w:eastAsia="Calibri" w:hAnsi="Times New Roman" w:cs="Times New Roman"/>
          <w:iCs/>
          <w:sz w:val="24"/>
          <w:szCs w:val="24"/>
        </w:rPr>
        <w:t>U odnosu na</w:t>
      </w:r>
      <w:r w:rsidRPr="006B520D">
        <w:rPr>
          <w:rFonts w:ascii="Times New Roman" w:eastAsia="Calibri" w:hAnsi="Times New Roman" w:cs="Times New Roman"/>
          <w:i/>
          <w:sz w:val="24"/>
          <w:szCs w:val="24"/>
        </w:rPr>
        <w:t xml:space="preserve"> povredu nacionalnog tretmana</w:t>
      </w:r>
      <w:r w:rsidRPr="006B520D">
        <w:rPr>
          <w:rFonts w:ascii="Times New Roman" w:eastAsia="Calibri" w:hAnsi="Times New Roman" w:cs="Times New Roman"/>
          <w:sz w:val="24"/>
          <w:szCs w:val="24"/>
        </w:rPr>
        <w:t>, odredba članka 2. stavka 1. Ugovora propisuje da je ulagačima za pokrivena ulaganja zajamčeno pružanje uvjeta koji nisu manje povoljni od onih koje pruža, u istim situacijama, ulaganjima vlastitih državljana ili društava neke treće države. Povjerenstvo je utvrdilo da bi ulagač s velikom vjerojatnošću u arbitražnom postupku mogao dokazati da je stavljen u nepovoljniji položaj u odnosu na ulagače iz Republike Hrvatske što je razvidno iz nejednakog tretmana u samom procesu sklapanja ugovora o nadoknadi dionica s različitim PIF-ovima, potom u različitim ishodima arbitražnih i sudskih postupaka</w:t>
      </w:r>
      <w:r>
        <w:rPr>
          <w:rFonts w:ascii="Times New Roman" w:eastAsia="Calibri" w:hAnsi="Times New Roman" w:cs="Times New Roman"/>
          <w:sz w:val="24"/>
          <w:szCs w:val="24"/>
        </w:rPr>
        <w:t xml:space="preserve"> u istim ili sličnim predmetima</w:t>
      </w:r>
      <w:r w:rsidRPr="006B520D">
        <w:rPr>
          <w:rFonts w:ascii="Times New Roman" w:eastAsia="Calibri" w:hAnsi="Times New Roman" w:cs="Times New Roman"/>
          <w:sz w:val="24"/>
          <w:szCs w:val="24"/>
        </w:rPr>
        <w:t xml:space="preserve"> te zaključno i u činjenici da su nagodbe sklopljene s drugim PIF-ovima, ali ne i s ulagačem. </w:t>
      </w:r>
    </w:p>
    <w:p w14:paraId="10E01703" w14:textId="77777777" w:rsidR="009E01EC" w:rsidRPr="006B520D" w:rsidRDefault="009E01EC" w:rsidP="009E01EC">
      <w:pPr>
        <w:pStyle w:val="ListParagraph"/>
        <w:tabs>
          <w:tab w:val="left" w:pos="426"/>
        </w:tabs>
        <w:ind w:left="360"/>
        <w:jc w:val="both"/>
        <w:rPr>
          <w:rFonts w:ascii="Times New Roman" w:eastAsia="Calibri" w:hAnsi="Times New Roman" w:cs="Times New Roman"/>
          <w:sz w:val="24"/>
          <w:szCs w:val="24"/>
        </w:rPr>
      </w:pPr>
    </w:p>
    <w:p w14:paraId="7FDF7F17" w14:textId="77777777" w:rsidR="009E01EC" w:rsidRDefault="009E01EC" w:rsidP="009E01EC">
      <w:pPr>
        <w:pStyle w:val="ListParagraph"/>
        <w:numPr>
          <w:ilvl w:val="0"/>
          <w:numId w:val="7"/>
        </w:numPr>
        <w:tabs>
          <w:tab w:val="left" w:pos="426"/>
        </w:tabs>
        <w:jc w:val="both"/>
        <w:rPr>
          <w:rFonts w:ascii="Times New Roman" w:eastAsia="Calibri" w:hAnsi="Times New Roman" w:cs="Times New Roman"/>
          <w:sz w:val="24"/>
          <w:szCs w:val="24"/>
        </w:rPr>
      </w:pPr>
      <w:r w:rsidRPr="006B520D">
        <w:rPr>
          <w:rFonts w:ascii="Times New Roman" w:eastAsia="Calibri" w:hAnsi="Times New Roman" w:cs="Times New Roman"/>
          <w:iCs/>
          <w:sz w:val="24"/>
          <w:szCs w:val="24"/>
        </w:rPr>
        <w:t>U odnosu na</w:t>
      </w:r>
      <w:r w:rsidRPr="006B520D">
        <w:rPr>
          <w:rFonts w:ascii="Times New Roman" w:eastAsia="Calibri" w:hAnsi="Times New Roman" w:cs="Times New Roman"/>
          <w:i/>
          <w:sz w:val="24"/>
          <w:szCs w:val="24"/>
        </w:rPr>
        <w:t xml:space="preserve"> povredu poštenog i pravičnog tretmana</w:t>
      </w:r>
      <w:r w:rsidRPr="006B520D">
        <w:rPr>
          <w:rFonts w:ascii="Times New Roman" w:eastAsia="Calibri" w:hAnsi="Times New Roman" w:cs="Times New Roman"/>
          <w:sz w:val="24"/>
          <w:szCs w:val="24"/>
        </w:rPr>
        <w:t>, odnosno zaštit</w:t>
      </w:r>
      <w:r>
        <w:rPr>
          <w:rFonts w:ascii="Times New Roman" w:eastAsia="Calibri" w:hAnsi="Times New Roman" w:cs="Times New Roman"/>
          <w:sz w:val="24"/>
          <w:szCs w:val="24"/>
        </w:rPr>
        <w:t>u</w:t>
      </w:r>
      <w:r w:rsidRPr="006B520D">
        <w:rPr>
          <w:rFonts w:ascii="Times New Roman" w:eastAsia="Calibri" w:hAnsi="Times New Roman" w:cs="Times New Roman"/>
          <w:sz w:val="24"/>
          <w:szCs w:val="24"/>
        </w:rPr>
        <w:t xml:space="preserve"> legitimnih očekivanja ulagača, članak 2. stavak 3. Ugovora propisuje da će se pokrivenim ulaganjima u svako vrijeme pružiti pošteni i pravični uvjeti te puna zaštita i sigurnost, da se neće ni u kojem slučaju odobriti uvjeti koji su manje povoljni od onih koje zahtijeva međunarodno pravo, te da niti jedna Ugovorna stranka neće niti na jedan način otežavati nerazumnim i diskriminacijskim mjerama upravljanje, vođenje, rad i prodaju ili drugo raspolaganje pokrivenim ulaganjima. Povjerenstvo je mišljenja da bi ulagač mogao u arbitražnom postupku dokazati da je Republika Hrvatska propustila udovoljiti njegovim legitimnim očekivanjima samim time što je u programu kuponske privatizacije, a suprotno (pod)zakonskim propisima, propustila ponuditi samo profitabilne i solventne dionice, a zatim to isto propustila učiniti i sklapanjem ugovora o nadoknadi dionica kojima je neprofitabilan portfelj dionica trebao biti zamijenjen dionicama profitabilnih društava. Brojne nepravilnosti samog procesa kuponske privatizacije, kao i nepotpuno izvršavanje obveza H</w:t>
      </w:r>
      <w:r>
        <w:rPr>
          <w:rFonts w:ascii="Times New Roman" w:eastAsia="Calibri" w:hAnsi="Times New Roman" w:cs="Times New Roman"/>
          <w:sz w:val="24"/>
          <w:szCs w:val="24"/>
        </w:rPr>
        <w:t xml:space="preserve">rvatskog fonda za privatizaciju (u daljnjem tekstu: HFP) </w:t>
      </w:r>
      <w:r w:rsidRPr="006B520D">
        <w:rPr>
          <w:rFonts w:ascii="Times New Roman" w:eastAsia="Calibri" w:hAnsi="Times New Roman" w:cs="Times New Roman"/>
          <w:sz w:val="24"/>
          <w:szCs w:val="24"/>
        </w:rPr>
        <w:t xml:space="preserve">iz ugovora o nadoknadi dionica, potvrdio je i Državni ured za reviziju u </w:t>
      </w:r>
      <w:r>
        <w:rPr>
          <w:rFonts w:ascii="Times New Roman" w:eastAsia="Calibri" w:hAnsi="Times New Roman" w:cs="Times New Roman"/>
          <w:sz w:val="24"/>
          <w:szCs w:val="24"/>
        </w:rPr>
        <w:t xml:space="preserve">već spomenutom Izvješću. </w:t>
      </w:r>
      <w:r w:rsidRPr="006B520D">
        <w:rPr>
          <w:rFonts w:ascii="Times New Roman" w:eastAsia="Calibri" w:hAnsi="Times New Roman" w:cs="Times New Roman"/>
          <w:sz w:val="24"/>
          <w:szCs w:val="24"/>
        </w:rPr>
        <w:t xml:space="preserve">Osim toga, </w:t>
      </w:r>
      <w:r>
        <w:rPr>
          <w:rFonts w:ascii="Times New Roman" w:eastAsia="Calibri" w:hAnsi="Times New Roman" w:cs="Times New Roman"/>
          <w:sz w:val="24"/>
          <w:szCs w:val="24"/>
        </w:rPr>
        <w:t>f</w:t>
      </w:r>
      <w:r w:rsidRPr="006B520D">
        <w:rPr>
          <w:rFonts w:ascii="Times New Roman" w:eastAsia="Calibri" w:hAnsi="Times New Roman" w:cs="Times New Roman"/>
          <w:sz w:val="24"/>
          <w:szCs w:val="24"/>
        </w:rPr>
        <w:t xml:space="preserve">inancijsko-pravna ekspertiza koju je u usporedivom </w:t>
      </w:r>
      <w:r w:rsidRPr="006B520D">
        <w:rPr>
          <w:rFonts w:ascii="Times New Roman" w:eastAsia="Calibri" w:hAnsi="Times New Roman" w:cs="Times New Roman"/>
          <w:sz w:val="24"/>
          <w:szCs w:val="24"/>
        </w:rPr>
        <w:lastRenderedPageBreak/>
        <w:t xml:space="preserve">slučaju vezanom uz </w:t>
      </w:r>
      <w:r w:rsidRPr="00480328">
        <w:rPr>
          <w:rFonts w:ascii="Times New Roman" w:eastAsia="Calibri" w:hAnsi="Times New Roman" w:cs="Times New Roman"/>
          <w:sz w:val="24"/>
          <w:szCs w:val="24"/>
        </w:rPr>
        <w:t>DOM HOLDING d.d. Zagreb</w:t>
      </w:r>
      <w:r>
        <w:rPr>
          <w:rFonts w:ascii="Times New Roman" w:eastAsia="Calibri" w:hAnsi="Times New Roman" w:cs="Times New Roman"/>
          <w:sz w:val="24"/>
          <w:szCs w:val="24"/>
        </w:rPr>
        <w:t xml:space="preserve"> i </w:t>
      </w:r>
      <w:r w:rsidRPr="00480328">
        <w:rPr>
          <w:rFonts w:ascii="Times New Roman" w:eastAsia="Calibri" w:hAnsi="Times New Roman" w:cs="Times New Roman"/>
          <w:sz w:val="24"/>
          <w:szCs w:val="24"/>
        </w:rPr>
        <w:t xml:space="preserve">SN HOLDING d.d. Zagreb </w:t>
      </w:r>
      <w:r w:rsidRPr="006B520D">
        <w:rPr>
          <w:rFonts w:ascii="Times New Roman" w:eastAsia="Calibri" w:hAnsi="Times New Roman" w:cs="Times New Roman"/>
          <w:sz w:val="24"/>
          <w:szCs w:val="24"/>
        </w:rPr>
        <w:t>sudski vještak Slavko Tešija 2009. izradio za Vladu</w:t>
      </w:r>
      <w:r>
        <w:rPr>
          <w:rFonts w:ascii="Times New Roman" w:eastAsia="Calibri" w:hAnsi="Times New Roman" w:cs="Times New Roman"/>
          <w:sz w:val="24"/>
          <w:szCs w:val="24"/>
        </w:rPr>
        <w:t xml:space="preserve">, </w:t>
      </w:r>
      <w:r w:rsidRPr="006B520D">
        <w:rPr>
          <w:rFonts w:ascii="Times New Roman" w:eastAsia="Calibri" w:hAnsi="Times New Roman" w:cs="Times New Roman"/>
          <w:sz w:val="24"/>
          <w:szCs w:val="24"/>
        </w:rPr>
        <w:t xml:space="preserve">a koja je javno dostupna na stranicama Zagrebačke burze, također je dala vrlo negativnu ocjenu pravnog položaja i postupanja Vlade </w:t>
      </w:r>
      <w:r>
        <w:rPr>
          <w:rFonts w:ascii="Times New Roman" w:eastAsia="Calibri" w:hAnsi="Times New Roman" w:cs="Times New Roman"/>
          <w:sz w:val="24"/>
          <w:szCs w:val="24"/>
        </w:rPr>
        <w:t xml:space="preserve">i </w:t>
      </w:r>
      <w:r w:rsidRPr="006B520D">
        <w:rPr>
          <w:rFonts w:ascii="Times New Roman" w:eastAsia="Calibri" w:hAnsi="Times New Roman" w:cs="Times New Roman"/>
          <w:sz w:val="24"/>
          <w:szCs w:val="24"/>
        </w:rPr>
        <w:t xml:space="preserve">HFP-a u </w:t>
      </w:r>
      <w:r>
        <w:rPr>
          <w:rFonts w:ascii="Times New Roman" w:eastAsia="Calibri" w:hAnsi="Times New Roman" w:cs="Times New Roman"/>
          <w:sz w:val="24"/>
          <w:szCs w:val="24"/>
        </w:rPr>
        <w:t xml:space="preserve">programu </w:t>
      </w:r>
      <w:r w:rsidRPr="006B520D">
        <w:rPr>
          <w:rFonts w:ascii="Times New Roman" w:eastAsia="Calibri" w:hAnsi="Times New Roman" w:cs="Times New Roman"/>
          <w:sz w:val="24"/>
          <w:szCs w:val="24"/>
        </w:rPr>
        <w:t>kuponske privatizacije.</w:t>
      </w:r>
    </w:p>
    <w:p w14:paraId="3C1B8D9E" w14:textId="77777777" w:rsidR="009E01EC" w:rsidRPr="006B520D" w:rsidRDefault="009E01EC" w:rsidP="009E01EC">
      <w:pPr>
        <w:pStyle w:val="ListParagraph"/>
        <w:tabs>
          <w:tab w:val="left" w:pos="426"/>
        </w:tabs>
        <w:ind w:left="360"/>
        <w:jc w:val="both"/>
        <w:rPr>
          <w:rFonts w:ascii="Times New Roman" w:eastAsia="Calibri" w:hAnsi="Times New Roman" w:cs="Times New Roman"/>
          <w:sz w:val="24"/>
          <w:szCs w:val="24"/>
        </w:rPr>
      </w:pPr>
    </w:p>
    <w:p w14:paraId="0814AE69" w14:textId="77777777" w:rsidR="009E01EC" w:rsidRDefault="009E01EC" w:rsidP="009E01EC">
      <w:pPr>
        <w:pStyle w:val="ListParagraph"/>
        <w:numPr>
          <w:ilvl w:val="0"/>
          <w:numId w:val="7"/>
        </w:numPr>
        <w:tabs>
          <w:tab w:val="left" w:pos="426"/>
        </w:tabs>
        <w:jc w:val="both"/>
        <w:rPr>
          <w:rFonts w:ascii="Times New Roman" w:eastAsia="Calibri" w:hAnsi="Times New Roman" w:cs="Times New Roman"/>
          <w:sz w:val="24"/>
          <w:szCs w:val="24"/>
        </w:rPr>
      </w:pPr>
      <w:r w:rsidRPr="006B520D">
        <w:rPr>
          <w:rFonts w:ascii="Times New Roman" w:eastAsia="Calibri" w:hAnsi="Times New Roman" w:cs="Times New Roman"/>
          <w:sz w:val="24"/>
          <w:szCs w:val="24"/>
        </w:rPr>
        <w:t>U odnosu na</w:t>
      </w:r>
      <w:r w:rsidRPr="006B520D">
        <w:rPr>
          <w:rFonts w:ascii="Times New Roman" w:eastAsia="Calibri" w:hAnsi="Times New Roman" w:cs="Times New Roman"/>
          <w:i/>
          <w:sz w:val="24"/>
          <w:szCs w:val="24"/>
        </w:rPr>
        <w:t xml:space="preserve"> uskraćivanje učinkovite sudske zaštite</w:t>
      </w:r>
      <w:r>
        <w:rPr>
          <w:rFonts w:ascii="Times New Roman" w:eastAsia="Calibri" w:hAnsi="Times New Roman" w:cs="Times New Roman"/>
          <w:sz w:val="24"/>
          <w:szCs w:val="24"/>
        </w:rPr>
        <w:t>,</w:t>
      </w:r>
      <w:r w:rsidRPr="006B520D">
        <w:rPr>
          <w:rFonts w:ascii="Times New Roman" w:eastAsia="Calibri" w:hAnsi="Times New Roman" w:cs="Times New Roman"/>
          <w:i/>
          <w:sz w:val="24"/>
          <w:szCs w:val="24"/>
        </w:rPr>
        <w:t xml:space="preserve"> </w:t>
      </w:r>
      <w:r w:rsidRPr="006B520D">
        <w:rPr>
          <w:rFonts w:ascii="Times New Roman" w:eastAsia="Calibri" w:hAnsi="Times New Roman" w:cs="Times New Roman"/>
          <w:sz w:val="24"/>
          <w:szCs w:val="24"/>
        </w:rPr>
        <w:t>članak 2. stavak 4. Ugovora propisuje da će se stranim ulagačima pružiti djelotvorna sredstva za ostvarivanje zahtjeva i provedbu prava glede pokrivenih ulaganja</w:t>
      </w:r>
      <w:r>
        <w:rPr>
          <w:rFonts w:ascii="Times New Roman" w:eastAsia="Calibri" w:hAnsi="Times New Roman" w:cs="Times New Roman"/>
          <w:sz w:val="24"/>
          <w:szCs w:val="24"/>
        </w:rPr>
        <w:t>,</w:t>
      </w:r>
      <w:r w:rsidRPr="006B520D">
        <w:rPr>
          <w:rFonts w:ascii="Times New Roman" w:eastAsia="Calibri" w:hAnsi="Times New Roman" w:cs="Times New Roman"/>
          <w:sz w:val="24"/>
          <w:szCs w:val="24"/>
        </w:rPr>
        <w:t xml:space="preserve"> a koji je, prema navodima </w:t>
      </w:r>
      <w:r>
        <w:rPr>
          <w:rFonts w:ascii="Times New Roman" w:eastAsia="Calibri" w:hAnsi="Times New Roman" w:cs="Times New Roman"/>
          <w:sz w:val="24"/>
          <w:szCs w:val="24"/>
        </w:rPr>
        <w:t>U</w:t>
      </w:r>
      <w:r w:rsidRPr="006B520D">
        <w:rPr>
          <w:rFonts w:ascii="Times New Roman" w:eastAsia="Calibri" w:hAnsi="Times New Roman" w:cs="Times New Roman"/>
          <w:sz w:val="24"/>
          <w:szCs w:val="24"/>
        </w:rPr>
        <w:t xml:space="preserve">lagača, povrijeđen desetljećima dugim lošim postupanjem hrvatskih sudova vezano uz njegove zahtjeve. Ulagač navodi niz prigovora na brojnost i duljinu sudskih postupaka u Republici Hrvatskoj, kao i sadržaj i kvalitetu sudskih odluka te sastav sudova, kako u postupcima u vezi s poreznim obvezama, tako i u vezi s ugovorima o nadoknadi dionica i s postupkom zbog nepravilnosti u radu HFP-a koji se vodio od 2001. do 2020. Povjerenstvo nije ulazilo u razmatranje navoda </w:t>
      </w:r>
      <w:r>
        <w:rPr>
          <w:rFonts w:ascii="Times New Roman" w:eastAsia="Calibri" w:hAnsi="Times New Roman" w:cs="Times New Roman"/>
          <w:sz w:val="24"/>
          <w:szCs w:val="24"/>
        </w:rPr>
        <w:t xml:space="preserve">Ulagača </w:t>
      </w:r>
      <w:r w:rsidRPr="006B520D">
        <w:rPr>
          <w:rFonts w:ascii="Times New Roman" w:eastAsia="Calibri" w:hAnsi="Times New Roman" w:cs="Times New Roman"/>
          <w:sz w:val="24"/>
          <w:szCs w:val="24"/>
        </w:rPr>
        <w:t xml:space="preserve">u pogledu pravičnog suđenja jer su u postupcima donesene pravomoćne sudske odluke </w:t>
      </w:r>
      <w:r>
        <w:rPr>
          <w:rFonts w:ascii="Times New Roman" w:eastAsia="Calibri" w:hAnsi="Times New Roman" w:cs="Times New Roman"/>
          <w:sz w:val="24"/>
          <w:szCs w:val="24"/>
        </w:rPr>
        <w:t xml:space="preserve">najviših </w:t>
      </w:r>
      <w:r w:rsidRPr="006B520D">
        <w:rPr>
          <w:rFonts w:ascii="Times New Roman" w:eastAsia="Calibri" w:hAnsi="Times New Roman" w:cs="Times New Roman"/>
          <w:sz w:val="24"/>
          <w:szCs w:val="24"/>
        </w:rPr>
        <w:t xml:space="preserve">hrvatskih sudova. Međutim, važno je naglasiti da su dugotrajnost sudskih postupaka i (politički) utjecaji na pravosuđe često predmet arbitražnih tužbi temeljem međunarodnih ugovora o ulaganjima te da već postoji arbitražna praksa koja se odnosi na odredbe istovjetne odredbi navedenog članka 2. stavka 4. Ugovora, a iz koje prakse proizlazi da se u radi o standardu zaštite koji je u odnosu na uobičajeni institut „uskrate pravde“ postavljen kao </w:t>
      </w:r>
      <w:r w:rsidRPr="006B520D">
        <w:rPr>
          <w:rFonts w:ascii="Times New Roman" w:eastAsia="Calibri" w:hAnsi="Times New Roman" w:cs="Times New Roman"/>
          <w:i/>
          <w:sz w:val="24"/>
          <w:szCs w:val="24"/>
        </w:rPr>
        <w:t>lex specialis</w:t>
      </w:r>
      <w:r w:rsidRPr="006B520D">
        <w:rPr>
          <w:rFonts w:ascii="Times New Roman" w:eastAsia="Calibri" w:hAnsi="Times New Roman" w:cs="Times New Roman"/>
          <w:sz w:val="24"/>
          <w:szCs w:val="24"/>
        </w:rPr>
        <w:t xml:space="preserve"> čiju je povredu u pravilu lakše dokazati, odnosno da je za postojanje povrede dovoljno i samo dugotrajno i neefikasno vođenje sudskih postupaka, bez potrebe dokazivanja da je bilo uplitanja u sudsko odlučivanje</w:t>
      </w:r>
      <w:r>
        <w:rPr>
          <w:rFonts w:ascii="Times New Roman" w:eastAsia="Calibri" w:hAnsi="Times New Roman" w:cs="Times New Roman"/>
          <w:sz w:val="24"/>
          <w:szCs w:val="24"/>
        </w:rPr>
        <w:t>. P</w:t>
      </w:r>
      <w:r w:rsidRPr="006B520D">
        <w:rPr>
          <w:rFonts w:ascii="Times New Roman" w:eastAsia="Calibri" w:hAnsi="Times New Roman" w:cs="Times New Roman"/>
          <w:sz w:val="24"/>
          <w:szCs w:val="24"/>
        </w:rPr>
        <w:t xml:space="preserve">rimjerice, u slučaju tužbe američkog društva Chevron protiv Ekvadora, u predmetu </w:t>
      </w:r>
      <w:r w:rsidRPr="006B520D">
        <w:rPr>
          <w:rFonts w:ascii="Times New Roman" w:eastAsia="Calibri" w:hAnsi="Times New Roman" w:cs="Times New Roman"/>
          <w:i/>
          <w:sz w:val="24"/>
          <w:szCs w:val="24"/>
        </w:rPr>
        <w:t>Chevron Corporation and Texaco Petroleum Corporation</w:t>
      </w:r>
      <w:r w:rsidRPr="00D55563">
        <w:rPr>
          <w:rFonts w:ascii="Times New Roman" w:eastAsia="Calibri" w:hAnsi="Times New Roman" w:cs="Times New Roman"/>
          <w:sz w:val="24"/>
          <w:szCs w:val="24"/>
        </w:rPr>
        <w:t xml:space="preserve"> v. </w:t>
      </w:r>
      <w:r w:rsidRPr="006B520D">
        <w:rPr>
          <w:rFonts w:ascii="Times New Roman" w:eastAsia="Calibri" w:hAnsi="Times New Roman" w:cs="Times New Roman"/>
          <w:i/>
          <w:sz w:val="24"/>
          <w:szCs w:val="24"/>
        </w:rPr>
        <w:t>Ecuador (II)</w:t>
      </w:r>
      <w:r>
        <w:rPr>
          <w:rFonts w:ascii="Times New Roman" w:eastAsia="Calibri" w:hAnsi="Times New Roman" w:cs="Times New Roman"/>
          <w:sz w:val="24"/>
          <w:szCs w:val="24"/>
        </w:rPr>
        <w:t xml:space="preserve">, </w:t>
      </w:r>
      <w:r w:rsidRPr="006B520D">
        <w:rPr>
          <w:rFonts w:ascii="Times New Roman" w:eastAsia="Calibri" w:hAnsi="Times New Roman" w:cs="Times New Roman"/>
          <w:sz w:val="24"/>
          <w:szCs w:val="24"/>
        </w:rPr>
        <w:t xml:space="preserve">PCA Case No. 2009-23, </w:t>
      </w:r>
      <w:r>
        <w:rPr>
          <w:rFonts w:ascii="Times New Roman" w:eastAsia="Calibri" w:hAnsi="Times New Roman" w:cs="Times New Roman"/>
          <w:sz w:val="24"/>
          <w:szCs w:val="24"/>
        </w:rPr>
        <w:t>A</w:t>
      </w:r>
      <w:r w:rsidRPr="006B520D">
        <w:rPr>
          <w:rFonts w:ascii="Times New Roman" w:eastAsia="Calibri" w:hAnsi="Times New Roman" w:cs="Times New Roman"/>
          <w:sz w:val="24"/>
          <w:szCs w:val="24"/>
        </w:rPr>
        <w:t xml:space="preserve">rbitražni sud utvrdio je da je povrijeđena identična odredba ovoj iz članka 2. stavka 4. Ugovora, odnosno da je uskraćeno pravo na djelotvorno rješavanje sporova samom činjenicom što se tijekom razdoblja od 13 godina vodilo </w:t>
      </w:r>
      <w:r>
        <w:rPr>
          <w:rFonts w:ascii="Times New Roman" w:eastAsia="Calibri" w:hAnsi="Times New Roman" w:cs="Times New Roman"/>
          <w:sz w:val="24"/>
          <w:szCs w:val="24"/>
        </w:rPr>
        <w:t>sedam</w:t>
      </w:r>
      <w:r w:rsidRPr="006B520D">
        <w:rPr>
          <w:rFonts w:ascii="Times New Roman" w:eastAsia="Calibri" w:hAnsi="Times New Roman" w:cs="Times New Roman"/>
          <w:sz w:val="24"/>
          <w:szCs w:val="24"/>
        </w:rPr>
        <w:t xml:space="preserve"> različitih postupaka, bez potrebe da se dokazuje da je bilo uplitanja u sudsko odlučivanje.</w:t>
      </w:r>
      <w:r>
        <w:rPr>
          <w:rFonts w:ascii="Times New Roman" w:eastAsia="Calibri" w:hAnsi="Times New Roman" w:cs="Times New Roman"/>
          <w:sz w:val="24"/>
          <w:szCs w:val="24"/>
        </w:rPr>
        <w:t xml:space="preserve"> U svojem je radu Povjerenstvo utvrdilo da su se, samo zbog triju ugovora o nadoknadi dionica koje je HFP sklopio s </w:t>
      </w:r>
      <w:r w:rsidRPr="00D55563">
        <w:rPr>
          <w:rFonts w:ascii="Times New Roman" w:eastAsia="Calibri" w:hAnsi="Times New Roman" w:cs="Times New Roman"/>
          <w:sz w:val="24"/>
          <w:szCs w:val="24"/>
        </w:rPr>
        <w:t>Expandia Invest d.o.o. za upravljanje fondovima</w:t>
      </w:r>
      <w:r>
        <w:rPr>
          <w:rFonts w:ascii="Times New Roman" w:eastAsia="Calibri" w:hAnsi="Times New Roman" w:cs="Times New Roman"/>
          <w:sz w:val="24"/>
          <w:szCs w:val="24"/>
        </w:rPr>
        <w:t xml:space="preserve"> 1999., vodila 32 sudska postupka u razdoblju od 2001. pa do 2018., pri čemu u barem dva postupka nikad nije donesena odluka, niti je bilo ikakvih procesnih aktivnosti zadnjih osam, tj. 13 godina.</w:t>
      </w:r>
    </w:p>
    <w:p w14:paraId="1C73949D" w14:textId="77777777" w:rsidR="009E01EC" w:rsidRPr="006B520D" w:rsidRDefault="009E01EC" w:rsidP="009E01EC">
      <w:pPr>
        <w:pStyle w:val="ListParagraph"/>
        <w:tabs>
          <w:tab w:val="left" w:pos="426"/>
        </w:tabs>
        <w:ind w:left="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191913CB" w14:textId="77777777" w:rsidR="009E01EC" w:rsidRPr="00BF7457" w:rsidRDefault="009E01EC" w:rsidP="009E01EC">
      <w:pPr>
        <w:pStyle w:val="ListParagraph"/>
        <w:numPr>
          <w:ilvl w:val="0"/>
          <w:numId w:val="7"/>
        </w:numPr>
        <w:tabs>
          <w:tab w:val="left" w:pos="426"/>
        </w:tabs>
        <w:jc w:val="both"/>
        <w:rPr>
          <w:rFonts w:ascii="Times New Roman" w:eastAsia="Calibri" w:hAnsi="Times New Roman" w:cs="Times New Roman"/>
          <w:sz w:val="24"/>
          <w:szCs w:val="24"/>
        </w:rPr>
      </w:pPr>
      <w:r w:rsidRPr="006B520D">
        <w:rPr>
          <w:rFonts w:ascii="Times New Roman" w:eastAsia="Calibri" w:hAnsi="Times New Roman" w:cs="Times New Roman"/>
          <w:sz w:val="24"/>
          <w:szCs w:val="24"/>
        </w:rPr>
        <w:t>U odnosu na</w:t>
      </w:r>
      <w:r w:rsidRPr="006B520D">
        <w:rPr>
          <w:rFonts w:ascii="Times New Roman" w:eastAsia="Calibri" w:hAnsi="Times New Roman" w:cs="Times New Roman"/>
          <w:i/>
          <w:sz w:val="24"/>
          <w:szCs w:val="24"/>
        </w:rPr>
        <w:t xml:space="preserve"> izvlaštenje, </w:t>
      </w:r>
      <w:r w:rsidRPr="006B520D">
        <w:rPr>
          <w:rFonts w:ascii="Times New Roman" w:eastAsia="Calibri" w:hAnsi="Times New Roman" w:cs="Times New Roman"/>
          <w:sz w:val="24"/>
          <w:szCs w:val="24"/>
        </w:rPr>
        <w:t xml:space="preserve">odredba članka 3. stavka 1. Ugovora propisuje da se neće izvlastiti ili nacionalizirati pokriveno ulaganje direktno ili indirektno putem mjera koje su jednake izvlaštenju ili nacionalizaciji osim u javnu svrhu, na nediskriminacijski način, uz plaćanje hitne, adekvatne i učinkovite naknade. Temeljem analize prikupljene dokumentacije utvrđeno je da je 1999. HFP sklopio s </w:t>
      </w:r>
      <w:r w:rsidRPr="00D55563">
        <w:rPr>
          <w:rFonts w:ascii="Times New Roman" w:eastAsia="Calibri" w:hAnsi="Times New Roman" w:cs="Times New Roman"/>
          <w:sz w:val="24"/>
          <w:szCs w:val="24"/>
        </w:rPr>
        <w:t>Expandia Invest d.o.o. za upravljanje fondovima</w:t>
      </w:r>
      <w:r>
        <w:rPr>
          <w:rFonts w:ascii="Times New Roman" w:eastAsia="Calibri" w:hAnsi="Times New Roman" w:cs="Times New Roman"/>
          <w:sz w:val="24"/>
          <w:szCs w:val="24"/>
        </w:rPr>
        <w:t xml:space="preserve"> </w:t>
      </w:r>
      <w:r w:rsidRPr="006B520D">
        <w:rPr>
          <w:rFonts w:ascii="Times New Roman" w:eastAsia="Calibri" w:hAnsi="Times New Roman" w:cs="Times New Roman"/>
          <w:sz w:val="24"/>
          <w:szCs w:val="24"/>
        </w:rPr>
        <w:t xml:space="preserve">četiri ugovora o nadoknadi dionica, od </w:t>
      </w:r>
      <w:r w:rsidRPr="006B520D">
        <w:rPr>
          <w:rFonts w:ascii="Times New Roman" w:eastAsia="Calibri" w:hAnsi="Times New Roman" w:cs="Times New Roman"/>
          <w:sz w:val="24"/>
          <w:szCs w:val="24"/>
        </w:rPr>
        <w:lastRenderedPageBreak/>
        <w:t xml:space="preserve">čega je jedan u potpunosti izvršen, </w:t>
      </w:r>
      <w:r>
        <w:rPr>
          <w:rFonts w:ascii="Times New Roman" w:eastAsia="Calibri" w:hAnsi="Times New Roman" w:cs="Times New Roman"/>
          <w:sz w:val="24"/>
          <w:szCs w:val="24"/>
        </w:rPr>
        <w:t xml:space="preserve">a tri samo djelomično. </w:t>
      </w:r>
      <w:r w:rsidRPr="0015044C">
        <w:rPr>
          <w:rFonts w:ascii="Times New Roman" w:eastAsia="Calibri" w:hAnsi="Times New Roman" w:cs="Times New Roman"/>
          <w:sz w:val="24"/>
          <w:szCs w:val="24"/>
        </w:rPr>
        <w:t>O navedenim činjenicama Povjerenstvo je pribavilo i očitovanje Centra za restrukturiranje i prodaju (u daljnjem tekstu: CERP) koji je svojim dopisom (KLASA: 740-01/20-01/162, URBROJ: 360-04-01/04-2021-13 od 26. siječnja 2021.) potvrdio da, zaključno s 26. siječnja 2021., prema ugovorima o nadoknadi dionica koji su sklopljeni s HFP-om, Republika Hrvatska nije prenijela dionice u nominalnoj vrijednosti od 321.781.338,31 kuna.</w:t>
      </w:r>
      <w:r w:rsidRPr="00BF745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Iako je za neke od djelomično izvršenih ugovora naknadno utvrđena ništavost, ti isti ugovori </w:t>
      </w:r>
      <w:r w:rsidRPr="00BF7457">
        <w:rPr>
          <w:rFonts w:ascii="Times New Roman" w:eastAsia="Calibri" w:hAnsi="Times New Roman" w:cs="Times New Roman"/>
          <w:sz w:val="24"/>
          <w:szCs w:val="24"/>
        </w:rPr>
        <w:t>propisuju da</w:t>
      </w:r>
      <w:r>
        <w:rPr>
          <w:rFonts w:ascii="Times New Roman" w:eastAsia="Calibri" w:hAnsi="Times New Roman" w:cs="Times New Roman"/>
          <w:sz w:val="24"/>
          <w:szCs w:val="24"/>
        </w:rPr>
        <w:t>,</w:t>
      </w:r>
      <w:r w:rsidRPr="00BF7457">
        <w:rPr>
          <w:rFonts w:ascii="Times New Roman" w:eastAsia="Calibri" w:hAnsi="Times New Roman" w:cs="Times New Roman"/>
          <w:sz w:val="24"/>
          <w:szCs w:val="24"/>
        </w:rPr>
        <w:t xml:space="preserve"> ako se bilo koja odredba </w:t>
      </w:r>
      <w:r>
        <w:rPr>
          <w:rFonts w:ascii="Times New Roman" w:eastAsia="Calibri" w:hAnsi="Times New Roman" w:cs="Times New Roman"/>
          <w:sz w:val="24"/>
          <w:szCs w:val="24"/>
        </w:rPr>
        <w:t xml:space="preserve">dotičnog </w:t>
      </w:r>
      <w:r w:rsidRPr="00BF7457">
        <w:rPr>
          <w:rFonts w:ascii="Times New Roman" w:eastAsia="Calibri" w:hAnsi="Times New Roman" w:cs="Times New Roman"/>
          <w:sz w:val="24"/>
          <w:szCs w:val="24"/>
        </w:rPr>
        <w:t>ugovora dokaže ništavom, ostale odredbe ovog ugovora će se u cijelosti primjenjivati i izvršavati, a u slučaju da dođe do ništavosti jedne ili više odredaba ugovora, ugovorne strane će odmah pristupiti zamjeni ništavih odredaba drugima, vodeći pri tome računa o tom da se izmijenjenim odredbama postigne isti stupanj zadovoljenja interesa ugovornih strana, ali na način koji je dopušten. Međutim, stranke ugovor</w:t>
      </w:r>
      <w:r>
        <w:rPr>
          <w:rFonts w:ascii="Times New Roman" w:eastAsia="Calibri" w:hAnsi="Times New Roman" w:cs="Times New Roman"/>
          <w:sz w:val="24"/>
          <w:szCs w:val="24"/>
        </w:rPr>
        <w:t xml:space="preserve">â, kao niti </w:t>
      </w:r>
      <w:r w:rsidRPr="00BF7457">
        <w:rPr>
          <w:rFonts w:ascii="Times New Roman" w:eastAsia="Calibri" w:hAnsi="Times New Roman" w:cs="Times New Roman"/>
          <w:sz w:val="24"/>
          <w:szCs w:val="24"/>
        </w:rPr>
        <w:t xml:space="preserve"> njihovi pravni sljednici</w:t>
      </w:r>
      <w:r>
        <w:rPr>
          <w:rFonts w:ascii="Times New Roman" w:eastAsia="Calibri" w:hAnsi="Times New Roman" w:cs="Times New Roman"/>
          <w:sz w:val="24"/>
          <w:szCs w:val="24"/>
        </w:rPr>
        <w:t xml:space="preserve">, </w:t>
      </w:r>
      <w:r w:rsidRPr="00BF7457">
        <w:rPr>
          <w:rFonts w:ascii="Times New Roman" w:eastAsia="Calibri" w:hAnsi="Times New Roman" w:cs="Times New Roman"/>
          <w:sz w:val="24"/>
          <w:szCs w:val="24"/>
        </w:rPr>
        <w:t>nikada nisu pristupili izmjeni ugovor</w:t>
      </w:r>
      <w:r>
        <w:rPr>
          <w:rFonts w:ascii="Times New Roman" w:eastAsia="Calibri" w:hAnsi="Times New Roman" w:cs="Times New Roman"/>
          <w:sz w:val="24"/>
          <w:szCs w:val="24"/>
        </w:rPr>
        <w:t>â</w:t>
      </w:r>
      <w:r w:rsidRPr="00BF7457">
        <w:rPr>
          <w:rFonts w:ascii="Times New Roman" w:eastAsia="Calibri" w:hAnsi="Times New Roman" w:cs="Times New Roman"/>
          <w:sz w:val="24"/>
          <w:szCs w:val="24"/>
        </w:rPr>
        <w:t>, niti bilo kojem drugom obliku zamjene ispunjenja.</w:t>
      </w:r>
    </w:p>
    <w:p w14:paraId="72191488" w14:textId="77777777" w:rsidR="009E01EC" w:rsidRDefault="009E01EC" w:rsidP="009E01EC">
      <w:pPr>
        <w:tabs>
          <w:tab w:val="left" w:pos="426"/>
        </w:tabs>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 svojem je radu Povjerenstvo dodatno analiziralo i činjenicu da je </w:t>
      </w:r>
      <w:r w:rsidRPr="00BF7457">
        <w:rPr>
          <w:rFonts w:ascii="Times New Roman" w:eastAsia="Calibri" w:hAnsi="Times New Roman" w:cs="Times New Roman"/>
          <w:sz w:val="24"/>
          <w:szCs w:val="24"/>
        </w:rPr>
        <w:t>Overseas Private Investment Corporation</w:t>
      </w:r>
      <w:r w:rsidRPr="006956C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u daljnjem tekstu: </w:t>
      </w:r>
      <w:r w:rsidRPr="006956C6">
        <w:rPr>
          <w:rFonts w:ascii="Times New Roman" w:eastAsia="Calibri" w:hAnsi="Times New Roman" w:cs="Times New Roman"/>
          <w:sz w:val="24"/>
          <w:szCs w:val="24"/>
        </w:rPr>
        <w:t>OPIC), agencija Vlade Sjedinjenih Američkih Država za financiranje razvoja</w:t>
      </w:r>
      <w:r>
        <w:rPr>
          <w:rFonts w:ascii="Times New Roman" w:eastAsia="Calibri" w:hAnsi="Times New Roman" w:cs="Times New Roman"/>
          <w:sz w:val="24"/>
          <w:szCs w:val="24"/>
        </w:rPr>
        <w:t xml:space="preserve">, čiji sljednik je </w:t>
      </w:r>
      <w:r w:rsidRPr="00BF7457">
        <w:rPr>
          <w:rFonts w:ascii="Times New Roman" w:eastAsia="Calibri" w:hAnsi="Times New Roman" w:cs="Times New Roman"/>
          <w:sz w:val="24"/>
          <w:szCs w:val="24"/>
        </w:rPr>
        <w:t>U.S. International Development Finance Corporation</w:t>
      </w:r>
      <w:r w:rsidRPr="006956C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u daljnjem tekstu: </w:t>
      </w:r>
      <w:r w:rsidRPr="006956C6">
        <w:rPr>
          <w:rFonts w:ascii="Times New Roman" w:eastAsia="Calibri" w:hAnsi="Times New Roman" w:cs="Times New Roman"/>
          <w:sz w:val="24"/>
          <w:szCs w:val="24"/>
        </w:rPr>
        <w:t>DFC),</w:t>
      </w:r>
      <w:r w:rsidRPr="004917D8">
        <w:rPr>
          <w:rFonts w:ascii="Times New Roman" w:eastAsia="Calibri" w:hAnsi="Times New Roman" w:cs="Times New Roman"/>
          <w:sz w:val="24"/>
          <w:szCs w:val="24"/>
        </w:rPr>
        <w:t xml:space="preserve"> razvojna banka Sjedinjenih Američkih Država</w:t>
      </w:r>
      <w:r>
        <w:rPr>
          <w:rFonts w:ascii="Times New Roman" w:eastAsia="Calibri" w:hAnsi="Times New Roman" w:cs="Times New Roman"/>
          <w:sz w:val="24"/>
          <w:szCs w:val="24"/>
        </w:rPr>
        <w:t xml:space="preserve">, </w:t>
      </w:r>
      <w:r w:rsidRPr="004917D8">
        <w:rPr>
          <w:rFonts w:ascii="Times New Roman" w:eastAsia="Calibri" w:hAnsi="Times New Roman" w:cs="Times New Roman"/>
          <w:sz w:val="24"/>
          <w:szCs w:val="24"/>
        </w:rPr>
        <w:t xml:space="preserve">osigurala </w:t>
      </w:r>
      <w:r w:rsidRPr="006956C6">
        <w:rPr>
          <w:rFonts w:ascii="Times New Roman" w:eastAsia="Calibri" w:hAnsi="Times New Roman" w:cs="Times New Roman"/>
          <w:sz w:val="24"/>
          <w:szCs w:val="24"/>
        </w:rPr>
        <w:t>od izvlaštenja</w:t>
      </w:r>
      <w:r w:rsidRPr="004917D8">
        <w:rPr>
          <w:rFonts w:ascii="Times New Roman" w:eastAsia="Calibri" w:hAnsi="Times New Roman" w:cs="Times New Roman"/>
          <w:sz w:val="24"/>
          <w:szCs w:val="24"/>
        </w:rPr>
        <w:t xml:space="preserve"> ulaganje američke kompanije </w:t>
      </w:r>
      <w:r w:rsidRPr="00BF7457">
        <w:rPr>
          <w:rFonts w:ascii="Times New Roman" w:eastAsia="Calibri" w:hAnsi="Times New Roman" w:cs="Times New Roman"/>
          <w:sz w:val="24"/>
          <w:szCs w:val="24"/>
        </w:rPr>
        <w:t>Adriatic Investment Management</w:t>
      </w:r>
      <w:r>
        <w:rPr>
          <w:rFonts w:ascii="Times New Roman" w:eastAsia="Calibri" w:hAnsi="Times New Roman" w:cs="Times New Roman"/>
          <w:sz w:val="24"/>
          <w:szCs w:val="24"/>
        </w:rPr>
        <w:t>,</w:t>
      </w:r>
      <w:r w:rsidRPr="00BF7457">
        <w:rPr>
          <w:rFonts w:ascii="Times New Roman" w:eastAsia="Calibri" w:hAnsi="Times New Roman" w:cs="Times New Roman"/>
          <w:sz w:val="24"/>
          <w:szCs w:val="24"/>
        </w:rPr>
        <w:t xml:space="preserve"> LLC</w:t>
      </w:r>
      <w:r>
        <w:rPr>
          <w:rFonts w:ascii="Times New Roman" w:eastAsia="Calibri" w:hAnsi="Times New Roman" w:cs="Times New Roman"/>
          <w:sz w:val="24"/>
          <w:szCs w:val="24"/>
        </w:rPr>
        <w:t>, u vlasništvu Ulagača,</w:t>
      </w:r>
      <w:r w:rsidRPr="006956C6">
        <w:rPr>
          <w:rFonts w:ascii="Times New Roman" w:eastAsia="Calibri" w:hAnsi="Times New Roman" w:cs="Times New Roman"/>
          <w:sz w:val="24"/>
          <w:szCs w:val="24"/>
        </w:rPr>
        <w:t xml:space="preserve"> u Proficio d.d. </w:t>
      </w:r>
      <w:r>
        <w:rPr>
          <w:rFonts w:ascii="Times New Roman" w:eastAsia="Calibri" w:hAnsi="Times New Roman" w:cs="Times New Roman"/>
          <w:sz w:val="24"/>
          <w:szCs w:val="24"/>
        </w:rPr>
        <w:t xml:space="preserve">Imajući na umu odredbe Ugovora te gore opisane navode Ulagača u odnosu na izvlaštenje i pribavljene informacije, Povjerenstvo je navedeno osiguranje ocijenilo kao dodatnu </w:t>
      </w:r>
      <w:r w:rsidRPr="004917D8">
        <w:rPr>
          <w:rFonts w:ascii="Times New Roman" w:eastAsia="Calibri" w:hAnsi="Times New Roman" w:cs="Times New Roman"/>
          <w:sz w:val="24"/>
          <w:szCs w:val="24"/>
        </w:rPr>
        <w:t>okolnost koja Republiku Hrvatsku stavlja u nepovoljan položaj</w:t>
      </w:r>
      <w:r>
        <w:rPr>
          <w:rFonts w:ascii="Times New Roman" w:eastAsia="Calibri" w:hAnsi="Times New Roman" w:cs="Times New Roman"/>
          <w:sz w:val="24"/>
          <w:szCs w:val="24"/>
        </w:rPr>
        <w:t>. Naime, ako se U</w:t>
      </w:r>
      <w:r w:rsidRPr="004917D8">
        <w:rPr>
          <w:rFonts w:ascii="Times New Roman" w:eastAsia="Calibri" w:hAnsi="Times New Roman" w:cs="Times New Roman"/>
          <w:sz w:val="24"/>
          <w:szCs w:val="24"/>
        </w:rPr>
        <w:t>lagač naplati po toj polici</w:t>
      </w:r>
      <w:r>
        <w:rPr>
          <w:rFonts w:ascii="Times New Roman" w:eastAsia="Calibri" w:hAnsi="Times New Roman" w:cs="Times New Roman"/>
          <w:sz w:val="24"/>
          <w:szCs w:val="24"/>
        </w:rPr>
        <w:t xml:space="preserve"> osiguranja</w:t>
      </w:r>
      <w:r w:rsidRPr="004917D8">
        <w:rPr>
          <w:rFonts w:ascii="Times New Roman" w:eastAsia="Calibri" w:hAnsi="Times New Roman" w:cs="Times New Roman"/>
          <w:sz w:val="24"/>
          <w:szCs w:val="24"/>
        </w:rPr>
        <w:t>, njegova prava</w:t>
      </w:r>
      <w:r>
        <w:rPr>
          <w:rFonts w:ascii="Times New Roman" w:eastAsia="Calibri" w:hAnsi="Times New Roman" w:cs="Times New Roman"/>
          <w:sz w:val="24"/>
          <w:szCs w:val="24"/>
        </w:rPr>
        <w:t xml:space="preserve">, sukladno </w:t>
      </w:r>
      <w:r w:rsidRPr="006F7195">
        <w:rPr>
          <w:rFonts w:ascii="Times New Roman" w:eastAsia="Calibri" w:hAnsi="Times New Roman" w:cs="Times New Roman"/>
          <w:sz w:val="24"/>
          <w:szCs w:val="24"/>
        </w:rPr>
        <w:t>Ugovor</w:t>
      </w:r>
      <w:r>
        <w:rPr>
          <w:rFonts w:ascii="Times New Roman" w:eastAsia="Calibri" w:hAnsi="Times New Roman" w:cs="Times New Roman"/>
          <w:sz w:val="24"/>
          <w:szCs w:val="24"/>
        </w:rPr>
        <w:t>u</w:t>
      </w:r>
      <w:r w:rsidRPr="006F7195">
        <w:rPr>
          <w:rFonts w:ascii="Times New Roman" w:eastAsia="Calibri" w:hAnsi="Times New Roman" w:cs="Times New Roman"/>
          <w:sz w:val="24"/>
          <w:szCs w:val="24"/>
        </w:rPr>
        <w:t xml:space="preserve"> o poticanju investiranja između Vlade Republike Hrvatske i Vlade Sjedinjenih Američkih Država, koji je sklopljen i stupio je na snagu 15. siječnja 1993.</w:t>
      </w:r>
      <w:r>
        <w:rPr>
          <w:rFonts w:ascii="Times New Roman" w:eastAsia="Calibri" w:hAnsi="Times New Roman" w:cs="Times New Roman"/>
          <w:sz w:val="24"/>
          <w:szCs w:val="24"/>
        </w:rPr>
        <w:t xml:space="preserve">, </w:t>
      </w:r>
      <w:r w:rsidRPr="004917D8">
        <w:rPr>
          <w:rFonts w:ascii="Times New Roman" w:eastAsia="Calibri" w:hAnsi="Times New Roman" w:cs="Times New Roman"/>
          <w:sz w:val="24"/>
          <w:szCs w:val="24"/>
        </w:rPr>
        <w:t>prelaze na DFC i otvara se mogućnost sudskog postupka protiv Republike Hrvatske od strane DFC-a, o čemu je OPIC</w:t>
      </w:r>
      <w:r>
        <w:rPr>
          <w:rFonts w:ascii="Times New Roman" w:eastAsia="Calibri" w:hAnsi="Times New Roman" w:cs="Times New Roman"/>
          <w:sz w:val="24"/>
          <w:szCs w:val="24"/>
        </w:rPr>
        <w:t xml:space="preserve"> i </w:t>
      </w:r>
      <w:r w:rsidRPr="004917D8">
        <w:rPr>
          <w:rFonts w:ascii="Times New Roman" w:eastAsia="Calibri" w:hAnsi="Times New Roman" w:cs="Times New Roman"/>
          <w:sz w:val="24"/>
          <w:szCs w:val="24"/>
        </w:rPr>
        <w:t>izvijestio Vladu pismom od 25. svibnja 2016.</w:t>
      </w:r>
      <w:r w:rsidRPr="006F7195">
        <w:t xml:space="preserve"> </w:t>
      </w:r>
    </w:p>
    <w:p w14:paraId="473591AD" w14:textId="77777777" w:rsidR="009E01EC" w:rsidRPr="00A05882" w:rsidRDefault="009E01EC" w:rsidP="009E01EC">
      <w:pPr>
        <w:spacing w:after="120" w:line="240" w:lineRule="auto"/>
        <w:jc w:val="both"/>
        <w:rPr>
          <w:rFonts w:ascii="Times New Roman" w:eastAsia="Calibri" w:hAnsi="Times New Roman" w:cs="Times New Roman"/>
          <w:sz w:val="24"/>
          <w:szCs w:val="24"/>
        </w:rPr>
      </w:pPr>
      <w:r w:rsidRPr="00A05882">
        <w:rPr>
          <w:rFonts w:ascii="Times New Roman" w:eastAsia="Times New Roman" w:hAnsi="Times New Roman" w:cs="Times New Roman"/>
          <w:sz w:val="24"/>
          <w:szCs w:val="24"/>
        </w:rPr>
        <w:t>S obzirom na sve izneseno, prema procjeni Povjerenstva</w:t>
      </w:r>
      <w:r>
        <w:rPr>
          <w:rFonts w:ascii="Times New Roman" w:eastAsia="Times New Roman" w:hAnsi="Times New Roman" w:cs="Times New Roman"/>
          <w:sz w:val="24"/>
          <w:szCs w:val="24"/>
        </w:rPr>
        <w:t>,</w:t>
      </w:r>
      <w:r w:rsidRPr="00A05882">
        <w:rPr>
          <w:rFonts w:ascii="Times New Roman" w:eastAsia="Times New Roman" w:hAnsi="Times New Roman" w:cs="Times New Roman"/>
          <w:sz w:val="24"/>
          <w:szCs w:val="24"/>
        </w:rPr>
        <w:t xml:space="preserve"> postoji velika vjerojatnost da bi </w:t>
      </w:r>
      <w:r>
        <w:rPr>
          <w:rFonts w:ascii="Times New Roman" w:eastAsia="Calibri" w:hAnsi="Times New Roman" w:cs="Times New Roman"/>
          <w:sz w:val="24"/>
          <w:szCs w:val="24"/>
        </w:rPr>
        <w:t>U</w:t>
      </w:r>
      <w:r w:rsidRPr="00A05882">
        <w:rPr>
          <w:rFonts w:ascii="Times New Roman" w:eastAsia="Calibri" w:hAnsi="Times New Roman" w:cs="Times New Roman"/>
          <w:sz w:val="24"/>
          <w:szCs w:val="24"/>
        </w:rPr>
        <w:t>lagač</w:t>
      </w:r>
      <w:r>
        <w:rPr>
          <w:rFonts w:ascii="Times New Roman" w:eastAsia="Calibri" w:hAnsi="Times New Roman" w:cs="Times New Roman"/>
          <w:sz w:val="24"/>
          <w:szCs w:val="24"/>
        </w:rPr>
        <w:t>i</w:t>
      </w:r>
      <w:r w:rsidRPr="00A05882">
        <w:rPr>
          <w:rFonts w:ascii="Times New Roman" w:eastAsia="Calibri" w:hAnsi="Times New Roman" w:cs="Times New Roman"/>
          <w:sz w:val="24"/>
          <w:szCs w:val="24"/>
        </w:rPr>
        <w:t xml:space="preserve"> u</w:t>
      </w:r>
      <w:r w:rsidRPr="00FF6D55">
        <w:rPr>
          <w:rFonts w:ascii="Times New Roman" w:eastAsia="Calibri" w:hAnsi="Times New Roman" w:cs="Times New Roman"/>
          <w:sz w:val="24"/>
          <w:szCs w:val="24"/>
        </w:rPr>
        <w:t xml:space="preserve"> arbitražnom postupku mog</w:t>
      </w:r>
      <w:r>
        <w:rPr>
          <w:rFonts w:ascii="Times New Roman" w:eastAsia="Calibri" w:hAnsi="Times New Roman" w:cs="Times New Roman"/>
          <w:sz w:val="24"/>
          <w:szCs w:val="24"/>
        </w:rPr>
        <w:t xml:space="preserve">li </w:t>
      </w:r>
      <w:r w:rsidRPr="00FF6D55">
        <w:rPr>
          <w:rFonts w:ascii="Times New Roman" w:eastAsia="Calibri" w:hAnsi="Times New Roman" w:cs="Times New Roman"/>
          <w:sz w:val="24"/>
          <w:szCs w:val="24"/>
        </w:rPr>
        <w:t>dokazati barem jednu od gore navedenih povreda Ugovora, a uzimajući u obzir dugotrajnost arbitražnih postupaka i njihovih troškova te reputacijske rizike koje sa sobom nosi moguća arbitraža, članovi Povjerenstva su stajališta da bi se s</w:t>
      </w:r>
      <w:r>
        <w:rPr>
          <w:rFonts w:ascii="Times New Roman" w:eastAsia="Calibri" w:hAnsi="Times New Roman" w:cs="Times New Roman"/>
          <w:sz w:val="24"/>
          <w:szCs w:val="24"/>
        </w:rPr>
        <w:t>por s</w:t>
      </w:r>
      <w:r w:rsidRPr="00FF6D55">
        <w:rPr>
          <w:rFonts w:ascii="Times New Roman" w:eastAsia="Calibri" w:hAnsi="Times New Roman" w:cs="Times New Roman"/>
          <w:sz w:val="24"/>
          <w:szCs w:val="24"/>
        </w:rPr>
        <w:t xml:space="preserve"> </w:t>
      </w:r>
      <w:r>
        <w:rPr>
          <w:rFonts w:ascii="Times New Roman" w:eastAsia="Calibri" w:hAnsi="Times New Roman" w:cs="Times New Roman"/>
          <w:sz w:val="24"/>
          <w:szCs w:val="24"/>
        </w:rPr>
        <w:t>U</w:t>
      </w:r>
      <w:r w:rsidRPr="00FF6D55">
        <w:rPr>
          <w:rFonts w:ascii="Times New Roman" w:eastAsia="Calibri" w:hAnsi="Times New Roman" w:cs="Times New Roman"/>
          <w:sz w:val="24"/>
          <w:szCs w:val="24"/>
        </w:rPr>
        <w:t>lagač</w:t>
      </w:r>
      <w:r>
        <w:rPr>
          <w:rFonts w:ascii="Times New Roman" w:eastAsia="Calibri" w:hAnsi="Times New Roman" w:cs="Times New Roman"/>
          <w:sz w:val="24"/>
          <w:szCs w:val="24"/>
        </w:rPr>
        <w:t xml:space="preserve">ima </w:t>
      </w:r>
      <w:r w:rsidRPr="00A05882">
        <w:rPr>
          <w:rFonts w:ascii="Times New Roman" w:eastAsia="Calibri" w:hAnsi="Times New Roman" w:cs="Times New Roman"/>
          <w:sz w:val="24"/>
          <w:szCs w:val="24"/>
        </w:rPr>
        <w:t>treba</w:t>
      </w:r>
      <w:r>
        <w:rPr>
          <w:rFonts w:ascii="Times New Roman" w:eastAsia="Calibri" w:hAnsi="Times New Roman" w:cs="Times New Roman"/>
          <w:sz w:val="24"/>
          <w:szCs w:val="24"/>
        </w:rPr>
        <w:t>o riješiti mirnim putem.</w:t>
      </w:r>
    </w:p>
    <w:p w14:paraId="6D2285D1" w14:textId="77777777" w:rsidR="009E01EC" w:rsidRPr="00817AE3" w:rsidRDefault="009E01EC" w:rsidP="009E01EC">
      <w:pPr>
        <w:tabs>
          <w:tab w:val="left" w:pos="426"/>
        </w:tabs>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U tom smislu, </w:t>
      </w:r>
      <w:r w:rsidRPr="00A05882">
        <w:rPr>
          <w:rFonts w:ascii="Times New Roman" w:eastAsia="Times New Roman" w:hAnsi="Times New Roman" w:cs="Times New Roman"/>
          <w:sz w:val="24"/>
          <w:szCs w:val="24"/>
        </w:rPr>
        <w:t xml:space="preserve">Povjerenstvo je u svojim raspravama ocijenilo </w:t>
      </w:r>
      <w:r>
        <w:rPr>
          <w:rFonts w:ascii="Times New Roman" w:eastAsia="Times New Roman" w:hAnsi="Times New Roman" w:cs="Times New Roman"/>
          <w:sz w:val="24"/>
          <w:szCs w:val="24"/>
        </w:rPr>
        <w:t xml:space="preserve">osobito opravdanim </w:t>
      </w:r>
      <w:r w:rsidRPr="00A05882">
        <w:rPr>
          <w:rFonts w:ascii="Times New Roman" w:eastAsia="Times New Roman" w:hAnsi="Times New Roman" w:cs="Times New Roman"/>
          <w:sz w:val="24"/>
          <w:szCs w:val="24"/>
        </w:rPr>
        <w:t xml:space="preserve">sklopiti </w:t>
      </w:r>
      <w:r>
        <w:rPr>
          <w:rFonts w:ascii="Times New Roman" w:eastAsia="Times New Roman" w:hAnsi="Times New Roman" w:cs="Times New Roman"/>
          <w:sz w:val="24"/>
          <w:szCs w:val="24"/>
        </w:rPr>
        <w:t>sporazum o prijateljskom rješenju spora</w:t>
      </w:r>
      <w:r w:rsidRPr="00A05882">
        <w:rPr>
          <w:rFonts w:ascii="Times New Roman" w:eastAsia="Times New Roman" w:hAnsi="Times New Roman" w:cs="Times New Roman"/>
          <w:sz w:val="24"/>
          <w:szCs w:val="24"/>
        </w:rPr>
        <w:t xml:space="preserve"> u dijelu koji se odnosi na izvlaštenje temeljem sklopljenih</w:t>
      </w:r>
      <w:r>
        <w:rPr>
          <w:rFonts w:ascii="Times New Roman" w:eastAsia="Times New Roman" w:hAnsi="Times New Roman" w:cs="Times New Roman"/>
          <w:sz w:val="24"/>
          <w:szCs w:val="24"/>
        </w:rPr>
        <w:t xml:space="preserve"> ugovora o nadoknadi dionica</w:t>
      </w:r>
      <w:r w:rsidRPr="00A058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za koje je </w:t>
      </w:r>
      <w:r w:rsidRPr="003B6714">
        <w:rPr>
          <w:rFonts w:ascii="Times New Roman" w:eastAsia="Times New Roman" w:hAnsi="Times New Roman" w:cs="Times New Roman"/>
          <w:sz w:val="24"/>
          <w:szCs w:val="24"/>
        </w:rPr>
        <w:t>nedvojbeno utvr</w:t>
      </w:r>
      <w:r>
        <w:rPr>
          <w:rFonts w:ascii="Times New Roman" w:eastAsia="Times New Roman" w:hAnsi="Times New Roman" w:cs="Times New Roman"/>
          <w:sz w:val="24"/>
          <w:szCs w:val="24"/>
        </w:rPr>
        <w:t xml:space="preserve">đeno, temeljem dokumentacije CERP-a, </w:t>
      </w:r>
      <w:r w:rsidRPr="003B6714">
        <w:rPr>
          <w:rFonts w:ascii="Times New Roman" w:eastAsia="Times New Roman" w:hAnsi="Times New Roman" w:cs="Times New Roman"/>
          <w:sz w:val="24"/>
          <w:szCs w:val="24"/>
        </w:rPr>
        <w:t xml:space="preserve">da je neispunjenjem obveza iz ugovora o nadoknadi dionica </w:t>
      </w:r>
      <w:r>
        <w:rPr>
          <w:rFonts w:ascii="Times New Roman" w:eastAsia="Times New Roman" w:hAnsi="Times New Roman" w:cs="Times New Roman"/>
          <w:sz w:val="24"/>
          <w:szCs w:val="24"/>
        </w:rPr>
        <w:t>U</w:t>
      </w:r>
      <w:r w:rsidRPr="003B6714">
        <w:rPr>
          <w:rFonts w:ascii="Times New Roman" w:eastAsia="Times New Roman" w:hAnsi="Times New Roman" w:cs="Times New Roman"/>
          <w:sz w:val="24"/>
          <w:szCs w:val="24"/>
        </w:rPr>
        <w:t>lagač</w:t>
      </w:r>
      <w:r>
        <w:rPr>
          <w:rFonts w:ascii="Times New Roman" w:eastAsia="Times New Roman" w:hAnsi="Times New Roman" w:cs="Times New Roman"/>
          <w:sz w:val="24"/>
          <w:szCs w:val="24"/>
        </w:rPr>
        <w:t xml:space="preserve">ima </w:t>
      </w:r>
      <w:r w:rsidRPr="003B6714">
        <w:rPr>
          <w:rFonts w:ascii="Times New Roman" w:eastAsia="Times New Roman" w:hAnsi="Times New Roman" w:cs="Times New Roman"/>
          <w:sz w:val="24"/>
          <w:szCs w:val="24"/>
        </w:rPr>
        <w:t>nan</w:t>
      </w:r>
      <w:r>
        <w:rPr>
          <w:rFonts w:ascii="Times New Roman" w:eastAsia="Times New Roman" w:hAnsi="Times New Roman" w:cs="Times New Roman"/>
          <w:sz w:val="24"/>
          <w:szCs w:val="24"/>
        </w:rPr>
        <w:t xml:space="preserve">esena </w:t>
      </w:r>
      <w:r w:rsidRPr="003B6714">
        <w:rPr>
          <w:rFonts w:ascii="Times New Roman" w:eastAsia="Times New Roman" w:hAnsi="Times New Roman" w:cs="Times New Roman"/>
          <w:sz w:val="24"/>
          <w:szCs w:val="24"/>
        </w:rPr>
        <w:t>šteta</w:t>
      </w:r>
      <w:r>
        <w:rPr>
          <w:rFonts w:ascii="Times New Roman" w:eastAsia="Times New Roman" w:hAnsi="Times New Roman" w:cs="Times New Roman"/>
          <w:sz w:val="24"/>
          <w:szCs w:val="24"/>
        </w:rPr>
        <w:t xml:space="preserve">. Radi vještačenja iznosa štete, </w:t>
      </w:r>
      <w:r w:rsidRPr="00FF6D55">
        <w:rPr>
          <w:rFonts w:ascii="Times New Roman" w:eastAsia="Calibri" w:hAnsi="Times New Roman" w:cs="Times New Roman"/>
          <w:sz w:val="24"/>
          <w:szCs w:val="24"/>
        </w:rPr>
        <w:t>Povjerenstvo je</w:t>
      </w:r>
      <w:r>
        <w:rPr>
          <w:rFonts w:ascii="Times New Roman" w:eastAsia="Calibri" w:hAnsi="Times New Roman" w:cs="Times New Roman"/>
          <w:sz w:val="24"/>
          <w:szCs w:val="24"/>
        </w:rPr>
        <w:t xml:space="preserve"> zatražilo mišljenje neovisne </w:t>
      </w:r>
      <w:r w:rsidRPr="00F100AE">
        <w:rPr>
          <w:rFonts w:ascii="Times New Roman" w:eastAsia="Calibri" w:hAnsi="Times New Roman" w:cs="Times New Roman"/>
          <w:sz w:val="24"/>
          <w:szCs w:val="24"/>
        </w:rPr>
        <w:t xml:space="preserve">revizorske kuće </w:t>
      </w:r>
      <w:r>
        <w:rPr>
          <w:rFonts w:ascii="Times New Roman" w:eastAsia="Calibri" w:hAnsi="Times New Roman" w:cs="Times New Roman"/>
          <w:sz w:val="24"/>
          <w:szCs w:val="24"/>
        </w:rPr>
        <w:t xml:space="preserve">o mogućim vrijednostima štete koju </w:t>
      </w:r>
      <w:r>
        <w:rPr>
          <w:rFonts w:ascii="Times New Roman" w:eastAsia="Calibri" w:hAnsi="Times New Roman" w:cs="Times New Roman"/>
          <w:sz w:val="24"/>
          <w:szCs w:val="24"/>
        </w:rPr>
        <w:lastRenderedPageBreak/>
        <w:t>bi Ulagačima trebalo nadoknaditi temeljem neizvršenih ugovora o nadoknadi dionica.</w:t>
      </w:r>
    </w:p>
    <w:p w14:paraId="60749950" w14:textId="77777777" w:rsidR="009E01EC" w:rsidRDefault="009E01EC" w:rsidP="009E01EC">
      <w:pPr>
        <w:spacing w:after="120" w:line="240" w:lineRule="auto"/>
        <w:jc w:val="both"/>
        <w:rPr>
          <w:rFonts w:ascii="Times New Roman" w:eastAsia="Times New Roman" w:hAnsi="Times New Roman" w:cs="Times New Roman"/>
          <w:sz w:val="24"/>
          <w:szCs w:val="24"/>
        </w:rPr>
      </w:pPr>
      <w:r w:rsidRPr="006F7195">
        <w:rPr>
          <w:rFonts w:ascii="Times New Roman" w:eastAsia="Calibri" w:hAnsi="Times New Roman" w:cs="Times New Roman"/>
          <w:sz w:val="24"/>
          <w:szCs w:val="24"/>
        </w:rPr>
        <w:t xml:space="preserve">U pregovorima s </w:t>
      </w:r>
      <w:r>
        <w:rPr>
          <w:rFonts w:ascii="Times New Roman" w:eastAsia="Calibri" w:hAnsi="Times New Roman" w:cs="Times New Roman"/>
          <w:sz w:val="24"/>
          <w:szCs w:val="24"/>
        </w:rPr>
        <w:t xml:space="preserve">predstavnicima Ulagača </w:t>
      </w:r>
      <w:r w:rsidRPr="006F7195">
        <w:rPr>
          <w:rFonts w:ascii="Times New Roman" w:eastAsia="Calibri" w:hAnsi="Times New Roman" w:cs="Times New Roman"/>
          <w:sz w:val="24"/>
          <w:szCs w:val="24"/>
        </w:rPr>
        <w:t>koji su se održali u online formatu 4. veljače 2021.</w:t>
      </w:r>
      <w:r>
        <w:rPr>
          <w:rFonts w:ascii="Times New Roman" w:eastAsia="Calibri" w:hAnsi="Times New Roman" w:cs="Times New Roman"/>
          <w:sz w:val="24"/>
          <w:szCs w:val="24"/>
        </w:rPr>
        <w:t xml:space="preserve"> te </w:t>
      </w:r>
      <w:r w:rsidRPr="006F7195">
        <w:rPr>
          <w:rFonts w:ascii="Times New Roman" w:eastAsia="Calibri" w:hAnsi="Times New Roman" w:cs="Times New Roman"/>
          <w:sz w:val="24"/>
          <w:szCs w:val="24"/>
        </w:rPr>
        <w:t xml:space="preserve">22. travnja 2021. </w:t>
      </w:r>
      <w:r>
        <w:rPr>
          <w:rFonts w:ascii="Times New Roman" w:eastAsia="Calibri" w:hAnsi="Times New Roman" w:cs="Times New Roman"/>
          <w:sz w:val="24"/>
          <w:szCs w:val="24"/>
        </w:rPr>
        <w:t xml:space="preserve">predstavnici Ulagača su iznijeli svoj inicijalni </w:t>
      </w:r>
      <w:r>
        <w:rPr>
          <w:rFonts w:ascii="Times New Roman" w:eastAsia="Times New Roman" w:hAnsi="Times New Roman" w:cs="Times New Roman"/>
          <w:sz w:val="24"/>
          <w:szCs w:val="24"/>
        </w:rPr>
        <w:t xml:space="preserve">zahtjev u odnosu na </w:t>
      </w:r>
      <w:r w:rsidRPr="00817AE3">
        <w:rPr>
          <w:rFonts w:ascii="Times New Roman" w:eastAsia="Times New Roman" w:hAnsi="Times New Roman" w:cs="Times New Roman"/>
          <w:sz w:val="24"/>
          <w:szCs w:val="24"/>
        </w:rPr>
        <w:t>iznos koji bi zahtijeva</w:t>
      </w:r>
      <w:r>
        <w:rPr>
          <w:rFonts w:ascii="Times New Roman" w:eastAsia="Times New Roman" w:hAnsi="Times New Roman" w:cs="Times New Roman"/>
          <w:sz w:val="24"/>
          <w:szCs w:val="24"/>
        </w:rPr>
        <w:t xml:space="preserve">li </w:t>
      </w:r>
      <w:r w:rsidRPr="00817AE3">
        <w:rPr>
          <w:rFonts w:ascii="Times New Roman" w:eastAsia="Times New Roman" w:hAnsi="Times New Roman" w:cs="Times New Roman"/>
          <w:sz w:val="24"/>
          <w:szCs w:val="24"/>
        </w:rPr>
        <w:t xml:space="preserve">u arbitraži, a koji </w:t>
      </w:r>
      <w:r>
        <w:rPr>
          <w:rFonts w:ascii="Times New Roman" w:eastAsia="Times New Roman" w:hAnsi="Times New Roman" w:cs="Times New Roman"/>
          <w:sz w:val="24"/>
          <w:szCs w:val="24"/>
        </w:rPr>
        <w:t xml:space="preserve">bi se, ovisno o povredama Ugovora koje bi bile utvrđene u arbitražnom postupku, </w:t>
      </w:r>
      <w:r w:rsidRPr="0015044C">
        <w:rPr>
          <w:rFonts w:ascii="Times New Roman" w:eastAsia="Times New Roman" w:hAnsi="Times New Roman" w:cs="Times New Roman"/>
          <w:sz w:val="24"/>
          <w:szCs w:val="24"/>
        </w:rPr>
        <w:t xml:space="preserve">kretao od 825 milijuna kuna zbog povrede poštenog i pravičnog tretmana pa sve do 1,25 milijarde kuna usporedbom vrijednosti portfelja odnosnog PIF-a i vrijednosti sklopljenih nagodbi u prethodnim sličnim slučajevima. Ne ulazeći u eventualni ishod mogućeg arbitražnog postupka, ocjena je Povjerenstva da ovakvi financijski zahtjevi nisu u potpunosti bez temelja u dokumentaciji koja je prikupljena u </w:t>
      </w:r>
      <w:r w:rsidRPr="00FA4EC4">
        <w:rPr>
          <w:rFonts w:ascii="Times New Roman" w:eastAsia="Times New Roman" w:hAnsi="Times New Roman" w:cs="Times New Roman"/>
          <w:sz w:val="24"/>
          <w:szCs w:val="24"/>
        </w:rPr>
        <w:t>sporu.</w:t>
      </w:r>
      <w:r w:rsidRPr="00817AE3" w:rsidDel="00D1475D">
        <w:rPr>
          <w:rFonts w:ascii="Times New Roman" w:eastAsia="Times New Roman" w:hAnsi="Times New Roman" w:cs="Times New Roman"/>
          <w:sz w:val="24"/>
          <w:szCs w:val="24"/>
        </w:rPr>
        <w:t xml:space="preserve"> </w:t>
      </w:r>
    </w:p>
    <w:p w14:paraId="742A6B99" w14:textId="77777777" w:rsidR="009E01EC" w:rsidRDefault="009E01EC" w:rsidP="009E01EC">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Tijekom pregovora, a u cilju prijateljskog rješenja spora, </w:t>
      </w:r>
      <w:r>
        <w:rPr>
          <w:rFonts w:ascii="Times New Roman" w:eastAsia="Calibri" w:hAnsi="Times New Roman" w:cs="Times New Roman"/>
          <w:sz w:val="24"/>
          <w:szCs w:val="24"/>
        </w:rPr>
        <w:t xml:space="preserve">predstavnici Ulagača </w:t>
      </w:r>
      <w:r>
        <w:rPr>
          <w:rFonts w:ascii="Times New Roman" w:hAnsi="Times New Roman" w:cs="Times New Roman"/>
          <w:sz w:val="24"/>
          <w:szCs w:val="24"/>
        </w:rPr>
        <w:t>su preliminarno pristali da</w:t>
      </w:r>
      <w:r w:rsidRPr="004917D8">
        <w:rPr>
          <w:rFonts w:ascii="Times New Roman" w:hAnsi="Times New Roman" w:cs="Times New Roman"/>
          <w:sz w:val="24"/>
          <w:szCs w:val="24"/>
        </w:rPr>
        <w:t xml:space="preserve"> se</w:t>
      </w:r>
      <w:r w:rsidRPr="001C47A2">
        <w:rPr>
          <w:rFonts w:ascii="Times New Roman" w:eastAsia="Calibri" w:hAnsi="Times New Roman" w:cs="Times New Roman"/>
          <w:sz w:val="24"/>
          <w:szCs w:val="24"/>
        </w:rPr>
        <w:t xml:space="preserve"> razgovori</w:t>
      </w:r>
      <w:r w:rsidRPr="00D76416">
        <w:rPr>
          <w:rFonts w:ascii="Times New Roman" w:eastAsia="Calibri" w:hAnsi="Times New Roman" w:cs="Times New Roman"/>
          <w:sz w:val="24"/>
          <w:szCs w:val="24"/>
        </w:rPr>
        <w:t xml:space="preserve"> oko mogućeg rješenja spora nastav</w:t>
      </w:r>
      <w:r>
        <w:rPr>
          <w:rFonts w:ascii="Times New Roman" w:eastAsia="Calibri" w:hAnsi="Times New Roman" w:cs="Times New Roman"/>
          <w:sz w:val="24"/>
          <w:szCs w:val="24"/>
        </w:rPr>
        <w:t>e samo</w:t>
      </w:r>
      <w:r w:rsidRPr="00D76416">
        <w:rPr>
          <w:rFonts w:ascii="Times New Roman" w:eastAsia="Calibri" w:hAnsi="Times New Roman" w:cs="Times New Roman"/>
          <w:sz w:val="24"/>
          <w:szCs w:val="24"/>
        </w:rPr>
        <w:t xml:space="preserve"> u dijelu koji se odnosi na naknadu za neispunjenje tri</w:t>
      </w:r>
      <w:r>
        <w:rPr>
          <w:rFonts w:ascii="Times New Roman" w:eastAsia="Calibri" w:hAnsi="Times New Roman" w:cs="Times New Roman"/>
          <w:sz w:val="24"/>
          <w:szCs w:val="24"/>
        </w:rPr>
        <w:t>ju</w:t>
      </w:r>
      <w:r w:rsidRPr="00D76416">
        <w:rPr>
          <w:rFonts w:ascii="Times New Roman" w:eastAsia="Calibri" w:hAnsi="Times New Roman" w:cs="Times New Roman"/>
          <w:sz w:val="24"/>
          <w:szCs w:val="24"/>
        </w:rPr>
        <w:t xml:space="preserve"> ugovora o </w:t>
      </w:r>
      <w:r>
        <w:rPr>
          <w:rFonts w:ascii="Times New Roman" w:eastAsia="Calibri" w:hAnsi="Times New Roman" w:cs="Times New Roman"/>
          <w:sz w:val="24"/>
          <w:szCs w:val="24"/>
        </w:rPr>
        <w:t xml:space="preserve">nadoknadi dionica za koje je nedvojbeno utvrđeno da nisu ispunjeni, a ovisno o postignutom dogovoru, iskazali su spremnost odustati od svojih zahtjeva </w:t>
      </w:r>
      <w:r>
        <w:rPr>
          <w:rFonts w:ascii="Times New Roman" w:hAnsi="Times New Roman" w:cs="Times New Roman"/>
          <w:sz w:val="24"/>
          <w:szCs w:val="24"/>
        </w:rPr>
        <w:t xml:space="preserve">u pogledu povrede poštenog i pravičnog tretmana (legitimnih očekivanja), uskrate pravičnog sudskog postupka i nacionalnog tretmana. </w:t>
      </w:r>
    </w:p>
    <w:p w14:paraId="1A6ECF1C" w14:textId="77777777" w:rsidR="009E01EC" w:rsidRDefault="009E01EC" w:rsidP="009E01EC">
      <w:pPr>
        <w:spacing w:after="120" w:line="240" w:lineRule="auto"/>
        <w:jc w:val="both"/>
        <w:rPr>
          <w:rFonts w:ascii="Times New Roman" w:eastAsia="Calibri" w:hAnsi="Times New Roman" w:cs="Times New Roman"/>
          <w:sz w:val="24"/>
          <w:szCs w:val="24"/>
        </w:rPr>
      </w:pPr>
      <w:r w:rsidRPr="0015044C">
        <w:rPr>
          <w:rFonts w:ascii="Times New Roman" w:hAnsi="Times New Roman" w:cs="Times New Roman"/>
          <w:sz w:val="24"/>
          <w:szCs w:val="24"/>
        </w:rPr>
        <w:t>Takav pristup daljnjem tijeku pregovora i mirnom rješenju spora dalo je i Državno odvjetništvo Republike Hrvatske u svojem očitovanju Uredu predsjednika Vlade Republike Hrvatske od 9. lipnja 2021. (broj: M-DO-102/2021-2).</w:t>
      </w:r>
      <w:r>
        <w:rPr>
          <w:rFonts w:ascii="Times New Roman" w:hAnsi="Times New Roman" w:cs="Times New Roman"/>
          <w:sz w:val="24"/>
          <w:szCs w:val="24"/>
        </w:rPr>
        <w:t xml:space="preserve"> </w:t>
      </w:r>
    </w:p>
    <w:p w14:paraId="280C28D5" w14:textId="77777777" w:rsidR="009E01EC" w:rsidRDefault="009E01EC" w:rsidP="009E01EC">
      <w:pPr>
        <w:tabs>
          <w:tab w:val="left" w:pos="426"/>
        </w:tabs>
        <w:jc w:val="both"/>
        <w:rPr>
          <w:rFonts w:ascii="Times New Roman" w:eastAsia="Calibri" w:hAnsi="Times New Roman" w:cs="Times New Roman"/>
          <w:sz w:val="24"/>
          <w:szCs w:val="24"/>
        </w:rPr>
      </w:pPr>
      <w:r>
        <w:rPr>
          <w:rFonts w:ascii="Times New Roman" w:eastAsia="Calibri" w:hAnsi="Times New Roman" w:cs="Times New Roman"/>
          <w:sz w:val="24"/>
          <w:szCs w:val="24"/>
        </w:rPr>
        <w:t>Završnim pregovorima održanim 18. i 19. listopada 2021. u Zagrebu,  usuglašeno je da bi se spor mogao riješiti prijateljskim putem isplatom</w:t>
      </w:r>
      <w:r w:rsidRPr="001C47A2">
        <w:rPr>
          <w:rFonts w:ascii="Times New Roman" w:eastAsia="Calibri" w:hAnsi="Times New Roman" w:cs="Times New Roman"/>
          <w:sz w:val="24"/>
          <w:szCs w:val="24"/>
        </w:rPr>
        <w:t xml:space="preserve"> 297.000.000,00 </w:t>
      </w:r>
      <w:r>
        <w:rPr>
          <w:rFonts w:ascii="Times New Roman" w:eastAsia="Calibri" w:hAnsi="Times New Roman" w:cs="Times New Roman"/>
          <w:sz w:val="24"/>
          <w:szCs w:val="24"/>
        </w:rPr>
        <w:t xml:space="preserve">kuna od strane Republike Hrvatske, čime bi </w:t>
      </w:r>
      <w:r w:rsidRPr="001C47A2">
        <w:rPr>
          <w:rFonts w:ascii="Times New Roman" w:eastAsia="Calibri" w:hAnsi="Times New Roman" w:cs="Times New Roman"/>
          <w:sz w:val="24"/>
          <w:szCs w:val="24"/>
        </w:rPr>
        <w:t>se ulagač odrekao svih ostalih potraživanja prema Republici Hrvatskoj</w:t>
      </w:r>
      <w:r>
        <w:rPr>
          <w:rFonts w:ascii="Times New Roman" w:eastAsia="Calibri" w:hAnsi="Times New Roman" w:cs="Times New Roman"/>
          <w:sz w:val="24"/>
          <w:szCs w:val="24"/>
        </w:rPr>
        <w:t xml:space="preserve">, uključujući i potraživanja temeljem police osiguranja kod DFC-a. </w:t>
      </w:r>
    </w:p>
    <w:p w14:paraId="75874E0A" w14:textId="77777777" w:rsidR="009E01EC" w:rsidRDefault="009E01EC" w:rsidP="009E01EC">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Dodatno, predloženo je da se u sporazumu o prijateljskom rješenju spora definira obveza Ulagača da 100.000.000,00 kuna uloži u daljnji razvoj svojeg poslovanja u Republici Hrvatskoj, tj. podredno, da taj iznos </w:t>
      </w:r>
      <w:r w:rsidRPr="00876CC8">
        <w:rPr>
          <w:rFonts w:ascii="Times New Roman" w:eastAsia="Calibri" w:hAnsi="Times New Roman" w:cs="Times New Roman"/>
          <w:sz w:val="24"/>
          <w:szCs w:val="24"/>
        </w:rPr>
        <w:t>uloži</w:t>
      </w:r>
      <w:r>
        <w:rPr>
          <w:rFonts w:ascii="Times New Roman" w:eastAsia="Calibri" w:hAnsi="Times New Roman" w:cs="Times New Roman"/>
          <w:sz w:val="24"/>
          <w:szCs w:val="24"/>
        </w:rPr>
        <w:t xml:space="preserve"> </w:t>
      </w:r>
      <w:r w:rsidRPr="00876CC8">
        <w:rPr>
          <w:rFonts w:ascii="Times New Roman" w:eastAsia="Calibri" w:hAnsi="Times New Roman" w:cs="Times New Roman"/>
          <w:sz w:val="24"/>
          <w:szCs w:val="24"/>
        </w:rPr>
        <w:t>u projekte povezane uz obnovu dijelova Grada Zagreba, Sisačko-moslavačke, Zagrebačke i/ili Karlovačke županije pogođenih potresima tijekom 2020.</w:t>
      </w:r>
    </w:p>
    <w:p w14:paraId="62C9CD97" w14:textId="77777777" w:rsidR="009E01EC" w:rsidRPr="00FF6D55" w:rsidRDefault="009E01EC" w:rsidP="009E01EC">
      <w:pPr>
        <w:tabs>
          <w:tab w:val="left" w:pos="426"/>
        </w:tabs>
        <w:jc w:val="both"/>
        <w:rPr>
          <w:rFonts w:ascii="Times New Roman" w:eastAsia="Calibri" w:hAnsi="Times New Roman" w:cs="Times New Roman"/>
          <w:sz w:val="24"/>
          <w:szCs w:val="24"/>
        </w:rPr>
      </w:pPr>
      <w:r>
        <w:rPr>
          <w:rFonts w:ascii="Times New Roman" w:eastAsia="Calibri" w:hAnsi="Times New Roman" w:cs="Times New Roman"/>
          <w:sz w:val="24"/>
          <w:szCs w:val="24"/>
        </w:rPr>
        <w:t>O ishodu pregovora s Ulagačem i svojem prijedlogu Vladi, Povjerenstvo je izvijestilo javnost priopćenjem koje je Ministarstvo vanjskih i europskih poslova objavilo 10. prosinca 2021.</w:t>
      </w:r>
    </w:p>
    <w:p w14:paraId="72E112B6" w14:textId="77777777" w:rsidR="009E01EC" w:rsidRPr="00DC5557" w:rsidRDefault="009E01EC" w:rsidP="009E01EC">
      <w:pPr>
        <w:tabs>
          <w:tab w:val="left" w:pos="426"/>
        </w:tabs>
        <w:jc w:val="both"/>
        <w:rPr>
          <w:rFonts w:ascii="Times New Roman" w:hAnsi="Times New Roman" w:cs="Times New Roman"/>
          <w:sz w:val="24"/>
          <w:szCs w:val="24"/>
        </w:rPr>
      </w:pPr>
      <w:r w:rsidRPr="00FF6D55">
        <w:rPr>
          <w:rFonts w:ascii="Times New Roman" w:eastAsia="Calibri" w:hAnsi="Times New Roman" w:cs="Times New Roman"/>
          <w:sz w:val="24"/>
          <w:szCs w:val="24"/>
        </w:rPr>
        <w:t xml:space="preserve">Slijedom svega navedenoga, </w:t>
      </w:r>
      <w:r>
        <w:rPr>
          <w:rFonts w:ascii="Times New Roman" w:eastAsia="Calibri" w:hAnsi="Times New Roman" w:cs="Times New Roman"/>
          <w:sz w:val="24"/>
          <w:szCs w:val="24"/>
        </w:rPr>
        <w:t xml:space="preserve">a u cilju izbjegavanja arbitražnog postupka i mogućeg postupka temeljem police osiguranja kod DFC-a, a koji bi za Republiku Hrvatsku predstavljali nedvojbeni financijski i reputacijski rizik, </w:t>
      </w:r>
      <w:r w:rsidRPr="00FF6D55">
        <w:rPr>
          <w:rFonts w:ascii="Times New Roman" w:eastAsia="Calibri" w:hAnsi="Times New Roman" w:cs="Times New Roman"/>
          <w:sz w:val="24"/>
          <w:szCs w:val="24"/>
        </w:rPr>
        <w:t xml:space="preserve">predlaže se Vladi donošenje </w:t>
      </w:r>
      <w:r>
        <w:rPr>
          <w:rFonts w:ascii="Times New Roman" w:hAnsi="Times New Roman" w:cs="Times New Roman"/>
          <w:sz w:val="24"/>
          <w:szCs w:val="24"/>
        </w:rPr>
        <w:t>o</w:t>
      </w:r>
      <w:r w:rsidRPr="00DC5557">
        <w:rPr>
          <w:rFonts w:ascii="Times New Roman" w:hAnsi="Times New Roman" w:cs="Times New Roman"/>
          <w:sz w:val="24"/>
          <w:szCs w:val="24"/>
        </w:rPr>
        <w:t xml:space="preserve">vog Zaključka. </w:t>
      </w:r>
    </w:p>
    <w:p w14:paraId="3F97CFCC" w14:textId="77777777" w:rsidR="009E01EC" w:rsidRPr="00DC5557" w:rsidRDefault="009E01EC" w:rsidP="009E01EC">
      <w:pPr>
        <w:jc w:val="right"/>
        <w:rPr>
          <w:rFonts w:ascii="Times New Roman" w:hAnsi="Times New Roman" w:cs="Times New Roman"/>
          <w:sz w:val="24"/>
          <w:szCs w:val="24"/>
        </w:rPr>
      </w:pPr>
    </w:p>
    <w:p w14:paraId="3E0B8C5E" w14:textId="77777777" w:rsidR="009E01EC" w:rsidRDefault="009E01EC" w:rsidP="009E01EC"/>
    <w:p w14:paraId="7E39CAEB" w14:textId="01D95617" w:rsidR="009E01EC" w:rsidRDefault="009E01EC" w:rsidP="00C543A5">
      <w:pPr>
        <w:ind w:left="3828"/>
        <w:jc w:val="center"/>
        <w:rPr>
          <w:rFonts w:ascii="Times New Roman" w:hAnsi="Times New Roman" w:cs="Times New Roman"/>
          <w:sz w:val="24"/>
          <w:szCs w:val="24"/>
        </w:rPr>
      </w:pPr>
    </w:p>
    <w:p w14:paraId="09C870B9" w14:textId="77777777" w:rsidR="009E01EC" w:rsidRPr="000858E9" w:rsidRDefault="009E01EC" w:rsidP="00C543A5">
      <w:pPr>
        <w:ind w:left="3828"/>
        <w:jc w:val="center"/>
        <w:rPr>
          <w:rFonts w:ascii="Times New Roman" w:hAnsi="Times New Roman" w:cs="Times New Roman"/>
          <w:sz w:val="24"/>
          <w:szCs w:val="24"/>
        </w:rPr>
      </w:pPr>
    </w:p>
    <w:p w14:paraId="64256887" w14:textId="77777777" w:rsidR="00C543A5" w:rsidRPr="00DC5557" w:rsidRDefault="00C543A5" w:rsidP="00F427C9">
      <w:pPr>
        <w:spacing w:line="259" w:lineRule="auto"/>
        <w:rPr>
          <w:rFonts w:ascii="Times New Roman" w:hAnsi="Times New Roman" w:cs="Times New Roman"/>
          <w:sz w:val="24"/>
          <w:szCs w:val="24"/>
        </w:rPr>
      </w:pPr>
      <w:r w:rsidRPr="00DC5557">
        <w:rPr>
          <w:rFonts w:ascii="Times New Roman" w:hAnsi="Times New Roman" w:cs="Times New Roman"/>
          <w:sz w:val="24"/>
          <w:szCs w:val="24"/>
        </w:rPr>
        <w:t xml:space="preserve"> </w:t>
      </w:r>
    </w:p>
    <w:sectPr w:rsidR="00C543A5" w:rsidRPr="00DC5557" w:rsidSect="001657F7">
      <w:headerReference w:type="default" r:id="rId9"/>
      <w:footerReference w:type="default" r:id="rId10"/>
      <w:headerReference w:type="firs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E46AE" w14:textId="77777777" w:rsidR="00426907" w:rsidRDefault="00426907" w:rsidP="00105EE9">
      <w:pPr>
        <w:spacing w:after="0" w:line="240" w:lineRule="auto"/>
      </w:pPr>
      <w:r>
        <w:separator/>
      </w:r>
    </w:p>
  </w:endnote>
  <w:endnote w:type="continuationSeparator" w:id="0">
    <w:p w14:paraId="674A41F2" w14:textId="77777777" w:rsidR="00426907" w:rsidRDefault="00426907" w:rsidP="00105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D6612" w14:textId="77777777" w:rsidR="000858E9" w:rsidRDefault="000858E9" w:rsidP="000858E9">
    <w:pPr>
      <w:spacing w:after="0" w:line="240" w:lineRule="auto"/>
      <w:jc w:val="center"/>
      <w:rPr>
        <w:rFonts w:ascii="Times New Roman" w:eastAsia="Times New Roman" w:hAnsi="Times New Roman" w:cs="Times New Roman"/>
        <w:snapToGrid w:val="0"/>
        <w:spacing w:val="20"/>
        <w:lang w:eastAsia="hr-HR"/>
      </w:rPr>
    </w:pPr>
    <w:r w:rsidRPr="00437BDC">
      <w:rPr>
        <w:rFonts w:ascii="Times New Roman" w:eastAsia="Times New Roman" w:hAnsi="Times New Roman" w:cs="Times New Roman"/>
        <w:snapToGrid w:val="0"/>
        <w:spacing w:val="20"/>
        <w:lang w:eastAsia="hr-HR"/>
      </w:rPr>
      <w:t>Banski dvori | Trg Sv. Marka 2 | 10000 Zagreb | tel. 01 4569 222 | vlada.gov.hr</w:t>
    </w:r>
  </w:p>
  <w:p w14:paraId="1D116F12" w14:textId="77777777" w:rsidR="00215258" w:rsidRDefault="002152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963B5" w14:textId="77777777" w:rsidR="00426907" w:rsidRDefault="00426907" w:rsidP="00105EE9">
      <w:pPr>
        <w:spacing w:after="0" w:line="240" w:lineRule="auto"/>
      </w:pPr>
      <w:r>
        <w:separator/>
      </w:r>
    </w:p>
  </w:footnote>
  <w:footnote w:type="continuationSeparator" w:id="0">
    <w:p w14:paraId="245311CA" w14:textId="77777777" w:rsidR="00426907" w:rsidRDefault="00426907" w:rsidP="00105E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9A84D" w14:textId="77777777" w:rsidR="008037B1" w:rsidRDefault="008037B1" w:rsidP="00DC5557">
    <w:pPr>
      <w:pStyle w:val="Header"/>
      <w:jc w:val="right"/>
      <w:rPr>
        <w:rFonts w:ascii="Times New Roman" w:hAnsi="Times New Roman" w:cs="Times New Roman"/>
        <w:b/>
        <w:sz w:val="24"/>
        <w:szCs w:val="24"/>
      </w:rPr>
    </w:pPr>
  </w:p>
  <w:p w14:paraId="654A74CD" w14:textId="77777777" w:rsidR="00876CC8" w:rsidRPr="00DC5557" w:rsidRDefault="00876CC8" w:rsidP="00DC5557">
    <w:pPr>
      <w:pStyle w:val="Header"/>
      <w:jc w:val="right"/>
      <w:rPr>
        <w:rFonts w:ascii="Times New Roman" w:hAnsi="Times New Roman" w:cs="Times New Roman"/>
        <w:b/>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6143692"/>
      <w:docPartObj>
        <w:docPartGallery w:val="Page Numbers (Top of Page)"/>
        <w:docPartUnique/>
      </w:docPartObj>
    </w:sdtPr>
    <w:sdtEndPr/>
    <w:sdtContent>
      <w:p w14:paraId="400458DE" w14:textId="77777777" w:rsidR="000A6E67" w:rsidRDefault="000A6E67">
        <w:pPr>
          <w:pStyle w:val="Header"/>
          <w:jc w:val="center"/>
        </w:pPr>
        <w:r>
          <w:fldChar w:fldCharType="begin"/>
        </w:r>
        <w:r>
          <w:instrText>PAGE   \* MERGEFORMAT</w:instrText>
        </w:r>
        <w:r>
          <w:fldChar w:fldCharType="separate"/>
        </w:r>
        <w:r>
          <w:rPr>
            <w:noProof/>
          </w:rPr>
          <w:t>1</w:t>
        </w:r>
        <w:r>
          <w:fldChar w:fldCharType="end"/>
        </w:r>
      </w:p>
    </w:sdtContent>
  </w:sdt>
  <w:p w14:paraId="01D21AC3" w14:textId="77777777" w:rsidR="000A6E67" w:rsidRPr="00921F62" w:rsidRDefault="000A6E67" w:rsidP="00F21D9E">
    <w:pPr>
      <w:pStyle w:val="Header"/>
      <w:tabs>
        <w:tab w:val="clear" w:pos="4536"/>
        <w:tab w:val="clear" w:pos="9072"/>
        <w:tab w:val="left" w:pos="604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406C"/>
    <w:multiLevelType w:val="hybridMultilevel"/>
    <w:tmpl w:val="82209A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B137C2B"/>
    <w:multiLevelType w:val="hybridMultilevel"/>
    <w:tmpl w:val="82902FDA"/>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271F1923"/>
    <w:multiLevelType w:val="hybridMultilevel"/>
    <w:tmpl w:val="85709B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D530AD"/>
    <w:multiLevelType w:val="hybridMultilevel"/>
    <w:tmpl w:val="4BB82DD8"/>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290B3B18"/>
    <w:multiLevelType w:val="hybridMultilevel"/>
    <w:tmpl w:val="A5C27F6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43B518E"/>
    <w:multiLevelType w:val="hybridMultilevel"/>
    <w:tmpl w:val="C94E5FD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542011EE"/>
    <w:multiLevelType w:val="hybridMultilevel"/>
    <w:tmpl w:val="FC90DC72"/>
    <w:lvl w:ilvl="0" w:tplc="267E3ACA">
      <w:start w:val="2"/>
      <w:numFmt w:val="bullet"/>
      <w:lvlText w:val="-"/>
      <w:lvlJc w:val="left"/>
      <w:pPr>
        <w:ind w:left="360" w:hanging="360"/>
      </w:pPr>
      <w:rPr>
        <w:rFonts w:ascii="Times New Roman" w:eastAsia="Times New Roman" w:hAnsi="Times New Roman"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4"/>
  </w:num>
  <w:num w:numId="4">
    <w:abstractNumId w:val="6"/>
  </w:num>
  <w:num w:numId="5">
    <w:abstractNumId w:val="1"/>
  </w:num>
  <w:num w:numId="6">
    <w:abstractNumId w:val="0"/>
  </w:num>
  <w:num w:numId="7">
    <w:abstractNumId w:val="5"/>
  </w:num>
  <w:num w:numId="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c0NTUxsDQxtjQwNjZQ0lEKTi0uzszPAykwrAUAuDa6FSwAAAA="/>
  </w:docVars>
  <w:rsids>
    <w:rsidRoot w:val="006D3A78"/>
    <w:rsid w:val="00012446"/>
    <w:rsid w:val="00013B09"/>
    <w:rsid w:val="0002613C"/>
    <w:rsid w:val="0003502F"/>
    <w:rsid w:val="000406B6"/>
    <w:rsid w:val="0004326A"/>
    <w:rsid w:val="0005129B"/>
    <w:rsid w:val="00056367"/>
    <w:rsid w:val="00061BBC"/>
    <w:rsid w:val="00066FFA"/>
    <w:rsid w:val="000858E9"/>
    <w:rsid w:val="000958FD"/>
    <w:rsid w:val="00095E06"/>
    <w:rsid w:val="000A1D00"/>
    <w:rsid w:val="000A3558"/>
    <w:rsid w:val="000A57EC"/>
    <w:rsid w:val="000A6E67"/>
    <w:rsid w:val="000B52C4"/>
    <w:rsid w:val="000C069E"/>
    <w:rsid w:val="000C0F94"/>
    <w:rsid w:val="000D18F0"/>
    <w:rsid w:val="000D5DFE"/>
    <w:rsid w:val="000D628D"/>
    <w:rsid w:val="00105EE9"/>
    <w:rsid w:val="00107865"/>
    <w:rsid w:val="001115FC"/>
    <w:rsid w:val="00112F9B"/>
    <w:rsid w:val="00121412"/>
    <w:rsid w:val="001307FB"/>
    <w:rsid w:val="00136670"/>
    <w:rsid w:val="00141CAC"/>
    <w:rsid w:val="00141D68"/>
    <w:rsid w:val="0015044C"/>
    <w:rsid w:val="0015466A"/>
    <w:rsid w:val="00154F64"/>
    <w:rsid w:val="00156959"/>
    <w:rsid w:val="001657F7"/>
    <w:rsid w:val="00176E1A"/>
    <w:rsid w:val="00186F17"/>
    <w:rsid w:val="0018718F"/>
    <w:rsid w:val="00191609"/>
    <w:rsid w:val="00194CEB"/>
    <w:rsid w:val="00194E80"/>
    <w:rsid w:val="001A1EAE"/>
    <w:rsid w:val="001A352B"/>
    <w:rsid w:val="001A3822"/>
    <w:rsid w:val="001A7C50"/>
    <w:rsid w:val="001C25CA"/>
    <w:rsid w:val="001C3D0B"/>
    <w:rsid w:val="001C4559"/>
    <w:rsid w:val="001C47A2"/>
    <w:rsid w:val="001C47C1"/>
    <w:rsid w:val="001C5CB3"/>
    <w:rsid w:val="001E4CB7"/>
    <w:rsid w:val="001E6413"/>
    <w:rsid w:val="001E74A2"/>
    <w:rsid w:val="001F2E0E"/>
    <w:rsid w:val="001F3CFC"/>
    <w:rsid w:val="00206B3F"/>
    <w:rsid w:val="00215258"/>
    <w:rsid w:val="0021770D"/>
    <w:rsid w:val="002224B0"/>
    <w:rsid w:val="002278F4"/>
    <w:rsid w:val="0023118F"/>
    <w:rsid w:val="00231F67"/>
    <w:rsid w:val="00236292"/>
    <w:rsid w:val="00237BDA"/>
    <w:rsid w:val="00242F78"/>
    <w:rsid w:val="00247199"/>
    <w:rsid w:val="00254DDA"/>
    <w:rsid w:val="002604C1"/>
    <w:rsid w:val="00263105"/>
    <w:rsid w:val="0026357F"/>
    <w:rsid w:val="00267DAD"/>
    <w:rsid w:val="00270F8A"/>
    <w:rsid w:val="0028276A"/>
    <w:rsid w:val="00291937"/>
    <w:rsid w:val="002A3CF6"/>
    <w:rsid w:val="002A5113"/>
    <w:rsid w:val="002A62E2"/>
    <w:rsid w:val="002B3C40"/>
    <w:rsid w:val="002B46E6"/>
    <w:rsid w:val="002C0DE8"/>
    <w:rsid w:val="002C4BEB"/>
    <w:rsid w:val="002C5F9C"/>
    <w:rsid w:val="002D2BEE"/>
    <w:rsid w:val="002D5A42"/>
    <w:rsid w:val="002E701B"/>
    <w:rsid w:val="002E7AB5"/>
    <w:rsid w:val="002F4B97"/>
    <w:rsid w:val="002F6A35"/>
    <w:rsid w:val="002F78AE"/>
    <w:rsid w:val="00302AAF"/>
    <w:rsid w:val="0030362D"/>
    <w:rsid w:val="003066D7"/>
    <w:rsid w:val="00307A1A"/>
    <w:rsid w:val="0031043F"/>
    <w:rsid w:val="0031329F"/>
    <w:rsid w:val="00313CF6"/>
    <w:rsid w:val="00322A03"/>
    <w:rsid w:val="00330B2D"/>
    <w:rsid w:val="003316B6"/>
    <w:rsid w:val="00344997"/>
    <w:rsid w:val="00352E2D"/>
    <w:rsid w:val="003577DD"/>
    <w:rsid w:val="003A5B7A"/>
    <w:rsid w:val="003B0A75"/>
    <w:rsid w:val="003B2CE3"/>
    <w:rsid w:val="003B6714"/>
    <w:rsid w:val="003C006C"/>
    <w:rsid w:val="003C13FE"/>
    <w:rsid w:val="003C36E2"/>
    <w:rsid w:val="003C554A"/>
    <w:rsid w:val="003E0983"/>
    <w:rsid w:val="003E505C"/>
    <w:rsid w:val="003E612C"/>
    <w:rsid w:val="003F070D"/>
    <w:rsid w:val="003F0A1A"/>
    <w:rsid w:val="003F0FE7"/>
    <w:rsid w:val="003F181F"/>
    <w:rsid w:val="003F5502"/>
    <w:rsid w:val="00400B2C"/>
    <w:rsid w:val="004029C2"/>
    <w:rsid w:val="0040451E"/>
    <w:rsid w:val="004060E6"/>
    <w:rsid w:val="00417705"/>
    <w:rsid w:val="0042025B"/>
    <w:rsid w:val="00421B7D"/>
    <w:rsid w:val="0042256A"/>
    <w:rsid w:val="00426907"/>
    <w:rsid w:val="004347F1"/>
    <w:rsid w:val="004425DD"/>
    <w:rsid w:val="004469C1"/>
    <w:rsid w:val="004504FB"/>
    <w:rsid w:val="00462939"/>
    <w:rsid w:val="00463E6D"/>
    <w:rsid w:val="00463FD3"/>
    <w:rsid w:val="004769B8"/>
    <w:rsid w:val="00480328"/>
    <w:rsid w:val="00481A72"/>
    <w:rsid w:val="004917D8"/>
    <w:rsid w:val="00493FB0"/>
    <w:rsid w:val="004A111B"/>
    <w:rsid w:val="004B4922"/>
    <w:rsid w:val="004C653D"/>
    <w:rsid w:val="004C7284"/>
    <w:rsid w:val="004D0C41"/>
    <w:rsid w:val="004D683C"/>
    <w:rsid w:val="004E0C60"/>
    <w:rsid w:val="004F7547"/>
    <w:rsid w:val="00501B93"/>
    <w:rsid w:val="00502486"/>
    <w:rsid w:val="0050294E"/>
    <w:rsid w:val="005102DE"/>
    <w:rsid w:val="00511C3B"/>
    <w:rsid w:val="00530FED"/>
    <w:rsid w:val="00534360"/>
    <w:rsid w:val="005372BA"/>
    <w:rsid w:val="00543E9C"/>
    <w:rsid w:val="00550920"/>
    <w:rsid w:val="00551397"/>
    <w:rsid w:val="00567921"/>
    <w:rsid w:val="00567F5F"/>
    <w:rsid w:val="00574D84"/>
    <w:rsid w:val="00580E7F"/>
    <w:rsid w:val="0058285B"/>
    <w:rsid w:val="00584C90"/>
    <w:rsid w:val="00585586"/>
    <w:rsid w:val="0058773C"/>
    <w:rsid w:val="005A3915"/>
    <w:rsid w:val="005A46BD"/>
    <w:rsid w:val="005B39F1"/>
    <w:rsid w:val="005C013E"/>
    <w:rsid w:val="005C135C"/>
    <w:rsid w:val="005C32BF"/>
    <w:rsid w:val="005C6302"/>
    <w:rsid w:val="005D2DF1"/>
    <w:rsid w:val="005D7AAA"/>
    <w:rsid w:val="005E169D"/>
    <w:rsid w:val="005E6A69"/>
    <w:rsid w:val="005E6BE2"/>
    <w:rsid w:val="005F6025"/>
    <w:rsid w:val="00601DC3"/>
    <w:rsid w:val="006031F9"/>
    <w:rsid w:val="00615FF8"/>
    <w:rsid w:val="006209BE"/>
    <w:rsid w:val="006250F7"/>
    <w:rsid w:val="00636656"/>
    <w:rsid w:val="0064089E"/>
    <w:rsid w:val="006435DA"/>
    <w:rsid w:val="00647A83"/>
    <w:rsid w:val="00660F7F"/>
    <w:rsid w:val="0066105C"/>
    <w:rsid w:val="00670E92"/>
    <w:rsid w:val="006722E5"/>
    <w:rsid w:val="00676348"/>
    <w:rsid w:val="00684940"/>
    <w:rsid w:val="00692E3B"/>
    <w:rsid w:val="00694813"/>
    <w:rsid w:val="006953D6"/>
    <w:rsid w:val="006956C6"/>
    <w:rsid w:val="006A04E8"/>
    <w:rsid w:val="006A55A7"/>
    <w:rsid w:val="006B18A7"/>
    <w:rsid w:val="006B2012"/>
    <w:rsid w:val="006B4978"/>
    <w:rsid w:val="006B4BB5"/>
    <w:rsid w:val="006B520D"/>
    <w:rsid w:val="006B56F5"/>
    <w:rsid w:val="006B5D01"/>
    <w:rsid w:val="006C036E"/>
    <w:rsid w:val="006C3A71"/>
    <w:rsid w:val="006C3FBD"/>
    <w:rsid w:val="006D3A78"/>
    <w:rsid w:val="006D5A4F"/>
    <w:rsid w:val="006D5FB2"/>
    <w:rsid w:val="006E4E1F"/>
    <w:rsid w:val="006F03F1"/>
    <w:rsid w:val="006F5003"/>
    <w:rsid w:val="006F6837"/>
    <w:rsid w:val="006F7195"/>
    <w:rsid w:val="00701730"/>
    <w:rsid w:val="007034E5"/>
    <w:rsid w:val="00704775"/>
    <w:rsid w:val="00712F1B"/>
    <w:rsid w:val="0072798F"/>
    <w:rsid w:val="007514D7"/>
    <w:rsid w:val="00754C16"/>
    <w:rsid w:val="0077582B"/>
    <w:rsid w:val="007813D2"/>
    <w:rsid w:val="00783CB0"/>
    <w:rsid w:val="0078455E"/>
    <w:rsid w:val="0078597D"/>
    <w:rsid w:val="0079266B"/>
    <w:rsid w:val="007A67E8"/>
    <w:rsid w:val="007A79EE"/>
    <w:rsid w:val="007B071C"/>
    <w:rsid w:val="007C328F"/>
    <w:rsid w:val="007C7FFA"/>
    <w:rsid w:val="007D0641"/>
    <w:rsid w:val="007E07E7"/>
    <w:rsid w:val="007E5542"/>
    <w:rsid w:val="007E57F1"/>
    <w:rsid w:val="007F05AA"/>
    <w:rsid w:val="007F718B"/>
    <w:rsid w:val="008037B1"/>
    <w:rsid w:val="00805C58"/>
    <w:rsid w:val="008060CC"/>
    <w:rsid w:val="008179CC"/>
    <w:rsid w:val="00817A46"/>
    <w:rsid w:val="00817AE3"/>
    <w:rsid w:val="008221C6"/>
    <w:rsid w:val="00825FEE"/>
    <w:rsid w:val="0083433B"/>
    <w:rsid w:val="008423A4"/>
    <w:rsid w:val="00843E56"/>
    <w:rsid w:val="008504F1"/>
    <w:rsid w:val="00854886"/>
    <w:rsid w:val="00861341"/>
    <w:rsid w:val="00866948"/>
    <w:rsid w:val="00870CD9"/>
    <w:rsid w:val="0087684C"/>
    <w:rsid w:val="00876CC8"/>
    <w:rsid w:val="00891FA7"/>
    <w:rsid w:val="00894043"/>
    <w:rsid w:val="00894B92"/>
    <w:rsid w:val="008A6CEC"/>
    <w:rsid w:val="008B5996"/>
    <w:rsid w:val="008C0D32"/>
    <w:rsid w:val="008C42F6"/>
    <w:rsid w:val="008C63EC"/>
    <w:rsid w:val="008E0E81"/>
    <w:rsid w:val="008E3454"/>
    <w:rsid w:val="008E34DF"/>
    <w:rsid w:val="008E3D97"/>
    <w:rsid w:val="008E4967"/>
    <w:rsid w:val="008E57ED"/>
    <w:rsid w:val="0090523F"/>
    <w:rsid w:val="0090547E"/>
    <w:rsid w:val="00910B01"/>
    <w:rsid w:val="0091335C"/>
    <w:rsid w:val="00913821"/>
    <w:rsid w:val="00915E7E"/>
    <w:rsid w:val="009202B7"/>
    <w:rsid w:val="0092067B"/>
    <w:rsid w:val="00921F62"/>
    <w:rsid w:val="0092206A"/>
    <w:rsid w:val="00922EE2"/>
    <w:rsid w:val="00937CFA"/>
    <w:rsid w:val="009460ED"/>
    <w:rsid w:val="00953D18"/>
    <w:rsid w:val="00956628"/>
    <w:rsid w:val="00957465"/>
    <w:rsid w:val="00964D6F"/>
    <w:rsid w:val="009674AF"/>
    <w:rsid w:val="00967BC6"/>
    <w:rsid w:val="00980D57"/>
    <w:rsid w:val="00980E41"/>
    <w:rsid w:val="00981EBE"/>
    <w:rsid w:val="009861C5"/>
    <w:rsid w:val="009863EA"/>
    <w:rsid w:val="0098703D"/>
    <w:rsid w:val="0099760A"/>
    <w:rsid w:val="009A14DE"/>
    <w:rsid w:val="009A2142"/>
    <w:rsid w:val="009A692E"/>
    <w:rsid w:val="009B0D24"/>
    <w:rsid w:val="009B0F27"/>
    <w:rsid w:val="009B3E2F"/>
    <w:rsid w:val="009B6760"/>
    <w:rsid w:val="009C48C1"/>
    <w:rsid w:val="009C65AF"/>
    <w:rsid w:val="009D022D"/>
    <w:rsid w:val="009D47EC"/>
    <w:rsid w:val="009D5A25"/>
    <w:rsid w:val="009D5FE0"/>
    <w:rsid w:val="009E01EC"/>
    <w:rsid w:val="009E571D"/>
    <w:rsid w:val="009E6532"/>
    <w:rsid w:val="009F7E41"/>
    <w:rsid w:val="00A00182"/>
    <w:rsid w:val="00A05882"/>
    <w:rsid w:val="00A14591"/>
    <w:rsid w:val="00A20DB1"/>
    <w:rsid w:val="00A236B1"/>
    <w:rsid w:val="00A332D0"/>
    <w:rsid w:val="00A34E1D"/>
    <w:rsid w:val="00A41D08"/>
    <w:rsid w:val="00A557AB"/>
    <w:rsid w:val="00A559F5"/>
    <w:rsid w:val="00A56D53"/>
    <w:rsid w:val="00A608E8"/>
    <w:rsid w:val="00A67358"/>
    <w:rsid w:val="00A7487D"/>
    <w:rsid w:val="00A76D5D"/>
    <w:rsid w:val="00A802BE"/>
    <w:rsid w:val="00A873BB"/>
    <w:rsid w:val="00A911BB"/>
    <w:rsid w:val="00A965CB"/>
    <w:rsid w:val="00A97A76"/>
    <w:rsid w:val="00AA0749"/>
    <w:rsid w:val="00AA0CE0"/>
    <w:rsid w:val="00AA28A3"/>
    <w:rsid w:val="00AB4A11"/>
    <w:rsid w:val="00AC25DD"/>
    <w:rsid w:val="00AC7CE6"/>
    <w:rsid w:val="00AD2726"/>
    <w:rsid w:val="00AD3975"/>
    <w:rsid w:val="00AD519F"/>
    <w:rsid w:val="00AD7854"/>
    <w:rsid w:val="00AE3221"/>
    <w:rsid w:val="00AE7931"/>
    <w:rsid w:val="00AF3CBB"/>
    <w:rsid w:val="00AF6891"/>
    <w:rsid w:val="00B047D0"/>
    <w:rsid w:val="00B114CA"/>
    <w:rsid w:val="00B22969"/>
    <w:rsid w:val="00B22CF0"/>
    <w:rsid w:val="00B24B29"/>
    <w:rsid w:val="00B30EFF"/>
    <w:rsid w:val="00B44E0A"/>
    <w:rsid w:val="00B46450"/>
    <w:rsid w:val="00B51918"/>
    <w:rsid w:val="00B52948"/>
    <w:rsid w:val="00B5317E"/>
    <w:rsid w:val="00B65AF0"/>
    <w:rsid w:val="00B70C6E"/>
    <w:rsid w:val="00B7369D"/>
    <w:rsid w:val="00B748F3"/>
    <w:rsid w:val="00B77A7B"/>
    <w:rsid w:val="00B92FA5"/>
    <w:rsid w:val="00BB3D78"/>
    <w:rsid w:val="00BC026B"/>
    <w:rsid w:val="00BC19B0"/>
    <w:rsid w:val="00BD2198"/>
    <w:rsid w:val="00BD38A4"/>
    <w:rsid w:val="00BF20D0"/>
    <w:rsid w:val="00BF314D"/>
    <w:rsid w:val="00BF4166"/>
    <w:rsid w:val="00BF7457"/>
    <w:rsid w:val="00C01438"/>
    <w:rsid w:val="00C03A96"/>
    <w:rsid w:val="00C051D5"/>
    <w:rsid w:val="00C12753"/>
    <w:rsid w:val="00C237F5"/>
    <w:rsid w:val="00C2709A"/>
    <w:rsid w:val="00C30999"/>
    <w:rsid w:val="00C31B2B"/>
    <w:rsid w:val="00C333D6"/>
    <w:rsid w:val="00C4023C"/>
    <w:rsid w:val="00C418A0"/>
    <w:rsid w:val="00C421C3"/>
    <w:rsid w:val="00C50BDA"/>
    <w:rsid w:val="00C522DE"/>
    <w:rsid w:val="00C532E4"/>
    <w:rsid w:val="00C543A5"/>
    <w:rsid w:val="00C54465"/>
    <w:rsid w:val="00C65A2D"/>
    <w:rsid w:val="00C72860"/>
    <w:rsid w:val="00C82A56"/>
    <w:rsid w:val="00C939B5"/>
    <w:rsid w:val="00C94D0C"/>
    <w:rsid w:val="00CA102B"/>
    <w:rsid w:val="00CB686A"/>
    <w:rsid w:val="00CC1121"/>
    <w:rsid w:val="00CD4092"/>
    <w:rsid w:val="00CF3109"/>
    <w:rsid w:val="00D01F34"/>
    <w:rsid w:val="00D035FC"/>
    <w:rsid w:val="00D06BC7"/>
    <w:rsid w:val="00D128BD"/>
    <w:rsid w:val="00D13C97"/>
    <w:rsid w:val="00D1475D"/>
    <w:rsid w:val="00D1542F"/>
    <w:rsid w:val="00D168D1"/>
    <w:rsid w:val="00D268BB"/>
    <w:rsid w:val="00D26A8D"/>
    <w:rsid w:val="00D477B7"/>
    <w:rsid w:val="00D478B4"/>
    <w:rsid w:val="00D55563"/>
    <w:rsid w:val="00D6071D"/>
    <w:rsid w:val="00D614C4"/>
    <w:rsid w:val="00D741AB"/>
    <w:rsid w:val="00D76416"/>
    <w:rsid w:val="00D775FA"/>
    <w:rsid w:val="00DB428E"/>
    <w:rsid w:val="00DC3006"/>
    <w:rsid w:val="00DC5557"/>
    <w:rsid w:val="00DD09A7"/>
    <w:rsid w:val="00DD2982"/>
    <w:rsid w:val="00DE1F33"/>
    <w:rsid w:val="00DF4233"/>
    <w:rsid w:val="00DF79D1"/>
    <w:rsid w:val="00E0134E"/>
    <w:rsid w:val="00E02758"/>
    <w:rsid w:val="00E0750E"/>
    <w:rsid w:val="00E1287F"/>
    <w:rsid w:val="00E24B42"/>
    <w:rsid w:val="00E37C2D"/>
    <w:rsid w:val="00E4356D"/>
    <w:rsid w:val="00E52A77"/>
    <w:rsid w:val="00E54DD9"/>
    <w:rsid w:val="00E6220D"/>
    <w:rsid w:val="00E62775"/>
    <w:rsid w:val="00E9190F"/>
    <w:rsid w:val="00E96683"/>
    <w:rsid w:val="00EA0711"/>
    <w:rsid w:val="00EA1B9D"/>
    <w:rsid w:val="00EA313C"/>
    <w:rsid w:val="00EA31D7"/>
    <w:rsid w:val="00EA40FE"/>
    <w:rsid w:val="00EC04D9"/>
    <w:rsid w:val="00EC2BBE"/>
    <w:rsid w:val="00EC3FF2"/>
    <w:rsid w:val="00ED13FA"/>
    <w:rsid w:val="00ED3EDF"/>
    <w:rsid w:val="00EE18FC"/>
    <w:rsid w:val="00EF0E42"/>
    <w:rsid w:val="00F100AE"/>
    <w:rsid w:val="00F209F8"/>
    <w:rsid w:val="00F20D30"/>
    <w:rsid w:val="00F21D9E"/>
    <w:rsid w:val="00F2607B"/>
    <w:rsid w:val="00F31DEB"/>
    <w:rsid w:val="00F373FE"/>
    <w:rsid w:val="00F427C9"/>
    <w:rsid w:val="00F43732"/>
    <w:rsid w:val="00F4714C"/>
    <w:rsid w:val="00F5067D"/>
    <w:rsid w:val="00F50A05"/>
    <w:rsid w:val="00F53BCA"/>
    <w:rsid w:val="00F56029"/>
    <w:rsid w:val="00F63BFF"/>
    <w:rsid w:val="00F7084E"/>
    <w:rsid w:val="00F737E6"/>
    <w:rsid w:val="00F73F57"/>
    <w:rsid w:val="00F74088"/>
    <w:rsid w:val="00F87CC1"/>
    <w:rsid w:val="00F90412"/>
    <w:rsid w:val="00F91225"/>
    <w:rsid w:val="00FA0568"/>
    <w:rsid w:val="00FA4EC4"/>
    <w:rsid w:val="00FB2537"/>
    <w:rsid w:val="00FC272E"/>
    <w:rsid w:val="00FC48CA"/>
    <w:rsid w:val="00FD5557"/>
    <w:rsid w:val="00FE0057"/>
    <w:rsid w:val="00FE06B6"/>
    <w:rsid w:val="00FE5617"/>
    <w:rsid w:val="00FF53BD"/>
    <w:rsid w:val="00FF6D55"/>
  </w:rsids>
  <m:mathPr>
    <m:mathFont m:val="Cambria Math"/>
    <m:brkBin m:val="before"/>
    <m:brkBinSub m:val="--"/>
    <m:smallFrac m:val="0"/>
    <m:dispDef/>
    <m:lMargin m:val="0"/>
    <m:rMargin m:val="0"/>
    <m:defJc m:val="centerGroup"/>
    <m:wrapIndent m:val="1440"/>
    <m:intLim m:val="subSup"/>
    <m:naryLim m:val="undOvr"/>
  </m:mathPr>
  <w:themeFontLang w:val="hr-HR" w:eastAsia="hr-HR"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A4B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DB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List Paragraph Red,lp1"/>
    <w:basedOn w:val="Normal"/>
    <w:link w:val="ListParagraphChar"/>
    <w:uiPriority w:val="34"/>
    <w:qFormat/>
    <w:rsid w:val="004769B8"/>
    <w:pPr>
      <w:ind w:left="720"/>
      <w:contextualSpacing/>
    </w:pPr>
  </w:style>
  <w:style w:type="paragraph" w:styleId="Header">
    <w:name w:val="header"/>
    <w:basedOn w:val="Normal"/>
    <w:link w:val="HeaderChar"/>
    <w:uiPriority w:val="99"/>
    <w:unhideWhenUsed/>
    <w:rsid w:val="00105EE9"/>
    <w:pPr>
      <w:tabs>
        <w:tab w:val="center" w:pos="4536"/>
        <w:tab w:val="right" w:pos="9072"/>
      </w:tabs>
      <w:spacing w:after="0" w:line="240" w:lineRule="auto"/>
    </w:pPr>
  </w:style>
  <w:style w:type="character" w:customStyle="1" w:styleId="HeaderChar">
    <w:name w:val="Header Char"/>
    <w:basedOn w:val="DefaultParagraphFont"/>
    <w:link w:val="Header"/>
    <w:uiPriority w:val="99"/>
    <w:rsid w:val="00105EE9"/>
  </w:style>
  <w:style w:type="paragraph" w:styleId="Footer">
    <w:name w:val="footer"/>
    <w:basedOn w:val="Normal"/>
    <w:link w:val="FooterChar"/>
    <w:uiPriority w:val="99"/>
    <w:unhideWhenUsed/>
    <w:rsid w:val="00105EE9"/>
    <w:pPr>
      <w:tabs>
        <w:tab w:val="center" w:pos="4536"/>
        <w:tab w:val="right" w:pos="9072"/>
      </w:tabs>
      <w:spacing w:after="0" w:line="240" w:lineRule="auto"/>
    </w:pPr>
  </w:style>
  <w:style w:type="character" w:customStyle="1" w:styleId="FooterChar">
    <w:name w:val="Footer Char"/>
    <w:basedOn w:val="DefaultParagraphFont"/>
    <w:link w:val="Footer"/>
    <w:uiPriority w:val="99"/>
    <w:rsid w:val="00105EE9"/>
  </w:style>
  <w:style w:type="paragraph" w:styleId="BalloonText">
    <w:name w:val="Balloon Text"/>
    <w:basedOn w:val="Normal"/>
    <w:link w:val="BalloonTextChar"/>
    <w:uiPriority w:val="99"/>
    <w:semiHidden/>
    <w:unhideWhenUsed/>
    <w:rsid w:val="002631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105"/>
    <w:rPr>
      <w:rFonts w:ascii="Segoe UI" w:hAnsi="Segoe UI" w:cs="Segoe UI"/>
      <w:sz w:val="18"/>
      <w:szCs w:val="18"/>
    </w:rPr>
  </w:style>
  <w:style w:type="character" w:styleId="Strong">
    <w:name w:val="Strong"/>
    <w:basedOn w:val="DefaultParagraphFont"/>
    <w:uiPriority w:val="22"/>
    <w:qFormat/>
    <w:rsid w:val="001C47C1"/>
    <w:rPr>
      <w:b/>
      <w:bCs/>
    </w:rPr>
  </w:style>
  <w:style w:type="table" w:styleId="TableGrid">
    <w:name w:val="Table Grid"/>
    <w:basedOn w:val="TableNormal"/>
    <w:uiPriority w:val="59"/>
    <w:rsid w:val="004F754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D26A8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xapple-converted-space">
    <w:name w:val="x_apple-converted-space"/>
    <w:basedOn w:val="DefaultParagraphFont"/>
    <w:rsid w:val="00861341"/>
  </w:style>
  <w:style w:type="table" w:customStyle="1" w:styleId="PlainTable41">
    <w:name w:val="Plain Table 41"/>
    <w:basedOn w:val="TableNormal"/>
    <w:uiPriority w:val="44"/>
    <w:rsid w:val="00AF3CBB"/>
    <w:pPr>
      <w:spacing w:after="0" w:line="240" w:lineRule="auto"/>
    </w:p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istParagraphChar">
    <w:name w:val="List Paragraph Char"/>
    <w:aliases w:val="Paragraph Char,List Paragraph Red Char,lp1 Char"/>
    <w:link w:val="ListParagraph"/>
    <w:uiPriority w:val="34"/>
    <w:rsid w:val="00C939B5"/>
  </w:style>
  <w:style w:type="character" w:styleId="Hyperlink">
    <w:name w:val="Hyperlink"/>
    <w:basedOn w:val="DefaultParagraphFont"/>
    <w:uiPriority w:val="99"/>
    <w:unhideWhenUsed/>
    <w:rsid w:val="00D1542F"/>
    <w:rPr>
      <w:color w:val="0563C1" w:themeColor="hyperlink"/>
      <w:u w:val="single"/>
    </w:rPr>
  </w:style>
  <w:style w:type="paragraph" w:styleId="BodyText">
    <w:name w:val="Body Text"/>
    <w:basedOn w:val="Normal"/>
    <w:link w:val="BodyTextChar"/>
    <w:rsid w:val="00C543A5"/>
    <w:pPr>
      <w:spacing w:after="0" w:line="240" w:lineRule="auto"/>
      <w:jc w:val="both"/>
    </w:pPr>
    <w:rPr>
      <w:rFonts w:ascii="Arial" w:eastAsia="Times New Roman" w:hAnsi="Arial" w:cs="Times New Roman"/>
      <w:sz w:val="24"/>
      <w:szCs w:val="20"/>
      <w:lang w:val="x-none" w:eastAsia="x-none"/>
    </w:rPr>
  </w:style>
  <w:style w:type="character" w:customStyle="1" w:styleId="BodyTextChar">
    <w:name w:val="Body Text Char"/>
    <w:basedOn w:val="DefaultParagraphFont"/>
    <w:link w:val="BodyText"/>
    <w:rsid w:val="00C543A5"/>
    <w:rPr>
      <w:rFonts w:ascii="Arial" w:eastAsia="Times New Roman" w:hAnsi="Arial" w:cs="Times New Roman"/>
      <w:sz w:val="24"/>
      <w:szCs w:val="20"/>
      <w:lang w:val="x-none" w:eastAsia="x-none"/>
    </w:rPr>
  </w:style>
  <w:style w:type="paragraph" w:styleId="FootnoteText">
    <w:name w:val="footnote text"/>
    <w:basedOn w:val="Normal"/>
    <w:link w:val="FootnoteTextChar"/>
    <w:uiPriority w:val="99"/>
    <w:rsid w:val="00C543A5"/>
    <w:pPr>
      <w:spacing w:after="0" w:line="240" w:lineRule="auto"/>
    </w:pPr>
    <w:rPr>
      <w:rFonts w:ascii="Arial" w:eastAsia="Times New Roman" w:hAnsi="Arial" w:cs="Times New Roman"/>
      <w:sz w:val="20"/>
      <w:szCs w:val="20"/>
      <w:lang w:val="en-US" w:eastAsia="hr-HR"/>
    </w:rPr>
  </w:style>
  <w:style w:type="character" w:customStyle="1" w:styleId="FootnoteTextChar">
    <w:name w:val="Footnote Text Char"/>
    <w:basedOn w:val="DefaultParagraphFont"/>
    <w:link w:val="FootnoteText"/>
    <w:uiPriority w:val="99"/>
    <w:rsid w:val="00C543A5"/>
    <w:rPr>
      <w:rFonts w:ascii="Arial" w:eastAsia="Times New Roman" w:hAnsi="Arial" w:cs="Times New Roman"/>
      <w:sz w:val="20"/>
      <w:szCs w:val="20"/>
      <w:lang w:val="en-US" w:eastAsia="hr-HR"/>
    </w:rPr>
  </w:style>
  <w:style w:type="character" w:styleId="FootnoteReference">
    <w:name w:val="footnote reference"/>
    <w:uiPriority w:val="99"/>
    <w:rsid w:val="00C543A5"/>
    <w:rPr>
      <w:vertAlign w:val="superscript"/>
    </w:rPr>
  </w:style>
  <w:style w:type="character" w:styleId="CommentReference">
    <w:name w:val="annotation reference"/>
    <w:basedOn w:val="DefaultParagraphFont"/>
    <w:uiPriority w:val="99"/>
    <w:semiHidden/>
    <w:unhideWhenUsed/>
    <w:rsid w:val="00A802BE"/>
    <w:rPr>
      <w:sz w:val="16"/>
      <w:szCs w:val="16"/>
    </w:rPr>
  </w:style>
  <w:style w:type="paragraph" w:styleId="CommentText">
    <w:name w:val="annotation text"/>
    <w:basedOn w:val="Normal"/>
    <w:link w:val="CommentTextChar"/>
    <w:uiPriority w:val="99"/>
    <w:semiHidden/>
    <w:unhideWhenUsed/>
    <w:rsid w:val="00A802BE"/>
    <w:pPr>
      <w:spacing w:line="240" w:lineRule="auto"/>
    </w:pPr>
    <w:rPr>
      <w:sz w:val="20"/>
      <w:szCs w:val="20"/>
    </w:rPr>
  </w:style>
  <w:style w:type="character" w:customStyle="1" w:styleId="CommentTextChar">
    <w:name w:val="Comment Text Char"/>
    <w:basedOn w:val="DefaultParagraphFont"/>
    <w:link w:val="CommentText"/>
    <w:uiPriority w:val="99"/>
    <w:semiHidden/>
    <w:rsid w:val="00A802BE"/>
    <w:rPr>
      <w:sz w:val="20"/>
      <w:szCs w:val="20"/>
    </w:rPr>
  </w:style>
  <w:style w:type="paragraph" w:styleId="CommentSubject">
    <w:name w:val="annotation subject"/>
    <w:basedOn w:val="CommentText"/>
    <w:next w:val="CommentText"/>
    <w:link w:val="CommentSubjectChar"/>
    <w:uiPriority w:val="99"/>
    <w:semiHidden/>
    <w:unhideWhenUsed/>
    <w:rsid w:val="00A802BE"/>
    <w:rPr>
      <w:b/>
      <w:bCs/>
    </w:rPr>
  </w:style>
  <w:style w:type="character" w:customStyle="1" w:styleId="CommentSubjectChar">
    <w:name w:val="Comment Subject Char"/>
    <w:basedOn w:val="CommentTextChar"/>
    <w:link w:val="CommentSubject"/>
    <w:uiPriority w:val="99"/>
    <w:semiHidden/>
    <w:rsid w:val="00A802BE"/>
    <w:rPr>
      <w:b/>
      <w:bCs/>
      <w:sz w:val="20"/>
      <w:szCs w:val="20"/>
    </w:rPr>
  </w:style>
  <w:style w:type="paragraph" w:styleId="Revision">
    <w:name w:val="Revision"/>
    <w:hidden/>
    <w:uiPriority w:val="99"/>
    <w:semiHidden/>
    <w:rsid w:val="008940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25482">
      <w:bodyDiv w:val="1"/>
      <w:marLeft w:val="0"/>
      <w:marRight w:val="0"/>
      <w:marTop w:val="0"/>
      <w:marBottom w:val="0"/>
      <w:divBdr>
        <w:top w:val="none" w:sz="0" w:space="0" w:color="auto"/>
        <w:left w:val="none" w:sz="0" w:space="0" w:color="auto"/>
        <w:bottom w:val="none" w:sz="0" w:space="0" w:color="auto"/>
        <w:right w:val="none" w:sz="0" w:space="0" w:color="auto"/>
      </w:divBdr>
      <w:divsChild>
        <w:div w:id="1234462547">
          <w:marLeft w:val="0"/>
          <w:marRight w:val="0"/>
          <w:marTop w:val="0"/>
          <w:marBottom w:val="0"/>
          <w:divBdr>
            <w:top w:val="none" w:sz="0" w:space="0" w:color="auto"/>
            <w:left w:val="none" w:sz="0" w:space="0" w:color="auto"/>
            <w:bottom w:val="none" w:sz="0" w:space="0" w:color="auto"/>
            <w:right w:val="none" w:sz="0" w:space="0" w:color="auto"/>
          </w:divBdr>
        </w:div>
        <w:div w:id="2101952054">
          <w:marLeft w:val="0"/>
          <w:marRight w:val="0"/>
          <w:marTop w:val="0"/>
          <w:marBottom w:val="0"/>
          <w:divBdr>
            <w:top w:val="none" w:sz="0" w:space="0" w:color="auto"/>
            <w:left w:val="none" w:sz="0" w:space="0" w:color="auto"/>
            <w:bottom w:val="none" w:sz="0" w:space="0" w:color="auto"/>
            <w:right w:val="none" w:sz="0" w:space="0" w:color="auto"/>
          </w:divBdr>
        </w:div>
        <w:div w:id="674115265">
          <w:marLeft w:val="0"/>
          <w:marRight w:val="0"/>
          <w:marTop w:val="0"/>
          <w:marBottom w:val="0"/>
          <w:divBdr>
            <w:top w:val="none" w:sz="0" w:space="0" w:color="auto"/>
            <w:left w:val="none" w:sz="0" w:space="0" w:color="auto"/>
            <w:bottom w:val="none" w:sz="0" w:space="0" w:color="auto"/>
            <w:right w:val="none" w:sz="0" w:space="0" w:color="auto"/>
          </w:divBdr>
        </w:div>
        <w:div w:id="1209413652">
          <w:marLeft w:val="0"/>
          <w:marRight w:val="0"/>
          <w:marTop w:val="0"/>
          <w:marBottom w:val="0"/>
          <w:divBdr>
            <w:top w:val="none" w:sz="0" w:space="0" w:color="auto"/>
            <w:left w:val="none" w:sz="0" w:space="0" w:color="auto"/>
            <w:bottom w:val="none" w:sz="0" w:space="0" w:color="auto"/>
            <w:right w:val="none" w:sz="0" w:space="0" w:color="auto"/>
          </w:divBdr>
        </w:div>
      </w:divsChild>
    </w:div>
    <w:div w:id="296223357">
      <w:bodyDiv w:val="1"/>
      <w:marLeft w:val="0"/>
      <w:marRight w:val="0"/>
      <w:marTop w:val="0"/>
      <w:marBottom w:val="0"/>
      <w:divBdr>
        <w:top w:val="none" w:sz="0" w:space="0" w:color="auto"/>
        <w:left w:val="none" w:sz="0" w:space="0" w:color="auto"/>
        <w:bottom w:val="none" w:sz="0" w:space="0" w:color="auto"/>
        <w:right w:val="none" w:sz="0" w:space="0" w:color="auto"/>
      </w:divBdr>
    </w:div>
    <w:div w:id="859204086">
      <w:bodyDiv w:val="1"/>
      <w:marLeft w:val="0"/>
      <w:marRight w:val="0"/>
      <w:marTop w:val="0"/>
      <w:marBottom w:val="0"/>
      <w:divBdr>
        <w:top w:val="none" w:sz="0" w:space="0" w:color="auto"/>
        <w:left w:val="none" w:sz="0" w:space="0" w:color="auto"/>
        <w:bottom w:val="none" w:sz="0" w:space="0" w:color="auto"/>
        <w:right w:val="none" w:sz="0" w:space="0" w:color="auto"/>
      </w:divBdr>
    </w:div>
    <w:div w:id="996230370">
      <w:bodyDiv w:val="1"/>
      <w:marLeft w:val="0"/>
      <w:marRight w:val="0"/>
      <w:marTop w:val="0"/>
      <w:marBottom w:val="0"/>
      <w:divBdr>
        <w:top w:val="none" w:sz="0" w:space="0" w:color="auto"/>
        <w:left w:val="none" w:sz="0" w:space="0" w:color="auto"/>
        <w:bottom w:val="none" w:sz="0" w:space="0" w:color="auto"/>
        <w:right w:val="none" w:sz="0" w:space="0" w:color="auto"/>
      </w:divBdr>
      <w:divsChild>
        <w:div w:id="2082829175">
          <w:marLeft w:val="0"/>
          <w:marRight w:val="0"/>
          <w:marTop w:val="0"/>
          <w:marBottom w:val="0"/>
          <w:divBdr>
            <w:top w:val="none" w:sz="0" w:space="0" w:color="auto"/>
            <w:left w:val="none" w:sz="0" w:space="0" w:color="auto"/>
            <w:bottom w:val="none" w:sz="0" w:space="0" w:color="auto"/>
            <w:right w:val="none" w:sz="0" w:space="0" w:color="auto"/>
          </w:divBdr>
        </w:div>
        <w:div w:id="1205675612">
          <w:marLeft w:val="0"/>
          <w:marRight w:val="0"/>
          <w:marTop w:val="0"/>
          <w:marBottom w:val="0"/>
          <w:divBdr>
            <w:top w:val="none" w:sz="0" w:space="0" w:color="auto"/>
            <w:left w:val="none" w:sz="0" w:space="0" w:color="auto"/>
            <w:bottom w:val="none" w:sz="0" w:space="0" w:color="auto"/>
            <w:right w:val="none" w:sz="0" w:space="0" w:color="auto"/>
          </w:divBdr>
        </w:div>
      </w:divsChild>
    </w:div>
    <w:div w:id="1151143139">
      <w:bodyDiv w:val="1"/>
      <w:marLeft w:val="0"/>
      <w:marRight w:val="0"/>
      <w:marTop w:val="0"/>
      <w:marBottom w:val="0"/>
      <w:divBdr>
        <w:top w:val="none" w:sz="0" w:space="0" w:color="auto"/>
        <w:left w:val="none" w:sz="0" w:space="0" w:color="auto"/>
        <w:bottom w:val="none" w:sz="0" w:space="0" w:color="auto"/>
        <w:right w:val="none" w:sz="0" w:space="0" w:color="auto"/>
      </w:divBdr>
    </w:div>
    <w:div w:id="1606841862">
      <w:bodyDiv w:val="1"/>
      <w:marLeft w:val="0"/>
      <w:marRight w:val="0"/>
      <w:marTop w:val="0"/>
      <w:marBottom w:val="0"/>
      <w:divBdr>
        <w:top w:val="none" w:sz="0" w:space="0" w:color="auto"/>
        <w:left w:val="none" w:sz="0" w:space="0" w:color="auto"/>
        <w:bottom w:val="none" w:sz="0" w:space="0" w:color="auto"/>
        <w:right w:val="none" w:sz="0" w:space="0" w:color="auto"/>
      </w:divBdr>
    </w:div>
    <w:div w:id="1702244339">
      <w:bodyDiv w:val="1"/>
      <w:marLeft w:val="0"/>
      <w:marRight w:val="0"/>
      <w:marTop w:val="0"/>
      <w:marBottom w:val="0"/>
      <w:divBdr>
        <w:top w:val="none" w:sz="0" w:space="0" w:color="auto"/>
        <w:left w:val="none" w:sz="0" w:space="0" w:color="auto"/>
        <w:bottom w:val="none" w:sz="0" w:space="0" w:color="auto"/>
        <w:right w:val="none" w:sz="0" w:space="0" w:color="auto"/>
      </w:divBdr>
    </w:div>
    <w:div w:id="1792363597">
      <w:bodyDiv w:val="1"/>
      <w:marLeft w:val="0"/>
      <w:marRight w:val="0"/>
      <w:marTop w:val="0"/>
      <w:marBottom w:val="0"/>
      <w:divBdr>
        <w:top w:val="none" w:sz="0" w:space="0" w:color="auto"/>
        <w:left w:val="none" w:sz="0" w:space="0" w:color="auto"/>
        <w:bottom w:val="none" w:sz="0" w:space="0" w:color="auto"/>
        <w:right w:val="none" w:sz="0" w:space="0" w:color="auto"/>
      </w:divBdr>
    </w:div>
    <w:div w:id="185830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82984-8CE8-451B-B7D9-8233561A4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3075</Words>
  <Characters>17532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2021-12-15T13:23:00Z</dcterms:created>
  <dcterms:modified xsi:type="dcterms:W3CDTF">2021-12-15T13:23:00Z</dcterms:modified>
</cp:coreProperties>
</file>