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68B0E" w14:textId="77777777" w:rsidR="005832E3" w:rsidRDefault="005832E3" w:rsidP="005832E3">
      <w:pPr>
        <w:rPr>
          <w:b/>
        </w:rPr>
      </w:pPr>
      <w:bookmarkStart w:id="0" w:name="_GoBack"/>
      <w:bookmarkEnd w:id="0"/>
    </w:p>
    <w:p w14:paraId="4B5A3C6D" w14:textId="77777777" w:rsidR="005832E3" w:rsidRPr="00800462" w:rsidRDefault="005832E3" w:rsidP="005832E3">
      <w:pPr>
        <w:jc w:val="center"/>
      </w:pPr>
      <w:r w:rsidRPr="00800462">
        <w:rPr>
          <w:noProof/>
          <w:lang w:eastAsia="hr-HR"/>
        </w:rPr>
        <w:drawing>
          <wp:inline distT="0" distB="0" distL="0" distR="0" wp14:anchorId="6BB7C3BE" wp14:editId="03DD3C3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FCD0D0B" w14:textId="77777777" w:rsidR="005832E3" w:rsidRPr="00075456" w:rsidRDefault="005832E3" w:rsidP="005832E3">
      <w:pPr>
        <w:spacing w:before="60" w:after="1680"/>
        <w:jc w:val="center"/>
        <w:rPr>
          <w:sz w:val="28"/>
        </w:rPr>
      </w:pPr>
      <w:r w:rsidRPr="00800462">
        <w:rPr>
          <w:sz w:val="28"/>
        </w:rPr>
        <w:t>VLADA REPUBLIKE HRVATSKE</w:t>
      </w:r>
    </w:p>
    <w:p w14:paraId="587A4AF7" w14:textId="1DDCFE44" w:rsidR="005832E3" w:rsidRPr="00800462" w:rsidRDefault="005832E3" w:rsidP="005832E3">
      <w:pPr>
        <w:jc w:val="right"/>
      </w:pPr>
      <w:r w:rsidRPr="00800462">
        <w:t xml:space="preserve">Zagreb, </w:t>
      </w:r>
      <w:r>
        <w:t>30</w:t>
      </w:r>
      <w:r w:rsidRPr="00800462">
        <w:t>. siječnja 2019.</w:t>
      </w:r>
    </w:p>
    <w:p w14:paraId="669ADC1D" w14:textId="77777777" w:rsidR="005832E3" w:rsidRPr="00800462" w:rsidRDefault="005832E3" w:rsidP="005832E3">
      <w:pPr>
        <w:jc w:val="right"/>
      </w:pPr>
    </w:p>
    <w:p w14:paraId="5DFB4470" w14:textId="77777777" w:rsidR="005832E3" w:rsidRPr="00800462" w:rsidRDefault="005832E3" w:rsidP="005832E3">
      <w:pPr>
        <w:jc w:val="right"/>
      </w:pPr>
    </w:p>
    <w:p w14:paraId="0B7D58DA" w14:textId="77777777" w:rsidR="005832E3" w:rsidRDefault="005832E3" w:rsidP="005832E3">
      <w:pPr>
        <w:jc w:val="right"/>
      </w:pPr>
    </w:p>
    <w:p w14:paraId="62C666B4" w14:textId="77777777" w:rsidR="005832E3" w:rsidRDefault="005832E3" w:rsidP="005832E3">
      <w:pPr>
        <w:jc w:val="right"/>
      </w:pPr>
    </w:p>
    <w:p w14:paraId="705EFA7A" w14:textId="77777777" w:rsidR="005832E3" w:rsidRDefault="005832E3" w:rsidP="005832E3">
      <w:pPr>
        <w:jc w:val="right"/>
      </w:pPr>
    </w:p>
    <w:p w14:paraId="06BC1A87" w14:textId="77777777" w:rsidR="005832E3" w:rsidRDefault="005832E3" w:rsidP="005832E3">
      <w:pPr>
        <w:jc w:val="right"/>
      </w:pPr>
    </w:p>
    <w:p w14:paraId="7952586C" w14:textId="77777777" w:rsidR="005832E3" w:rsidRDefault="005832E3" w:rsidP="005832E3">
      <w:pPr>
        <w:jc w:val="right"/>
      </w:pPr>
    </w:p>
    <w:p w14:paraId="67172DF4" w14:textId="77777777" w:rsidR="005832E3" w:rsidRPr="00800462" w:rsidRDefault="005832E3" w:rsidP="005832E3">
      <w:pPr>
        <w:jc w:val="right"/>
      </w:pPr>
    </w:p>
    <w:p w14:paraId="7F4ADA41" w14:textId="77777777" w:rsidR="005832E3" w:rsidRPr="00800462" w:rsidRDefault="005832E3" w:rsidP="005832E3">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832E3" w:rsidRPr="00800462" w14:paraId="08612277" w14:textId="77777777" w:rsidTr="00DE0DC1">
        <w:tc>
          <w:tcPr>
            <w:tcW w:w="1951" w:type="dxa"/>
          </w:tcPr>
          <w:p w14:paraId="75A3F00A" w14:textId="77777777" w:rsidR="005832E3" w:rsidRPr="00800462" w:rsidRDefault="005832E3" w:rsidP="00DE0DC1">
            <w:pPr>
              <w:spacing w:line="360" w:lineRule="auto"/>
              <w:jc w:val="right"/>
            </w:pPr>
            <w:r w:rsidRPr="00800462">
              <w:t xml:space="preserve"> </w:t>
            </w:r>
            <w:r w:rsidRPr="00800462">
              <w:rPr>
                <w:b/>
                <w:smallCaps/>
              </w:rPr>
              <w:t>Predlagatelj</w:t>
            </w:r>
            <w:r w:rsidRPr="00800462">
              <w:rPr>
                <w:b/>
              </w:rPr>
              <w:t>:</w:t>
            </w:r>
          </w:p>
        </w:tc>
        <w:tc>
          <w:tcPr>
            <w:tcW w:w="7229" w:type="dxa"/>
          </w:tcPr>
          <w:p w14:paraId="2D3C965C" w14:textId="77777777" w:rsidR="005832E3" w:rsidRPr="00800462" w:rsidRDefault="005832E3" w:rsidP="00DE0DC1">
            <w:pPr>
              <w:spacing w:line="360" w:lineRule="auto"/>
            </w:pPr>
            <w:r w:rsidRPr="00800462">
              <w:t xml:space="preserve">Ministarstvo </w:t>
            </w:r>
            <w:r>
              <w:t>zaštite okoliša i energetike</w:t>
            </w:r>
          </w:p>
        </w:tc>
      </w:tr>
    </w:tbl>
    <w:p w14:paraId="1173D6F2" w14:textId="77777777" w:rsidR="005832E3" w:rsidRPr="00800462" w:rsidRDefault="005832E3" w:rsidP="005832E3">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832E3" w:rsidRPr="00800462" w14:paraId="07EFE14E" w14:textId="77777777" w:rsidTr="00DE0DC1">
        <w:tc>
          <w:tcPr>
            <w:tcW w:w="1951" w:type="dxa"/>
          </w:tcPr>
          <w:p w14:paraId="2409BFBB" w14:textId="77777777" w:rsidR="005832E3" w:rsidRPr="00800462" w:rsidRDefault="005832E3" w:rsidP="00DE0DC1">
            <w:pPr>
              <w:spacing w:line="360" w:lineRule="auto"/>
              <w:jc w:val="right"/>
            </w:pPr>
            <w:r w:rsidRPr="00800462">
              <w:rPr>
                <w:b/>
                <w:smallCaps/>
              </w:rPr>
              <w:t>Predmet</w:t>
            </w:r>
            <w:r w:rsidRPr="00800462">
              <w:rPr>
                <w:b/>
              </w:rPr>
              <w:t>:</w:t>
            </w:r>
          </w:p>
        </w:tc>
        <w:tc>
          <w:tcPr>
            <w:tcW w:w="7229" w:type="dxa"/>
          </w:tcPr>
          <w:p w14:paraId="250D3D28" w14:textId="77777777" w:rsidR="005832E3" w:rsidRPr="00800462" w:rsidRDefault="005832E3" w:rsidP="00DE0DC1">
            <w:pPr>
              <w:spacing w:line="360" w:lineRule="auto"/>
              <w:jc w:val="both"/>
            </w:pPr>
            <w:r>
              <w:t xml:space="preserve">Prijedlog odluke o financiranju prve faze projekta plutajućeg terminala za ukapljeni prirodni plin na otoku Krku </w:t>
            </w:r>
          </w:p>
        </w:tc>
      </w:tr>
    </w:tbl>
    <w:p w14:paraId="18A3228A" w14:textId="77777777" w:rsidR="005832E3" w:rsidRPr="00800462" w:rsidRDefault="005832E3" w:rsidP="005832E3">
      <w:pPr>
        <w:jc w:val="both"/>
      </w:pPr>
      <w:r w:rsidRPr="00800462">
        <w:t>__________________________________________________________________________</w:t>
      </w:r>
    </w:p>
    <w:p w14:paraId="4570BA43" w14:textId="77777777" w:rsidR="005832E3" w:rsidRPr="00800462" w:rsidRDefault="005832E3" w:rsidP="005832E3">
      <w:pPr>
        <w:jc w:val="both"/>
      </w:pPr>
    </w:p>
    <w:p w14:paraId="10A663AD" w14:textId="77777777" w:rsidR="005832E3" w:rsidRPr="00800462" w:rsidRDefault="005832E3" w:rsidP="005832E3">
      <w:pPr>
        <w:jc w:val="both"/>
      </w:pPr>
    </w:p>
    <w:p w14:paraId="5A4A9453" w14:textId="77777777" w:rsidR="005832E3" w:rsidRPr="00800462" w:rsidRDefault="005832E3" w:rsidP="005832E3">
      <w:pPr>
        <w:jc w:val="both"/>
      </w:pPr>
    </w:p>
    <w:p w14:paraId="7A2921FE" w14:textId="77777777" w:rsidR="005832E3" w:rsidRPr="00800462" w:rsidRDefault="005832E3" w:rsidP="005832E3">
      <w:pPr>
        <w:jc w:val="both"/>
      </w:pPr>
    </w:p>
    <w:p w14:paraId="170A186B" w14:textId="77777777" w:rsidR="005832E3" w:rsidRPr="00800462" w:rsidRDefault="005832E3" w:rsidP="005832E3">
      <w:pPr>
        <w:jc w:val="both"/>
      </w:pPr>
    </w:p>
    <w:p w14:paraId="7957802F" w14:textId="77777777" w:rsidR="005832E3" w:rsidRDefault="005832E3" w:rsidP="005832E3">
      <w:pPr>
        <w:pStyle w:val="Header"/>
      </w:pPr>
    </w:p>
    <w:p w14:paraId="2CDD7792" w14:textId="77777777" w:rsidR="005832E3" w:rsidRDefault="005832E3" w:rsidP="005832E3"/>
    <w:p w14:paraId="4740F67A" w14:textId="77777777" w:rsidR="005832E3" w:rsidRDefault="005832E3" w:rsidP="005832E3">
      <w:pPr>
        <w:pStyle w:val="Footer"/>
      </w:pPr>
    </w:p>
    <w:p w14:paraId="223C8961" w14:textId="77777777" w:rsidR="005832E3" w:rsidRDefault="005832E3" w:rsidP="005832E3"/>
    <w:p w14:paraId="076F06AA" w14:textId="77777777" w:rsidR="005832E3" w:rsidRDefault="005832E3" w:rsidP="005832E3"/>
    <w:p w14:paraId="495F529E" w14:textId="77777777" w:rsidR="005832E3" w:rsidRDefault="005832E3" w:rsidP="005832E3"/>
    <w:p w14:paraId="68F14D57" w14:textId="77777777" w:rsidR="005832E3" w:rsidRDefault="005832E3" w:rsidP="005832E3"/>
    <w:p w14:paraId="0C30E98F" w14:textId="77777777" w:rsidR="005832E3" w:rsidRDefault="005832E3" w:rsidP="005832E3"/>
    <w:p w14:paraId="4B7CDC74" w14:textId="77777777" w:rsidR="005832E3" w:rsidRDefault="005832E3" w:rsidP="005832E3"/>
    <w:p w14:paraId="10222F40" w14:textId="77777777" w:rsidR="005832E3" w:rsidRDefault="005832E3" w:rsidP="005832E3"/>
    <w:p w14:paraId="0A7B6D50" w14:textId="77777777" w:rsidR="005832E3" w:rsidRDefault="005832E3" w:rsidP="005832E3"/>
    <w:p w14:paraId="3C1D5F58" w14:textId="77777777" w:rsidR="005832E3" w:rsidRDefault="005832E3" w:rsidP="005832E3"/>
    <w:p w14:paraId="4DDF7F2C" w14:textId="77777777" w:rsidR="005832E3" w:rsidRDefault="005832E3" w:rsidP="005832E3"/>
    <w:p w14:paraId="121E8A69" w14:textId="77777777" w:rsidR="005832E3" w:rsidRDefault="005832E3" w:rsidP="005832E3"/>
    <w:p w14:paraId="38B0A64D" w14:textId="77777777" w:rsidR="005832E3" w:rsidRDefault="005832E3" w:rsidP="005832E3"/>
    <w:p w14:paraId="6BE8AEBD" w14:textId="77777777" w:rsidR="005832E3" w:rsidRDefault="005832E3" w:rsidP="005832E3"/>
    <w:p w14:paraId="58846F89" w14:textId="77777777" w:rsidR="005832E3" w:rsidRPr="00075456" w:rsidRDefault="005832E3" w:rsidP="005832E3">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3D90F925" w14:textId="225D1335" w:rsidR="005F6687" w:rsidRDefault="00286616" w:rsidP="005F6687">
      <w:pPr>
        <w:jc w:val="right"/>
        <w:rPr>
          <w:b/>
        </w:rPr>
      </w:pPr>
      <w:r w:rsidRPr="00320CBE">
        <w:rPr>
          <w:b/>
        </w:rPr>
        <w:lastRenderedPageBreak/>
        <w:t>PRIJEDLOG</w:t>
      </w:r>
    </w:p>
    <w:p w14:paraId="516FB929" w14:textId="77777777" w:rsidR="005F6687" w:rsidRPr="00320CBE" w:rsidRDefault="005F6687" w:rsidP="0088097B">
      <w:pPr>
        <w:jc w:val="right"/>
        <w:rPr>
          <w:b/>
        </w:rPr>
      </w:pPr>
    </w:p>
    <w:p w14:paraId="69399B5B" w14:textId="0F2D6C17" w:rsidR="0024214D" w:rsidRPr="00320CBE" w:rsidRDefault="000E6669" w:rsidP="004935A6">
      <w:pPr>
        <w:jc w:val="both"/>
      </w:pPr>
      <w:r w:rsidRPr="00320CBE">
        <w:t xml:space="preserve">Na temelju članka </w:t>
      </w:r>
      <w:r w:rsidR="004D6F38">
        <w:t xml:space="preserve">8. i članka </w:t>
      </w:r>
      <w:r w:rsidRPr="00320CBE">
        <w:t>31. stavka 3. Zakona o Vladi Republike Hrvatske (Narodne novine, br</w:t>
      </w:r>
      <w:r w:rsidR="004D6F38">
        <w:t>oj</w:t>
      </w:r>
      <w:r w:rsidRPr="00320CBE">
        <w:t xml:space="preserve"> 150/11</w:t>
      </w:r>
      <w:r w:rsidR="002A283E" w:rsidRPr="00320CBE">
        <w:t xml:space="preserve">, </w:t>
      </w:r>
      <w:r w:rsidRPr="00320CBE">
        <w:t>119/14</w:t>
      </w:r>
      <w:r w:rsidR="002A283E" w:rsidRPr="00320CBE">
        <w:t>, 93/16 i 116/18</w:t>
      </w:r>
      <w:r w:rsidRPr="00320CBE">
        <w:t>)</w:t>
      </w:r>
      <w:r w:rsidR="0024214D" w:rsidRPr="00320CBE">
        <w:t xml:space="preserve">, </w:t>
      </w:r>
      <w:r w:rsidR="004D6F38">
        <w:t xml:space="preserve">članka 4. Zakona o terminalu za ukapljeni prirodni plin (Narodne novine, broj 57/18) i točke I. Odluke o proglašenju projekta LNG terminal (izgradnja prihvatnog terminala za ukapljeni prirodni plin na otoku Krku) strateškim investicijskim projektom Republike Hrvatske (Narodne novine, broj 78/15 i 11/18), </w:t>
      </w:r>
      <w:r w:rsidR="0024214D" w:rsidRPr="00320CBE">
        <w:t>Vlada Republike Hrvatske je na sjednici održanoj ________________ 201</w:t>
      </w:r>
      <w:r w:rsidR="002A283E" w:rsidRPr="00320CBE">
        <w:t>9</w:t>
      </w:r>
      <w:r w:rsidR="0024214D" w:rsidRPr="00320CBE">
        <w:t xml:space="preserve">. godine donijela </w:t>
      </w:r>
    </w:p>
    <w:p w14:paraId="6209E84B" w14:textId="77777777" w:rsidR="000E6669" w:rsidRPr="00320CBE" w:rsidRDefault="000E6669" w:rsidP="004935A6">
      <w:pPr>
        <w:jc w:val="center"/>
        <w:rPr>
          <w:b/>
        </w:rPr>
      </w:pPr>
    </w:p>
    <w:p w14:paraId="31217737" w14:textId="03254AD0" w:rsidR="000E6669" w:rsidRPr="005F6687" w:rsidRDefault="004D6F38" w:rsidP="004935A6">
      <w:pPr>
        <w:jc w:val="center"/>
        <w:rPr>
          <w:b/>
        </w:rPr>
      </w:pPr>
      <w:r>
        <w:rPr>
          <w:b/>
        </w:rPr>
        <w:t>ODLUKU</w:t>
      </w:r>
    </w:p>
    <w:p w14:paraId="6BE73705" w14:textId="77777777" w:rsidR="000E6669" w:rsidRPr="005F6687" w:rsidRDefault="000E6669" w:rsidP="004935A6">
      <w:pPr>
        <w:jc w:val="center"/>
        <w:rPr>
          <w:b/>
        </w:rPr>
      </w:pPr>
    </w:p>
    <w:p w14:paraId="3717A4EE" w14:textId="6B33BE52" w:rsidR="003658ED" w:rsidRPr="002559CD" w:rsidRDefault="00286616" w:rsidP="002559CD">
      <w:pPr>
        <w:jc w:val="center"/>
        <w:rPr>
          <w:b/>
        </w:rPr>
      </w:pPr>
      <w:r w:rsidRPr="005F6687">
        <w:rPr>
          <w:b/>
        </w:rPr>
        <w:t xml:space="preserve">O </w:t>
      </w:r>
      <w:r w:rsidR="007E49F0">
        <w:rPr>
          <w:b/>
        </w:rPr>
        <w:t xml:space="preserve">FINANCIRANJU </w:t>
      </w:r>
      <w:r w:rsidR="008C6A3D">
        <w:rPr>
          <w:b/>
        </w:rPr>
        <w:t xml:space="preserve">PRVE FAZE </w:t>
      </w:r>
      <w:r w:rsidRPr="005F6687">
        <w:rPr>
          <w:b/>
        </w:rPr>
        <w:t xml:space="preserve">PROJEKTA </w:t>
      </w:r>
      <w:r w:rsidR="00401D19" w:rsidRPr="005F6687">
        <w:rPr>
          <w:b/>
        </w:rPr>
        <w:t xml:space="preserve">PLUTAJUĆEG </w:t>
      </w:r>
      <w:r w:rsidR="00D91696" w:rsidRPr="005F6687">
        <w:rPr>
          <w:b/>
        </w:rPr>
        <w:t xml:space="preserve">TERMINALA </w:t>
      </w:r>
      <w:r w:rsidR="003658ED" w:rsidRPr="005F6687">
        <w:rPr>
          <w:b/>
        </w:rPr>
        <w:t xml:space="preserve">ZA UKAPLJENI PRIRODNI PLIN </w:t>
      </w:r>
      <w:r w:rsidR="00D91696" w:rsidRPr="005F6687">
        <w:rPr>
          <w:b/>
        </w:rPr>
        <w:t>NA OTOKU KRKU</w:t>
      </w:r>
    </w:p>
    <w:p w14:paraId="4D262712" w14:textId="77777777" w:rsidR="006F293B" w:rsidRPr="00320CBE" w:rsidRDefault="006F293B" w:rsidP="000E6669">
      <w:pPr>
        <w:autoSpaceDE w:val="0"/>
        <w:autoSpaceDN w:val="0"/>
        <w:adjustRightInd w:val="0"/>
        <w:rPr>
          <w:lang w:eastAsia="hr-HR"/>
        </w:rPr>
      </w:pPr>
    </w:p>
    <w:p w14:paraId="7DE68E58" w14:textId="77777777" w:rsidR="004935A6" w:rsidRPr="00320CBE" w:rsidRDefault="004935A6" w:rsidP="004935A6">
      <w:pPr>
        <w:autoSpaceDE w:val="0"/>
        <w:autoSpaceDN w:val="0"/>
        <w:adjustRightInd w:val="0"/>
        <w:jc w:val="center"/>
        <w:rPr>
          <w:b/>
          <w:lang w:eastAsia="hr-HR"/>
        </w:rPr>
      </w:pPr>
      <w:r w:rsidRPr="00320CBE">
        <w:rPr>
          <w:b/>
          <w:lang w:eastAsia="hr-HR"/>
        </w:rPr>
        <w:t>I.</w:t>
      </w:r>
    </w:p>
    <w:p w14:paraId="1D484F8F" w14:textId="77777777" w:rsidR="00894E0A" w:rsidRDefault="00894E0A" w:rsidP="00122C7B">
      <w:pPr>
        <w:jc w:val="both"/>
      </w:pPr>
    </w:p>
    <w:p w14:paraId="2440FF78" w14:textId="029C239E" w:rsidR="004D6F38" w:rsidRDefault="004D6F38" w:rsidP="00AD4124">
      <w:pPr>
        <w:ind w:firstLine="720"/>
        <w:jc w:val="both"/>
        <w:rPr>
          <w:rFonts w:eastAsia="Arial"/>
          <w:lang w:eastAsia="hr-HR"/>
        </w:rPr>
      </w:pPr>
      <w:r>
        <w:rPr>
          <w:rFonts w:eastAsia="Arial"/>
          <w:lang w:eastAsia="hr-HR"/>
        </w:rPr>
        <w:t xml:space="preserve">S ciljem osiguranja energetske neovisnosti Republike Hrvatske, kao i osiguranja kontinuiteta i sigurnosti opskrbe prirodnim plinom kućanstva i industrije na području Republike Hrvatske i drugih država članica Europske unije, Republika </w:t>
      </w:r>
      <w:r w:rsidRPr="00AD4124">
        <w:rPr>
          <w:rFonts w:eastAsia="Arial"/>
          <w:lang w:eastAsia="hr-HR"/>
        </w:rPr>
        <w:t xml:space="preserve">Hrvatska sudjelovat će u financiranju prve faze projekta terminala za UPP </w:t>
      </w:r>
      <w:r w:rsidR="00AD4124" w:rsidRPr="00AD4124">
        <w:rPr>
          <w:rFonts w:eastAsia="Arial"/>
          <w:lang w:eastAsia="hr-HR"/>
        </w:rPr>
        <w:t>(izgradnja prihvatnog terminala za ukapljeni prirodni plin na otoku Krku).</w:t>
      </w:r>
    </w:p>
    <w:p w14:paraId="3BFAFA5A" w14:textId="77777777" w:rsidR="004D6F38" w:rsidRDefault="004D6F38" w:rsidP="00894E0A">
      <w:pPr>
        <w:jc w:val="both"/>
        <w:rPr>
          <w:rFonts w:eastAsia="Arial"/>
          <w:lang w:eastAsia="hr-HR"/>
        </w:rPr>
      </w:pPr>
    </w:p>
    <w:p w14:paraId="1DC54321" w14:textId="26939BB0" w:rsidR="00AD4124" w:rsidRDefault="00AD4124" w:rsidP="00AD4124">
      <w:pPr>
        <w:ind w:firstLine="720"/>
        <w:jc w:val="both"/>
        <w:rPr>
          <w:rFonts w:eastAsia="Arial"/>
          <w:lang w:eastAsia="hr-HR"/>
        </w:rPr>
      </w:pPr>
      <w:r>
        <w:rPr>
          <w:rFonts w:eastAsia="Arial"/>
          <w:lang w:eastAsia="hr-HR"/>
        </w:rPr>
        <w:t>Prva faza projekta terminala za UPP iz stavka 1. ove točke odnosi se na izgradnju plutajućeg terminala za ukapljeni prirodni plin na otoku Krku.</w:t>
      </w:r>
    </w:p>
    <w:p w14:paraId="14F92A8C" w14:textId="77777777" w:rsidR="00894E0A" w:rsidRPr="005832E3" w:rsidRDefault="00894E0A" w:rsidP="00894E0A">
      <w:pPr>
        <w:jc w:val="both"/>
        <w:rPr>
          <w:rFonts w:eastAsia="Arial"/>
          <w:lang w:eastAsia="hr-HR"/>
        </w:rPr>
      </w:pPr>
    </w:p>
    <w:p w14:paraId="35E203AB" w14:textId="60A3106D" w:rsidR="00894E0A" w:rsidRPr="00FB6DA7" w:rsidRDefault="00894E0A" w:rsidP="00894E0A">
      <w:pPr>
        <w:jc w:val="center"/>
        <w:rPr>
          <w:rFonts w:eastAsia="Arial"/>
          <w:b/>
          <w:lang w:eastAsia="hr-HR"/>
        </w:rPr>
      </w:pPr>
      <w:bookmarkStart w:id="1" w:name="_Hlk534806105"/>
      <w:r w:rsidRPr="00FB6DA7">
        <w:rPr>
          <w:rFonts w:eastAsia="Arial"/>
          <w:b/>
          <w:lang w:eastAsia="hr-HR"/>
        </w:rPr>
        <w:t>I</w:t>
      </w:r>
      <w:r w:rsidR="00FB6DA7" w:rsidRPr="00FB6DA7">
        <w:rPr>
          <w:rFonts w:eastAsia="Arial"/>
          <w:b/>
          <w:lang w:eastAsia="hr-HR"/>
        </w:rPr>
        <w:t>I</w:t>
      </w:r>
      <w:r w:rsidRPr="00FB6DA7">
        <w:rPr>
          <w:rFonts w:eastAsia="Arial"/>
          <w:b/>
          <w:lang w:eastAsia="hr-HR"/>
        </w:rPr>
        <w:t>.</w:t>
      </w:r>
    </w:p>
    <w:bookmarkEnd w:id="1"/>
    <w:p w14:paraId="3AB3838C" w14:textId="77777777" w:rsidR="00894E0A" w:rsidRPr="00FB6DA7" w:rsidRDefault="00894E0A" w:rsidP="00894E0A">
      <w:pPr>
        <w:jc w:val="both"/>
        <w:rPr>
          <w:rFonts w:eastAsia="Arial"/>
          <w:lang w:eastAsia="hr-HR"/>
        </w:rPr>
      </w:pPr>
    </w:p>
    <w:p w14:paraId="79BB0109" w14:textId="05640186" w:rsidR="00AD4124" w:rsidRPr="00CD0793" w:rsidRDefault="00AD4124" w:rsidP="00AD4124">
      <w:pPr>
        <w:ind w:firstLine="720"/>
        <w:jc w:val="both"/>
        <w:rPr>
          <w:rFonts w:eastAsia="Arial"/>
          <w:lang w:eastAsia="hr-HR"/>
        </w:rPr>
      </w:pPr>
      <w:r w:rsidRPr="00FB6DA7">
        <w:rPr>
          <w:rFonts w:eastAsia="Arial"/>
          <w:lang w:eastAsia="hr-HR"/>
        </w:rPr>
        <w:t>Procijenjena vrijednost investicije</w:t>
      </w:r>
      <w:r>
        <w:rPr>
          <w:rFonts w:eastAsia="Arial"/>
          <w:lang w:eastAsia="hr-HR"/>
        </w:rPr>
        <w:t xml:space="preserve"> prve faze</w:t>
      </w:r>
      <w:r w:rsidRPr="00FB6DA7">
        <w:rPr>
          <w:rFonts w:eastAsia="Arial"/>
          <w:lang w:eastAsia="hr-HR"/>
        </w:rPr>
        <w:t xml:space="preserve"> projekta UPP terminala</w:t>
      </w:r>
      <w:r>
        <w:rPr>
          <w:rFonts w:eastAsia="Arial"/>
          <w:lang w:eastAsia="hr-HR"/>
        </w:rPr>
        <w:t>, koja se odnosi na izgradnju plutajućeg terminala za ukapljeni prirodni plin</w:t>
      </w:r>
      <w:r w:rsidRPr="00FB6DA7">
        <w:rPr>
          <w:rFonts w:eastAsia="Arial"/>
          <w:lang w:eastAsia="hr-HR"/>
        </w:rPr>
        <w:t xml:space="preserve"> na otoku Krku</w:t>
      </w:r>
      <w:r>
        <w:rPr>
          <w:rFonts w:eastAsia="Arial"/>
          <w:lang w:eastAsia="hr-HR"/>
        </w:rPr>
        <w:t>, iznosi</w:t>
      </w:r>
      <w:r w:rsidRPr="00FB6DA7">
        <w:rPr>
          <w:rFonts w:eastAsia="Arial"/>
          <w:lang w:eastAsia="hr-HR"/>
        </w:rPr>
        <w:t xml:space="preserve"> </w:t>
      </w:r>
      <w:r w:rsidRPr="00CD0793">
        <w:rPr>
          <w:rFonts w:eastAsia="Arial"/>
          <w:lang w:eastAsia="hr-HR"/>
        </w:rPr>
        <w:t>23</w:t>
      </w:r>
      <w:r>
        <w:rPr>
          <w:rFonts w:eastAsia="Arial"/>
          <w:lang w:eastAsia="hr-HR"/>
        </w:rPr>
        <w:t>4</w:t>
      </w:r>
      <w:r w:rsidRPr="00CD0793">
        <w:rPr>
          <w:rFonts w:eastAsia="Arial"/>
          <w:lang w:eastAsia="hr-HR"/>
        </w:rPr>
        <w:t xml:space="preserve"> milijun</w:t>
      </w:r>
      <w:r>
        <w:rPr>
          <w:rFonts w:eastAsia="Arial"/>
          <w:lang w:eastAsia="hr-HR"/>
        </w:rPr>
        <w:t>a</w:t>
      </w:r>
      <w:r w:rsidRPr="00CD0793">
        <w:rPr>
          <w:rFonts w:eastAsia="Arial"/>
          <w:lang w:eastAsia="hr-HR"/>
        </w:rPr>
        <w:t xml:space="preserve"> eur</w:t>
      </w:r>
      <w:r>
        <w:rPr>
          <w:rFonts w:eastAsia="Arial"/>
          <w:lang w:eastAsia="hr-HR"/>
        </w:rPr>
        <w:t>a.</w:t>
      </w:r>
    </w:p>
    <w:p w14:paraId="736C8E14" w14:textId="77777777" w:rsidR="00AD4124" w:rsidRDefault="00AD4124" w:rsidP="00894E0A">
      <w:pPr>
        <w:jc w:val="both"/>
        <w:rPr>
          <w:rFonts w:eastAsia="Arial"/>
          <w:lang w:eastAsia="hr-HR"/>
        </w:rPr>
      </w:pPr>
    </w:p>
    <w:p w14:paraId="13CA7631" w14:textId="582AC269" w:rsidR="00894E0A" w:rsidRDefault="00AD4124" w:rsidP="00AD4124">
      <w:pPr>
        <w:ind w:firstLine="720"/>
        <w:jc w:val="both"/>
        <w:rPr>
          <w:rFonts w:eastAsia="Arial"/>
          <w:lang w:eastAsia="hr-HR"/>
        </w:rPr>
      </w:pPr>
      <w:r>
        <w:rPr>
          <w:rFonts w:eastAsia="Arial"/>
          <w:lang w:eastAsia="hr-HR"/>
        </w:rPr>
        <w:t xml:space="preserve">Za realizaciju prve faze projekta UPP terminala, </w:t>
      </w:r>
      <w:r w:rsidR="00894E0A" w:rsidRPr="00FB6DA7">
        <w:rPr>
          <w:rFonts w:eastAsia="Arial"/>
          <w:lang w:eastAsia="hr-HR"/>
        </w:rPr>
        <w:t xml:space="preserve">Europska komisija </w:t>
      </w:r>
      <w:r w:rsidR="008C6A3D">
        <w:rPr>
          <w:rFonts w:eastAsia="Arial"/>
          <w:lang w:eastAsia="hr-HR"/>
        </w:rPr>
        <w:t>odobrila</w:t>
      </w:r>
      <w:r>
        <w:rPr>
          <w:rFonts w:eastAsia="Arial"/>
          <w:lang w:eastAsia="hr-HR"/>
        </w:rPr>
        <w:t xml:space="preserve"> je društvu LNG Hrvatska d.o.o. bespovratna sredstva za izgradnju plutajućeg terminala za ukapljeni prirodni plin na otoku Krku, u iznosu od </w:t>
      </w:r>
      <w:r w:rsidR="00894E0A" w:rsidRPr="00FB6DA7">
        <w:rPr>
          <w:rFonts w:eastAsia="Arial"/>
          <w:lang w:eastAsia="hr-HR"/>
        </w:rPr>
        <w:t xml:space="preserve">101,4 milijuna eura. </w:t>
      </w:r>
    </w:p>
    <w:p w14:paraId="24E26874" w14:textId="1CCDE6FC" w:rsidR="00AD4124" w:rsidRDefault="00AD4124" w:rsidP="00894E0A">
      <w:pPr>
        <w:jc w:val="both"/>
        <w:rPr>
          <w:rFonts w:eastAsia="Arial"/>
          <w:lang w:eastAsia="hr-HR"/>
        </w:rPr>
      </w:pPr>
    </w:p>
    <w:p w14:paraId="3758E843" w14:textId="5845E409" w:rsidR="00AD4124" w:rsidRPr="00320CBE" w:rsidRDefault="00AD4124" w:rsidP="001438DF">
      <w:pPr>
        <w:ind w:firstLine="720"/>
        <w:jc w:val="both"/>
      </w:pPr>
      <w:r>
        <w:t xml:space="preserve">Republika Hrvatska će u Državnom proračunu Republike Hrvatske </w:t>
      </w:r>
      <w:r w:rsidR="008C6A3D">
        <w:t xml:space="preserve">na pozicijama Ministarstva zaštite okoliša i energetike </w:t>
      </w:r>
      <w:r>
        <w:t xml:space="preserve">osigurat </w:t>
      </w:r>
      <w:r w:rsidR="007841FD">
        <w:t>d</w:t>
      </w:r>
      <w:r w:rsidR="008C6A3D">
        <w:t>odjelu kapitalne pomoći društvu LNG Hrvatska d.o.o.</w:t>
      </w:r>
      <w:r>
        <w:t xml:space="preserve"> u </w:t>
      </w:r>
      <w:r w:rsidR="008C6A3D">
        <w:t xml:space="preserve">ukupnom </w:t>
      </w:r>
      <w:r>
        <w:t>iznos</w:t>
      </w:r>
      <w:r w:rsidR="001438DF">
        <w:t>u</w:t>
      </w:r>
      <w:r>
        <w:t xml:space="preserve"> </w:t>
      </w:r>
      <w:r w:rsidR="008C6A3D">
        <w:t>do</w:t>
      </w:r>
      <w:r>
        <w:t xml:space="preserve"> 100 </w:t>
      </w:r>
      <w:r w:rsidRPr="00320CBE">
        <w:t>milijuna eura kako slijedi:</w:t>
      </w:r>
    </w:p>
    <w:p w14:paraId="68D32908" w14:textId="77777777" w:rsidR="00AD4124" w:rsidRPr="00320CBE" w:rsidRDefault="00AD4124" w:rsidP="00AD4124">
      <w:pPr>
        <w:jc w:val="both"/>
      </w:pPr>
    </w:p>
    <w:p w14:paraId="07D9F7D1" w14:textId="03563B1F" w:rsidR="00AD4124" w:rsidRPr="00320CBE" w:rsidRDefault="00AD4124" w:rsidP="001438DF">
      <w:pPr>
        <w:ind w:firstLine="720"/>
        <w:jc w:val="both"/>
      </w:pPr>
      <w:r>
        <w:t xml:space="preserve">- </w:t>
      </w:r>
      <w:r w:rsidRPr="00320CBE">
        <w:t xml:space="preserve">iznos </w:t>
      </w:r>
      <w:r w:rsidR="008C6A3D">
        <w:t>do</w:t>
      </w:r>
      <w:r w:rsidRPr="00320CBE">
        <w:t xml:space="preserve"> 50 milijuna eura </w:t>
      </w:r>
      <w:r w:rsidR="008C6A3D">
        <w:t>u 2019. godini ako se za to stvore preduvjeti, a najkasnije do 31. siječnja 2020. godine</w:t>
      </w:r>
      <w:r w:rsidRPr="00320CBE">
        <w:t>,</w:t>
      </w:r>
    </w:p>
    <w:p w14:paraId="5004D395" w14:textId="77777777" w:rsidR="00AD4124" w:rsidRPr="00320CBE" w:rsidRDefault="00AD4124" w:rsidP="00AD4124">
      <w:pPr>
        <w:ind w:left="720"/>
        <w:jc w:val="both"/>
      </w:pPr>
    </w:p>
    <w:p w14:paraId="6435DFFB" w14:textId="354CE992" w:rsidR="00AD4124" w:rsidRDefault="00AD4124" w:rsidP="001438DF">
      <w:pPr>
        <w:ind w:firstLine="720"/>
        <w:jc w:val="both"/>
      </w:pPr>
      <w:r>
        <w:t xml:space="preserve">- </w:t>
      </w:r>
      <w:r w:rsidR="008C6A3D">
        <w:t xml:space="preserve">preostali </w:t>
      </w:r>
      <w:r w:rsidRPr="00320CBE">
        <w:t xml:space="preserve">iznos </w:t>
      </w:r>
      <w:r w:rsidR="008C6A3D">
        <w:t>do</w:t>
      </w:r>
      <w:r w:rsidRPr="00320CBE">
        <w:t xml:space="preserve"> </w:t>
      </w:r>
      <w:r w:rsidR="008C6A3D">
        <w:t>10</w:t>
      </w:r>
      <w:r w:rsidRPr="00320CBE">
        <w:t xml:space="preserve">0 milijuna eura </w:t>
      </w:r>
      <w:r w:rsidR="008C6A3D">
        <w:t>najkasnije do 31. prosinca 2020. godine</w:t>
      </w:r>
      <w:r w:rsidRPr="00320CBE">
        <w:t>.</w:t>
      </w:r>
    </w:p>
    <w:p w14:paraId="62A95A1B" w14:textId="15F2B65F" w:rsidR="00C0467C" w:rsidRDefault="00C0467C" w:rsidP="00C0467C">
      <w:pPr>
        <w:jc w:val="both"/>
      </w:pPr>
    </w:p>
    <w:p w14:paraId="1B4B17F5" w14:textId="2BAFAD59" w:rsidR="00C0467C" w:rsidRPr="00A00105" w:rsidRDefault="00C0467C" w:rsidP="00C0467C">
      <w:pPr>
        <w:jc w:val="both"/>
      </w:pPr>
      <w:r>
        <w:tab/>
        <w:t xml:space="preserve">Sredstva iz stavka 3. ove točke namijenjena su za pokriće dijela kapitalnih troškova nabave FSRU broda i izgradnje pristana s </w:t>
      </w:r>
      <w:r w:rsidRPr="00A00105">
        <w:t>pomoćnim postrojenjima i visokotlačnim priključnim plinovodom za plutajući terminal za ukapljeni prirodni plin, a doznačuju se sukladno dinamici plaćanja.</w:t>
      </w:r>
    </w:p>
    <w:p w14:paraId="222317E8" w14:textId="252F0704" w:rsidR="00AD4124" w:rsidRPr="00A00105" w:rsidRDefault="00AD4124" w:rsidP="00894E0A">
      <w:pPr>
        <w:jc w:val="both"/>
        <w:rPr>
          <w:rFonts w:eastAsia="Arial"/>
          <w:lang w:eastAsia="hr-HR"/>
        </w:rPr>
      </w:pPr>
    </w:p>
    <w:p w14:paraId="7B4466BA" w14:textId="12B3B58C" w:rsidR="001438DF" w:rsidRDefault="001438DF" w:rsidP="001438DF">
      <w:pPr>
        <w:ind w:firstLine="720"/>
        <w:jc w:val="both"/>
      </w:pPr>
      <w:r>
        <w:t xml:space="preserve">Vlasnici društva LNG Hrvatska d.o.o., </w:t>
      </w:r>
      <w:r w:rsidRPr="001438DF">
        <w:t>Hrvatska elektroprivreda d.d. i Plinacro d.o.o.</w:t>
      </w:r>
      <w:r>
        <w:t>, osigurat će p</w:t>
      </w:r>
      <w:r w:rsidRPr="00CD0793">
        <w:t xml:space="preserve">reostala sredstva </w:t>
      </w:r>
      <w:r>
        <w:t xml:space="preserve">za financiranje </w:t>
      </w:r>
      <w:r>
        <w:rPr>
          <w:rFonts w:eastAsia="Arial"/>
          <w:lang w:eastAsia="hr-HR"/>
        </w:rPr>
        <w:t>prve faze projekta UPP terminala u iznosu od 32,6 milijuna eura.</w:t>
      </w:r>
    </w:p>
    <w:p w14:paraId="182CE3EC" w14:textId="77777777" w:rsidR="001438DF" w:rsidRPr="00FB6DA7" w:rsidRDefault="001438DF" w:rsidP="00894E0A">
      <w:pPr>
        <w:jc w:val="both"/>
        <w:rPr>
          <w:rFonts w:eastAsia="Arial"/>
          <w:lang w:eastAsia="hr-HR"/>
        </w:rPr>
      </w:pPr>
    </w:p>
    <w:p w14:paraId="5924F198" w14:textId="77777777" w:rsidR="00894E0A" w:rsidRPr="00FB6DA7" w:rsidRDefault="00894E0A" w:rsidP="00894E0A">
      <w:pPr>
        <w:jc w:val="both"/>
      </w:pPr>
    </w:p>
    <w:p w14:paraId="6B616E64" w14:textId="4CCAF590" w:rsidR="00FB6DA7" w:rsidRPr="00FB6DA7" w:rsidRDefault="00FB6DA7" w:rsidP="00FB6DA7">
      <w:pPr>
        <w:jc w:val="center"/>
        <w:rPr>
          <w:rFonts w:eastAsia="Arial"/>
          <w:b/>
          <w:lang w:eastAsia="hr-HR"/>
        </w:rPr>
      </w:pPr>
      <w:r w:rsidRPr="00FB6DA7">
        <w:rPr>
          <w:rFonts w:eastAsia="Arial"/>
          <w:b/>
          <w:lang w:eastAsia="hr-HR"/>
        </w:rPr>
        <w:lastRenderedPageBreak/>
        <w:t>III.</w:t>
      </w:r>
    </w:p>
    <w:p w14:paraId="58992A3C" w14:textId="77777777" w:rsidR="00894E0A" w:rsidRDefault="00894E0A" w:rsidP="00122C7B">
      <w:pPr>
        <w:jc w:val="both"/>
      </w:pPr>
    </w:p>
    <w:p w14:paraId="6B2891ED" w14:textId="390E2947" w:rsidR="008C6A3D" w:rsidRDefault="008C6A3D" w:rsidP="001438DF">
      <w:pPr>
        <w:ind w:firstLine="720"/>
        <w:jc w:val="both"/>
      </w:pPr>
      <w:r>
        <w:t>Društvo LNG Hrvatska d.o.o. dužno je po utrošku sredstava iz točke II. stavka 3. ove Odluke dostaviti Ministarstvu zaštite okoliša i energetike izvješće o zakonitom, namjenskom i svrhovitom utrošku sredstava iz točke II. stavka 3. ove Odluke</w:t>
      </w:r>
      <w:r w:rsidR="00C0467C">
        <w:t xml:space="preserve"> koje mora sadržavati obrazloženje namjenskog utroška sredstava te preslike računa i izvoda kojima se potvrđuje da su računi podmireni. Nenamjenski utrošena sredstva društvo LNG Hrvatska d.o.o. dužno je vratiti u Državni proračun.</w:t>
      </w:r>
    </w:p>
    <w:p w14:paraId="3A21980E" w14:textId="47A93C58" w:rsidR="00A71C1A" w:rsidRDefault="00A71C1A" w:rsidP="00A71C1A">
      <w:pPr>
        <w:ind w:firstLine="720"/>
        <w:jc w:val="both"/>
      </w:pPr>
    </w:p>
    <w:p w14:paraId="55FFB805" w14:textId="77777777" w:rsidR="00A71C1A" w:rsidRDefault="00A71C1A" w:rsidP="00A71C1A">
      <w:pPr>
        <w:ind w:firstLine="720"/>
        <w:jc w:val="both"/>
      </w:pPr>
      <w:r>
        <w:t>Ministarstvo zaštite okoliša i energetike zadužuje se za provjeru vjerodostojnosti izvješća iz stavka 1. ove točke.</w:t>
      </w:r>
    </w:p>
    <w:p w14:paraId="427CC3FA" w14:textId="77777777" w:rsidR="00A71C1A" w:rsidRDefault="00A71C1A" w:rsidP="00A71C1A">
      <w:pPr>
        <w:ind w:firstLine="720"/>
        <w:jc w:val="both"/>
      </w:pPr>
    </w:p>
    <w:p w14:paraId="3A61BE2F" w14:textId="77777777" w:rsidR="00C0467C" w:rsidRDefault="00C0467C" w:rsidP="00C0467C">
      <w:pPr>
        <w:jc w:val="center"/>
        <w:rPr>
          <w:rFonts w:eastAsia="Arial"/>
          <w:b/>
          <w:lang w:eastAsia="hr-HR"/>
        </w:rPr>
      </w:pPr>
    </w:p>
    <w:p w14:paraId="3370151A" w14:textId="4B86C7A0" w:rsidR="00C0467C" w:rsidRPr="00FB6DA7" w:rsidRDefault="00C0467C" w:rsidP="00C0467C">
      <w:pPr>
        <w:jc w:val="center"/>
        <w:rPr>
          <w:rFonts w:eastAsia="Arial"/>
          <w:b/>
          <w:lang w:eastAsia="hr-HR"/>
        </w:rPr>
      </w:pPr>
      <w:r w:rsidRPr="00FB6DA7">
        <w:rPr>
          <w:rFonts w:eastAsia="Arial"/>
          <w:b/>
          <w:lang w:eastAsia="hr-HR"/>
        </w:rPr>
        <w:t>I</w:t>
      </w:r>
      <w:r>
        <w:rPr>
          <w:rFonts w:eastAsia="Arial"/>
          <w:b/>
          <w:lang w:eastAsia="hr-HR"/>
        </w:rPr>
        <w:t>V</w:t>
      </w:r>
      <w:r w:rsidRPr="00FB6DA7">
        <w:rPr>
          <w:rFonts w:eastAsia="Arial"/>
          <w:b/>
          <w:lang w:eastAsia="hr-HR"/>
        </w:rPr>
        <w:t>.</w:t>
      </w:r>
    </w:p>
    <w:p w14:paraId="73DE0CA7" w14:textId="77777777" w:rsidR="008C6A3D" w:rsidRDefault="008C6A3D" w:rsidP="001438DF">
      <w:pPr>
        <w:ind w:firstLine="720"/>
        <w:jc w:val="both"/>
      </w:pPr>
    </w:p>
    <w:p w14:paraId="64D04EA6" w14:textId="0256E6D8" w:rsidR="001438DF" w:rsidRDefault="001438DF" w:rsidP="001438DF">
      <w:pPr>
        <w:ind w:firstLine="720"/>
        <w:jc w:val="both"/>
      </w:pPr>
      <w:r>
        <w:t>Ministarstvo financija zadužuje se za osiguranje sredstava iz točke II. stavka 3. ove Odluke u Državnom proračunu Republike Hrvatske za 2019. i 2020. godinu.</w:t>
      </w:r>
    </w:p>
    <w:p w14:paraId="5AE28E09" w14:textId="406FD77F" w:rsidR="00A00105" w:rsidRDefault="00A00105" w:rsidP="001438DF">
      <w:pPr>
        <w:ind w:firstLine="720"/>
        <w:jc w:val="both"/>
      </w:pPr>
    </w:p>
    <w:p w14:paraId="1DAB0705" w14:textId="0B2BCBA6" w:rsidR="00A00105" w:rsidRPr="005832E3" w:rsidRDefault="00A00105" w:rsidP="001438DF">
      <w:pPr>
        <w:ind w:firstLine="720"/>
        <w:jc w:val="both"/>
      </w:pPr>
      <w:r w:rsidRPr="005832E3">
        <w:t>Ministarstvo zaštite okoliša i energetike zadužuje se da u roku od šest mjeseci od stupanja na snagu ove Odluke, a prije isplate sredstava iz točke II. stavka 3. ove Odluke, u skladu s pravilima o državnim potporama ishodi potrebne suglasnosti i odobrenja Europske komisije u pogledu postojanja elemenata i primjene pravila o državnim potporama.</w:t>
      </w:r>
    </w:p>
    <w:p w14:paraId="377A2B1A" w14:textId="01D75CB2" w:rsidR="001438DF" w:rsidRPr="005832E3" w:rsidRDefault="001438DF" w:rsidP="00A71C1A">
      <w:pPr>
        <w:jc w:val="both"/>
      </w:pPr>
    </w:p>
    <w:p w14:paraId="1247E7E1" w14:textId="6065E59D" w:rsidR="001438DF" w:rsidRDefault="001438DF" w:rsidP="001438DF">
      <w:pPr>
        <w:ind w:firstLine="720"/>
        <w:jc w:val="both"/>
      </w:pPr>
      <w:r w:rsidRPr="00CD0793">
        <w:t>Hrvatska elektroprivreda d.d. i Plinacro d.o.o.</w:t>
      </w:r>
      <w:r>
        <w:t xml:space="preserve"> zadužuju se za osiguranje sredstva iz točke II. stavka </w:t>
      </w:r>
      <w:r w:rsidR="00C0467C">
        <w:t>5</w:t>
      </w:r>
      <w:r>
        <w:t>. ove Odluke tijekom veljače 2019. godine.</w:t>
      </w:r>
    </w:p>
    <w:p w14:paraId="2B51456F" w14:textId="77777777" w:rsidR="001438DF" w:rsidRDefault="001438DF" w:rsidP="00FB6DA7">
      <w:pPr>
        <w:jc w:val="both"/>
      </w:pPr>
    </w:p>
    <w:p w14:paraId="6B813268" w14:textId="2B00A5AA" w:rsidR="007E49F0" w:rsidRPr="00512731" w:rsidRDefault="00FB6DA7" w:rsidP="001438DF">
      <w:pPr>
        <w:ind w:firstLine="720"/>
        <w:jc w:val="both"/>
      </w:pPr>
      <w:r w:rsidRPr="00512731">
        <w:t xml:space="preserve">Do </w:t>
      </w:r>
      <w:r w:rsidR="001438DF" w:rsidRPr="00512731">
        <w:t>isplate sredstava iz točke II. ove Odluke,</w:t>
      </w:r>
      <w:r w:rsidR="00640237" w:rsidRPr="00512731">
        <w:t xml:space="preserve"> </w:t>
      </w:r>
      <w:r w:rsidRPr="00512731">
        <w:t xml:space="preserve">Hrvatska Elektroprivreda d.d. </w:t>
      </w:r>
      <w:r w:rsidR="00640237" w:rsidRPr="00512731">
        <w:t>će osigurati</w:t>
      </w:r>
      <w:r w:rsidRPr="00512731">
        <w:t xml:space="preserve"> potrebne pozajmice društvu LNG Hrvatska d.o.o</w:t>
      </w:r>
      <w:r w:rsidR="00B175F5" w:rsidRPr="00512731">
        <w:t>.</w:t>
      </w:r>
    </w:p>
    <w:p w14:paraId="7784F003" w14:textId="77777777" w:rsidR="006F293B" w:rsidRPr="00320CBE" w:rsidRDefault="006F293B" w:rsidP="004935A6">
      <w:pPr>
        <w:jc w:val="both"/>
      </w:pPr>
    </w:p>
    <w:p w14:paraId="64DB1F01" w14:textId="0CA51EE4" w:rsidR="007B5696" w:rsidRPr="00320CBE" w:rsidRDefault="00640237" w:rsidP="007B5696">
      <w:pPr>
        <w:autoSpaceDE w:val="0"/>
        <w:autoSpaceDN w:val="0"/>
        <w:adjustRightInd w:val="0"/>
        <w:jc w:val="center"/>
        <w:rPr>
          <w:b/>
          <w:lang w:eastAsia="hr-HR"/>
        </w:rPr>
      </w:pPr>
      <w:r>
        <w:rPr>
          <w:b/>
          <w:lang w:eastAsia="hr-HR"/>
        </w:rPr>
        <w:t>V</w:t>
      </w:r>
      <w:r w:rsidR="007B5696" w:rsidRPr="00320CBE">
        <w:rPr>
          <w:b/>
          <w:lang w:eastAsia="hr-HR"/>
        </w:rPr>
        <w:t>.</w:t>
      </w:r>
    </w:p>
    <w:p w14:paraId="46B5AF04" w14:textId="77777777" w:rsidR="007B5696" w:rsidRPr="00320CBE" w:rsidRDefault="007B5696" w:rsidP="007B5696">
      <w:pPr>
        <w:jc w:val="both"/>
      </w:pPr>
    </w:p>
    <w:p w14:paraId="430817FA" w14:textId="003892B8" w:rsidR="006866BD" w:rsidRPr="00320CBE" w:rsidRDefault="002A283E" w:rsidP="006866BD">
      <w:pPr>
        <w:jc w:val="both"/>
        <w:rPr>
          <w:lang w:eastAsia="hr-HR"/>
        </w:rPr>
      </w:pPr>
      <w:r w:rsidRPr="00320CBE">
        <w:rPr>
          <w:lang w:eastAsia="hr-HR"/>
        </w:rPr>
        <w:t>Ova</w:t>
      </w:r>
      <w:r w:rsidR="00640237">
        <w:rPr>
          <w:lang w:eastAsia="hr-HR"/>
        </w:rPr>
        <w:t xml:space="preserve"> Odluka</w:t>
      </w:r>
      <w:r w:rsidR="009E5B54">
        <w:rPr>
          <w:lang w:eastAsia="hr-HR"/>
        </w:rPr>
        <w:t xml:space="preserve"> </w:t>
      </w:r>
      <w:r w:rsidRPr="00320CBE">
        <w:rPr>
          <w:lang w:eastAsia="hr-HR"/>
        </w:rPr>
        <w:t>stupa na snagu danom donošenja</w:t>
      </w:r>
      <w:r w:rsidR="00640237">
        <w:rPr>
          <w:lang w:eastAsia="hr-HR"/>
        </w:rPr>
        <w:t>, a objavit će se u „Narodnim novinama“.</w:t>
      </w:r>
    </w:p>
    <w:p w14:paraId="2A5D0405" w14:textId="01474DF5" w:rsidR="003658ED" w:rsidRPr="00320CBE" w:rsidRDefault="003658ED" w:rsidP="006866BD">
      <w:pPr>
        <w:jc w:val="both"/>
        <w:rPr>
          <w:lang w:eastAsia="hr-HR"/>
        </w:rPr>
      </w:pPr>
    </w:p>
    <w:p w14:paraId="27865B17" w14:textId="77777777" w:rsidR="00D94438" w:rsidRPr="00320CBE" w:rsidRDefault="00D94438" w:rsidP="006866BD">
      <w:pPr>
        <w:jc w:val="both"/>
        <w:rPr>
          <w:lang w:eastAsia="hr-HR"/>
        </w:rPr>
      </w:pPr>
    </w:p>
    <w:p w14:paraId="27902A03" w14:textId="77777777" w:rsidR="004D3D25" w:rsidRPr="00320CBE" w:rsidRDefault="004D3D25" w:rsidP="000E6669">
      <w:pPr>
        <w:autoSpaceDE w:val="0"/>
        <w:autoSpaceDN w:val="0"/>
        <w:adjustRightInd w:val="0"/>
        <w:rPr>
          <w:lang w:eastAsia="hr-HR"/>
        </w:rPr>
      </w:pPr>
    </w:p>
    <w:p w14:paraId="60A88A5B" w14:textId="77777777" w:rsidR="006866BD" w:rsidRPr="00320CBE" w:rsidRDefault="000E6669" w:rsidP="000E6669">
      <w:pPr>
        <w:autoSpaceDE w:val="0"/>
        <w:autoSpaceDN w:val="0"/>
        <w:adjustRightInd w:val="0"/>
        <w:rPr>
          <w:lang w:eastAsia="hr-HR"/>
        </w:rPr>
      </w:pPr>
      <w:r w:rsidRPr="00320CBE">
        <w:rPr>
          <w:lang w:eastAsia="hr-HR"/>
        </w:rPr>
        <w:t xml:space="preserve">KLASA: </w:t>
      </w:r>
    </w:p>
    <w:p w14:paraId="3CD0BA06" w14:textId="77777777" w:rsidR="006866BD" w:rsidRPr="00320CBE" w:rsidRDefault="000E6669" w:rsidP="000E6669">
      <w:pPr>
        <w:autoSpaceDE w:val="0"/>
        <w:autoSpaceDN w:val="0"/>
        <w:adjustRightInd w:val="0"/>
        <w:rPr>
          <w:lang w:eastAsia="hr-HR"/>
        </w:rPr>
      </w:pPr>
      <w:r w:rsidRPr="00320CBE">
        <w:rPr>
          <w:lang w:eastAsia="hr-HR"/>
        </w:rPr>
        <w:t>URBROJ</w:t>
      </w:r>
      <w:r w:rsidR="00E205AB" w:rsidRPr="00320CBE">
        <w:rPr>
          <w:lang w:eastAsia="hr-HR"/>
        </w:rPr>
        <w:t>:</w:t>
      </w:r>
    </w:p>
    <w:p w14:paraId="2E7D4069" w14:textId="77777777" w:rsidR="000E6669" w:rsidRPr="00320CBE" w:rsidRDefault="00286616" w:rsidP="000E6669">
      <w:pPr>
        <w:autoSpaceDE w:val="0"/>
        <w:autoSpaceDN w:val="0"/>
        <w:adjustRightInd w:val="0"/>
        <w:rPr>
          <w:lang w:eastAsia="hr-HR"/>
        </w:rPr>
      </w:pPr>
      <w:r w:rsidRPr="00320CBE">
        <w:rPr>
          <w:lang w:eastAsia="hr-HR"/>
        </w:rPr>
        <w:t xml:space="preserve">Zagreb, </w:t>
      </w:r>
      <w:r w:rsidR="00E205AB" w:rsidRPr="00320CBE">
        <w:rPr>
          <w:lang w:eastAsia="hr-HR"/>
        </w:rPr>
        <w:t>__.__</w:t>
      </w:r>
      <w:r w:rsidR="000E6669" w:rsidRPr="00320CBE">
        <w:rPr>
          <w:lang w:eastAsia="hr-HR"/>
        </w:rPr>
        <w:t>201</w:t>
      </w:r>
      <w:r w:rsidR="002A283E" w:rsidRPr="00320CBE">
        <w:rPr>
          <w:lang w:eastAsia="hr-HR"/>
        </w:rPr>
        <w:t>9</w:t>
      </w:r>
      <w:r w:rsidR="000E6669" w:rsidRPr="00320CBE">
        <w:rPr>
          <w:lang w:eastAsia="hr-HR"/>
        </w:rPr>
        <w:t>.</w:t>
      </w:r>
      <w:r w:rsidRPr="00320CBE">
        <w:rPr>
          <w:lang w:eastAsia="hr-HR"/>
        </w:rPr>
        <w:t xml:space="preserve"> godine</w:t>
      </w:r>
    </w:p>
    <w:p w14:paraId="161CD9E2" w14:textId="77777777" w:rsidR="000E6669" w:rsidRPr="00320CBE" w:rsidRDefault="000E6669" w:rsidP="000E6669">
      <w:pPr>
        <w:autoSpaceDE w:val="0"/>
        <w:autoSpaceDN w:val="0"/>
        <w:adjustRightInd w:val="0"/>
        <w:rPr>
          <w:lang w:eastAsia="hr-HR"/>
        </w:rPr>
      </w:pPr>
    </w:p>
    <w:p w14:paraId="6BDF6F7E" w14:textId="77777777" w:rsidR="000E6669" w:rsidRPr="00320CBE" w:rsidRDefault="000E6669" w:rsidP="00286616">
      <w:pPr>
        <w:autoSpaceDE w:val="0"/>
        <w:autoSpaceDN w:val="0"/>
        <w:adjustRightInd w:val="0"/>
        <w:jc w:val="right"/>
        <w:rPr>
          <w:lang w:eastAsia="hr-HR"/>
        </w:rPr>
      </w:pPr>
      <w:r w:rsidRPr="00320CBE">
        <w:rPr>
          <w:b/>
          <w:bCs/>
          <w:lang w:eastAsia="hr-HR"/>
        </w:rPr>
        <w:t>PREDSJEDNIK</w:t>
      </w:r>
      <w:r w:rsidR="00677876" w:rsidRPr="00320CBE">
        <w:rPr>
          <w:b/>
          <w:bCs/>
          <w:lang w:eastAsia="hr-HR"/>
        </w:rPr>
        <w:t xml:space="preserve"> </w:t>
      </w:r>
    </w:p>
    <w:p w14:paraId="75C51E0B" w14:textId="77777777" w:rsidR="000E6669" w:rsidRPr="00320CBE" w:rsidRDefault="000E6669" w:rsidP="00286616">
      <w:pPr>
        <w:autoSpaceDE w:val="0"/>
        <w:autoSpaceDN w:val="0"/>
        <w:adjustRightInd w:val="0"/>
        <w:jc w:val="right"/>
        <w:rPr>
          <w:lang w:eastAsia="hr-HR"/>
        </w:rPr>
      </w:pPr>
    </w:p>
    <w:p w14:paraId="261E9425" w14:textId="77777777" w:rsidR="00C76E5A" w:rsidRPr="00320CBE" w:rsidRDefault="00583A2F" w:rsidP="00286616">
      <w:pPr>
        <w:pStyle w:val="BodyText"/>
        <w:jc w:val="right"/>
        <w:rPr>
          <w:rFonts w:ascii="Times New Roman" w:hAnsi="Times New Roman"/>
          <w:b/>
          <w:bCs/>
          <w:sz w:val="24"/>
          <w:szCs w:val="24"/>
          <w:lang w:eastAsia="hr-HR"/>
        </w:rPr>
      </w:pPr>
      <w:r w:rsidRPr="00320CBE">
        <w:rPr>
          <w:rFonts w:ascii="Times New Roman" w:hAnsi="Times New Roman"/>
          <w:b/>
          <w:bCs/>
          <w:sz w:val="24"/>
          <w:szCs w:val="24"/>
          <w:lang w:eastAsia="hr-HR"/>
        </w:rPr>
        <w:t xml:space="preserve">Mr. sc. </w:t>
      </w:r>
      <w:r w:rsidR="00677876" w:rsidRPr="00320CBE">
        <w:rPr>
          <w:rFonts w:ascii="Times New Roman" w:hAnsi="Times New Roman"/>
          <w:b/>
          <w:bCs/>
          <w:sz w:val="24"/>
          <w:szCs w:val="24"/>
          <w:lang w:eastAsia="hr-HR"/>
        </w:rPr>
        <w:t xml:space="preserve">Andrej </w:t>
      </w:r>
      <w:r w:rsidR="0094397F" w:rsidRPr="00320CBE">
        <w:rPr>
          <w:rFonts w:ascii="Times New Roman" w:hAnsi="Times New Roman"/>
          <w:b/>
          <w:bCs/>
          <w:sz w:val="24"/>
          <w:szCs w:val="24"/>
          <w:lang w:eastAsia="hr-HR"/>
        </w:rPr>
        <w:t>Plenković</w:t>
      </w:r>
      <w:r w:rsidR="000E6669" w:rsidRPr="00320CBE">
        <w:rPr>
          <w:rFonts w:ascii="Times New Roman" w:hAnsi="Times New Roman"/>
          <w:b/>
          <w:bCs/>
          <w:sz w:val="24"/>
          <w:szCs w:val="24"/>
          <w:lang w:eastAsia="hr-HR"/>
        </w:rPr>
        <w:t xml:space="preserve"> </w:t>
      </w:r>
    </w:p>
    <w:p w14:paraId="7E260490" w14:textId="77777777" w:rsidR="00286616" w:rsidRPr="00320CBE" w:rsidRDefault="00286616" w:rsidP="00286616">
      <w:pPr>
        <w:pStyle w:val="BodyText"/>
        <w:jc w:val="right"/>
        <w:rPr>
          <w:rFonts w:ascii="Times New Roman" w:hAnsi="Times New Roman"/>
          <w:b/>
          <w:bCs/>
          <w:sz w:val="24"/>
          <w:szCs w:val="24"/>
          <w:lang w:eastAsia="hr-HR"/>
        </w:rPr>
      </w:pPr>
    </w:p>
    <w:p w14:paraId="138A0033" w14:textId="77777777" w:rsidR="00E205AB" w:rsidRPr="00320CBE" w:rsidRDefault="00E205AB" w:rsidP="00E205AB">
      <w:pPr>
        <w:pStyle w:val="BodyText"/>
        <w:rPr>
          <w:rFonts w:ascii="Times New Roman" w:hAnsi="Times New Roman"/>
          <w:b/>
          <w:bCs/>
          <w:sz w:val="24"/>
          <w:szCs w:val="24"/>
          <w:lang w:eastAsia="hr-HR"/>
        </w:rPr>
      </w:pPr>
    </w:p>
    <w:p w14:paraId="30366FFB" w14:textId="41F8A2B1" w:rsidR="00E205AB" w:rsidRPr="00320CBE" w:rsidRDefault="00E205AB" w:rsidP="00E205AB">
      <w:pPr>
        <w:pStyle w:val="BodyText"/>
        <w:jc w:val="center"/>
        <w:rPr>
          <w:rFonts w:ascii="Times New Roman" w:hAnsi="Times New Roman"/>
          <w:b/>
          <w:bCs/>
          <w:sz w:val="24"/>
          <w:szCs w:val="24"/>
          <w:lang w:eastAsia="hr-HR"/>
        </w:rPr>
      </w:pPr>
    </w:p>
    <w:p w14:paraId="7A864706" w14:textId="0C5FB282" w:rsidR="006F293B" w:rsidRPr="00320CBE" w:rsidRDefault="006F293B" w:rsidP="00E205AB">
      <w:pPr>
        <w:pStyle w:val="BodyText"/>
        <w:jc w:val="center"/>
        <w:rPr>
          <w:rFonts w:ascii="Times New Roman" w:hAnsi="Times New Roman"/>
          <w:b/>
          <w:bCs/>
          <w:sz w:val="24"/>
          <w:szCs w:val="24"/>
          <w:lang w:eastAsia="hr-HR"/>
        </w:rPr>
      </w:pPr>
    </w:p>
    <w:p w14:paraId="4E4FEC7C" w14:textId="3D766D6E" w:rsidR="006F293B" w:rsidRDefault="006F293B" w:rsidP="00E205AB">
      <w:pPr>
        <w:pStyle w:val="BodyText"/>
        <w:jc w:val="center"/>
        <w:rPr>
          <w:rFonts w:ascii="Times New Roman" w:hAnsi="Times New Roman"/>
          <w:b/>
          <w:bCs/>
          <w:sz w:val="24"/>
          <w:szCs w:val="24"/>
          <w:lang w:eastAsia="hr-HR"/>
        </w:rPr>
      </w:pPr>
    </w:p>
    <w:p w14:paraId="0350EE34" w14:textId="52CF012E" w:rsidR="005832E3" w:rsidRDefault="005832E3" w:rsidP="00E205AB">
      <w:pPr>
        <w:pStyle w:val="BodyText"/>
        <w:jc w:val="center"/>
        <w:rPr>
          <w:rFonts w:ascii="Times New Roman" w:hAnsi="Times New Roman"/>
          <w:b/>
          <w:bCs/>
          <w:sz w:val="24"/>
          <w:szCs w:val="24"/>
          <w:lang w:eastAsia="hr-HR"/>
        </w:rPr>
      </w:pPr>
    </w:p>
    <w:p w14:paraId="6A6D15B5" w14:textId="75E6A2FB" w:rsidR="005832E3" w:rsidRDefault="005832E3" w:rsidP="00E205AB">
      <w:pPr>
        <w:pStyle w:val="BodyText"/>
        <w:jc w:val="center"/>
        <w:rPr>
          <w:rFonts w:ascii="Times New Roman" w:hAnsi="Times New Roman"/>
          <w:b/>
          <w:bCs/>
          <w:sz w:val="24"/>
          <w:szCs w:val="24"/>
          <w:lang w:eastAsia="hr-HR"/>
        </w:rPr>
      </w:pPr>
    </w:p>
    <w:p w14:paraId="2C077C68" w14:textId="363C7A1F" w:rsidR="005832E3" w:rsidRDefault="005832E3" w:rsidP="00E205AB">
      <w:pPr>
        <w:pStyle w:val="BodyText"/>
        <w:jc w:val="center"/>
        <w:rPr>
          <w:rFonts w:ascii="Times New Roman" w:hAnsi="Times New Roman"/>
          <w:b/>
          <w:bCs/>
          <w:sz w:val="24"/>
          <w:szCs w:val="24"/>
          <w:lang w:eastAsia="hr-HR"/>
        </w:rPr>
      </w:pPr>
    </w:p>
    <w:p w14:paraId="4925D705" w14:textId="4BB6B9E6" w:rsidR="005832E3" w:rsidRDefault="005832E3" w:rsidP="00E205AB">
      <w:pPr>
        <w:pStyle w:val="BodyText"/>
        <w:jc w:val="center"/>
        <w:rPr>
          <w:rFonts w:ascii="Times New Roman" w:hAnsi="Times New Roman"/>
          <w:b/>
          <w:bCs/>
          <w:sz w:val="24"/>
          <w:szCs w:val="24"/>
          <w:lang w:eastAsia="hr-HR"/>
        </w:rPr>
      </w:pPr>
    </w:p>
    <w:p w14:paraId="3C0699A7" w14:textId="64416120" w:rsidR="005832E3" w:rsidRDefault="005832E3" w:rsidP="00E205AB">
      <w:pPr>
        <w:pStyle w:val="BodyText"/>
        <w:jc w:val="center"/>
        <w:rPr>
          <w:rFonts w:ascii="Times New Roman" w:hAnsi="Times New Roman"/>
          <w:b/>
          <w:bCs/>
          <w:sz w:val="24"/>
          <w:szCs w:val="24"/>
          <w:lang w:eastAsia="hr-HR"/>
        </w:rPr>
      </w:pPr>
    </w:p>
    <w:p w14:paraId="54A670C8" w14:textId="223ACC3B" w:rsidR="00A71C1A" w:rsidRPr="00320CBE" w:rsidRDefault="00A71C1A" w:rsidP="00A71C1A">
      <w:pPr>
        <w:pStyle w:val="BodyText"/>
        <w:rPr>
          <w:rFonts w:ascii="Times New Roman" w:hAnsi="Times New Roman"/>
          <w:b/>
          <w:bCs/>
          <w:sz w:val="24"/>
          <w:szCs w:val="24"/>
          <w:lang w:eastAsia="hr-HR"/>
        </w:rPr>
      </w:pPr>
    </w:p>
    <w:p w14:paraId="3372C6A7" w14:textId="56159EEF" w:rsidR="00286616" w:rsidRPr="00320CBE" w:rsidRDefault="006F293B" w:rsidP="00E205AB">
      <w:pPr>
        <w:pStyle w:val="BodyText"/>
        <w:jc w:val="center"/>
        <w:rPr>
          <w:rFonts w:ascii="Times New Roman" w:hAnsi="Times New Roman"/>
          <w:b/>
          <w:bCs/>
          <w:sz w:val="24"/>
          <w:szCs w:val="24"/>
          <w:lang w:eastAsia="hr-HR"/>
        </w:rPr>
      </w:pPr>
      <w:r w:rsidRPr="00320CBE">
        <w:rPr>
          <w:rFonts w:ascii="Times New Roman" w:hAnsi="Times New Roman"/>
          <w:b/>
          <w:bCs/>
          <w:sz w:val="24"/>
          <w:szCs w:val="24"/>
          <w:lang w:eastAsia="hr-HR"/>
        </w:rPr>
        <w:t>Obrazloženje</w:t>
      </w:r>
    </w:p>
    <w:p w14:paraId="553BBFAC" w14:textId="77777777" w:rsidR="00286616" w:rsidRPr="00320CBE" w:rsidRDefault="00286616" w:rsidP="00286616">
      <w:pPr>
        <w:pStyle w:val="BodyText"/>
        <w:jc w:val="center"/>
        <w:rPr>
          <w:rFonts w:ascii="Times New Roman" w:hAnsi="Times New Roman"/>
          <w:b/>
          <w:bCs/>
          <w:sz w:val="24"/>
          <w:szCs w:val="24"/>
          <w:lang w:eastAsia="hr-HR"/>
        </w:rPr>
      </w:pPr>
    </w:p>
    <w:p w14:paraId="7034FC81" w14:textId="77777777" w:rsidR="00C75F6A" w:rsidRPr="00320CBE" w:rsidRDefault="00C75F6A" w:rsidP="00286616">
      <w:pPr>
        <w:pStyle w:val="BodyText"/>
        <w:rPr>
          <w:rFonts w:ascii="Times New Roman" w:hAnsi="Times New Roman"/>
          <w:bCs/>
          <w:sz w:val="24"/>
          <w:szCs w:val="24"/>
        </w:rPr>
      </w:pPr>
    </w:p>
    <w:p w14:paraId="3BC7C498" w14:textId="77777777" w:rsidR="00A542CE" w:rsidRPr="00320CBE" w:rsidRDefault="00A542CE" w:rsidP="00A542CE">
      <w:pPr>
        <w:pStyle w:val="BodyText"/>
        <w:rPr>
          <w:rFonts w:ascii="Times New Roman" w:hAnsi="Times New Roman"/>
          <w:bCs/>
          <w:sz w:val="24"/>
          <w:szCs w:val="24"/>
        </w:rPr>
      </w:pPr>
      <w:r w:rsidRPr="00320CBE">
        <w:rPr>
          <w:rFonts w:ascii="Times New Roman" w:hAnsi="Times New Roman"/>
          <w:bCs/>
          <w:sz w:val="24"/>
          <w:szCs w:val="24"/>
        </w:rPr>
        <w:t xml:space="preserve">Sukladno odluci Vlade Republike Hrvatske o proglašenju projekta LNG terminal (izgradnja prihvatnog terminala za ukapljeni prirodni plin na otoku Krku, Općina Omišalj) strateškim investicijskim projektom Republike Hrvatske (Narodne novine, broj 78/15) od 16. srpnja 2015. godine, projekt izgradnje LNG terminala je proglašen strateškim investicijskim projektom Republike Hrvatske. </w:t>
      </w:r>
    </w:p>
    <w:p w14:paraId="79CDCC10" w14:textId="77777777" w:rsidR="00A542CE" w:rsidRPr="00320CBE" w:rsidRDefault="00A542CE" w:rsidP="00A542CE">
      <w:pPr>
        <w:pStyle w:val="BodyText"/>
        <w:rPr>
          <w:rFonts w:ascii="Times New Roman" w:hAnsi="Times New Roman"/>
          <w:bCs/>
          <w:sz w:val="24"/>
          <w:szCs w:val="24"/>
        </w:rPr>
      </w:pPr>
    </w:p>
    <w:p w14:paraId="671A81A3" w14:textId="77777777" w:rsidR="00A542CE" w:rsidRPr="00320CBE" w:rsidRDefault="00A542CE" w:rsidP="00A542CE">
      <w:pPr>
        <w:pStyle w:val="BodyText"/>
        <w:rPr>
          <w:rFonts w:ascii="Times New Roman" w:hAnsi="Times New Roman"/>
          <w:bCs/>
          <w:sz w:val="24"/>
          <w:szCs w:val="24"/>
        </w:rPr>
      </w:pPr>
      <w:r w:rsidRPr="00320CBE">
        <w:rPr>
          <w:rFonts w:ascii="Times New Roman" w:hAnsi="Times New Roman"/>
          <w:bCs/>
          <w:sz w:val="24"/>
          <w:szCs w:val="24"/>
        </w:rPr>
        <w:t xml:space="preserve">Pored navedenog, Vlada RH je na 27. sjednici održanoj 8. lipnja 2016. donijela Zaključak o ubrzavanju procesa izgradnje plutajućeg terminala za skladištenje i uplinjavanje ukapljenog prirodnog plina otoku Krku te se je predmetnim zaključkom zadužilo društvo LNG Hrvatska d.o.o. da ubrza sve aktivnosti potrebne za realizaciju prve faze projekta odnosno izgradnju plutajućeg LNG terminala na otoku Krku. </w:t>
      </w:r>
    </w:p>
    <w:p w14:paraId="7EEC45EB" w14:textId="77777777" w:rsidR="00A542CE" w:rsidRPr="00320CBE" w:rsidRDefault="00A542CE" w:rsidP="00A542CE">
      <w:pPr>
        <w:pStyle w:val="BodyText"/>
        <w:rPr>
          <w:rFonts w:ascii="Times New Roman" w:hAnsi="Times New Roman"/>
          <w:bCs/>
          <w:sz w:val="24"/>
          <w:szCs w:val="24"/>
        </w:rPr>
      </w:pPr>
    </w:p>
    <w:p w14:paraId="4943444D" w14:textId="2772086F" w:rsidR="00A542CE" w:rsidRPr="00320CBE" w:rsidRDefault="00A542CE" w:rsidP="00A542CE">
      <w:pPr>
        <w:pStyle w:val="BodyText"/>
        <w:rPr>
          <w:rFonts w:ascii="Times New Roman" w:hAnsi="Times New Roman"/>
          <w:bCs/>
          <w:sz w:val="24"/>
          <w:szCs w:val="24"/>
        </w:rPr>
      </w:pPr>
      <w:r w:rsidRPr="00320CBE">
        <w:rPr>
          <w:rFonts w:ascii="Times New Roman" w:hAnsi="Times New Roman"/>
          <w:bCs/>
          <w:sz w:val="24"/>
          <w:szCs w:val="24"/>
        </w:rPr>
        <w:t>Sukladn</w:t>
      </w:r>
      <w:r w:rsidR="00AD0FB1">
        <w:rPr>
          <w:rFonts w:ascii="Times New Roman" w:hAnsi="Times New Roman"/>
          <w:bCs/>
          <w:sz w:val="24"/>
          <w:szCs w:val="24"/>
        </w:rPr>
        <w:t xml:space="preserve">o </w:t>
      </w:r>
      <w:r w:rsidRPr="00320CBE">
        <w:rPr>
          <w:rFonts w:ascii="Times New Roman" w:hAnsi="Times New Roman"/>
          <w:bCs/>
          <w:sz w:val="24"/>
          <w:szCs w:val="24"/>
        </w:rPr>
        <w:t>Odlu</w:t>
      </w:r>
      <w:r w:rsidR="00AD0FB1">
        <w:rPr>
          <w:rFonts w:ascii="Times New Roman" w:hAnsi="Times New Roman"/>
          <w:bCs/>
          <w:sz w:val="24"/>
          <w:szCs w:val="24"/>
        </w:rPr>
        <w:t>ci</w:t>
      </w:r>
      <w:r w:rsidRPr="00320CBE">
        <w:rPr>
          <w:rFonts w:ascii="Times New Roman" w:hAnsi="Times New Roman"/>
          <w:bCs/>
          <w:sz w:val="24"/>
          <w:szCs w:val="24"/>
        </w:rPr>
        <w:t xml:space="preserve"> </w:t>
      </w:r>
      <w:r w:rsidR="00AD0FB1" w:rsidRPr="00320CBE">
        <w:rPr>
          <w:rFonts w:ascii="Times New Roman" w:hAnsi="Times New Roman"/>
          <w:bCs/>
          <w:sz w:val="24"/>
          <w:szCs w:val="24"/>
        </w:rPr>
        <w:t>Vlad</w:t>
      </w:r>
      <w:r w:rsidR="00AD0FB1">
        <w:rPr>
          <w:rFonts w:ascii="Times New Roman" w:hAnsi="Times New Roman"/>
          <w:bCs/>
          <w:sz w:val="24"/>
          <w:szCs w:val="24"/>
        </w:rPr>
        <w:t>e</w:t>
      </w:r>
      <w:r w:rsidR="00AD0FB1" w:rsidRPr="00320CBE">
        <w:rPr>
          <w:rFonts w:ascii="Times New Roman" w:hAnsi="Times New Roman"/>
          <w:bCs/>
          <w:sz w:val="24"/>
          <w:szCs w:val="24"/>
        </w:rPr>
        <w:t xml:space="preserve"> RH </w:t>
      </w:r>
      <w:r w:rsidRPr="00320CBE">
        <w:rPr>
          <w:rFonts w:ascii="Times New Roman" w:hAnsi="Times New Roman"/>
          <w:bCs/>
          <w:sz w:val="24"/>
          <w:szCs w:val="24"/>
        </w:rPr>
        <w:t xml:space="preserve">o izmjeni odluke o proglašenju projekta LNG terminal (izgradnja prihvatnog terminala za ukapljeni prirodni plin na otoku Krku, Općina Omišalj) strateškim investicijskim projektom Republike Hrvatske (Narodne novine, broj 11/18) od 01. veljače 2018. godine, </w:t>
      </w:r>
      <w:r w:rsidR="00AD0FB1">
        <w:rPr>
          <w:rFonts w:ascii="Times New Roman" w:hAnsi="Times New Roman"/>
          <w:bCs/>
          <w:sz w:val="24"/>
          <w:szCs w:val="24"/>
        </w:rPr>
        <w:t>Vlada RH</w:t>
      </w:r>
      <w:r w:rsidRPr="00320CBE">
        <w:rPr>
          <w:rFonts w:ascii="Times New Roman" w:hAnsi="Times New Roman"/>
          <w:bCs/>
          <w:sz w:val="24"/>
          <w:szCs w:val="24"/>
        </w:rPr>
        <w:t xml:space="preserve"> proglasila </w:t>
      </w:r>
      <w:r w:rsidR="00AD0FB1">
        <w:rPr>
          <w:rFonts w:ascii="Times New Roman" w:hAnsi="Times New Roman"/>
          <w:bCs/>
          <w:sz w:val="24"/>
          <w:szCs w:val="24"/>
        </w:rPr>
        <w:t xml:space="preserve">je </w:t>
      </w:r>
      <w:r w:rsidRPr="00320CBE">
        <w:rPr>
          <w:rFonts w:ascii="Times New Roman" w:hAnsi="Times New Roman"/>
          <w:bCs/>
          <w:sz w:val="24"/>
          <w:szCs w:val="24"/>
        </w:rPr>
        <w:t>sve faze projekta koje uključuju izgradnju plutajućeg LNG terminala u prvoj fazi i izgradnju kopnenog LNG terminala u drugoj fazi strateškim te je za nositelja realizacije zadužila društvo LNG Hrvatska d.o.o.</w:t>
      </w:r>
    </w:p>
    <w:p w14:paraId="34A02899" w14:textId="77777777" w:rsidR="00A542CE" w:rsidRPr="00320CBE" w:rsidRDefault="00A542CE" w:rsidP="00A542CE">
      <w:pPr>
        <w:pStyle w:val="BodyText"/>
        <w:rPr>
          <w:rFonts w:ascii="Times New Roman" w:hAnsi="Times New Roman"/>
          <w:bCs/>
          <w:sz w:val="24"/>
          <w:szCs w:val="24"/>
        </w:rPr>
      </w:pPr>
    </w:p>
    <w:p w14:paraId="7F423B43" w14:textId="77777777" w:rsidR="00A542CE" w:rsidRPr="00AD0FB1" w:rsidRDefault="00A542CE" w:rsidP="00A542CE">
      <w:pPr>
        <w:pStyle w:val="BodyText"/>
        <w:rPr>
          <w:rFonts w:ascii="Times New Roman" w:hAnsi="Times New Roman"/>
          <w:bCs/>
          <w:sz w:val="24"/>
          <w:szCs w:val="24"/>
        </w:rPr>
      </w:pPr>
      <w:r w:rsidRPr="00AD0FB1">
        <w:rPr>
          <w:rFonts w:ascii="Times New Roman" w:hAnsi="Times New Roman"/>
          <w:bCs/>
          <w:sz w:val="24"/>
          <w:szCs w:val="24"/>
        </w:rPr>
        <w:t>Zakonom o terminalu za ukapljeni prirodni plin (Narodne novine, broj 57/18), a koji je usvojio Hrvatski Sabor 18. lipnja 2018. godine, utvrđeno je da je gradnja LNG terminala u interesu Republike Hrvatske te se za nositelja investicije projekta odredilo društvo LNG Hrvatska d.o.o. koje će realizirati projekt u dvije fazu na način da će u prvoj fazi graditi plutajući, a u drugoj fazi kopneni terminal.</w:t>
      </w:r>
    </w:p>
    <w:p w14:paraId="2AE876B2" w14:textId="77777777" w:rsidR="00A542CE" w:rsidRPr="00AD0FB1" w:rsidRDefault="00A542CE" w:rsidP="00A542CE">
      <w:pPr>
        <w:pStyle w:val="BodyText"/>
        <w:rPr>
          <w:rFonts w:ascii="Times New Roman" w:hAnsi="Times New Roman"/>
          <w:bCs/>
          <w:sz w:val="24"/>
          <w:szCs w:val="24"/>
        </w:rPr>
      </w:pPr>
    </w:p>
    <w:p w14:paraId="0DEADE0A" w14:textId="58AE1D00" w:rsidR="00AD0FB1" w:rsidRPr="00CD0793" w:rsidRDefault="005F6687" w:rsidP="00AD0FB1">
      <w:pPr>
        <w:jc w:val="both"/>
      </w:pPr>
      <w:r w:rsidRPr="00AD0FB1">
        <w:t>Sukladno Zakonu o terminalu za ukapljeni prirodni plin (Narodne novine, broj 57/18), radi očuvanja sigurnosti opskrbe prirodnim plinom interes Republike Hrvatske je osigurati realizaciju projekta UPP terminala na otoku Krku sukladno Strategiji energetskog razvoja Republike Hrvatske, Strategiji skladištenja prirodnog plina Europske unije i Strategiji sigurne opskrbe energijom Europske unije.</w:t>
      </w:r>
    </w:p>
    <w:p w14:paraId="7F310351" w14:textId="77777777" w:rsidR="00AD0FB1" w:rsidRDefault="00AD0FB1" w:rsidP="00AD0FB1">
      <w:pPr>
        <w:jc w:val="both"/>
        <w:rPr>
          <w:bCs/>
        </w:rPr>
      </w:pPr>
    </w:p>
    <w:p w14:paraId="331E6029" w14:textId="0654D30B" w:rsidR="00A542CE" w:rsidRPr="00AD0FB1" w:rsidRDefault="00A542CE" w:rsidP="00AD0FB1">
      <w:pPr>
        <w:jc w:val="both"/>
      </w:pPr>
      <w:r w:rsidRPr="00320CBE">
        <w:rPr>
          <w:bCs/>
        </w:rPr>
        <w:t xml:space="preserve">Europska komisija je u studenom 2015. godine usvojila popis projekata od zajedničkog interesa (PCI) koji sadrži 195 ključnih energetskih infrastrukturnih projekata, među kojima se nalazi i LNG terminal na otoku Krku. Projekti će pomoći u ostvarivanju energetskih i klimatskih ciljeva Europe i čine temelje energetske strategije EU te omogućiti postupno jačanje Energetske zajednice integrirajući tržišta energije u Europi, diversifikacijom izvora energije i prometnih pravaca. Nastavno na navedeno, Europska komisija je odobrila bespovratna sredstva za izgradnju plutajućeg terminala </w:t>
      </w:r>
      <w:r w:rsidR="00D94438" w:rsidRPr="00320CBE">
        <w:rPr>
          <w:bCs/>
        </w:rPr>
        <w:t xml:space="preserve">za ukapljeni prirodni plin </w:t>
      </w:r>
      <w:r w:rsidRPr="00320CBE">
        <w:rPr>
          <w:bCs/>
        </w:rPr>
        <w:t>na otoku Krku u iznosu od 101,4 milijuna eura.</w:t>
      </w:r>
    </w:p>
    <w:p w14:paraId="2F5BC20A" w14:textId="77777777" w:rsidR="00A542CE" w:rsidRPr="00320CBE" w:rsidRDefault="00A542CE" w:rsidP="00A542CE">
      <w:pPr>
        <w:pStyle w:val="BodyText"/>
        <w:rPr>
          <w:rFonts w:ascii="Times New Roman" w:hAnsi="Times New Roman"/>
          <w:bCs/>
          <w:sz w:val="24"/>
          <w:szCs w:val="24"/>
        </w:rPr>
      </w:pPr>
    </w:p>
    <w:p w14:paraId="6E2FB57F" w14:textId="77777777" w:rsidR="00C75F6A" w:rsidRPr="00320CBE" w:rsidRDefault="00C75F6A" w:rsidP="00C75F6A">
      <w:pPr>
        <w:jc w:val="both"/>
        <w:rPr>
          <w:rFonts w:eastAsia="Calibri"/>
          <w:color w:val="000000"/>
          <w:lang w:eastAsia="hr-HR"/>
        </w:rPr>
      </w:pPr>
      <w:r w:rsidRPr="00320CBE">
        <w:rPr>
          <w:rFonts w:eastAsia="Calibri"/>
          <w:color w:val="000000"/>
          <w:lang w:eastAsia="hr-HR"/>
        </w:rPr>
        <w:t>Plutajući LNG terminal na otoku Krku ima geopolitičku i stratešku dimenziju u okviru jačanja europskog energetskog tržišta i povećanja sigurnosti opskrbe plinom zemalja Europske unije, a posebno zemalja jugoistočne Europe koje za sebe žele osigurati novi pouzdani dobavni pravac plina. Okosnica svake energetske politike je sigurnost opskrbe energentima. Republika Hrvatska trenutno proizvodi oko 40 % svojih potreba za prirodnim plinom te je domaća proizvodnja prirodnog plina u konstantnom padu. Pad domaće proizvodnje će se djelomično nadomjestiti novim investicijama u istraživanje i eksploataciju ugljikovodika, međutim za osiguranje sigurnosti opskrbe prirodnim plinom neophodno je diversificirati dobavne pravce i smanjiti ovisnost o uvozu iz samo jednog izvora.</w:t>
      </w:r>
    </w:p>
    <w:p w14:paraId="3752CE5C" w14:textId="77777777" w:rsidR="00C75F6A" w:rsidRPr="00320CBE" w:rsidRDefault="00C75F6A" w:rsidP="00C75F6A">
      <w:pPr>
        <w:jc w:val="both"/>
        <w:rPr>
          <w:rFonts w:eastAsia="Calibri"/>
          <w:color w:val="000000"/>
          <w:lang w:eastAsia="hr-HR"/>
        </w:rPr>
      </w:pPr>
    </w:p>
    <w:p w14:paraId="7EC377C2" w14:textId="16592EB8" w:rsidR="00C75F6A" w:rsidRDefault="00C75F6A" w:rsidP="00C75F6A">
      <w:pPr>
        <w:jc w:val="both"/>
        <w:rPr>
          <w:rFonts w:eastAsia="Calibri"/>
          <w:color w:val="000000"/>
          <w:lang w:eastAsia="hr-HR"/>
        </w:rPr>
      </w:pPr>
      <w:r w:rsidRPr="00320CBE">
        <w:rPr>
          <w:rFonts w:eastAsia="Calibri"/>
          <w:color w:val="000000"/>
          <w:lang w:eastAsia="hr-HR"/>
        </w:rPr>
        <w:t xml:space="preserve">Investicije u infrastrukturu i nove dobavne pravce ključne su za osiguranje sigurnosti opskrbe. Upravo je zato važan projekt izgradnje LNG terminala na otoku Krku koji je od strateškog značaja za Republiku Hrvatsku i Europsku uniju, a koji je u funkciji gospodarskog rasta i razvoja </w:t>
      </w:r>
      <w:r w:rsidR="00A542CE" w:rsidRPr="00320CBE">
        <w:rPr>
          <w:rFonts w:eastAsia="Calibri"/>
          <w:color w:val="000000"/>
          <w:lang w:eastAsia="hr-HR"/>
        </w:rPr>
        <w:t xml:space="preserve">Republike </w:t>
      </w:r>
      <w:r w:rsidRPr="00320CBE">
        <w:rPr>
          <w:rFonts w:eastAsia="Calibri"/>
          <w:color w:val="000000"/>
          <w:lang w:eastAsia="hr-HR"/>
        </w:rPr>
        <w:t>Hrvatske</w:t>
      </w:r>
      <w:r w:rsidR="00A542CE" w:rsidRPr="00320CBE">
        <w:rPr>
          <w:rFonts w:eastAsia="Calibri"/>
          <w:color w:val="000000"/>
          <w:lang w:eastAsia="hr-HR"/>
        </w:rPr>
        <w:t xml:space="preserve">. </w:t>
      </w:r>
      <w:r w:rsidRPr="00320CBE">
        <w:rPr>
          <w:rFonts w:eastAsia="Calibri"/>
          <w:color w:val="000000"/>
          <w:lang w:eastAsia="hr-HR"/>
        </w:rPr>
        <w:t xml:space="preserve">Realizacijom LNG terminala omogućit će se postupno jačanje Energetske zajednice diversifikacijom izvora energije i prometnih pravaca. Sigurnost opskrbe se jedino može postići uvođenjem mjere kojom će se diversificirati dobavni pravci i izvori prirodnog plina. </w:t>
      </w:r>
    </w:p>
    <w:p w14:paraId="7661F8B8" w14:textId="278FADAC" w:rsidR="00AD0FB1" w:rsidRDefault="00AD0FB1" w:rsidP="00C75F6A">
      <w:pPr>
        <w:jc w:val="both"/>
        <w:rPr>
          <w:rFonts w:eastAsia="Calibri"/>
          <w:color w:val="000000"/>
          <w:lang w:eastAsia="hr-HR"/>
        </w:rPr>
      </w:pPr>
    </w:p>
    <w:p w14:paraId="6483EF35" w14:textId="77777777" w:rsidR="00AD0FB1" w:rsidRPr="00AD0FB1" w:rsidRDefault="00AD0FB1" w:rsidP="00AD0FB1">
      <w:pPr>
        <w:jc w:val="both"/>
        <w:rPr>
          <w:rFonts w:eastAsia="Arial"/>
          <w:lang w:eastAsia="hr-HR"/>
        </w:rPr>
      </w:pPr>
      <w:r w:rsidRPr="00AD0FB1">
        <w:rPr>
          <w:rFonts w:eastAsia="Arial"/>
          <w:lang w:eastAsia="hr-HR"/>
        </w:rPr>
        <w:t>Realizacija projekta UPP terminala na otoku Krku osigurati će novi dobavni pravac prirodnog plina te će diversificirati putove i izvore opskrbe prirodnim plinom na tržištu Republike Hrvatske i Europske unije, a što će značajno utjecati na sigurnost opskrbe prirodnim plinom.</w:t>
      </w:r>
    </w:p>
    <w:p w14:paraId="347CBDB7" w14:textId="77777777" w:rsidR="00AD0FB1" w:rsidRPr="005F6687" w:rsidRDefault="00AD0FB1" w:rsidP="00AD0FB1">
      <w:pPr>
        <w:jc w:val="both"/>
        <w:rPr>
          <w:rFonts w:eastAsia="Arial"/>
          <w:highlight w:val="yellow"/>
          <w:lang w:eastAsia="hr-HR"/>
        </w:rPr>
      </w:pPr>
    </w:p>
    <w:p w14:paraId="5851F3D1" w14:textId="77777777" w:rsidR="00A542CE" w:rsidRPr="00320CBE" w:rsidRDefault="00C75F6A" w:rsidP="00A542CE">
      <w:pPr>
        <w:pStyle w:val="BodyText"/>
        <w:rPr>
          <w:rFonts w:ascii="Times New Roman" w:hAnsi="Times New Roman"/>
          <w:bCs/>
          <w:sz w:val="24"/>
          <w:szCs w:val="24"/>
        </w:rPr>
      </w:pPr>
      <w:r w:rsidRPr="00320CBE">
        <w:rPr>
          <w:rFonts w:ascii="Times New Roman" w:hAnsi="Times New Roman"/>
          <w:bCs/>
          <w:sz w:val="24"/>
          <w:szCs w:val="24"/>
        </w:rPr>
        <w:t xml:space="preserve">U skladu s gore navedenim, a s ciljem realizacije prve faze projekta, društvo LNG Hrvatska d.o.o. je provelo postupak </w:t>
      </w:r>
      <w:r w:rsidR="00A542CE" w:rsidRPr="00320CBE">
        <w:rPr>
          <w:rFonts w:ascii="Times New Roman" w:hAnsi="Times New Roman"/>
          <w:bCs/>
          <w:sz w:val="24"/>
          <w:szCs w:val="24"/>
        </w:rPr>
        <w:t>ugovaranja obvezujućeg zakupa kapaciteta terminala (Open Season postupak) te je zaprimilo ponude za obvezujući zakup kapaciteta terminala u iznosu od 0,52 milijarde kubika plina. Osigurani zakup je dovoljan za pokrivanje operativnih troškova rada terminala kada isti započne s radom 01. siječnja 2021. godine.</w:t>
      </w:r>
    </w:p>
    <w:p w14:paraId="5B036D98" w14:textId="77777777" w:rsidR="00A542CE" w:rsidRPr="00320CBE" w:rsidRDefault="00A542CE" w:rsidP="00A542CE">
      <w:pPr>
        <w:pStyle w:val="BodyText"/>
        <w:rPr>
          <w:rFonts w:ascii="Times New Roman" w:hAnsi="Times New Roman"/>
          <w:bCs/>
          <w:sz w:val="24"/>
          <w:szCs w:val="24"/>
        </w:rPr>
      </w:pPr>
    </w:p>
    <w:p w14:paraId="0509EADE" w14:textId="47B55BBF" w:rsidR="008A7439" w:rsidRPr="00A00105" w:rsidRDefault="00A542CE" w:rsidP="008A7439">
      <w:pPr>
        <w:pStyle w:val="BodyText"/>
        <w:rPr>
          <w:rFonts w:ascii="Times New Roman" w:hAnsi="Times New Roman"/>
          <w:bCs/>
          <w:sz w:val="24"/>
          <w:szCs w:val="24"/>
        </w:rPr>
      </w:pPr>
      <w:r w:rsidRPr="008A7439">
        <w:rPr>
          <w:rFonts w:ascii="Times New Roman" w:hAnsi="Times New Roman"/>
          <w:bCs/>
          <w:sz w:val="24"/>
          <w:szCs w:val="24"/>
        </w:rPr>
        <w:t>Nastavno na navedeno, a s ciljem osiguranja sredstava potrebnih za realizaciju investicije koja je procijenjena na 23</w:t>
      </w:r>
      <w:r w:rsidR="009E5B54" w:rsidRPr="008A7439">
        <w:rPr>
          <w:rFonts w:ascii="Times New Roman" w:hAnsi="Times New Roman"/>
          <w:bCs/>
          <w:sz w:val="24"/>
          <w:szCs w:val="24"/>
        </w:rPr>
        <w:t>4</w:t>
      </w:r>
      <w:r w:rsidRPr="008A7439">
        <w:rPr>
          <w:rFonts w:ascii="Times New Roman" w:hAnsi="Times New Roman"/>
          <w:bCs/>
          <w:sz w:val="24"/>
          <w:szCs w:val="24"/>
        </w:rPr>
        <w:t xml:space="preserve"> milijun</w:t>
      </w:r>
      <w:r w:rsidR="009E5B54" w:rsidRPr="008A7439">
        <w:rPr>
          <w:rFonts w:ascii="Times New Roman" w:hAnsi="Times New Roman"/>
          <w:bCs/>
          <w:sz w:val="24"/>
          <w:szCs w:val="24"/>
        </w:rPr>
        <w:t>a</w:t>
      </w:r>
      <w:r w:rsidRPr="008A7439">
        <w:rPr>
          <w:rFonts w:ascii="Times New Roman" w:hAnsi="Times New Roman"/>
          <w:bCs/>
          <w:sz w:val="24"/>
          <w:szCs w:val="24"/>
        </w:rPr>
        <w:t xml:space="preserve"> eura, pored bespovratnih sredst</w:t>
      </w:r>
      <w:r w:rsidR="00E205AB" w:rsidRPr="008A7439">
        <w:rPr>
          <w:rFonts w:ascii="Times New Roman" w:hAnsi="Times New Roman"/>
          <w:bCs/>
          <w:sz w:val="24"/>
          <w:szCs w:val="24"/>
        </w:rPr>
        <w:t>a</w:t>
      </w:r>
      <w:r w:rsidRPr="008A7439">
        <w:rPr>
          <w:rFonts w:ascii="Times New Roman" w:hAnsi="Times New Roman"/>
          <w:bCs/>
          <w:sz w:val="24"/>
          <w:szCs w:val="24"/>
        </w:rPr>
        <w:t xml:space="preserve">va </w:t>
      </w:r>
      <w:r w:rsidR="008A7439" w:rsidRPr="008A7439">
        <w:rPr>
          <w:rFonts w:ascii="Times New Roman" w:hAnsi="Times New Roman"/>
          <w:bCs/>
          <w:sz w:val="24"/>
          <w:szCs w:val="24"/>
        </w:rPr>
        <w:t>osiguranih</w:t>
      </w:r>
      <w:r w:rsidRPr="008A7439">
        <w:rPr>
          <w:rFonts w:ascii="Times New Roman" w:hAnsi="Times New Roman"/>
          <w:bCs/>
          <w:sz w:val="24"/>
          <w:szCs w:val="24"/>
        </w:rPr>
        <w:t xml:space="preserve"> od strane Europske komisije u iznosu o 101,4 milijuna eura potrebno je osigurati dodatna sredstva za realizaciju projekta.</w:t>
      </w:r>
      <w:r w:rsidR="008A7439" w:rsidRPr="008A7439">
        <w:rPr>
          <w:rFonts w:ascii="Times New Roman" w:hAnsi="Times New Roman"/>
          <w:bCs/>
          <w:sz w:val="24"/>
          <w:szCs w:val="24"/>
        </w:rPr>
        <w:t xml:space="preserve"> </w:t>
      </w:r>
      <w:r w:rsidR="008A7439" w:rsidRPr="00A00105">
        <w:rPr>
          <w:rFonts w:ascii="Times New Roman" w:hAnsi="Times New Roman"/>
          <w:bCs/>
          <w:sz w:val="24"/>
          <w:szCs w:val="24"/>
        </w:rPr>
        <w:t>Kako bi se donijela pozitivna investicijska odluka o nastavku realizacije projekta od strane vlasnika društva LNG Hrvatska d.o.o., a kako bi projekt bio održiv pri zakupu kapaciteta od 0,52 milijardi kubika plina, neophodno je osigurati dodatna sredstva u obliku kapitalne pomoći. Također, a sukladno Metodologiji utvrđivanja iznosa tarifnih stavki za prihvat i otpremu ukapljenog prirodnog plina koju donosi Hrvatska energetska regulatorna agencija, kapitalni troškovi ulaze u izračun tarife na način da se bespovratna sredstva ne prikazuju. Stoga je tržišno prihvatljivu tarifu za koju je osiguran zakup kapaciteta od 0,52 bcma moguće zadržati na istoj razini jedino na način da se za financiranje projekta osiguraju dodatna bespovratna sredstva, pored bespovratnih sredstava koja je osigurala Europska komisija.</w:t>
      </w:r>
    </w:p>
    <w:p w14:paraId="46751392" w14:textId="147C94C5" w:rsidR="009E5B54" w:rsidRPr="00A00105" w:rsidRDefault="009E5B54" w:rsidP="00A542CE">
      <w:pPr>
        <w:pStyle w:val="BodyText"/>
        <w:rPr>
          <w:rFonts w:ascii="Times New Roman" w:hAnsi="Times New Roman"/>
          <w:bCs/>
          <w:sz w:val="24"/>
          <w:szCs w:val="24"/>
        </w:rPr>
      </w:pPr>
    </w:p>
    <w:p w14:paraId="57BA544F" w14:textId="09B3B197" w:rsidR="009E5B54" w:rsidRPr="00A00105" w:rsidRDefault="009E5B54" w:rsidP="009E5B54">
      <w:pPr>
        <w:jc w:val="both"/>
        <w:rPr>
          <w:rFonts w:eastAsia="Arial"/>
          <w:lang w:eastAsia="hr-HR"/>
        </w:rPr>
      </w:pPr>
      <w:r w:rsidRPr="00A00105">
        <w:rPr>
          <w:rFonts w:eastAsia="Arial"/>
          <w:lang w:eastAsia="hr-HR"/>
        </w:rPr>
        <w:t>Procijenjena vrijednost investicije uključuje procijenjena vrijednost FSRU broda u iznosu od 160 milijuna EUR, procijenjenu vrijednost izgradnje pristana s pomoćnim postrojenjima i visokotlačnim priključnim plinovodom za plutajući terminal za ukapljeni prirodni plin u iznosu od 60 milijuna eura i procijenjenu vrijednost potrebnih sredstva za izvlaštenje u iznosu od 14 milijuna eura.</w:t>
      </w:r>
    </w:p>
    <w:p w14:paraId="6FCE68D1" w14:textId="5C97FCD4" w:rsidR="00D94438" w:rsidRPr="00A00105" w:rsidRDefault="00D94438" w:rsidP="00A542CE">
      <w:pPr>
        <w:pStyle w:val="BodyText"/>
        <w:rPr>
          <w:rFonts w:ascii="Times New Roman" w:hAnsi="Times New Roman"/>
          <w:bCs/>
          <w:sz w:val="24"/>
          <w:szCs w:val="24"/>
        </w:rPr>
      </w:pPr>
    </w:p>
    <w:p w14:paraId="32E1FB70" w14:textId="28BFCFE2" w:rsidR="00286616" w:rsidRPr="00A00105" w:rsidRDefault="00E205AB" w:rsidP="00286616">
      <w:pPr>
        <w:pStyle w:val="BodyText"/>
        <w:rPr>
          <w:rFonts w:ascii="Times New Roman" w:hAnsi="Times New Roman"/>
          <w:bCs/>
          <w:sz w:val="24"/>
          <w:szCs w:val="24"/>
        </w:rPr>
      </w:pPr>
      <w:r w:rsidRPr="00A00105">
        <w:rPr>
          <w:rFonts w:ascii="Times New Roman" w:hAnsi="Times New Roman"/>
          <w:bCs/>
          <w:sz w:val="24"/>
          <w:szCs w:val="24"/>
        </w:rPr>
        <w:t>S obzirom da je riječ o energetskoj infrastrukturi, ista sukladno Zakonu o državnim potporama (Narodne novine, broj 47/14 i 69/17) i Odluci Vlade Republike Hrvatske o donošenju smjernica politike državnih potpora za razdoblje 2018. - 2020. podliježe dopuštenim državnim potporama, a koje se smatraju prihvatljivima u skladu s Ugovorom o funkcioniranju Europske unije.</w:t>
      </w:r>
      <w:r w:rsidR="008A7439" w:rsidRPr="00A00105">
        <w:rPr>
          <w:rFonts w:ascii="Times New Roman" w:hAnsi="Times New Roman"/>
          <w:bCs/>
          <w:sz w:val="24"/>
          <w:szCs w:val="24"/>
        </w:rPr>
        <w:t xml:space="preserve"> U neformalnoj komunikaciji s Europskom komisijom zaključ</w:t>
      </w:r>
      <w:r w:rsidR="001420E0" w:rsidRPr="00A00105">
        <w:rPr>
          <w:rFonts w:ascii="Times New Roman" w:hAnsi="Times New Roman"/>
          <w:bCs/>
          <w:sz w:val="24"/>
          <w:szCs w:val="24"/>
        </w:rPr>
        <w:t>e</w:t>
      </w:r>
      <w:r w:rsidR="008A7439" w:rsidRPr="00A00105">
        <w:rPr>
          <w:rFonts w:ascii="Times New Roman" w:hAnsi="Times New Roman"/>
          <w:bCs/>
          <w:sz w:val="24"/>
          <w:szCs w:val="24"/>
        </w:rPr>
        <w:t>no je da će po predmetnom pitanju biti potrebno</w:t>
      </w:r>
      <w:r w:rsidR="001420E0" w:rsidRPr="00A00105">
        <w:rPr>
          <w:rFonts w:ascii="Times New Roman" w:hAnsi="Times New Roman"/>
          <w:bCs/>
          <w:sz w:val="24"/>
          <w:szCs w:val="24"/>
        </w:rPr>
        <w:t xml:space="preserve"> provesti prednotifikaciju odnosno notifkaciju, a što će Ministarstvo zaštite okoliša i energetike provesti u narednom periodu.</w:t>
      </w:r>
    </w:p>
    <w:p w14:paraId="2277D041" w14:textId="77777777" w:rsidR="00286616" w:rsidRPr="00A00105" w:rsidRDefault="00286616" w:rsidP="00286616">
      <w:pPr>
        <w:pStyle w:val="BodyText"/>
        <w:rPr>
          <w:rFonts w:ascii="Times New Roman" w:hAnsi="Times New Roman"/>
          <w:bCs/>
          <w:sz w:val="24"/>
          <w:szCs w:val="24"/>
        </w:rPr>
      </w:pPr>
    </w:p>
    <w:p w14:paraId="697D1BE9" w14:textId="2CFB7A38" w:rsidR="00286616" w:rsidRPr="00AD0FB1" w:rsidRDefault="00286616" w:rsidP="00286616">
      <w:pPr>
        <w:pStyle w:val="BodyText"/>
        <w:rPr>
          <w:rFonts w:ascii="Times New Roman" w:hAnsi="Times New Roman"/>
          <w:bCs/>
          <w:sz w:val="24"/>
          <w:szCs w:val="24"/>
        </w:rPr>
      </w:pPr>
      <w:r w:rsidRPr="00A00105">
        <w:rPr>
          <w:rFonts w:ascii="Times New Roman" w:hAnsi="Times New Roman"/>
          <w:bCs/>
          <w:sz w:val="24"/>
          <w:szCs w:val="24"/>
        </w:rPr>
        <w:t xml:space="preserve">Slijedom svega navedenog, a polazeći od </w:t>
      </w:r>
      <w:r w:rsidR="00E205AB" w:rsidRPr="00A00105">
        <w:rPr>
          <w:rFonts w:ascii="Times New Roman" w:hAnsi="Times New Roman"/>
          <w:bCs/>
          <w:sz w:val="24"/>
          <w:szCs w:val="24"/>
        </w:rPr>
        <w:t>važnosti realizacije projekta</w:t>
      </w:r>
      <w:r w:rsidR="00320CBE" w:rsidRPr="00A00105">
        <w:rPr>
          <w:rFonts w:ascii="Times New Roman" w:hAnsi="Times New Roman"/>
          <w:sz w:val="24"/>
          <w:szCs w:val="24"/>
        </w:rPr>
        <w:t xml:space="preserve"> plutajućeg terminala za ukapljeni prirodni plin na otoku Krku</w:t>
      </w:r>
      <w:r w:rsidR="00320CBE" w:rsidRPr="00A00105">
        <w:rPr>
          <w:rFonts w:ascii="Times New Roman" w:hAnsi="Times New Roman"/>
          <w:bCs/>
          <w:sz w:val="24"/>
          <w:szCs w:val="24"/>
        </w:rPr>
        <w:t xml:space="preserve"> </w:t>
      </w:r>
      <w:r w:rsidR="00E205AB" w:rsidRPr="00A00105">
        <w:rPr>
          <w:rFonts w:ascii="Times New Roman" w:hAnsi="Times New Roman"/>
          <w:bCs/>
          <w:sz w:val="24"/>
          <w:szCs w:val="24"/>
        </w:rPr>
        <w:t>s ciljem osiguranja sigurnosti opskrbe kućanstvima i industriji na području Republike Hrvatske u kriznim vremenima</w:t>
      </w:r>
      <w:r w:rsidRPr="00AD0FB1">
        <w:rPr>
          <w:rFonts w:ascii="Times New Roman" w:hAnsi="Times New Roman"/>
          <w:bCs/>
          <w:sz w:val="24"/>
          <w:szCs w:val="24"/>
        </w:rPr>
        <w:t xml:space="preserve">, predlaže se </w:t>
      </w:r>
      <w:r w:rsidR="00E205AB" w:rsidRPr="00AD0FB1">
        <w:rPr>
          <w:rFonts w:ascii="Times New Roman" w:hAnsi="Times New Roman"/>
          <w:bCs/>
          <w:sz w:val="24"/>
          <w:szCs w:val="24"/>
        </w:rPr>
        <w:t xml:space="preserve">na teret </w:t>
      </w:r>
      <w:r w:rsidR="005D151F">
        <w:rPr>
          <w:rFonts w:ascii="Times New Roman" w:hAnsi="Times New Roman"/>
          <w:bCs/>
          <w:sz w:val="24"/>
          <w:szCs w:val="24"/>
        </w:rPr>
        <w:t>Državnog proračuna</w:t>
      </w:r>
      <w:r w:rsidR="00E205AB" w:rsidRPr="00AD0FB1">
        <w:rPr>
          <w:rFonts w:ascii="Times New Roman" w:hAnsi="Times New Roman"/>
          <w:bCs/>
          <w:sz w:val="24"/>
          <w:szCs w:val="24"/>
        </w:rPr>
        <w:t xml:space="preserve"> osigurati bespovratna sredstva u iznosu od 100 milijuna eura za realizaciju investicije </w:t>
      </w:r>
      <w:r w:rsidR="00320CBE" w:rsidRPr="00AD0FB1">
        <w:rPr>
          <w:rFonts w:ascii="Times New Roman" w:hAnsi="Times New Roman"/>
          <w:sz w:val="24"/>
          <w:szCs w:val="24"/>
        </w:rPr>
        <w:t>projekta plutajućeg terminala za ukapljeni prirodni plin na otoku Krku</w:t>
      </w:r>
      <w:r w:rsidR="00E205AB" w:rsidRPr="00AD0FB1">
        <w:rPr>
          <w:rFonts w:ascii="Times New Roman" w:hAnsi="Times New Roman"/>
          <w:bCs/>
          <w:sz w:val="24"/>
          <w:szCs w:val="24"/>
        </w:rPr>
        <w:t>.</w:t>
      </w:r>
    </w:p>
    <w:p w14:paraId="5003D6F5" w14:textId="77777777" w:rsidR="002559CD" w:rsidRDefault="002559CD" w:rsidP="00AD0FB1">
      <w:pPr>
        <w:jc w:val="both"/>
      </w:pPr>
    </w:p>
    <w:p w14:paraId="5DB63BBD" w14:textId="78D856AC" w:rsidR="00AD0FB1" w:rsidRDefault="00AD0FB1" w:rsidP="00AD0FB1">
      <w:pPr>
        <w:jc w:val="both"/>
      </w:pPr>
      <w:r w:rsidRPr="00320CBE">
        <w:lastRenderedPageBreak/>
        <w:t>Preostala sredstva potrebna za realizaciju investicije osigurat će se od strane društava Hrvatska elektroprivreda d.d. i Plinacro d.o.o., koji su vlasnici društva LNG Hrvatska d.o.o.</w:t>
      </w:r>
    </w:p>
    <w:p w14:paraId="1E81EAB0" w14:textId="7915327B" w:rsidR="005B2067" w:rsidRDefault="005B2067" w:rsidP="00AD0FB1">
      <w:pPr>
        <w:jc w:val="both"/>
      </w:pPr>
    </w:p>
    <w:p w14:paraId="5AA9DD6B" w14:textId="0E9DC074" w:rsidR="008A7439" w:rsidRPr="00512731" w:rsidRDefault="005B2067" w:rsidP="008A7439">
      <w:pPr>
        <w:jc w:val="both"/>
      </w:pPr>
      <w:r w:rsidRPr="00512731">
        <w:t xml:space="preserve">Također, a uzimajući u obzir dinamiku pojedinih plaćanja do isplate sredstava kako je određeno ovom Odlukom potrebno je osigurati </w:t>
      </w:r>
      <w:r w:rsidR="00E1500C">
        <w:t xml:space="preserve">kratkoročne </w:t>
      </w:r>
      <w:r w:rsidRPr="00512731">
        <w:t>pozajmice od strane Hrvatske Elektroprivrede d.d.</w:t>
      </w:r>
      <w:r w:rsidR="00E1500C">
        <w:t xml:space="preserve"> na način da se premoste dospjela plaćanja koja su u obvezi dospijeća prije isplate sr</w:t>
      </w:r>
      <w:r w:rsidR="008A7439">
        <w:t xml:space="preserve">edstava </w:t>
      </w:r>
      <w:r w:rsidR="008A7439" w:rsidRPr="00512731">
        <w:t xml:space="preserve">iz točke II. </w:t>
      </w:r>
      <w:r w:rsidRPr="00512731">
        <w:t>ove Odluke</w:t>
      </w:r>
      <w:r w:rsidR="008A7439">
        <w:t>.</w:t>
      </w:r>
    </w:p>
    <w:p w14:paraId="22109E8D" w14:textId="77777777" w:rsidR="005B2067" w:rsidRPr="005832E3" w:rsidRDefault="005B2067" w:rsidP="005B2067">
      <w:pPr>
        <w:jc w:val="both"/>
      </w:pPr>
    </w:p>
    <w:p w14:paraId="6C6977CA" w14:textId="77777777" w:rsidR="00F34033" w:rsidRPr="005832E3" w:rsidRDefault="00F34033" w:rsidP="00583A2F">
      <w:pPr>
        <w:pStyle w:val="BodyText"/>
        <w:jc w:val="left"/>
        <w:rPr>
          <w:rFonts w:ascii="Times New Roman" w:hAnsi="Times New Roman"/>
          <w:b/>
          <w:bCs/>
          <w:sz w:val="24"/>
          <w:szCs w:val="24"/>
        </w:rPr>
      </w:pPr>
    </w:p>
    <w:sectPr w:rsidR="00F34033" w:rsidRPr="005832E3" w:rsidSect="006F293B">
      <w:pgSz w:w="11906" w:h="16838"/>
      <w:pgMar w:top="1418"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B9AD" w14:textId="77777777" w:rsidR="00592AB1" w:rsidRDefault="00592AB1" w:rsidP="001B52AE">
      <w:r>
        <w:separator/>
      </w:r>
    </w:p>
  </w:endnote>
  <w:endnote w:type="continuationSeparator" w:id="0">
    <w:p w14:paraId="03C467BE" w14:textId="77777777" w:rsidR="00592AB1" w:rsidRDefault="00592AB1" w:rsidP="001B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F8F1" w14:textId="77777777" w:rsidR="00592AB1" w:rsidRDefault="00592AB1" w:rsidP="001B52AE">
      <w:r>
        <w:separator/>
      </w:r>
    </w:p>
  </w:footnote>
  <w:footnote w:type="continuationSeparator" w:id="0">
    <w:p w14:paraId="37A4673A" w14:textId="77777777" w:rsidR="00592AB1" w:rsidRDefault="00592AB1" w:rsidP="001B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3F"/>
    <w:multiLevelType w:val="hybridMultilevel"/>
    <w:tmpl w:val="A626AC40"/>
    <w:lvl w:ilvl="0" w:tplc="80A24BC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4433BC6"/>
    <w:multiLevelType w:val="hybridMultilevel"/>
    <w:tmpl w:val="CC30EC0C"/>
    <w:lvl w:ilvl="0" w:tplc="413C2B32">
      <w:start w:val="1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8C7047"/>
    <w:multiLevelType w:val="hybridMultilevel"/>
    <w:tmpl w:val="58144FF8"/>
    <w:lvl w:ilvl="0" w:tplc="D5467F3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146B7"/>
    <w:multiLevelType w:val="hybridMultilevel"/>
    <w:tmpl w:val="62A4C1E4"/>
    <w:lvl w:ilvl="0" w:tplc="909C1660">
      <w:start w:val="1"/>
      <w:numFmt w:val="decimal"/>
      <w:lvlText w:val="%1"/>
      <w:lvlJc w:val="left"/>
      <w:pPr>
        <w:ind w:left="2770" w:hanging="360"/>
      </w:pPr>
      <w:rPr>
        <w:rFonts w:hint="default"/>
      </w:rPr>
    </w:lvl>
    <w:lvl w:ilvl="1" w:tplc="041A0019" w:tentative="1">
      <w:start w:val="1"/>
      <w:numFmt w:val="lowerLetter"/>
      <w:lvlText w:val="%2."/>
      <w:lvlJc w:val="left"/>
      <w:pPr>
        <w:ind w:left="3490" w:hanging="360"/>
      </w:pPr>
    </w:lvl>
    <w:lvl w:ilvl="2" w:tplc="041A001B" w:tentative="1">
      <w:start w:val="1"/>
      <w:numFmt w:val="lowerRoman"/>
      <w:lvlText w:val="%3."/>
      <w:lvlJc w:val="right"/>
      <w:pPr>
        <w:ind w:left="4210" w:hanging="180"/>
      </w:pPr>
    </w:lvl>
    <w:lvl w:ilvl="3" w:tplc="041A000F" w:tentative="1">
      <w:start w:val="1"/>
      <w:numFmt w:val="decimal"/>
      <w:lvlText w:val="%4."/>
      <w:lvlJc w:val="left"/>
      <w:pPr>
        <w:ind w:left="4930" w:hanging="360"/>
      </w:pPr>
    </w:lvl>
    <w:lvl w:ilvl="4" w:tplc="041A0019" w:tentative="1">
      <w:start w:val="1"/>
      <w:numFmt w:val="lowerLetter"/>
      <w:lvlText w:val="%5."/>
      <w:lvlJc w:val="left"/>
      <w:pPr>
        <w:ind w:left="5650" w:hanging="360"/>
      </w:pPr>
    </w:lvl>
    <w:lvl w:ilvl="5" w:tplc="041A001B" w:tentative="1">
      <w:start w:val="1"/>
      <w:numFmt w:val="lowerRoman"/>
      <w:lvlText w:val="%6."/>
      <w:lvlJc w:val="right"/>
      <w:pPr>
        <w:ind w:left="6370" w:hanging="180"/>
      </w:pPr>
    </w:lvl>
    <w:lvl w:ilvl="6" w:tplc="041A000F" w:tentative="1">
      <w:start w:val="1"/>
      <w:numFmt w:val="decimal"/>
      <w:lvlText w:val="%7."/>
      <w:lvlJc w:val="left"/>
      <w:pPr>
        <w:ind w:left="7090" w:hanging="360"/>
      </w:pPr>
    </w:lvl>
    <w:lvl w:ilvl="7" w:tplc="041A0019" w:tentative="1">
      <w:start w:val="1"/>
      <w:numFmt w:val="lowerLetter"/>
      <w:lvlText w:val="%8."/>
      <w:lvlJc w:val="left"/>
      <w:pPr>
        <w:ind w:left="7810" w:hanging="360"/>
      </w:pPr>
    </w:lvl>
    <w:lvl w:ilvl="8" w:tplc="041A001B" w:tentative="1">
      <w:start w:val="1"/>
      <w:numFmt w:val="lowerRoman"/>
      <w:lvlText w:val="%9."/>
      <w:lvlJc w:val="right"/>
      <w:pPr>
        <w:ind w:left="8530" w:hanging="180"/>
      </w:pPr>
    </w:lvl>
  </w:abstractNum>
  <w:abstractNum w:abstractNumId="4" w15:restartNumberingAfterBreak="0">
    <w:nsid w:val="11E065E8"/>
    <w:multiLevelType w:val="hybridMultilevel"/>
    <w:tmpl w:val="6812DFB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3EA2A42"/>
    <w:multiLevelType w:val="hybridMultilevel"/>
    <w:tmpl w:val="F3942572"/>
    <w:lvl w:ilvl="0" w:tplc="0B2AA7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D34B9"/>
    <w:multiLevelType w:val="hybridMultilevel"/>
    <w:tmpl w:val="B922CBCA"/>
    <w:lvl w:ilvl="0" w:tplc="413C2B32">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16D2E"/>
    <w:multiLevelType w:val="hybridMultilevel"/>
    <w:tmpl w:val="F2AC50B8"/>
    <w:lvl w:ilvl="0" w:tplc="413C2B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A1681"/>
    <w:multiLevelType w:val="hybridMultilevel"/>
    <w:tmpl w:val="544E912E"/>
    <w:lvl w:ilvl="0" w:tplc="A83236CA">
      <w:start w:val="1"/>
      <w:numFmt w:val="decimal"/>
      <w:lvlText w:val="%1"/>
      <w:lvlJc w:val="left"/>
      <w:pPr>
        <w:ind w:left="2770" w:hanging="360"/>
      </w:pPr>
      <w:rPr>
        <w:rFonts w:hint="default"/>
      </w:rPr>
    </w:lvl>
    <w:lvl w:ilvl="1" w:tplc="041A0019" w:tentative="1">
      <w:start w:val="1"/>
      <w:numFmt w:val="lowerLetter"/>
      <w:lvlText w:val="%2."/>
      <w:lvlJc w:val="left"/>
      <w:pPr>
        <w:ind w:left="3490" w:hanging="360"/>
      </w:pPr>
    </w:lvl>
    <w:lvl w:ilvl="2" w:tplc="041A001B" w:tentative="1">
      <w:start w:val="1"/>
      <w:numFmt w:val="lowerRoman"/>
      <w:lvlText w:val="%3."/>
      <w:lvlJc w:val="right"/>
      <w:pPr>
        <w:ind w:left="4210" w:hanging="180"/>
      </w:pPr>
    </w:lvl>
    <w:lvl w:ilvl="3" w:tplc="041A000F" w:tentative="1">
      <w:start w:val="1"/>
      <w:numFmt w:val="decimal"/>
      <w:lvlText w:val="%4."/>
      <w:lvlJc w:val="left"/>
      <w:pPr>
        <w:ind w:left="4930" w:hanging="360"/>
      </w:pPr>
    </w:lvl>
    <w:lvl w:ilvl="4" w:tplc="041A0019" w:tentative="1">
      <w:start w:val="1"/>
      <w:numFmt w:val="lowerLetter"/>
      <w:lvlText w:val="%5."/>
      <w:lvlJc w:val="left"/>
      <w:pPr>
        <w:ind w:left="5650" w:hanging="360"/>
      </w:pPr>
    </w:lvl>
    <w:lvl w:ilvl="5" w:tplc="041A001B" w:tentative="1">
      <w:start w:val="1"/>
      <w:numFmt w:val="lowerRoman"/>
      <w:lvlText w:val="%6."/>
      <w:lvlJc w:val="right"/>
      <w:pPr>
        <w:ind w:left="6370" w:hanging="180"/>
      </w:pPr>
    </w:lvl>
    <w:lvl w:ilvl="6" w:tplc="041A000F" w:tentative="1">
      <w:start w:val="1"/>
      <w:numFmt w:val="decimal"/>
      <w:lvlText w:val="%7."/>
      <w:lvlJc w:val="left"/>
      <w:pPr>
        <w:ind w:left="7090" w:hanging="360"/>
      </w:pPr>
    </w:lvl>
    <w:lvl w:ilvl="7" w:tplc="041A0019" w:tentative="1">
      <w:start w:val="1"/>
      <w:numFmt w:val="lowerLetter"/>
      <w:lvlText w:val="%8."/>
      <w:lvlJc w:val="left"/>
      <w:pPr>
        <w:ind w:left="7810" w:hanging="360"/>
      </w:pPr>
    </w:lvl>
    <w:lvl w:ilvl="8" w:tplc="041A001B" w:tentative="1">
      <w:start w:val="1"/>
      <w:numFmt w:val="lowerRoman"/>
      <w:lvlText w:val="%9."/>
      <w:lvlJc w:val="right"/>
      <w:pPr>
        <w:ind w:left="8530" w:hanging="180"/>
      </w:pPr>
    </w:lvl>
  </w:abstractNum>
  <w:abstractNum w:abstractNumId="9" w15:restartNumberingAfterBreak="0">
    <w:nsid w:val="2097723A"/>
    <w:multiLevelType w:val="hybridMultilevel"/>
    <w:tmpl w:val="9B36D072"/>
    <w:lvl w:ilvl="0" w:tplc="0409000F">
      <w:start w:val="1"/>
      <w:numFmt w:val="decimal"/>
      <w:lvlText w:val="%1."/>
      <w:lvlJc w:val="left"/>
      <w:pPr>
        <w:tabs>
          <w:tab w:val="num" w:pos="1286"/>
        </w:tabs>
        <w:ind w:left="1286" w:hanging="360"/>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0" w15:restartNumberingAfterBreak="0">
    <w:nsid w:val="276A4BE7"/>
    <w:multiLevelType w:val="hybridMultilevel"/>
    <w:tmpl w:val="359894AE"/>
    <w:lvl w:ilvl="0" w:tplc="42CE2E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00440C"/>
    <w:multiLevelType w:val="hybridMultilevel"/>
    <w:tmpl w:val="97123D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C8F7280"/>
    <w:multiLevelType w:val="multilevel"/>
    <w:tmpl w:val="A19EB0D2"/>
    <w:lvl w:ilvl="0">
      <w:start w:val="1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DD07B7"/>
    <w:multiLevelType w:val="hybridMultilevel"/>
    <w:tmpl w:val="59CC7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D2BFD"/>
    <w:multiLevelType w:val="hybridMultilevel"/>
    <w:tmpl w:val="A73C3AF2"/>
    <w:lvl w:ilvl="0" w:tplc="041A000F">
      <w:start w:val="1"/>
      <w:numFmt w:val="decimal"/>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DD49F6"/>
    <w:multiLevelType w:val="hybridMultilevel"/>
    <w:tmpl w:val="4030D0E0"/>
    <w:lvl w:ilvl="0" w:tplc="CC568D9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D741823"/>
    <w:multiLevelType w:val="hybridMultilevel"/>
    <w:tmpl w:val="DC94ABD6"/>
    <w:lvl w:ilvl="0" w:tplc="413C2B3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735C77"/>
    <w:multiLevelType w:val="hybridMultilevel"/>
    <w:tmpl w:val="7FAAF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F12073"/>
    <w:multiLevelType w:val="hybridMultilevel"/>
    <w:tmpl w:val="246A3A18"/>
    <w:lvl w:ilvl="0" w:tplc="841EEAFE">
      <w:start w:val="6"/>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410DA"/>
    <w:multiLevelType w:val="hybridMultilevel"/>
    <w:tmpl w:val="FA9E2EB2"/>
    <w:lvl w:ilvl="0" w:tplc="0409000F">
      <w:start w:val="1"/>
      <w:numFmt w:val="decimal"/>
      <w:lvlText w:val="%1."/>
      <w:lvlJc w:val="left"/>
      <w:pPr>
        <w:tabs>
          <w:tab w:val="num" w:pos="3762"/>
        </w:tabs>
        <w:ind w:left="3762" w:hanging="360"/>
      </w:pPr>
      <w:rPr>
        <w:rFonts w:hint="default"/>
      </w:rPr>
    </w:lvl>
    <w:lvl w:ilvl="1" w:tplc="04090019" w:tentative="1">
      <w:start w:val="1"/>
      <w:numFmt w:val="lowerLetter"/>
      <w:lvlText w:val="%2."/>
      <w:lvlJc w:val="left"/>
      <w:pPr>
        <w:tabs>
          <w:tab w:val="num" w:pos="4842"/>
        </w:tabs>
        <w:ind w:left="4842" w:hanging="360"/>
      </w:pPr>
    </w:lvl>
    <w:lvl w:ilvl="2" w:tplc="0409001B" w:tentative="1">
      <w:start w:val="1"/>
      <w:numFmt w:val="lowerRoman"/>
      <w:lvlText w:val="%3."/>
      <w:lvlJc w:val="right"/>
      <w:pPr>
        <w:tabs>
          <w:tab w:val="num" w:pos="5562"/>
        </w:tabs>
        <w:ind w:left="5562" w:hanging="180"/>
      </w:pPr>
    </w:lvl>
    <w:lvl w:ilvl="3" w:tplc="0409000F" w:tentative="1">
      <w:start w:val="1"/>
      <w:numFmt w:val="decimal"/>
      <w:lvlText w:val="%4."/>
      <w:lvlJc w:val="left"/>
      <w:pPr>
        <w:tabs>
          <w:tab w:val="num" w:pos="6282"/>
        </w:tabs>
        <w:ind w:left="6282" w:hanging="360"/>
      </w:pPr>
    </w:lvl>
    <w:lvl w:ilvl="4" w:tplc="04090019" w:tentative="1">
      <w:start w:val="1"/>
      <w:numFmt w:val="lowerLetter"/>
      <w:lvlText w:val="%5."/>
      <w:lvlJc w:val="left"/>
      <w:pPr>
        <w:tabs>
          <w:tab w:val="num" w:pos="7002"/>
        </w:tabs>
        <w:ind w:left="7002" w:hanging="360"/>
      </w:pPr>
    </w:lvl>
    <w:lvl w:ilvl="5" w:tplc="0409001B" w:tentative="1">
      <w:start w:val="1"/>
      <w:numFmt w:val="lowerRoman"/>
      <w:lvlText w:val="%6."/>
      <w:lvlJc w:val="right"/>
      <w:pPr>
        <w:tabs>
          <w:tab w:val="num" w:pos="7722"/>
        </w:tabs>
        <w:ind w:left="7722" w:hanging="180"/>
      </w:pPr>
    </w:lvl>
    <w:lvl w:ilvl="6" w:tplc="0409000F" w:tentative="1">
      <w:start w:val="1"/>
      <w:numFmt w:val="decimal"/>
      <w:lvlText w:val="%7."/>
      <w:lvlJc w:val="left"/>
      <w:pPr>
        <w:tabs>
          <w:tab w:val="num" w:pos="8442"/>
        </w:tabs>
        <w:ind w:left="8442" w:hanging="360"/>
      </w:pPr>
    </w:lvl>
    <w:lvl w:ilvl="7" w:tplc="04090019" w:tentative="1">
      <w:start w:val="1"/>
      <w:numFmt w:val="lowerLetter"/>
      <w:lvlText w:val="%8."/>
      <w:lvlJc w:val="left"/>
      <w:pPr>
        <w:tabs>
          <w:tab w:val="num" w:pos="9162"/>
        </w:tabs>
        <w:ind w:left="9162" w:hanging="360"/>
      </w:pPr>
    </w:lvl>
    <w:lvl w:ilvl="8" w:tplc="0409001B" w:tentative="1">
      <w:start w:val="1"/>
      <w:numFmt w:val="lowerRoman"/>
      <w:lvlText w:val="%9."/>
      <w:lvlJc w:val="right"/>
      <w:pPr>
        <w:tabs>
          <w:tab w:val="num" w:pos="9882"/>
        </w:tabs>
        <w:ind w:left="9882" w:hanging="180"/>
      </w:pPr>
    </w:lvl>
  </w:abstractNum>
  <w:abstractNum w:abstractNumId="20" w15:restartNumberingAfterBreak="0">
    <w:nsid w:val="5B853AC6"/>
    <w:multiLevelType w:val="hybridMultilevel"/>
    <w:tmpl w:val="69DA48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74F06"/>
    <w:multiLevelType w:val="hybridMultilevel"/>
    <w:tmpl w:val="40AA335A"/>
    <w:lvl w:ilvl="0" w:tplc="909C1660">
      <w:start w:val="1"/>
      <w:numFmt w:val="decimal"/>
      <w:lvlText w:val="%1"/>
      <w:lvlJc w:val="left"/>
      <w:pPr>
        <w:ind w:left="2770" w:hanging="360"/>
      </w:pPr>
      <w:rPr>
        <w:rFonts w:hint="default"/>
      </w:rPr>
    </w:lvl>
    <w:lvl w:ilvl="1" w:tplc="041A0019" w:tentative="1">
      <w:start w:val="1"/>
      <w:numFmt w:val="lowerLetter"/>
      <w:lvlText w:val="%2."/>
      <w:lvlJc w:val="left"/>
      <w:pPr>
        <w:ind w:left="3490" w:hanging="360"/>
      </w:pPr>
    </w:lvl>
    <w:lvl w:ilvl="2" w:tplc="041A001B" w:tentative="1">
      <w:start w:val="1"/>
      <w:numFmt w:val="lowerRoman"/>
      <w:lvlText w:val="%3."/>
      <w:lvlJc w:val="right"/>
      <w:pPr>
        <w:ind w:left="4210" w:hanging="180"/>
      </w:pPr>
    </w:lvl>
    <w:lvl w:ilvl="3" w:tplc="041A000F" w:tentative="1">
      <w:start w:val="1"/>
      <w:numFmt w:val="decimal"/>
      <w:lvlText w:val="%4."/>
      <w:lvlJc w:val="left"/>
      <w:pPr>
        <w:ind w:left="4930" w:hanging="360"/>
      </w:pPr>
    </w:lvl>
    <w:lvl w:ilvl="4" w:tplc="041A0019" w:tentative="1">
      <w:start w:val="1"/>
      <w:numFmt w:val="lowerLetter"/>
      <w:lvlText w:val="%5."/>
      <w:lvlJc w:val="left"/>
      <w:pPr>
        <w:ind w:left="5650" w:hanging="360"/>
      </w:pPr>
    </w:lvl>
    <w:lvl w:ilvl="5" w:tplc="041A001B" w:tentative="1">
      <w:start w:val="1"/>
      <w:numFmt w:val="lowerRoman"/>
      <w:lvlText w:val="%6."/>
      <w:lvlJc w:val="right"/>
      <w:pPr>
        <w:ind w:left="6370" w:hanging="180"/>
      </w:pPr>
    </w:lvl>
    <w:lvl w:ilvl="6" w:tplc="041A000F" w:tentative="1">
      <w:start w:val="1"/>
      <w:numFmt w:val="decimal"/>
      <w:lvlText w:val="%7."/>
      <w:lvlJc w:val="left"/>
      <w:pPr>
        <w:ind w:left="7090" w:hanging="360"/>
      </w:pPr>
    </w:lvl>
    <w:lvl w:ilvl="7" w:tplc="041A0019" w:tentative="1">
      <w:start w:val="1"/>
      <w:numFmt w:val="lowerLetter"/>
      <w:lvlText w:val="%8."/>
      <w:lvlJc w:val="left"/>
      <w:pPr>
        <w:ind w:left="7810" w:hanging="360"/>
      </w:pPr>
    </w:lvl>
    <w:lvl w:ilvl="8" w:tplc="041A001B" w:tentative="1">
      <w:start w:val="1"/>
      <w:numFmt w:val="lowerRoman"/>
      <w:lvlText w:val="%9."/>
      <w:lvlJc w:val="right"/>
      <w:pPr>
        <w:ind w:left="8530" w:hanging="180"/>
      </w:pPr>
    </w:lvl>
  </w:abstractNum>
  <w:abstractNum w:abstractNumId="22" w15:restartNumberingAfterBreak="0">
    <w:nsid w:val="6CF536CF"/>
    <w:multiLevelType w:val="hybridMultilevel"/>
    <w:tmpl w:val="5E76547A"/>
    <w:lvl w:ilvl="0" w:tplc="AD262366">
      <w:start w:val="1"/>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AA7191"/>
    <w:multiLevelType w:val="hybridMultilevel"/>
    <w:tmpl w:val="3E409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D75844"/>
    <w:multiLevelType w:val="hybridMultilevel"/>
    <w:tmpl w:val="F76ED0FE"/>
    <w:lvl w:ilvl="0" w:tplc="EB501B8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4F0A63"/>
    <w:multiLevelType w:val="hybridMultilevel"/>
    <w:tmpl w:val="ECE6D208"/>
    <w:lvl w:ilvl="0" w:tplc="83A4D19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042538"/>
    <w:multiLevelType w:val="hybridMultilevel"/>
    <w:tmpl w:val="4F305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5"/>
  </w:num>
  <w:num w:numId="4">
    <w:abstractNumId w:val="9"/>
  </w:num>
  <w:num w:numId="5">
    <w:abstractNumId w:val="16"/>
  </w:num>
  <w:num w:numId="6">
    <w:abstractNumId w:val="18"/>
  </w:num>
  <w:num w:numId="7">
    <w:abstractNumId w:val="7"/>
  </w:num>
  <w:num w:numId="8">
    <w:abstractNumId w:val="1"/>
  </w:num>
  <w:num w:numId="9">
    <w:abstractNumId w:val="6"/>
  </w:num>
  <w:num w:numId="10">
    <w:abstractNumId w:val="14"/>
  </w:num>
  <w:num w:numId="11">
    <w:abstractNumId w:val="12"/>
  </w:num>
  <w:num w:numId="12">
    <w:abstractNumId w:val="19"/>
  </w:num>
  <w:num w:numId="13">
    <w:abstractNumId w:val="13"/>
  </w:num>
  <w:num w:numId="14">
    <w:abstractNumId w:val="26"/>
  </w:num>
  <w:num w:numId="15">
    <w:abstractNumId w:val="0"/>
  </w:num>
  <w:num w:numId="16">
    <w:abstractNumId w:val="10"/>
  </w:num>
  <w:num w:numId="17">
    <w:abstractNumId w:val="4"/>
  </w:num>
  <w:num w:numId="18">
    <w:abstractNumId w:val="24"/>
  </w:num>
  <w:num w:numId="19">
    <w:abstractNumId w:val="8"/>
  </w:num>
  <w:num w:numId="20">
    <w:abstractNumId w:val="17"/>
  </w:num>
  <w:num w:numId="21">
    <w:abstractNumId w:val="21"/>
  </w:num>
  <w:num w:numId="22">
    <w:abstractNumId w:val="3"/>
  </w:num>
  <w:num w:numId="23">
    <w:abstractNumId w:val="11"/>
  </w:num>
  <w:num w:numId="24">
    <w:abstractNumId w:val="23"/>
  </w:num>
  <w:num w:numId="25">
    <w:abstractNumId w:val="25"/>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6F"/>
    <w:rsid w:val="00016DCB"/>
    <w:rsid w:val="0002520D"/>
    <w:rsid w:val="0002695C"/>
    <w:rsid w:val="00034F82"/>
    <w:rsid w:val="00052474"/>
    <w:rsid w:val="0005316B"/>
    <w:rsid w:val="000751CE"/>
    <w:rsid w:val="000758C2"/>
    <w:rsid w:val="00075D2B"/>
    <w:rsid w:val="00077607"/>
    <w:rsid w:val="00081E01"/>
    <w:rsid w:val="00083DEF"/>
    <w:rsid w:val="000945E7"/>
    <w:rsid w:val="000A7351"/>
    <w:rsid w:val="000B085A"/>
    <w:rsid w:val="000B3BAE"/>
    <w:rsid w:val="000B5D7D"/>
    <w:rsid w:val="000C4F9F"/>
    <w:rsid w:val="000E3338"/>
    <w:rsid w:val="000E6669"/>
    <w:rsid w:val="000F0CD5"/>
    <w:rsid w:val="00101D76"/>
    <w:rsid w:val="001056C0"/>
    <w:rsid w:val="00107545"/>
    <w:rsid w:val="001129CE"/>
    <w:rsid w:val="00113896"/>
    <w:rsid w:val="00116396"/>
    <w:rsid w:val="00122233"/>
    <w:rsid w:val="00122C7B"/>
    <w:rsid w:val="00123AB3"/>
    <w:rsid w:val="00125770"/>
    <w:rsid w:val="00140C85"/>
    <w:rsid w:val="00141CA4"/>
    <w:rsid w:val="001420E0"/>
    <w:rsid w:val="001438DF"/>
    <w:rsid w:val="00153551"/>
    <w:rsid w:val="00161DC6"/>
    <w:rsid w:val="00181A88"/>
    <w:rsid w:val="001960A3"/>
    <w:rsid w:val="001B4426"/>
    <w:rsid w:val="001B52AE"/>
    <w:rsid w:val="001B6BC9"/>
    <w:rsid w:val="001C3DF8"/>
    <w:rsid w:val="001C7A78"/>
    <w:rsid w:val="001D5C13"/>
    <w:rsid w:val="001D6ADA"/>
    <w:rsid w:val="00204B92"/>
    <w:rsid w:val="00204E60"/>
    <w:rsid w:val="002102CD"/>
    <w:rsid w:val="00227537"/>
    <w:rsid w:val="00227926"/>
    <w:rsid w:val="00241267"/>
    <w:rsid w:val="0024214D"/>
    <w:rsid w:val="002559CD"/>
    <w:rsid w:val="00262816"/>
    <w:rsid w:val="00284D09"/>
    <w:rsid w:val="002860EB"/>
    <w:rsid w:val="00286616"/>
    <w:rsid w:val="00287DD2"/>
    <w:rsid w:val="0029113A"/>
    <w:rsid w:val="002917BD"/>
    <w:rsid w:val="00291DC3"/>
    <w:rsid w:val="002A283E"/>
    <w:rsid w:val="002B52CF"/>
    <w:rsid w:val="002C1D38"/>
    <w:rsid w:val="002C7264"/>
    <w:rsid w:val="002E3541"/>
    <w:rsid w:val="002E5109"/>
    <w:rsid w:val="002F211B"/>
    <w:rsid w:val="002F7C7D"/>
    <w:rsid w:val="003043DA"/>
    <w:rsid w:val="00305F72"/>
    <w:rsid w:val="00310B62"/>
    <w:rsid w:val="00315B03"/>
    <w:rsid w:val="00320CBE"/>
    <w:rsid w:val="003227FD"/>
    <w:rsid w:val="0032669C"/>
    <w:rsid w:val="00332D5C"/>
    <w:rsid w:val="0033617E"/>
    <w:rsid w:val="0034648D"/>
    <w:rsid w:val="0035429A"/>
    <w:rsid w:val="003550FF"/>
    <w:rsid w:val="0036275E"/>
    <w:rsid w:val="003658ED"/>
    <w:rsid w:val="00373D15"/>
    <w:rsid w:val="00375D5E"/>
    <w:rsid w:val="00384545"/>
    <w:rsid w:val="0039009C"/>
    <w:rsid w:val="003902AF"/>
    <w:rsid w:val="00396A7B"/>
    <w:rsid w:val="003A3BA0"/>
    <w:rsid w:val="003A3DFF"/>
    <w:rsid w:val="003B5B63"/>
    <w:rsid w:val="003B6705"/>
    <w:rsid w:val="003C637A"/>
    <w:rsid w:val="003D1410"/>
    <w:rsid w:val="003D7C91"/>
    <w:rsid w:val="003E1726"/>
    <w:rsid w:val="003E65B6"/>
    <w:rsid w:val="003F5CEC"/>
    <w:rsid w:val="00401D19"/>
    <w:rsid w:val="004053B9"/>
    <w:rsid w:val="004067FD"/>
    <w:rsid w:val="0041186A"/>
    <w:rsid w:val="0041700F"/>
    <w:rsid w:val="00445849"/>
    <w:rsid w:val="00454392"/>
    <w:rsid w:val="004567C9"/>
    <w:rsid w:val="0045704F"/>
    <w:rsid w:val="00462149"/>
    <w:rsid w:val="00467081"/>
    <w:rsid w:val="004742CD"/>
    <w:rsid w:val="00475902"/>
    <w:rsid w:val="00491831"/>
    <w:rsid w:val="00491EB1"/>
    <w:rsid w:val="004935A6"/>
    <w:rsid w:val="004A2C1E"/>
    <w:rsid w:val="004A7CDF"/>
    <w:rsid w:val="004B7D3C"/>
    <w:rsid w:val="004C253B"/>
    <w:rsid w:val="004D0FA6"/>
    <w:rsid w:val="004D2E4F"/>
    <w:rsid w:val="004D3D25"/>
    <w:rsid w:val="004D6F38"/>
    <w:rsid w:val="004E1EC3"/>
    <w:rsid w:val="004F1815"/>
    <w:rsid w:val="00502457"/>
    <w:rsid w:val="005026D6"/>
    <w:rsid w:val="00512731"/>
    <w:rsid w:val="00517F7E"/>
    <w:rsid w:val="00523E5E"/>
    <w:rsid w:val="00541240"/>
    <w:rsid w:val="00551FA8"/>
    <w:rsid w:val="005622C7"/>
    <w:rsid w:val="00565E74"/>
    <w:rsid w:val="005670EE"/>
    <w:rsid w:val="00567CA7"/>
    <w:rsid w:val="0057073F"/>
    <w:rsid w:val="00571365"/>
    <w:rsid w:val="00572CA4"/>
    <w:rsid w:val="005831A3"/>
    <w:rsid w:val="005832E3"/>
    <w:rsid w:val="00583A2F"/>
    <w:rsid w:val="005918D7"/>
    <w:rsid w:val="00592AB1"/>
    <w:rsid w:val="00592C1B"/>
    <w:rsid w:val="00592E8C"/>
    <w:rsid w:val="00595ADD"/>
    <w:rsid w:val="005A0732"/>
    <w:rsid w:val="005B2067"/>
    <w:rsid w:val="005C260F"/>
    <w:rsid w:val="005C61A7"/>
    <w:rsid w:val="005C75EA"/>
    <w:rsid w:val="005D151F"/>
    <w:rsid w:val="005E529E"/>
    <w:rsid w:val="005F0039"/>
    <w:rsid w:val="005F0CDF"/>
    <w:rsid w:val="005F0D88"/>
    <w:rsid w:val="005F6687"/>
    <w:rsid w:val="005F71A4"/>
    <w:rsid w:val="006016A2"/>
    <w:rsid w:val="0061667F"/>
    <w:rsid w:val="006177FE"/>
    <w:rsid w:val="00617867"/>
    <w:rsid w:val="00620EB3"/>
    <w:rsid w:val="0063002F"/>
    <w:rsid w:val="00640237"/>
    <w:rsid w:val="00665FA5"/>
    <w:rsid w:val="00677876"/>
    <w:rsid w:val="006866BD"/>
    <w:rsid w:val="00687D07"/>
    <w:rsid w:val="006A0B4D"/>
    <w:rsid w:val="006A1525"/>
    <w:rsid w:val="006A62D0"/>
    <w:rsid w:val="006B33E8"/>
    <w:rsid w:val="006B6332"/>
    <w:rsid w:val="006E0FF2"/>
    <w:rsid w:val="006E7E8C"/>
    <w:rsid w:val="006F122C"/>
    <w:rsid w:val="006F293B"/>
    <w:rsid w:val="0070594F"/>
    <w:rsid w:val="00707FC2"/>
    <w:rsid w:val="00711AA7"/>
    <w:rsid w:val="00727621"/>
    <w:rsid w:val="00734EFB"/>
    <w:rsid w:val="00736DAB"/>
    <w:rsid w:val="0074446A"/>
    <w:rsid w:val="007461B0"/>
    <w:rsid w:val="0076627D"/>
    <w:rsid w:val="00771F83"/>
    <w:rsid w:val="007841FD"/>
    <w:rsid w:val="0079390A"/>
    <w:rsid w:val="007A0D28"/>
    <w:rsid w:val="007A4DB8"/>
    <w:rsid w:val="007B20F4"/>
    <w:rsid w:val="007B5696"/>
    <w:rsid w:val="007C3B78"/>
    <w:rsid w:val="007D08D0"/>
    <w:rsid w:val="007E1694"/>
    <w:rsid w:val="007E49F0"/>
    <w:rsid w:val="007F6B31"/>
    <w:rsid w:val="00813208"/>
    <w:rsid w:val="008166F2"/>
    <w:rsid w:val="00821FBA"/>
    <w:rsid w:val="00825595"/>
    <w:rsid w:val="00827EAE"/>
    <w:rsid w:val="00836447"/>
    <w:rsid w:val="0085797B"/>
    <w:rsid w:val="00870739"/>
    <w:rsid w:val="00871A04"/>
    <w:rsid w:val="0088097B"/>
    <w:rsid w:val="008824B3"/>
    <w:rsid w:val="00882CFE"/>
    <w:rsid w:val="0088765D"/>
    <w:rsid w:val="00891CE9"/>
    <w:rsid w:val="00893443"/>
    <w:rsid w:val="00894E0A"/>
    <w:rsid w:val="008A7439"/>
    <w:rsid w:val="008B1587"/>
    <w:rsid w:val="008C03B3"/>
    <w:rsid w:val="008C22F7"/>
    <w:rsid w:val="008C3F9E"/>
    <w:rsid w:val="008C6A3D"/>
    <w:rsid w:val="00911CD2"/>
    <w:rsid w:val="0093107E"/>
    <w:rsid w:val="0094397F"/>
    <w:rsid w:val="00950D72"/>
    <w:rsid w:val="00955DD0"/>
    <w:rsid w:val="00966CCE"/>
    <w:rsid w:val="009734CC"/>
    <w:rsid w:val="00974621"/>
    <w:rsid w:val="0098189A"/>
    <w:rsid w:val="009939F3"/>
    <w:rsid w:val="00994AAF"/>
    <w:rsid w:val="009A7A7B"/>
    <w:rsid w:val="009B0192"/>
    <w:rsid w:val="009B4DAB"/>
    <w:rsid w:val="009C2B0C"/>
    <w:rsid w:val="009D39BD"/>
    <w:rsid w:val="009D3AEC"/>
    <w:rsid w:val="009D4EC1"/>
    <w:rsid w:val="009E116B"/>
    <w:rsid w:val="009E5B54"/>
    <w:rsid w:val="009F12FD"/>
    <w:rsid w:val="009F40C9"/>
    <w:rsid w:val="00A00105"/>
    <w:rsid w:val="00A2600E"/>
    <w:rsid w:val="00A33FD1"/>
    <w:rsid w:val="00A354A4"/>
    <w:rsid w:val="00A36200"/>
    <w:rsid w:val="00A37762"/>
    <w:rsid w:val="00A42DC4"/>
    <w:rsid w:val="00A4573E"/>
    <w:rsid w:val="00A46E85"/>
    <w:rsid w:val="00A476D7"/>
    <w:rsid w:val="00A542CE"/>
    <w:rsid w:val="00A55F98"/>
    <w:rsid w:val="00A635E2"/>
    <w:rsid w:val="00A71C1A"/>
    <w:rsid w:val="00A740C0"/>
    <w:rsid w:val="00A746D2"/>
    <w:rsid w:val="00A763F4"/>
    <w:rsid w:val="00A934A4"/>
    <w:rsid w:val="00A94914"/>
    <w:rsid w:val="00A958BF"/>
    <w:rsid w:val="00AB069B"/>
    <w:rsid w:val="00AB5FBD"/>
    <w:rsid w:val="00AC573C"/>
    <w:rsid w:val="00AD0FB1"/>
    <w:rsid w:val="00AD4124"/>
    <w:rsid w:val="00AE1572"/>
    <w:rsid w:val="00AE39EB"/>
    <w:rsid w:val="00B01A20"/>
    <w:rsid w:val="00B0596C"/>
    <w:rsid w:val="00B07FB6"/>
    <w:rsid w:val="00B105E0"/>
    <w:rsid w:val="00B143C0"/>
    <w:rsid w:val="00B14C94"/>
    <w:rsid w:val="00B175F5"/>
    <w:rsid w:val="00B17CC0"/>
    <w:rsid w:val="00B24927"/>
    <w:rsid w:val="00B36015"/>
    <w:rsid w:val="00B367E2"/>
    <w:rsid w:val="00B37EF4"/>
    <w:rsid w:val="00B541B0"/>
    <w:rsid w:val="00B672C4"/>
    <w:rsid w:val="00B7289A"/>
    <w:rsid w:val="00B73D93"/>
    <w:rsid w:val="00B755BB"/>
    <w:rsid w:val="00B90DF5"/>
    <w:rsid w:val="00B919FD"/>
    <w:rsid w:val="00B91D52"/>
    <w:rsid w:val="00BA1540"/>
    <w:rsid w:val="00BA56F2"/>
    <w:rsid w:val="00BB3D44"/>
    <w:rsid w:val="00BB5A61"/>
    <w:rsid w:val="00BB7587"/>
    <w:rsid w:val="00BC08C5"/>
    <w:rsid w:val="00C0467C"/>
    <w:rsid w:val="00C04899"/>
    <w:rsid w:val="00C1215A"/>
    <w:rsid w:val="00C26BBE"/>
    <w:rsid w:val="00C33753"/>
    <w:rsid w:val="00C57233"/>
    <w:rsid w:val="00C63D65"/>
    <w:rsid w:val="00C64A38"/>
    <w:rsid w:val="00C64A9A"/>
    <w:rsid w:val="00C7514E"/>
    <w:rsid w:val="00C75F6A"/>
    <w:rsid w:val="00C76E5A"/>
    <w:rsid w:val="00CA1799"/>
    <w:rsid w:val="00CB242B"/>
    <w:rsid w:val="00CB433B"/>
    <w:rsid w:val="00CC5B3A"/>
    <w:rsid w:val="00CD0793"/>
    <w:rsid w:val="00CD47DD"/>
    <w:rsid w:val="00CE1184"/>
    <w:rsid w:val="00CE14A2"/>
    <w:rsid w:val="00CE7DE9"/>
    <w:rsid w:val="00CF2C61"/>
    <w:rsid w:val="00CF69D8"/>
    <w:rsid w:val="00D07D9A"/>
    <w:rsid w:val="00D16242"/>
    <w:rsid w:val="00D37B60"/>
    <w:rsid w:val="00D43AEF"/>
    <w:rsid w:val="00D60F9A"/>
    <w:rsid w:val="00D64B05"/>
    <w:rsid w:val="00D91696"/>
    <w:rsid w:val="00D93FFB"/>
    <w:rsid w:val="00D94438"/>
    <w:rsid w:val="00D97546"/>
    <w:rsid w:val="00DB369C"/>
    <w:rsid w:val="00DD39EB"/>
    <w:rsid w:val="00DE1D03"/>
    <w:rsid w:val="00DE7D13"/>
    <w:rsid w:val="00DF22A6"/>
    <w:rsid w:val="00DF3071"/>
    <w:rsid w:val="00E06DFE"/>
    <w:rsid w:val="00E1500C"/>
    <w:rsid w:val="00E205AB"/>
    <w:rsid w:val="00E23DEE"/>
    <w:rsid w:val="00E24E2E"/>
    <w:rsid w:val="00E429AB"/>
    <w:rsid w:val="00E437A9"/>
    <w:rsid w:val="00E4566F"/>
    <w:rsid w:val="00E45939"/>
    <w:rsid w:val="00E46F45"/>
    <w:rsid w:val="00E57650"/>
    <w:rsid w:val="00E65F05"/>
    <w:rsid w:val="00E73AB6"/>
    <w:rsid w:val="00E76791"/>
    <w:rsid w:val="00E8364C"/>
    <w:rsid w:val="00E94345"/>
    <w:rsid w:val="00EA24B4"/>
    <w:rsid w:val="00EA67A2"/>
    <w:rsid w:val="00EB6AC6"/>
    <w:rsid w:val="00EC1E5E"/>
    <w:rsid w:val="00ED5DED"/>
    <w:rsid w:val="00ED5DFB"/>
    <w:rsid w:val="00EF12EC"/>
    <w:rsid w:val="00EF2B45"/>
    <w:rsid w:val="00EF40BB"/>
    <w:rsid w:val="00EF5377"/>
    <w:rsid w:val="00EF7881"/>
    <w:rsid w:val="00F12187"/>
    <w:rsid w:val="00F17359"/>
    <w:rsid w:val="00F34033"/>
    <w:rsid w:val="00F47214"/>
    <w:rsid w:val="00F51DF1"/>
    <w:rsid w:val="00F547DA"/>
    <w:rsid w:val="00F60820"/>
    <w:rsid w:val="00F61B18"/>
    <w:rsid w:val="00F86C37"/>
    <w:rsid w:val="00FB6DA7"/>
    <w:rsid w:val="00FD7DC5"/>
    <w:rsid w:val="00FE0E24"/>
    <w:rsid w:val="00FF02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25F0"/>
  <w15:chartTrackingRefBased/>
  <w15:docId w15:val="{25F3275F-BA7C-486F-919A-931D664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6F"/>
    <w:rPr>
      <w:sz w:val="24"/>
      <w:szCs w:val="24"/>
      <w:lang w:eastAsia="en-US"/>
    </w:rPr>
  </w:style>
  <w:style w:type="paragraph" w:styleId="Heading1">
    <w:name w:val="heading 1"/>
    <w:basedOn w:val="Normal"/>
    <w:next w:val="Normal"/>
    <w:link w:val="Heading1Char"/>
    <w:uiPriority w:val="99"/>
    <w:qFormat/>
    <w:rsid w:val="00DF22A6"/>
    <w:pPr>
      <w:keepNext/>
      <w:outlineLvl w:val="0"/>
    </w:pPr>
    <w:rPr>
      <w:rFonts w:ascii="Arial" w:hAnsi="Arial"/>
      <w:b/>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566F"/>
    <w:pPr>
      <w:jc w:val="both"/>
    </w:pPr>
    <w:rPr>
      <w:rFonts w:ascii="Arial" w:hAnsi="Arial"/>
      <w:sz w:val="22"/>
      <w:szCs w:val="20"/>
    </w:rPr>
  </w:style>
  <w:style w:type="paragraph" w:styleId="BodyText2">
    <w:name w:val="Body Text 2"/>
    <w:basedOn w:val="Normal"/>
    <w:rsid w:val="00E4566F"/>
    <w:pPr>
      <w:jc w:val="both"/>
    </w:pPr>
    <w:rPr>
      <w:sz w:val="20"/>
      <w:szCs w:val="20"/>
      <w:lang w:val="en-AU"/>
    </w:rPr>
  </w:style>
  <w:style w:type="paragraph" w:styleId="BodyTextIndent3">
    <w:name w:val="Body Text Indent 3"/>
    <w:basedOn w:val="Normal"/>
    <w:rsid w:val="00E4566F"/>
    <w:pPr>
      <w:tabs>
        <w:tab w:val="left" w:pos="540"/>
      </w:tabs>
      <w:spacing w:line="360" w:lineRule="auto"/>
      <w:ind w:left="720" w:hanging="540"/>
      <w:jc w:val="both"/>
    </w:pPr>
    <w:rPr>
      <w:rFonts w:ascii="Arial" w:hAnsi="Arial" w:cs="Arial"/>
      <w:sz w:val="20"/>
      <w:szCs w:val="20"/>
    </w:rPr>
  </w:style>
  <w:style w:type="paragraph" w:styleId="BodyTextIndent">
    <w:name w:val="Body Text Indent"/>
    <w:basedOn w:val="Normal"/>
    <w:rsid w:val="00A958BF"/>
    <w:pPr>
      <w:spacing w:after="120"/>
      <w:ind w:left="283"/>
    </w:pPr>
    <w:rPr>
      <w:sz w:val="20"/>
      <w:szCs w:val="20"/>
    </w:rPr>
  </w:style>
  <w:style w:type="paragraph" w:customStyle="1" w:styleId="Default">
    <w:name w:val="Default"/>
    <w:rsid w:val="003227FD"/>
    <w:pPr>
      <w:autoSpaceDE w:val="0"/>
      <w:autoSpaceDN w:val="0"/>
      <w:adjustRightInd w:val="0"/>
    </w:pPr>
    <w:rPr>
      <w:rFonts w:ascii="Tahoma" w:hAnsi="Tahoma" w:cs="Tahoma"/>
      <w:color w:val="000000"/>
      <w:sz w:val="24"/>
      <w:szCs w:val="24"/>
      <w:lang w:val="en-US" w:eastAsia="en-US"/>
    </w:rPr>
  </w:style>
  <w:style w:type="paragraph" w:customStyle="1" w:styleId="t-9-8">
    <w:name w:val="t-9-8"/>
    <w:basedOn w:val="Normal"/>
    <w:rsid w:val="00B37EF4"/>
    <w:pPr>
      <w:spacing w:before="100" w:beforeAutospacing="1" w:after="100" w:afterAutospacing="1"/>
    </w:pPr>
    <w:rPr>
      <w:lang w:eastAsia="hr-HR"/>
    </w:rPr>
  </w:style>
  <w:style w:type="paragraph" w:customStyle="1" w:styleId="clanak-">
    <w:name w:val="clanak-"/>
    <w:basedOn w:val="Normal"/>
    <w:rsid w:val="00B37EF4"/>
    <w:pPr>
      <w:spacing w:before="100" w:beforeAutospacing="1" w:after="100" w:afterAutospacing="1"/>
    </w:pPr>
    <w:rPr>
      <w:lang w:eastAsia="hr-HR"/>
    </w:rPr>
  </w:style>
  <w:style w:type="paragraph" w:customStyle="1" w:styleId="t-10-9-kurz-s">
    <w:name w:val="t-10-9-kurz-s"/>
    <w:basedOn w:val="Normal"/>
    <w:rsid w:val="00B37EF4"/>
    <w:pPr>
      <w:spacing w:before="100" w:beforeAutospacing="1" w:after="100" w:afterAutospacing="1"/>
    </w:pPr>
    <w:rPr>
      <w:lang w:eastAsia="hr-HR"/>
    </w:rPr>
  </w:style>
  <w:style w:type="character" w:styleId="Hyperlink">
    <w:name w:val="Hyperlink"/>
    <w:uiPriority w:val="99"/>
    <w:unhideWhenUsed/>
    <w:rsid w:val="00CE14A2"/>
    <w:rPr>
      <w:strike w:val="0"/>
      <w:dstrike w:val="0"/>
      <w:color w:val="3C6184"/>
      <w:u w:val="none"/>
      <w:effect w:val="none"/>
    </w:rPr>
  </w:style>
  <w:style w:type="character" w:customStyle="1" w:styleId="crveni1">
    <w:name w:val="crveni1"/>
    <w:rsid w:val="00CE14A2"/>
    <w:rPr>
      <w:color w:val="C10000"/>
    </w:rPr>
  </w:style>
  <w:style w:type="paragraph" w:styleId="ListParagraph">
    <w:name w:val="List Paragraph"/>
    <w:basedOn w:val="Normal"/>
    <w:uiPriority w:val="99"/>
    <w:qFormat/>
    <w:rsid w:val="00BA56F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67CA7"/>
    <w:rPr>
      <w:rFonts w:ascii="Tahoma" w:hAnsi="Tahoma"/>
      <w:sz w:val="16"/>
      <w:szCs w:val="16"/>
      <w:lang w:val="x-none"/>
    </w:rPr>
  </w:style>
  <w:style w:type="character" w:customStyle="1" w:styleId="BalloonTextChar">
    <w:name w:val="Balloon Text Char"/>
    <w:link w:val="BalloonText"/>
    <w:rsid w:val="00567CA7"/>
    <w:rPr>
      <w:rFonts w:ascii="Tahoma" w:hAnsi="Tahoma" w:cs="Tahoma"/>
      <w:sz w:val="16"/>
      <w:szCs w:val="16"/>
      <w:lang w:eastAsia="en-US"/>
    </w:rPr>
  </w:style>
  <w:style w:type="character" w:customStyle="1" w:styleId="Heading1Char">
    <w:name w:val="Heading 1 Char"/>
    <w:link w:val="Heading1"/>
    <w:uiPriority w:val="99"/>
    <w:rsid w:val="00DF22A6"/>
    <w:rPr>
      <w:rFonts w:ascii="Arial" w:hAnsi="Arial"/>
      <w:b/>
      <w:sz w:val="22"/>
      <w:lang w:eastAsia="en-US"/>
    </w:rPr>
  </w:style>
  <w:style w:type="paragraph" w:styleId="Header">
    <w:name w:val="header"/>
    <w:basedOn w:val="Normal"/>
    <w:link w:val="HeaderChar"/>
    <w:rsid w:val="001B52AE"/>
    <w:pPr>
      <w:tabs>
        <w:tab w:val="center" w:pos="4536"/>
        <w:tab w:val="right" w:pos="9072"/>
      </w:tabs>
    </w:pPr>
    <w:rPr>
      <w:lang w:val="x-none"/>
    </w:rPr>
  </w:style>
  <w:style w:type="character" w:customStyle="1" w:styleId="HeaderChar">
    <w:name w:val="Header Char"/>
    <w:link w:val="Header"/>
    <w:rsid w:val="001B52AE"/>
    <w:rPr>
      <w:sz w:val="24"/>
      <w:szCs w:val="24"/>
      <w:lang w:eastAsia="en-US"/>
    </w:rPr>
  </w:style>
  <w:style w:type="paragraph" w:styleId="Footer">
    <w:name w:val="footer"/>
    <w:basedOn w:val="Normal"/>
    <w:link w:val="FooterChar"/>
    <w:uiPriority w:val="99"/>
    <w:rsid w:val="001B52AE"/>
    <w:pPr>
      <w:tabs>
        <w:tab w:val="center" w:pos="4536"/>
        <w:tab w:val="right" w:pos="9072"/>
      </w:tabs>
    </w:pPr>
    <w:rPr>
      <w:lang w:val="x-none"/>
    </w:rPr>
  </w:style>
  <w:style w:type="character" w:customStyle="1" w:styleId="FooterChar">
    <w:name w:val="Footer Char"/>
    <w:link w:val="Footer"/>
    <w:uiPriority w:val="99"/>
    <w:rsid w:val="001B52AE"/>
    <w:rPr>
      <w:sz w:val="24"/>
      <w:szCs w:val="24"/>
      <w:lang w:eastAsia="en-US"/>
    </w:rPr>
  </w:style>
  <w:style w:type="character" w:styleId="CommentReference">
    <w:name w:val="annotation reference"/>
    <w:rsid w:val="006866BD"/>
    <w:rPr>
      <w:sz w:val="16"/>
      <w:szCs w:val="16"/>
    </w:rPr>
  </w:style>
  <w:style w:type="paragraph" w:styleId="CommentText">
    <w:name w:val="annotation text"/>
    <w:basedOn w:val="Normal"/>
    <w:link w:val="CommentTextChar"/>
    <w:rsid w:val="006866BD"/>
    <w:rPr>
      <w:sz w:val="20"/>
      <w:szCs w:val="20"/>
    </w:rPr>
  </w:style>
  <w:style w:type="character" w:customStyle="1" w:styleId="CommentTextChar">
    <w:name w:val="Comment Text Char"/>
    <w:link w:val="CommentText"/>
    <w:rsid w:val="006866BD"/>
    <w:rPr>
      <w:lang w:eastAsia="en-US"/>
    </w:rPr>
  </w:style>
  <w:style w:type="paragraph" w:styleId="CommentSubject">
    <w:name w:val="annotation subject"/>
    <w:basedOn w:val="CommentText"/>
    <w:next w:val="CommentText"/>
    <w:link w:val="CommentSubjectChar"/>
    <w:rsid w:val="006866BD"/>
    <w:rPr>
      <w:b/>
      <w:bCs/>
    </w:rPr>
  </w:style>
  <w:style w:type="character" w:customStyle="1" w:styleId="CommentSubjectChar">
    <w:name w:val="Comment Subject Char"/>
    <w:link w:val="CommentSubject"/>
    <w:rsid w:val="006866BD"/>
    <w:rPr>
      <w:b/>
      <w:bCs/>
      <w:lang w:eastAsia="en-US"/>
    </w:rPr>
  </w:style>
  <w:style w:type="table" w:styleId="TableGrid">
    <w:name w:val="Table Grid"/>
    <w:basedOn w:val="TableNormal"/>
    <w:rsid w:val="0058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786">
      <w:bodyDiv w:val="1"/>
      <w:marLeft w:val="0"/>
      <w:marRight w:val="0"/>
      <w:marTop w:val="0"/>
      <w:marBottom w:val="0"/>
      <w:divBdr>
        <w:top w:val="none" w:sz="0" w:space="0" w:color="auto"/>
        <w:left w:val="none" w:sz="0" w:space="0" w:color="auto"/>
        <w:bottom w:val="none" w:sz="0" w:space="0" w:color="auto"/>
        <w:right w:val="none" w:sz="0" w:space="0" w:color="auto"/>
      </w:divBdr>
    </w:div>
    <w:div w:id="161241832">
      <w:bodyDiv w:val="1"/>
      <w:marLeft w:val="0"/>
      <w:marRight w:val="0"/>
      <w:marTop w:val="0"/>
      <w:marBottom w:val="0"/>
      <w:divBdr>
        <w:top w:val="none" w:sz="0" w:space="0" w:color="auto"/>
        <w:left w:val="none" w:sz="0" w:space="0" w:color="auto"/>
        <w:bottom w:val="none" w:sz="0" w:space="0" w:color="auto"/>
        <w:right w:val="none" w:sz="0" w:space="0" w:color="auto"/>
      </w:divBdr>
    </w:div>
    <w:div w:id="688021782">
      <w:bodyDiv w:val="1"/>
      <w:marLeft w:val="0"/>
      <w:marRight w:val="0"/>
      <w:marTop w:val="0"/>
      <w:marBottom w:val="0"/>
      <w:divBdr>
        <w:top w:val="none" w:sz="0" w:space="0" w:color="auto"/>
        <w:left w:val="none" w:sz="0" w:space="0" w:color="auto"/>
        <w:bottom w:val="none" w:sz="0" w:space="0" w:color="auto"/>
        <w:right w:val="none" w:sz="0" w:space="0" w:color="auto"/>
      </w:divBdr>
    </w:div>
    <w:div w:id="1789622753">
      <w:bodyDiv w:val="1"/>
      <w:marLeft w:val="0"/>
      <w:marRight w:val="0"/>
      <w:marTop w:val="0"/>
      <w:marBottom w:val="0"/>
      <w:divBdr>
        <w:top w:val="none" w:sz="0" w:space="0" w:color="auto"/>
        <w:left w:val="none" w:sz="0" w:space="0" w:color="auto"/>
        <w:bottom w:val="none" w:sz="0" w:space="0" w:color="auto"/>
        <w:right w:val="none" w:sz="0" w:space="0" w:color="auto"/>
      </w:divBdr>
    </w:div>
    <w:div w:id="20080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1F2C-059D-4B5E-9395-50510684CE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D36E3-61B5-4DC6-80DE-6697275F50A3}">
  <ds:schemaRefs>
    <ds:schemaRef ds:uri="http://schemas.microsoft.com/sharepoint/v3/contenttype/forms"/>
  </ds:schemaRefs>
</ds:datastoreItem>
</file>

<file path=customXml/itemProps3.xml><?xml version="1.0" encoding="utf-8"?>
<ds:datastoreItem xmlns:ds="http://schemas.openxmlformats.org/officeDocument/2006/customXml" ds:itemID="{850510A9-D25E-4780-8A49-477DBC8C684E}">
  <ds:schemaRefs>
    <ds:schemaRef ds:uri="http://schemas.microsoft.com/sharepoint/events"/>
  </ds:schemaRefs>
</ds:datastoreItem>
</file>

<file path=customXml/itemProps4.xml><?xml version="1.0" encoding="utf-8"?>
<ds:datastoreItem xmlns:ds="http://schemas.openxmlformats.org/officeDocument/2006/customXml" ds:itemID="{C8BD1B1C-1705-4648-BD54-A8FB94DB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57A6E-0188-4D02-9161-AB143A10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10737</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______  sjednica Uprave Društva</vt:lpstr>
      <vt:lpstr>______  sjednica Uprave Društva</vt:lpstr>
    </vt:vector>
  </TitlesOfParts>
  <Company>HEP</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sjednica Uprave Društva</dc:title>
  <dc:subject/>
  <dc:creator>Petra Lindi</dc:creator>
  <cp:keywords/>
  <cp:lastModifiedBy>Vlatka Šelimber</cp:lastModifiedBy>
  <cp:revision>2</cp:revision>
  <cp:lastPrinted>2019-01-29T12:55:00Z</cp:lastPrinted>
  <dcterms:created xsi:type="dcterms:W3CDTF">2019-01-30T09:22:00Z</dcterms:created>
  <dcterms:modified xsi:type="dcterms:W3CDTF">2019-01-30T09:22:00Z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