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2948EF" w:rsidRDefault="00C337A4" w:rsidP="0023763F">
      <w:pPr>
        <w:spacing w:after="2400"/>
        <w:jc w:val="right"/>
      </w:pPr>
      <w:r w:rsidRPr="002948EF">
        <w:t xml:space="preserve">Zagreb, </w:t>
      </w:r>
      <w:r w:rsidR="002948EF" w:rsidRPr="002948EF">
        <w:t>6</w:t>
      </w:r>
      <w:r w:rsidRPr="002948EF">
        <w:t xml:space="preserve">. </w:t>
      </w:r>
      <w:r w:rsidR="002948EF" w:rsidRPr="002948EF">
        <w:t>lipnja</w:t>
      </w:r>
      <w:r w:rsidR="00564C49" w:rsidRPr="002948EF">
        <w:t xml:space="preserve"> </w:t>
      </w:r>
      <w:r w:rsidRPr="002948EF">
        <w:t>201</w:t>
      </w:r>
      <w:r w:rsidR="002179F8" w:rsidRPr="002948EF">
        <w:t>9</w:t>
      </w:r>
      <w:r w:rsidRPr="002948EF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9419FB">
            <w:pPr>
              <w:spacing w:line="360" w:lineRule="auto"/>
            </w:pPr>
            <w:r>
              <w:t>Ministarstvo</w:t>
            </w:r>
            <w:r w:rsidR="008B6554">
              <w:t xml:space="preserve"> </w:t>
            </w:r>
            <w:r w:rsidR="009419FB">
              <w:t>znanosti i obrazovanja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9419FB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9419FB">
              <w:rPr>
                <w:bCs/>
              </w:rPr>
              <w:t xml:space="preserve"> Marka Sladoljeva</w:t>
            </w:r>
            <w:r w:rsidR="00C97DF6">
              <w:rPr>
                <w:bCs/>
              </w:rPr>
              <w:t xml:space="preserve">, </w:t>
            </w:r>
            <w:r w:rsidR="00C97DF6">
              <w:rPr>
                <w:spacing w:val="-3"/>
              </w:rPr>
              <w:t>u vezi s</w:t>
            </w:r>
            <w:r w:rsidR="0029225B">
              <w:rPr>
                <w:spacing w:val="-3"/>
              </w:rPr>
              <w:t>a Z</w:t>
            </w:r>
            <w:r w:rsidR="009419FB">
              <w:rPr>
                <w:spacing w:val="-3"/>
              </w:rPr>
              <w:t>nanstveno-učilišnim kampusom Borongaj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742B55" w:rsidRDefault="00742B55" w:rsidP="00CE78D1"/>
    <w:p w:rsidR="009419FB" w:rsidRDefault="009419FB" w:rsidP="00CE78D1"/>
    <w:p w:rsidR="009419FB" w:rsidRDefault="009419FB" w:rsidP="00CE78D1"/>
    <w:p w:rsidR="009419FB" w:rsidRDefault="009419FB" w:rsidP="00CE78D1"/>
    <w:p w:rsidR="009419FB" w:rsidRDefault="009419FB" w:rsidP="00CE78D1"/>
    <w:p w:rsidR="00E65CB6" w:rsidRPr="00742B55" w:rsidRDefault="00E65CB6" w:rsidP="00C97DF6">
      <w:pPr>
        <w:suppressAutoHyphens/>
        <w:jc w:val="both"/>
      </w:pPr>
      <w:r>
        <w:rPr>
          <w:spacing w:val="-3"/>
        </w:rPr>
        <w:lastRenderedPageBreak/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</w:r>
      <w:r>
        <w:t xml:space="preserve"> </w:t>
      </w:r>
    </w:p>
    <w:p w:rsidR="00C97DF6" w:rsidRPr="00C97DF6" w:rsidRDefault="00C97DF6" w:rsidP="00C97DF6">
      <w:pPr>
        <w:rPr>
          <w:snapToGrid w:val="0"/>
          <w:lang w:eastAsia="en-US"/>
        </w:rPr>
      </w:pP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snapToGrid w:val="0"/>
          <w:lang w:eastAsia="en-US"/>
        </w:rPr>
        <w:t>PRIJEDLOG</w:t>
      </w:r>
    </w:p>
    <w:p w:rsidR="00C97DF6" w:rsidRPr="00031C88" w:rsidRDefault="00031C88" w:rsidP="00C97DF6">
      <w:pPr>
        <w:widowControl w:val="0"/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Klasa:</w:t>
      </w:r>
      <w:r w:rsidRPr="00C97DF6">
        <w:rPr>
          <w:b/>
          <w:snapToGrid w:val="0"/>
          <w:lang w:eastAsia="en-US"/>
        </w:rPr>
        <w:tab/>
      </w:r>
      <w:r w:rsidRPr="00C97DF6">
        <w:rPr>
          <w:b/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Urbroj:</w:t>
      </w:r>
      <w:r w:rsidRPr="00C97DF6">
        <w:rPr>
          <w:b/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Zagreb,</w:t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  <w:t xml:space="preserve">                </w:t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b/>
          <w:snapToGrid w:val="0"/>
          <w:lang w:eastAsia="en-US"/>
        </w:rPr>
        <w:t>PREDSJEDNIKU HRVATSKOGA SABORA</w:t>
      </w: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9419FB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szCs w:val="20"/>
          <w:lang w:eastAsia="en-US"/>
        </w:rPr>
      </w:pPr>
      <w:r w:rsidRPr="00C97DF6">
        <w:rPr>
          <w:snapToGrid w:val="0"/>
          <w:lang w:eastAsia="en-US"/>
        </w:rPr>
        <w:t>Predmet:</w:t>
      </w:r>
      <w:r w:rsidRPr="00C97DF6">
        <w:rPr>
          <w:snapToGrid w:val="0"/>
          <w:lang w:eastAsia="en-US"/>
        </w:rPr>
        <w:tab/>
        <w:t>Zastupničko pitanje</w:t>
      </w:r>
      <w:r w:rsidR="008C656E">
        <w:rPr>
          <w:snapToGrid w:val="0"/>
          <w:lang w:eastAsia="en-US"/>
        </w:rPr>
        <w:t xml:space="preserve"> </w:t>
      </w:r>
      <w:r w:rsidR="009419FB">
        <w:rPr>
          <w:bCs/>
        </w:rPr>
        <w:t xml:space="preserve">Marka Sladoljeva, </w:t>
      </w:r>
      <w:r w:rsidR="0029225B">
        <w:rPr>
          <w:spacing w:val="-3"/>
        </w:rPr>
        <w:t>u vezi sa Z</w:t>
      </w:r>
      <w:r w:rsidR="009419FB">
        <w:rPr>
          <w:spacing w:val="-3"/>
        </w:rPr>
        <w:t>nanstveno-učilišnim kampusom Borongaj</w:t>
      </w:r>
      <w:r w:rsidR="009419FB">
        <w:rPr>
          <w:snapToGrid w:val="0"/>
          <w:szCs w:val="20"/>
          <w:lang w:eastAsia="en-US"/>
        </w:rPr>
        <w:t xml:space="preserve"> </w:t>
      </w:r>
      <w:r w:rsidRPr="00C40FF1">
        <w:rPr>
          <w:snapToGrid w:val="0"/>
          <w:szCs w:val="20"/>
          <w:lang w:eastAsia="en-US"/>
        </w:rPr>
        <w:t>-</w:t>
      </w:r>
      <w:r w:rsidRPr="00C97DF6">
        <w:rPr>
          <w:snapToGrid w:val="0"/>
          <w:szCs w:val="20"/>
          <w:lang w:eastAsia="en-US"/>
        </w:rPr>
        <w:t xml:space="preserve"> </w:t>
      </w:r>
      <w:r w:rsidRPr="00C97DF6">
        <w:rPr>
          <w:snapToGrid w:val="0"/>
          <w:lang w:eastAsia="en-US"/>
        </w:rPr>
        <w:t>odgovor Vlade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szCs w:val="2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Zastupnik u Hrvatskome saboru, </w:t>
      </w:r>
      <w:r w:rsidR="009419FB">
        <w:rPr>
          <w:snapToGrid w:val="0"/>
          <w:lang w:eastAsia="en-US"/>
        </w:rPr>
        <w:t>Marko Sladoljev</w:t>
      </w:r>
      <w:r w:rsidRPr="00C97DF6">
        <w:rPr>
          <w:snapToGrid w:val="0"/>
          <w:lang w:eastAsia="en-US"/>
        </w:rPr>
        <w:t xml:space="preserve">, postavio je, sukladno s člankom 140. Poslovnika Hrvatskoga sabora (Narodne novine, br. 81/13, 113/16, 69/17 i 29/18), zastupničko pitanje u vezi </w:t>
      </w:r>
      <w:r w:rsidRPr="00C97DF6">
        <w:rPr>
          <w:snapToGrid w:val="0"/>
          <w:szCs w:val="20"/>
          <w:lang w:eastAsia="en-US"/>
        </w:rPr>
        <w:t>s</w:t>
      </w:r>
      <w:r w:rsidR="009419FB">
        <w:rPr>
          <w:snapToGrid w:val="0"/>
          <w:szCs w:val="20"/>
          <w:lang w:eastAsia="en-US"/>
        </w:rPr>
        <w:t xml:space="preserve">a </w:t>
      </w:r>
      <w:r w:rsidR="0029225B">
        <w:rPr>
          <w:spacing w:val="-3"/>
        </w:rPr>
        <w:t>Z</w:t>
      </w:r>
      <w:r w:rsidR="009419FB">
        <w:rPr>
          <w:spacing w:val="-3"/>
        </w:rPr>
        <w:t>nanstveno-učilišnim kampusom Borongaj</w:t>
      </w:r>
      <w:r w:rsidRPr="00C97DF6">
        <w:rPr>
          <w:snapToGrid w:val="0"/>
          <w:szCs w:val="20"/>
          <w:lang w:eastAsia="en-US"/>
        </w:rPr>
        <w:t>.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>Na navedeno zastupničko pitanje Vlada Republike Hrvatske daje sljedeći odgovor: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126ABC" w:rsidRDefault="00C97DF6" w:rsidP="00126ABC">
      <w:pPr>
        <w:jc w:val="both"/>
        <w:rPr>
          <w:szCs w:val="22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="00126ABC">
        <w:rPr>
          <w:szCs w:val="22"/>
          <w:shd w:val="clear" w:color="auto" w:fill="FFFFFF"/>
        </w:rPr>
        <w:t>Prije svega</w:t>
      </w:r>
      <w:r w:rsidR="00335D91">
        <w:rPr>
          <w:szCs w:val="22"/>
          <w:shd w:val="clear" w:color="auto" w:fill="FFFFFF"/>
        </w:rPr>
        <w:t>,</w:t>
      </w:r>
      <w:r w:rsidR="00126ABC">
        <w:rPr>
          <w:szCs w:val="22"/>
          <w:shd w:val="clear" w:color="auto" w:fill="FFFFFF"/>
        </w:rPr>
        <w:t xml:space="preserve"> </w:t>
      </w:r>
      <w:r w:rsidR="00335D91">
        <w:rPr>
          <w:szCs w:val="22"/>
          <w:shd w:val="clear" w:color="auto" w:fill="FFFFFF"/>
        </w:rPr>
        <w:t>Vlada Republike Hrvatske ističe</w:t>
      </w:r>
      <w:r w:rsidR="00126ABC">
        <w:rPr>
          <w:szCs w:val="22"/>
          <w:shd w:val="clear" w:color="auto" w:fill="FFFFFF"/>
        </w:rPr>
        <w:t xml:space="preserve"> da </w:t>
      </w:r>
      <w:r w:rsidR="00126ABC">
        <w:rPr>
          <w:szCs w:val="22"/>
        </w:rPr>
        <w:t>t</w:t>
      </w:r>
      <w:r w:rsidR="00126ABC" w:rsidRPr="00A02652">
        <w:rPr>
          <w:szCs w:val="22"/>
        </w:rPr>
        <w:t>emeljem č</w:t>
      </w:r>
      <w:r w:rsidR="00126ABC">
        <w:rPr>
          <w:szCs w:val="22"/>
        </w:rPr>
        <w:t>lanka</w:t>
      </w:r>
      <w:r w:rsidR="00126ABC" w:rsidRPr="00A02652">
        <w:rPr>
          <w:szCs w:val="22"/>
        </w:rPr>
        <w:t xml:space="preserve"> 4. stavka 4. Zakona o znanstvenoj djel</w:t>
      </w:r>
      <w:r w:rsidR="00126ABC">
        <w:rPr>
          <w:szCs w:val="22"/>
        </w:rPr>
        <w:t xml:space="preserve">atnosti i visokom obrazovanju (Narodne novine, br. </w:t>
      </w:r>
      <w:r w:rsidR="00126ABC" w:rsidRPr="00126ABC">
        <w:rPr>
          <w:szCs w:val="22"/>
        </w:rPr>
        <w:t>123/03, 198/03, 105/04, 174/04, 02/07, 46/07, 45/09, 63/1</w:t>
      </w:r>
      <w:r w:rsidR="00126ABC">
        <w:rPr>
          <w:szCs w:val="22"/>
        </w:rPr>
        <w:t>1, 94/13, 139/13, 101/14</w:t>
      </w:r>
      <w:r w:rsidR="00275967">
        <w:rPr>
          <w:szCs w:val="22"/>
        </w:rPr>
        <w:t xml:space="preserve"> – Odluka Ustavnog suda Republike Hrvatske</w:t>
      </w:r>
      <w:r w:rsidR="00126ABC">
        <w:rPr>
          <w:szCs w:val="22"/>
        </w:rPr>
        <w:t>, 60/15</w:t>
      </w:r>
      <w:r w:rsidR="00275967">
        <w:rPr>
          <w:szCs w:val="22"/>
        </w:rPr>
        <w:t xml:space="preserve"> – Odluka Ustavnog suda Republike Hrvatske</w:t>
      </w:r>
      <w:r w:rsidR="00126ABC">
        <w:rPr>
          <w:szCs w:val="22"/>
        </w:rPr>
        <w:t xml:space="preserve"> i</w:t>
      </w:r>
      <w:r w:rsidR="00126ABC" w:rsidRPr="00126ABC">
        <w:rPr>
          <w:szCs w:val="22"/>
        </w:rPr>
        <w:t xml:space="preserve"> 131/17</w:t>
      </w:r>
      <w:r w:rsidR="00126ABC">
        <w:rPr>
          <w:szCs w:val="22"/>
        </w:rPr>
        <w:t>)</w:t>
      </w:r>
      <w:r w:rsidR="00126ABC" w:rsidRPr="00126ABC">
        <w:rPr>
          <w:szCs w:val="22"/>
        </w:rPr>
        <w:t xml:space="preserve"> </w:t>
      </w:r>
      <w:r w:rsidR="00126ABC" w:rsidRPr="00A02652">
        <w:rPr>
          <w:szCs w:val="22"/>
        </w:rPr>
        <w:t>sveučilišta imaju pravo na akademsku samoupravu u okviru zajamčenih akademskih sloboda. Akademska samouprava</w:t>
      </w:r>
      <w:r w:rsidR="00126ABC">
        <w:rPr>
          <w:szCs w:val="22"/>
        </w:rPr>
        <w:t>,</w:t>
      </w:r>
      <w:r w:rsidR="00126ABC" w:rsidRPr="00A02652">
        <w:rPr>
          <w:szCs w:val="22"/>
        </w:rPr>
        <w:t xml:space="preserve"> između ostalog</w:t>
      </w:r>
      <w:r w:rsidR="00126ABC">
        <w:rPr>
          <w:szCs w:val="22"/>
        </w:rPr>
        <w:t>,</w:t>
      </w:r>
      <w:r w:rsidR="00126ABC" w:rsidRPr="00A02652">
        <w:rPr>
          <w:szCs w:val="22"/>
        </w:rPr>
        <w:t xml:space="preserve"> podrazumijeva i pravo na samostalno upravljanje vlastitim resursima. Slijedom navedenog</w:t>
      </w:r>
      <w:r w:rsidR="00126ABC">
        <w:rPr>
          <w:szCs w:val="22"/>
        </w:rPr>
        <w:t>,</w:t>
      </w:r>
      <w:r w:rsidR="00126ABC" w:rsidRPr="00A02652">
        <w:rPr>
          <w:szCs w:val="22"/>
        </w:rPr>
        <w:t xml:space="preserve"> izgradnja i uređenje sveučilišnih kampusa pripada u autonomiju sveučilišta. Sveučilište u Zagrebu samostalno provodi projekt izgradnje Znanstve</w:t>
      </w:r>
      <w:r w:rsidR="00126ABC">
        <w:rPr>
          <w:szCs w:val="22"/>
        </w:rPr>
        <w:t>no-učilišnog kampusa Borongaj te</w:t>
      </w:r>
      <w:r w:rsidR="00126ABC" w:rsidRPr="00A4791F">
        <w:rPr>
          <w:szCs w:val="22"/>
        </w:rPr>
        <w:t xml:space="preserve"> sukladno navedenom </w:t>
      </w:r>
      <w:r w:rsidR="00126ABC">
        <w:rPr>
          <w:szCs w:val="22"/>
        </w:rPr>
        <w:t xml:space="preserve">ne </w:t>
      </w:r>
      <w:r w:rsidR="00126ABC" w:rsidRPr="00A4791F">
        <w:rPr>
          <w:szCs w:val="22"/>
        </w:rPr>
        <w:t>postoji obveza Sveučilišta</w:t>
      </w:r>
      <w:r w:rsidR="00126ABC">
        <w:rPr>
          <w:szCs w:val="22"/>
        </w:rPr>
        <w:t xml:space="preserve"> u Zagrebu</w:t>
      </w:r>
      <w:r w:rsidR="00126ABC" w:rsidRPr="00A4791F">
        <w:rPr>
          <w:szCs w:val="22"/>
        </w:rPr>
        <w:t xml:space="preserve"> za izvještavanje o izvršenju vlastitih razvojnih planova.</w:t>
      </w:r>
    </w:p>
    <w:p w:rsidR="00111D42" w:rsidRDefault="00111D42" w:rsidP="00126ABC">
      <w:pPr>
        <w:jc w:val="both"/>
        <w:rPr>
          <w:szCs w:val="22"/>
        </w:rPr>
      </w:pPr>
    </w:p>
    <w:p w:rsidR="00126ABC" w:rsidRPr="00A02652" w:rsidRDefault="00126ABC" w:rsidP="00126ABC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Međutim, ističemo da </w:t>
      </w:r>
      <w:r w:rsidR="00111D42">
        <w:rPr>
          <w:szCs w:val="22"/>
        </w:rPr>
        <w:t xml:space="preserve">je </w:t>
      </w:r>
      <w:r>
        <w:rPr>
          <w:szCs w:val="22"/>
        </w:rPr>
        <w:t>sukladno Ugovoru o darovanju</w:t>
      </w:r>
      <w:r w:rsidR="00111D42">
        <w:rPr>
          <w:szCs w:val="22"/>
        </w:rPr>
        <w:t>,</w:t>
      </w:r>
      <w:r w:rsidR="001841AB">
        <w:rPr>
          <w:szCs w:val="22"/>
        </w:rPr>
        <w:t xml:space="preserve"> koji dostavljamo u prilogu</w:t>
      </w:r>
      <w:r w:rsidR="00111D42">
        <w:rPr>
          <w:szCs w:val="22"/>
        </w:rPr>
        <w:t>,</w:t>
      </w:r>
      <w:r>
        <w:rPr>
          <w:szCs w:val="22"/>
        </w:rPr>
        <w:t xml:space="preserve"> vidljivo da se obdarenik obvezuje nekretninu privesti namjeni (izgradnja Sveučilišnog kampusa Borongaj) u roku od 20 godina od</w:t>
      </w:r>
      <w:r w:rsidR="00111D42">
        <w:rPr>
          <w:szCs w:val="22"/>
        </w:rPr>
        <w:t xml:space="preserve"> potpisivanja U</w:t>
      </w:r>
      <w:r>
        <w:rPr>
          <w:szCs w:val="22"/>
        </w:rPr>
        <w:t xml:space="preserve">govora, odnosno do 2034. godine te da rok realizacije traje još 15 godina. Ujedno </w:t>
      </w:r>
      <w:r w:rsidR="00111D42">
        <w:rPr>
          <w:szCs w:val="22"/>
        </w:rPr>
        <w:t>ističemo da obdarenik sukladno predmetnom U</w:t>
      </w:r>
      <w:r>
        <w:rPr>
          <w:szCs w:val="22"/>
        </w:rPr>
        <w:t>govoru ne može darovanu nekretninu koristiti za druge namjene od utvrđene te da ukoliko se utvrde nepravilnosti ili dođe do kršenja ugovora, isti se može raskinuti.</w:t>
      </w:r>
    </w:p>
    <w:p w:rsidR="005833D4" w:rsidRPr="00126ABC" w:rsidRDefault="00126ABC" w:rsidP="00126ABC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C97DF6" w:rsidRDefault="005833D4" w:rsidP="00C97DF6">
      <w:pPr>
        <w:widowControl w:val="0"/>
        <w:tabs>
          <w:tab w:val="left" w:pos="-720"/>
        </w:tabs>
        <w:suppressAutoHyphens/>
        <w:jc w:val="both"/>
        <w:rPr>
          <w:snapToGrid w:val="0"/>
          <w:color w:val="000000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="00C97DF6" w:rsidRPr="00C97DF6">
        <w:rPr>
          <w:snapToGrid w:val="0"/>
          <w:color w:val="000000"/>
        </w:rPr>
        <w:t>Eventualno potrebna dodatna obrazloženja u vezi s pitanjem zastup</w:t>
      </w:r>
      <w:r w:rsidR="008C656E">
        <w:rPr>
          <w:snapToGrid w:val="0"/>
          <w:color w:val="000000"/>
        </w:rPr>
        <w:t>nika, dat će</w:t>
      </w:r>
      <w:r w:rsidR="009419FB">
        <w:rPr>
          <w:snapToGrid w:val="0"/>
          <w:color w:val="000000"/>
        </w:rPr>
        <w:t xml:space="preserve"> prof</w:t>
      </w:r>
      <w:r w:rsidR="008B6554">
        <w:rPr>
          <w:snapToGrid w:val="0"/>
          <w:color w:val="000000"/>
        </w:rPr>
        <w:t>.</w:t>
      </w:r>
      <w:r w:rsidR="009419FB">
        <w:rPr>
          <w:snapToGrid w:val="0"/>
          <w:color w:val="000000"/>
        </w:rPr>
        <w:t xml:space="preserve"> dr.</w:t>
      </w:r>
      <w:r w:rsidR="008B6554">
        <w:rPr>
          <w:snapToGrid w:val="0"/>
          <w:color w:val="000000"/>
        </w:rPr>
        <w:t xml:space="preserve"> sc. </w:t>
      </w:r>
      <w:r w:rsidR="009419FB">
        <w:rPr>
          <w:snapToGrid w:val="0"/>
          <w:color w:val="000000"/>
        </w:rPr>
        <w:t>Blaženka Divjak</w:t>
      </w:r>
      <w:r w:rsidR="008B6554">
        <w:rPr>
          <w:snapToGrid w:val="0"/>
          <w:color w:val="000000"/>
        </w:rPr>
        <w:t xml:space="preserve">, ministrica </w:t>
      </w:r>
      <w:r w:rsidR="009419FB">
        <w:rPr>
          <w:snapToGrid w:val="0"/>
          <w:color w:val="000000"/>
        </w:rPr>
        <w:t>znanosti i obrazovanja</w:t>
      </w:r>
      <w:r w:rsidR="00564C49">
        <w:rPr>
          <w:snapToGrid w:val="0"/>
          <w:color w:val="000000"/>
        </w:rPr>
        <w:t>.</w:t>
      </w:r>
    </w:p>
    <w:p w:rsidR="00BB057E" w:rsidRDefault="00BB057E" w:rsidP="00C97DF6">
      <w:pPr>
        <w:widowControl w:val="0"/>
        <w:tabs>
          <w:tab w:val="left" w:pos="-720"/>
        </w:tabs>
        <w:suppressAutoHyphens/>
        <w:jc w:val="both"/>
        <w:rPr>
          <w:snapToGrid w:val="0"/>
          <w:color w:val="000000"/>
        </w:rPr>
      </w:pPr>
    </w:p>
    <w:p w:rsidR="00BB057E" w:rsidRPr="00C97DF6" w:rsidRDefault="00BB057E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color w:val="000000"/>
        </w:rPr>
        <w:t>Priloga: 1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        PREDSJEDNIK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742B55" w:rsidRPr="00B1328B" w:rsidRDefault="00C97DF6" w:rsidP="00B1328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  mr. sc. Andrej Plenković</w:t>
      </w:r>
    </w:p>
    <w:sectPr w:rsidR="00742B55" w:rsidRPr="00B1328B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3E" w:rsidRDefault="00ED503E" w:rsidP="0011560A">
      <w:r>
        <w:separator/>
      </w:r>
    </w:p>
  </w:endnote>
  <w:endnote w:type="continuationSeparator" w:id="0">
    <w:p w:rsidR="00ED503E" w:rsidRDefault="00ED503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3E" w:rsidRDefault="00ED503E" w:rsidP="0011560A">
      <w:r>
        <w:separator/>
      </w:r>
    </w:p>
  </w:footnote>
  <w:footnote w:type="continuationSeparator" w:id="0">
    <w:p w:rsidR="00ED503E" w:rsidRDefault="00ED503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1AB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1C88"/>
    <w:rsid w:val="000350D9"/>
    <w:rsid w:val="00057310"/>
    <w:rsid w:val="00063520"/>
    <w:rsid w:val="00083101"/>
    <w:rsid w:val="00086A6C"/>
    <w:rsid w:val="000A04BA"/>
    <w:rsid w:val="000A1D60"/>
    <w:rsid w:val="000A3A3B"/>
    <w:rsid w:val="000D1A50"/>
    <w:rsid w:val="001015C6"/>
    <w:rsid w:val="00102479"/>
    <w:rsid w:val="00110E6C"/>
    <w:rsid w:val="00111D42"/>
    <w:rsid w:val="0011560A"/>
    <w:rsid w:val="00121E12"/>
    <w:rsid w:val="00126ABC"/>
    <w:rsid w:val="00135F1A"/>
    <w:rsid w:val="00146B79"/>
    <w:rsid w:val="00147DE9"/>
    <w:rsid w:val="00170226"/>
    <w:rsid w:val="001741AA"/>
    <w:rsid w:val="001841AB"/>
    <w:rsid w:val="001917B2"/>
    <w:rsid w:val="001A13E7"/>
    <w:rsid w:val="001B1711"/>
    <w:rsid w:val="001B7A97"/>
    <w:rsid w:val="001E7218"/>
    <w:rsid w:val="0020068C"/>
    <w:rsid w:val="002179F8"/>
    <w:rsid w:val="00220956"/>
    <w:rsid w:val="0023763F"/>
    <w:rsid w:val="00263BAF"/>
    <w:rsid w:val="002725F0"/>
    <w:rsid w:val="00275967"/>
    <w:rsid w:val="0028608D"/>
    <w:rsid w:val="0029163B"/>
    <w:rsid w:val="0029225B"/>
    <w:rsid w:val="002948EF"/>
    <w:rsid w:val="002A1D77"/>
    <w:rsid w:val="002B107A"/>
    <w:rsid w:val="002D1256"/>
    <w:rsid w:val="002D3309"/>
    <w:rsid w:val="002D6C51"/>
    <w:rsid w:val="002D7C91"/>
    <w:rsid w:val="003033E4"/>
    <w:rsid w:val="00304232"/>
    <w:rsid w:val="003207E2"/>
    <w:rsid w:val="00323C77"/>
    <w:rsid w:val="00335D91"/>
    <w:rsid w:val="00336EE7"/>
    <w:rsid w:val="0034351C"/>
    <w:rsid w:val="00381F04"/>
    <w:rsid w:val="0038426B"/>
    <w:rsid w:val="003929F5"/>
    <w:rsid w:val="003A2F05"/>
    <w:rsid w:val="003C09D8"/>
    <w:rsid w:val="003C4562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64C49"/>
    <w:rsid w:val="00571F6C"/>
    <w:rsid w:val="00572B33"/>
    <w:rsid w:val="00575443"/>
    <w:rsid w:val="005833D4"/>
    <w:rsid w:val="005861F2"/>
    <w:rsid w:val="005906BB"/>
    <w:rsid w:val="005C3A4C"/>
    <w:rsid w:val="005E7CAB"/>
    <w:rsid w:val="005F4727"/>
    <w:rsid w:val="00633454"/>
    <w:rsid w:val="0064096B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14CAF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7F4270"/>
    <w:rsid w:val="008072D5"/>
    <w:rsid w:val="008137B5"/>
    <w:rsid w:val="00817D72"/>
    <w:rsid w:val="00833808"/>
    <w:rsid w:val="008353A1"/>
    <w:rsid w:val="008365FD"/>
    <w:rsid w:val="00854C31"/>
    <w:rsid w:val="008700BB"/>
    <w:rsid w:val="00881BBB"/>
    <w:rsid w:val="00881EB4"/>
    <w:rsid w:val="0089283D"/>
    <w:rsid w:val="008B6554"/>
    <w:rsid w:val="008C0768"/>
    <w:rsid w:val="008C1D0A"/>
    <w:rsid w:val="008C656E"/>
    <w:rsid w:val="008D1E25"/>
    <w:rsid w:val="008F0DD4"/>
    <w:rsid w:val="0090200F"/>
    <w:rsid w:val="009047E4"/>
    <w:rsid w:val="009126B3"/>
    <w:rsid w:val="009152C4"/>
    <w:rsid w:val="0093563F"/>
    <w:rsid w:val="009419FB"/>
    <w:rsid w:val="0095079B"/>
    <w:rsid w:val="00953BA1"/>
    <w:rsid w:val="00954D08"/>
    <w:rsid w:val="00966BEB"/>
    <w:rsid w:val="009930CA"/>
    <w:rsid w:val="009B7DD5"/>
    <w:rsid w:val="009C33E1"/>
    <w:rsid w:val="009C7815"/>
    <w:rsid w:val="009E60F0"/>
    <w:rsid w:val="009E69C7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A7C67"/>
    <w:rsid w:val="00AD2F06"/>
    <w:rsid w:val="00AD4D7C"/>
    <w:rsid w:val="00AE59DF"/>
    <w:rsid w:val="00B1328B"/>
    <w:rsid w:val="00B42E00"/>
    <w:rsid w:val="00B462AB"/>
    <w:rsid w:val="00B57187"/>
    <w:rsid w:val="00B57D95"/>
    <w:rsid w:val="00B706F8"/>
    <w:rsid w:val="00B908C2"/>
    <w:rsid w:val="00BA28CD"/>
    <w:rsid w:val="00BA72BF"/>
    <w:rsid w:val="00BB057E"/>
    <w:rsid w:val="00C337A4"/>
    <w:rsid w:val="00C40FF1"/>
    <w:rsid w:val="00C44327"/>
    <w:rsid w:val="00C969CC"/>
    <w:rsid w:val="00C97DF6"/>
    <w:rsid w:val="00CA4F84"/>
    <w:rsid w:val="00CD1639"/>
    <w:rsid w:val="00CD2808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055FE"/>
    <w:rsid w:val="00E23156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D503E"/>
    <w:rsid w:val="00EE03CA"/>
    <w:rsid w:val="00EE7199"/>
    <w:rsid w:val="00F269EC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7BA229-B52B-460E-9486-26989C0A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51AE-34EB-4D0C-A354-906C6F153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D0ABC-6B1B-471E-8948-1476865EA6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9F024F-3A2F-4492-A138-97C64FBC3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D7A7BF-91BF-455D-9B02-BCEB66DFBD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85A373F-7BB1-4399-9BE9-11357A0F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2019-06-05T14:39:00Z</dcterms:created>
  <dcterms:modified xsi:type="dcterms:W3CDTF">2019-06-05T14:39:00Z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