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991FD5" w:rsidRDefault="008F0DD4" w:rsidP="0023763F">
      <w:pPr>
        <w:jc w:val="center"/>
      </w:pPr>
      <w:r w:rsidRPr="00991FD5">
        <w:rPr>
          <w:noProof/>
        </w:rPr>
        <w:drawing>
          <wp:inline distT="0" distB="0" distL="0" distR="0" wp14:anchorId="061008EC" wp14:editId="303301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991FD5">
        <w:fldChar w:fldCharType="begin"/>
      </w:r>
      <w:r w:rsidR="00CD3EFA" w:rsidRPr="00991FD5">
        <w:instrText xml:space="preserve"> INCLUDEPICTURE "http://www.inet.hr/~box/images/grb-rh.gif" \* MERGEFORMATINET </w:instrText>
      </w:r>
      <w:r w:rsidR="00CD3EFA" w:rsidRPr="00991FD5">
        <w:fldChar w:fldCharType="end"/>
      </w:r>
    </w:p>
    <w:p w:rsidR="00CD3EFA" w:rsidRPr="00991FD5" w:rsidRDefault="003A2F05" w:rsidP="0023763F">
      <w:pPr>
        <w:spacing w:before="60" w:after="1680"/>
        <w:jc w:val="center"/>
        <w:rPr>
          <w:sz w:val="28"/>
        </w:rPr>
      </w:pPr>
      <w:r w:rsidRPr="00991FD5">
        <w:rPr>
          <w:sz w:val="28"/>
        </w:rPr>
        <w:t>VLADA REPUBLIKE HRVATSKE</w:t>
      </w:r>
    </w:p>
    <w:p w:rsidR="00CD3EFA" w:rsidRPr="00991FD5" w:rsidRDefault="00CD3EFA"/>
    <w:p w:rsidR="00C337A4" w:rsidRPr="00991FD5" w:rsidRDefault="00C337A4" w:rsidP="0023763F">
      <w:pPr>
        <w:spacing w:after="2400"/>
        <w:jc w:val="right"/>
      </w:pPr>
      <w:r w:rsidRPr="00991FD5">
        <w:t xml:space="preserve">Zagreb, </w:t>
      </w:r>
      <w:r w:rsidR="004E75EC">
        <w:t>13</w:t>
      </w:r>
      <w:r w:rsidR="005A63D2" w:rsidRPr="00991FD5">
        <w:t>. lipnja</w:t>
      </w:r>
      <w:r w:rsidRPr="00991FD5">
        <w:t xml:space="preserve"> 201</w:t>
      </w:r>
      <w:r w:rsidR="002179F8" w:rsidRPr="00991FD5">
        <w:t>9</w:t>
      </w:r>
      <w:r w:rsidRPr="00991FD5">
        <w:t>.</w:t>
      </w:r>
    </w:p>
    <w:p w:rsidR="000350D9" w:rsidRPr="00991FD5" w:rsidRDefault="000350D9" w:rsidP="000350D9">
      <w:pPr>
        <w:spacing w:line="360" w:lineRule="auto"/>
      </w:pPr>
      <w:r w:rsidRPr="00991FD5">
        <w:t>__________________________________________________________________________</w:t>
      </w:r>
    </w:p>
    <w:p w:rsidR="000350D9" w:rsidRPr="00991FD5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91FD5" w:rsidSect="007413D6">
          <w:head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991FD5" w:rsidTr="000350D9">
        <w:tc>
          <w:tcPr>
            <w:tcW w:w="1951" w:type="dxa"/>
          </w:tcPr>
          <w:p w:rsidR="000350D9" w:rsidRPr="00991FD5" w:rsidRDefault="000350D9" w:rsidP="000350D9">
            <w:pPr>
              <w:spacing w:line="360" w:lineRule="auto"/>
              <w:jc w:val="right"/>
            </w:pPr>
            <w:r w:rsidRPr="00991FD5">
              <w:rPr>
                <w:b/>
                <w:smallCaps/>
              </w:rPr>
              <w:t>Predlagatelj</w:t>
            </w:r>
            <w:r w:rsidRPr="00991FD5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991FD5" w:rsidRDefault="00240CA0" w:rsidP="000350D9">
            <w:pPr>
              <w:spacing w:line="360" w:lineRule="auto"/>
            </w:pPr>
            <w:r w:rsidRPr="00991FD5">
              <w:t>MINISTARSTVO RADA I MIROVINSKOGA SUSTAVA</w:t>
            </w:r>
          </w:p>
        </w:tc>
      </w:tr>
    </w:tbl>
    <w:p w:rsidR="000350D9" w:rsidRPr="00991FD5" w:rsidRDefault="000350D9" w:rsidP="000350D9">
      <w:pPr>
        <w:spacing w:line="360" w:lineRule="auto"/>
      </w:pPr>
      <w:r w:rsidRPr="00991FD5">
        <w:t>__________________________________________________________________________</w:t>
      </w:r>
    </w:p>
    <w:p w:rsidR="000350D9" w:rsidRPr="00991FD5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991FD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991FD5" w:rsidTr="000350D9">
        <w:tc>
          <w:tcPr>
            <w:tcW w:w="1951" w:type="dxa"/>
          </w:tcPr>
          <w:p w:rsidR="000350D9" w:rsidRPr="00991FD5" w:rsidRDefault="000350D9" w:rsidP="000350D9">
            <w:pPr>
              <w:spacing w:line="360" w:lineRule="auto"/>
              <w:jc w:val="right"/>
            </w:pPr>
            <w:r w:rsidRPr="00991FD5">
              <w:rPr>
                <w:b/>
                <w:smallCaps/>
              </w:rPr>
              <w:t>Predmet</w:t>
            </w:r>
            <w:r w:rsidRPr="00991FD5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991FD5" w:rsidRDefault="007F10F7" w:rsidP="007F10F7">
            <w:pPr>
              <w:spacing w:line="360" w:lineRule="auto"/>
            </w:pPr>
            <w:r w:rsidRPr="00991FD5">
              <w:t>Prijedlog u</w:t>
            </w:r>
            <w:r w:rsidR="00240CA0" w:rsidRPr="00991FD5">
              <w:t>redb</w:t>
            </w:r>
            <w:r w:rsidRPr="00991FD5">
              <w:t xml:space="preserve">e </w:t>
            </w:r>
            <w:r w:rsidR="00240CA0" w:rsidRPr="00991FD5">
              <w:t>o izmjenama i dopunama Uredbe o unutarnjem ustrojstvu Ministarstva rada i mirovinskoga sustava</w:t>
            </w:r>
            <w:r w:rsidR="000350D9" w:rsidRPr="00991FD5">
              <w:t xml:space="preserve"> </w:t>
            </w:r>
          </w:p>
        </w:tc>
      </w:tr>
    </w:tbl>
    <w:p w:rsidR="000350D9" w:rsidRPr="00991FD5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991FD5">
        <w:t>__________________________________________________________________________</w:t>
      </w:r>
    </w:p>
    <w:p w:rsidR="00CE78D1" w:rsidRPr="00991FD5" w:rsidRDefault="00CE78D1" w:rsidP="008F0DD4"/>
    <w:p w:rsidR="00CE78D1" w:rsidRPr="00991FD5" w:rsidRDefault="00CE78D1" w:rsidP="00CE78D1"/>
    <w:p w:rsidR="00CE78D1" w:rsidRPr="00991FD5" w:rsidRDefault="00CE78D1" w:rsidP="00CE78D1"/>
    <w:p w:rsidR="00CE78D1" w:rsidRPr="00991FD5" w:rsidRDefault="00CE78D1" w:rsidP="00CE78D1"/>
    <w:p w:rsidR="00CE78D1" w:rsidRPr="00991FD5" w:rsidRDefault="00CE78D1" w:rsidP="00CE78D1"/>
    <w:p w:rsidR="00CE78D1" w:rsidRPr="00991FD5" w:rsidRDefault="00CE78D1" w:rsidP="00CE78D1"/>
    <w:p w:rsidR="00CE78D1" w:rsidRPr="00991FD5" w:rsidRDefault="00CE78D1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>
      <w:bookmarkStart w:id="0" w:name="_GoBack"/>
      <w:bookmarkEnd w:id="0"/>
    </w:p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CE78D1"/>
    <w:p w:rsidR="00240CA0" w:rsidRPr="00991FD5" w:rsidRDefault="00240CA0" w:rsidP="00240CA0">
      <w:pPr>
        <w:pStyle w:val="tb-na18"/>
        <w:spacing w:before="0" w:beforeAutospacing="0" w:after="0" w:afterAutospacing="0"/>
        <w:rPr>
          <w:sz w:val="24"/>
          <w:szCs w:val="24"/>
        </w:rPr>
      </w:pPr>
    </w:p>
    <w:p w:rsidR="002A5C48" w:rsidRPr="00991FD5" w:rsidRDefault="002A5C48" w:rsidP="00240CA0">
      <w:pPr>
        <w:pStyle w:val="tb-na18"/>
        <w:spacing w:before="0" w:beforeAutospacing="0" w:after="0" w:afterAutospacing="0"/>
        <w:rPr>
          <w:sz w:val="24"/>
          <w:szCs w:val="24"/>
        </w:rPr>
      </w:pPr>
    </w:p>
    <w:p w:rsidR="007F10F7" w:rsidRPr="00991FD5" w:rsidRDefault="007F10F7" w:rsidP="007F10F7">
      <w:pPr>
        <w:pStyle w:val="t-9-8"/>
        <w:spacing w:before="0" w:beforeAutospacing="0" w:after="0" w:afterAutospacing="0"/>
        <w:jc w:val="both"/>
      </w:pPr>
      <w:r w:rsidRPr="00991FD5">
        <w:lastRenderedPageBreak/>
        <w:t>Na temelju članka 63. stavka 2. Zakona o sustavu državne uprave (</w:t>
      </w:r>
      <w:r w:rsidR="005A63D2" w:rsidRPr="00991FD5">
        <w:t>N</w:t>
      </w:r>
      <w:r w:rsidRPr="00991FD5">
        <w:t>arodne novine, br</w:t>
      </w:r>
      <w:r w:rsidR="005A63D2" w:rsidRPr="00991FD5">
        <w:t>.</w:t>
      </w:r>
      <w:r w:rsidRPr="00991FD5">
        <w:t xml:space="preserve"> 150/11, 12/13 – Odluka Ustavnog suda Republike Hrvatske, 93/16 i 104/16)</w:t>
      </w:r>
      <w:r w:rsidR="009A6AB5" w:rsidRPr="00991FD5">
        <w:t xml:space="preserve"> i </w:t>
      </w:r>
      <w:r w:rsidR="00E4782A" w:rsidRPr="00991FD5">
        <w:t xml:space="preserve">članka 32. </w:t>
      </w:r>
      <w:r w:rsidR="00E42B67" w:rsidRPr="00991FD5">
        <w:t xml:space="preserve">stavka 1. </w:t>
      </w:r>
      <w:r w:rsidR="00E4782A" w:rsidRPr="00991FD5">
        <w:t>Zakona o izmjenama i dopunama Zakona o ustrojstvu i djelokrugu ministarstava i drugih središnjih tijela državne uprave (Narodne novine, br</w:t>
      </w:r>
      <w:r w:rsidR="005A63D2" w:rsidRPr="00991FD5">
        <w:t>.</w:t>
      </w:r>
      <w:r w:rsidR="00E4782A" w:rsidRPr="00991FD5">
        <w:t xml:space="preserve"> 116/18),</w:t>
      </w:r>
      <w:r w:rsidRPr="00991FD5">
        <w:t xml:space="preserve"> Vlada Republike Hrvatske je na sjednici održanoj ----------------donijela</w:t>
      </w:r>
    </w:p>
    <w:p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7F10F7" w:rsidRPr="00991FD5" w:rsidRDefault="007F10F7" w:rsidP="007F10F7">
      <w:pPr>
        <w:pStyle w:val="tb-na16"/>
        <w:spacing w:before="0" w:beforeAutospacing="0" w:after="0" w:afterAutospacing="0"/>
        <w:rPr>
          <w:sz w:val="24"/>
          <w:szCs w:val="24"/>
        </w:rPr>
      </w:pPr>
      <w:r w:rsidRPr="00991FD5">
        <w:rPr>
          <w:sz w:val="24"/>
          <w:szCs w:val="24"/>
        </w:rPr>
        <w:t>UREDBU</w:t>
      </w:r>
    </w:p>
    <w:p w:rsidR="007F10F7" w:rsidRPr="00991FD5" w:rsidRDefault="007F10F7" w:rsidP="007F10F7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991FD5">
        <w:rPr>
          <w:sz w:val="24"/>
          <w:szCs w:val="24"/>
        </w:rPr>
        <w:t>O IZMJENAMA I DOPUNAMA UREDBE O UNUTARNJEM USTROJSTVU MINISTARSTVA RADA I MIROVINSKOGA SUSTAVA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>U Uredbi o unutarnjem ustrojstvu Ministarstva rada i mirovinskoga sustava (Narodne novine, br</w:t>
      </w:r>
      <w:r w:rsidR="005873A3" w:rsidRPr="00991FD5">
        <w:rPr>
          <w:b w:val="0"/>
          <w:sz w:val="24"/>
          <w:szCs w:val="24"/>
        </w:rPr>
        <w:t>.</w:t>
      </w:r>
      <w:r w:rsidRPr="00991FD5">
        <w:rPr>
          <w:b w:val="0"/>
          <w:sz w:val="24"/>
          <w:szCs w:val="24"/>
        </w:rPr>
        <w:t xml:space="preserve"> 21/17, 80/18 i 116/18), u članku 2. točka 8.a mijenja se i glasi: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 xml:space="preserve">„8.a </w:t>
      </w:r>
      <w:r w:rsidRPr="00991FD5">
        <w:rPr>
          <w:b w:val="0"/>
          <w:bCs w:val="0"/>
          <w:sz w:val="24"/>
          <w:szCs w:val="24"/>
        </w:rPr>
        <w:t>Samostalni</w:t>
      </w:r>
      <w:r w:rsidRPr="00991FD5">
        <w:rPr>
          <w:sz w:val="24"/>
          <w:szCs w:val="24"/>
        </w:rPr>
        <w:t xml:space="preserve"> </w:t>
      </w:r>
      <w:r w:rsidRPr="00991FD5">
        <w:rPr>
          <w:b w:val="0"/>
          <w:bCs w:val="0"/>
          <w:sz w:val="24"/>
          <w:szCs w:val="24"/>
        </w:rPr>
        <w:t>sektor za koordinaciju europskih poslova i međunarodne suradnje</w:t>
      </w:r>
      <w:r w:rsidRPr="00991FD5">
        <w:rPr>
          <w:b w:val="0"/>
          <w:sz w:val="24"/>
          <w:szCs w:val="24"/>
        </w:rPr>
        <w:t>“.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>Iza točke 8.a dodaje se točk</w:t>
      </w:r>
      <w:r w:rsidR="005873A3" w:rsidRPr="00991FD5">
        <w:rPr>
          <w:b w:val="0"/>
          <w:sz w:val="24"/>
          <w:szCs w:val="24"/>
        </w:rPr>
        <w:t>a</w:t>
      </w:r>
      <w:r w:rsidRPr="00991FD5">
        <w:rPr>
          <w:b w:val="0"/>
          <w:sz w:val="24"/>
          <w:szCs w:val="24"/>
        </w:rPr>
        <w:t xml:space="preserve"> 8.b koja glasi: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>„8.b Samostalni sektor za analitiku“.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91FD5">
        <w:rPr>
          <w:b w:val="0"/>
          <w:sz w:val="24"/>
          <w:szCs w:val="24"/>
        </w:rPr>
        <w:t>Točka 11. briše se.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2.</w:t>
      </w:r>
    </w:p>
    <w:p w:rsidR="00A03A63" w:rsidRPr="00991FD5" w:rsidRDefault="00A03A63" w:rsidP="00A03A63">
      <w:pPr>
        <w:pStyle w:val="clanak-"/>
        <w:spacing w:before="0" w:beforeAutospacing="0" w:after="0" w:afterAutospacing="0"/>
      </w:pPr>
    </w:p>
    <w:p w:rsidR="00A03A63" w:rsidRPr="00991FD5" w:rsidRDefault="00A03A63" w:rsidP="00A03A63">
      <w:pPr>
        <w:jc w:val="both"/>
      </w:pPr>
      <w:r w:rsidRPr="00991FD5">
        <w:t>U članku 7. stavak 2. mijenja se i glasi:</w:t>
      </w:r>
    </w:p>
    <w:p w:rsidR="00A03A63" w:rsidRPr="00991FD5" w:rsidRDefault="00A03A63" w:rsidP="00A03A63">
      <w:pPr>
        <w:jc w:val="both"/>
      </w:pPr>
    </w:p>
    <w:p w:rsidR="00A03A63" w:rsidRPr="00991FD5" w:rsidRDefault="00A03A63" w:rsidP="00A03A63">
      <w:pPr>
        <w:jc w:val="both"/>
      </w:pPr>
      <w:r w:rsidRPr="00991FD5">
        <w:t>„U Službi za opće poslove ustrojava se:</w:t>
      </w:r>
    </w:p>
    <w:p w:rsidR="00A03A63" w:rsidRPr="00991FD5" w:rsidRDefault="00A03A63" w:rsidP="00A03A63">
      <w:pPr>
        <w:jc w:val="both"/>
      </w:pPr>
      <w:r w:rsidRPr="00991FD5">
        <w:t>2.1.2.1. Pododsjek za poslove pisarnice i pismohrane.“.</w:t>
      </w:r>
    </w:p>
    <w:p w:rsidR="00A03A63" w:rsidRPr="00991FD5" w:rsidRDefault="00A03A63" w:rsidP="007F10F7">
      <w:pPr>
        <w:pStyle w:val="clanak-"/>
        <w:spacing w:before="0" w:beforeAutospacing="0" w:after="0" w:afterAutospacing="0"/>
        <w:rPr>
          <w:b/>
        </w:rPr>
      </w:pPr>
    </w:p>
    <w:p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3.</w:t>
      </w:r>
    </w:p>
    <w:p w:rsidR="00A03A63" w:rsidRPr="00991FD5" w:rsidRDefault="00A03A63" w:rsidP="00A03A63">
      <w:pPr>
        <w:pStyle w:val="clanak-"/>
        <w:spacing w:before="0" w:beforeAutospacing="0" w:after="0" w:afterAutospacing="0"/>
      </w:pPr>
    </w:p>
    <w:p w:rsidR="00A03A63" w:rsidRPr="00991FD5" w:rsidRDefault="00A03A63" w:rsidP="00A03A63">
      <w:pPr>
        <w:jc w:val="both"/>
      </w:pPr>
      <w:r w:rsidRPr="00991FD5">
        <w:t>U članku 8. stavak 2. briše se.</w:t>
      </w:r>
    </w:p>
    <w:p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</w:p>
    <w:p w:rsidR="00A03A63" w:rsidRPr="00991FD5" w:rsidRDefault="00A03A63" w:rsidP="00A03A63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4.</w:t>
      </w:r>
    </w:p>
    <w:p w:rsidR="00A03A63" w:rsidRPr="00991FD5" w:rsidRDefault="00A03A63" w:rsidP="00A03A63">
      <w:pPr>
        <w:pStyle w:val="clanak-"/>
        <w:spacing w:before="0" w:beforeAutospacing="0" w:after="0" w:afterAutospacing="0"/>
      </w:pPr>
    </w:p>
    <w:p w:rsidR="00A03A63" w:rsidRPr="00991FD5" w:rsidRDefault="00A03A63" w:rsidP="00A03A63">
      <w:pPr>
        <w:pStyle w:val="box458998"/>
        <w:spacing w:before="0" w:beforeAutospacing="0" w:after="0"/>
        <w:jc w:val="both"/>
      </w:pPr>
      <w:r w:rsidRPr="00991FD5">
        <w:t>Naslov iznad članka 9. i članak 9. brišu se.</w:t>
      </w:r>
    </w:p>
    <w:p w:rsidR="007F10F7" w:rsidRPr="00991FD5" w:rsidRDefault="007F10F7" w:rsidP="007F10F7">
      <w:pPr>
        <w:pStyle w:val="t-10-9-fett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5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jc w:val="both"/>
      </w:pPr>
      <w:r w:rsidRPr="00991FD5">
        <w:t>Članak 17. mijenja se i glasi: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t xml:space="preserve">„Sektor za radne odnose obavlja normativne i druge stručne poslove u vezi s normativnim aktivnostima i praćenjem primjene </w:t>
      </w:r>
      <w:r w:rsidRPr="00991FD5">
        <w:rPr>
          <w:rFonts w:eastAsiaTheme="minorHAnsi"/>
          <w:color w:val="000000" w:themeColor="text1"/>
          <w:lang w:eastAsia="en-US"/>
        </w:rPr>
        <w:t xml:space="preserve">propisa iz područja rada, izrađuje izvješća, studije i </w:t>
      </w:r>
      <w:r w:rsidRPr="00991FD5">
        <w:rPr>
          <w:rFonts w:eastAsiaTheme="minorHAnsi"/>
          <w:lang w:eastAsia="en-US"/>
        </w:rPr>
        <w:t>pravne</w:t>
      </w:r>
      <w:r w:rsidRPr="00991FD5">
        <w:rPr>
          <w:rFonts w:eastAsiaTheme="minorHAnsi"/>
          <w:color w:val="FF0000"/>
          <w:lang w:eastAsia="en-US"/>
        </w:rPr>
        <w:t xml:space="preserve"> </w:t>
      </w:r>
      <w:r w:rsidRPr="00991FD5">
        <w:rPr>
          <w:rFonts w:eastAsiaTheme="minorHAnsi"/>
          <w:color w:val="000000" w:themeColor="text1"/>
          <w:lang w:eastAsia="en-US"/>
        </w:rPr>
        <w:t xml:space="preserve">analize iz područja radnog prava, vodi evidenciju i analizira podatke o privremenom zapošljavanju, o radničkim vijećima i europskim radničkim vijećima, izrađuje izvješća, studije i analize o primjeni propisa i položaju radnika </w:t>
      </w:r>
      <w:r w:rsidRPr="00991FD5">
        <w:rPr>
          <w:rFonts w:eastAsiaTheme="minorHAnsi"/>
          <w:lang w:eastAsia="en-US"/>
        </w:rPr>
        <w:t xml:space="preserve">te na temelju istih daje prijedloge vezane uz razvoj radnog zakonodavstva, </w:t>
      </w:r>
      <w:r w:rsidRPr="00991FD5">
        <w:rPr>
          <w:rFonts w:eastAsiaTheme="minorHAnsi"/>
          <w:color w:val="000000" w:themeColor="text1"/>
          <w:lang w:eastAsia="en-US"/>
        </w:rPr>
        <w:t xml:space="preserve">priprema nacrte prijedloga zakona i prijedloge drugih propisa, te mišljenja u vezi s provedbom propisa iz područja radnog prava, radi na preuzimanju i provedbi pravne stečevine Europske unije iz djelokruga Sektora, izrađuje </w:t>
      </w:r>
      <w:r w:rsidRPr="00991FD5">
        <w:rPr>
          <w:rFonts w:eastAsiaTheme="minorHAnsi"/>
          <w:color w:val="000000" w:themeColor="text1"/>
          <w:lang w:eastAsia="en-US"/>
        </w:rPr>
        <w:lastRenderedPageBreak/>
        <w:t xml:space="preserve">pisane </w:t>
      </w:r>
      <w:r w:rsidRPr="00991FD5">
        <w:rPr>
          <w:rFonts w:eastAsiaTheme="minorHAnsi"/>
          <w:lang w:eastAsia="en-US"/>
        </w:rPr>
        <w:t xml:space="preserve">upute uredima državne uprave u županijama iz područja rada, prati i analizira </w:t>
      </w:r>
      <w:r w:rsidRPr="00991FD5">
        <w:rPr>
          <w:rFonts w:eastAsiaTheme="minorHAnsi"/>
          <w:color w:val="000000" w:themeColor="text1"/>
          <w:lang w:eastAsia="en-US"/>
        </w:rPr>
        <w:t>propise, konvencije i preporuke Međunarodne organizacije rada, Vijeća Europe i Europske unije, nacionalnu i međunarodnu sudsku praksu iz djelokruga Sektora, sudjeluje u projektima i provodi kampanje sprječavanja rada na crno, sudjeluje u izradi godišnjeg plana rada, prati provođenje nacionalnih strategija i akcijskih planova iz svog djelokruga, sudjeluje u planiranju državnog proračuna i u izradi strateškog plana Ministarstva; pruža tehničku potporu Stručnom povjerenstvu za praćenje i analizu kretanja minimalne plaće, te obavlja i druge poslove u okviru svog djelokruga.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U Sektoru za radne odnose ustrojavaju se:</w:t>
      </w:r>
    </w:p>
    <w:p w:rsidR="007F10F7" w:rsidRPr="00991FD5" w:rsidRDefault="007F10F7" w:rsidP="007F10F7">
      <w:pPr>
        <w:pStyle w:val="ListParagraph"/>
        <w:ind w:left="0"/>
        <w:jc w:val="both"/>
        <w:rPr>
          <w:color w:val="000000" w:themeColor="text1"/>
          <w:sz w:val="24"/>
          <w:szCs w:val="24"/>
          <w:lang w:val="hr-HR"/>
        </w:rPr>
      </w:pPr>
      <w:r w:rsidRPr="00991FD5">
        <w:rPr>
          <w:color w:val="000000" w:themeColor="text1"/>
          <w:sz w:val="24"/>
          <w:szCs w:val="24"/>
          <w:lang w:val="hr-HR"/>
        </w:rPr>
        <w:t>3.1.1. Služba za rad</w:t>
      </w:r>
    </w:p>
    <w:p w:rsidR="007F10F7" w:rsidRPr="00991FD5" w:rsidRDefault="007F10F7" w:rsidP="007F10F7">
      <w:pPr>
        <w:pStyle w:val="ListParagraph"/>
        <w:ind w:left="0"/>
        <w:jc w:val="both"/>
        <w:rPr>
          <w:color w:val="000000" w:themeColor="text1"/>
          <w:sz w:val="24"/>
          <w:szCs w:val="24"/>
          <w:lang w:val="hr-HR"/>
        </w:rPr>
      </w:pPr>
      <w:r w:rsidRPr="00991FD5">
        <w:rPr>
          <w:color w:val="000000" w:themeColor="text1"/>
          <w:sz w:val="24"/>
          <w:szCs w:val="24"/>
          <w:lang w:val="hr-HR"/>
        </w:rPr>
        <w:t>3.1.2. Služba za unaprjeđenje i razvoj radnog zakonodavstva.“.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6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jc w:val="both"/>
      </w:pPr>
      <w:r w:rsidRPr="00991FD5">
        <w:t>Članak 18. mijenja se i glasi: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 xml:space="preserve">„Služba za rad obavlja normativne i druge stručne poslove vezane uz primjenu propisa iz područja rada, priprema nacrte prijedloga zakona i prijedloga drugih propisa iz područja radnog prava, izrađuje mišljenja u vezi s provedbom radno-pravnih propisa, izrađuje pisane </w:t>
      </w:r>
      <w:r w:rsidRPr="00991FD5">
        <w:rPr>
          <w:rFonts w:eastAsiaTheme="minorHAnsi"/>
          <w:lang w:eastAsia="en-US"/>
        </w:rPr>
        <w:t xml:space="preserve">upute uredima državne uprave u županijama iz područja rada, pruža </w:t>
      </w:r>
      <w:r w:rsidRPr="00991FD5">
        <w:rPr>
          <w:rFonts w:eastAsiaTheme="minorHAnsi"/>
          <w:color w:val="000000" w:themeColor="text1"/>
          <w:lang w:eastAsia="en-US"/>
        </w:rPr>
        <w:t>stručnu pomoć državnim tijelima, tijelima lokalne i područne (regionalne) samouprave, sindikatima, poslodavcima i njihovim udrugama o primjeni propisa, prati konvencije i preporuke Međunarodne organizacije rada, Vijeća Europe i Europske unije te međunarodne ugovore iz djelokruga Službe, prati nacionalnu i međunarodnu sudsku praksu vezanu uz primjenu propisa iz područja rada, u suradnji sa Službom za unaprjeđenje i razvoj radnog zakonodavstva sudjeluje u izradi izvješća, studija i pravnih analiza iz područja radnog prava, primjene propisa i položaja radnika, te obavlja i druge poslove u okviru svog djelokruga.“.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7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873A3" w:rsidP="007F10F7">
      <w:pPr>
        <w:jc w:val="both"/>
      </w:pPr>
      <w:r w:rsidRPr="00991FD5">
        <w:t>Naslova iznad č</w:t>
      </w:r>
      <w:r w:rsidR="007F10F7" w:rsidRPr="00991FD5">
        <w:t>lank</w:t>
      </w:r>
      <w:r w:rsidRPr="00991FD5">
        <w:t>a</w:t>
      </w:r>
      <w:r w:rsidR="007F10F7" w:rsidRPr="00991FD5">
        <w:t xml:space="preserve"> 19. i </w:t>
      </w:r>
      <w:r w:rsidRPr="00991FD5">
        <w:t>članak 19.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t xml:space="preserve">„3.1.2. </w:t>
      </w:r>
      <w:r w:rsidRPr="00991FD5">
        <w:rPr>
          <w:rFonts w:eastAsiaTheme="minorHAnsi"/>
          <w:color w:val="000000" w:themeColor="text1"/>
          <w:lang w:eastAsia="en-US"/>
        </w:rPr>
        <w:t>Služba za unaprjeđenje i razvoj radnog zakonodavstva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Članak 19.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 xml:space="preserve">Služba za unaprjeđenje i razvoj radnog zakonodavstva obavlja pravno analitičke poslove vezane uz primjenu radnog zakonodavstva, izrađuje izvješća, studije i analize iz područja radnog prava, primjene propisa i položaja radnika </w:t>
      </w:r>
      <w:r w:rsidRPr="00991FD5">
        <w:rPr>
          <w:rFonts w:eastAsiaTheme="minorHAnsi"/>
          <w:lang w:eastAsia="en-US"/>
        </w:rPr>
        <w:t xml:space="preserve">te na temelju istih daje prijedloge vezane uz razvoj radnog zakonodavstva, </w:t>
      </w:r>
      <w:r w:rsidRPr="00991FD5">
        <w:rPr>
          <w:rFonts w:eastAsiaTheme="minorHAnsi"/>
          <w:color w:val="000000" w:themeColor="text1"/>
          <w:lang w:eastAsia="en-US"/>
        </w:rPr>
        <w:t xml:space="preserve">vodi evidenciju i analizira podatke o privremenom zapošljavanju, o radničkim vijećima i europskim radničkim vijećima, prati konvencije i preporuke Međunarodne organizacije rada, Vijeća Europe i Europske unije te međunarodne ugovore iz djelokruga Službe, prati nacionalnu i međunarodnu sudsku praksu vezanu uz primjenu propisa iz područja rada, priprema stručne podloge za izradu izvješća o provedbi </w:t>
      </w:r>
      <w:r w:rsidRPr="00991FD5">
        <w:rPr>
          <w:rFonts w:eastAsiaTheme="minorHAnsi"/>
          <w:lang w:eastAsia="en-US"/>
        </w:rPr>
        <w:t xml:space="preserve">konvencija Međunarodne organizacije rada na području radnog zakonodavstva, sudjeluje u </w:t>
      </w:r>
      <w:r w:rsidRPr="00991FD5">
        <w:rPr>
          <w:rFonts w:eastAsiaTheme="minorHAnsi"/>
          <w:color w:val="000000" w:themeColor="text1"/>
          <w:lang w:eastAsia="en-US"/>
        </w:rPr>
        <w:t>projektima i provodi kampanje sprječavanja rada na crno. Pruža tehničku potporu Stručnom povjerenstvu za praćenje i analizu kretanja minimalne plaće, te obavlja i druge poslove u okviru svog djelokruga.“.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A03A63" w:rsidRPr="00991FD5" w:rsidRDefault="00A03A63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A03A63" w:rsidRPr="00991FD5" w:rsidRDefault="00A03A63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lastRenderedPageBreak/>
        <w:t xml:space="preserve">Članak </w:t>
      </w:r>
      <w:r w:rsidR="00A03A63" w:rsidRPr="00991FD5">
        <w:rPr>
          <w:b/>
        </w:rPr>
        <w:t>8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jc w:val="both"/>
      </w:pPr>
      <w:r w:rsidRPr="00991FD5">
        <w:t>Članak 22. mijenja se i glasi:</w:t>
      </w:r>
    </w:p>
    <w:p w:rsidR="007F10F7" w:rsidRPr="00991FD5" w:rsidRDefault="007F10F7" w:rsidP="007F10F7">
      <w:pPr>
        <w:pStyle w:val="box458411"/>
        <w:jc w:val="both"/>
      </w:pPr>
      <w:r w:rsidRPr="00991FD5">
        <w:t>„Služba za međunarodnu suradnju na području rada u suradnji sa Samostalnim sektorom za koordinaciju europskih poslova i međunarodne suradnje prati propise, konvencije i preporuke Međunarodne organizacije rada, Vijeća Europe, Europske unije i ostale međunarodne ugovore iz područja rada, obavlja stručne poslove vezane uz sudjelovanje u radu navedenih međunarodnih tijela, prati usklađenost radnoga zakonodavstva Republike Hrvatske s višestranim međunarodnim ugovorima, izrađuje stručne analize i prijedloge za potpisivanjem višestranih međunarodnih ugovora na području rada koje usvajaju Međunarodna organizacija rada, Vijeće Europe i Ujedinjeni narodi, priprema odgovore na pritužbe, vodi aktivnosti i priprema stručne podloge te normativne prijedloge o ratifikaciji potpisanih međunarodnih ugovora na području rada, izvještava o primjeni višestranih međunarodnih ugovora na području rada kojih je Republika Hrvatska strankom, sudjeluje u radu odgovarajućih međunarodnih tijela i provedbi projekata iz djelokruga Službe, te obavlja i druge poslove u okviru svog djelokruga rada.“.</w:t>
      </w: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9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jc w:val="both"/>
      </w:pPr>
      <w:r w:rsidRPr="00991FD5">
        <w:t>Članak 23. mijenja se i glasi: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„Uprava za tržište rada i zapošljavanje obavlja upravne, stručne i analitičke poslove koji se odnose na tržište rada i politike zapošljavanja, izrađuje pravna mišljenja u vezi s primjenom propisa iz područja tržišta rada i zapošljavanja, izrađuje nacrte prijedloga zakona i podzakonskih akata te strateških dokumenata na području razvoja tržišta rada i zapošljavanja u suradnji s drugim ministarstvima, obavlja poslove koji se odnose na provedbu upravnog nadzora nad Hrvatskim zavodom za zapošljavanje, Agencijom za osiguranje radničkih tražbina i Zavodom za vještačenje, profesionalnu rehabilitaciju i zapošljavanje osoba s invaliditetom, te nad centrima za profesionalnu rehabilitaciju, prati i definira mjere aktivne politike zapošljavanja u skladu s ciljevima i potrebama tržišta rada, obavlja poslove vezane uz povezivanje obrazovanja i tržišta rada, sudjeluje u predlaganju novih programskih rješenja bitnih za cjeloživotno profesionalno usmjeravanje i razvoj karijere, prati usklađenost obrazovnih programa, znanja, vještina i kompetencija s potrebama poslodavaca na tržištu rada te predlaganje mjera poboljšanja s ciljem povećanja zaposlenosti, koordinira poslove vezane uz sustav reguliranih profesija, uređenje i vođenje Nacionalne klasifikacije zanimanja te povezivanje iste s Europskom klasifikacijom zanimanja i vještina, obavlja poslove koj</w:t>
      </w:r>
      <w:r w:rsidRPr="00991FD5">
        <w:rPr>
          <w:color w:val="FF0000"/>
        </w:rPr>
        <w:t>i</w:t>
      </w:r>
      <w:r w:rsidRPr="00991FD5">
        <w:t xml:space="preserve"> se odnose na pripremu, planiranje, provedbu i praćenje programa i projekata iz sredstava fondova Europske unije i drugih međunarodnih izvora financiranja iz djelokruga Uprave, prati i osigurava informacije vezano uz zapošljavanje radnika iz europskog gospodarskog prostora i radnika izvan Europske unije koji rade u Republici Hrvatskoj, sudjeluje u radu tijela Europske unije u području tržišta rada i zapošljavanja, sudjeluje u postupku sklapanja višestranih međunarodnih ugovora iz djelokruga Uprave, obavlja poslove koji se odnose na praćenje usklađenosti hrvatskoga zakonodavstva sa zakonodavstvom Europske unije na području tržišta rada i zapošljavanja, prati i analizira kretanja na tržištu rada, smjernice i preporuke Europske unije, međunarodne strateške dokumente i u skladu s tim definira politike u području tržišta rada i zapošljavanja, prati provedbu međunarodnih ugovora i propisa iz područja tržišta rada i zapošljavanja, sudjeluje u postupku sklapanja višestranih međunarodnih ugovora iz područja zapošljavanja, pruža stručnu pomoć tijelima, poslodavcima i nezaposlenim osobama u pitanjima iz djelokruga Uprave, prati provođenje nacionalnih strategija i akcijskih planova iz svog djelokruga, sudjeluje u izradi godišnjeg </w:t>
      </w:r>
      <w:r w:rsidRPr="00991FD5">
        <w:lastRenderedPageBreak/>
        <w:t>plana rada, sudjeluje u planiranju državnog proračuna i u izradi strateškog plana Ministarstva, te obavlja i druge poslove u okviru svog djelokruga.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U Upravi za tržište rada i zapošljavanje ustrojavaju se: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4.1. Sektor za politike zapošljavanja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4.2. Sektor za razvoj tržišta rada.“.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10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873A3" w:rsidP="007F10F7">
      <w:pPr>
        <w:jc w:val="both"/>
      </w:pPr>
      <w:r w:rsidRPr="00991FD5">
        <w:t>Naslov iznad č</w:t>
      </w:r>
      <w:r w:rsidR="007F10F7" w:rsidRPr="00991FD5">
        <w:t>lank</w:t>
      </w:r>
      <w:r w:rsidRPr="00991FD5">
        <w:t>a</w:t>
      </w:r>
      <w:r w:rsidR="007F10F7" w:rsidRPr="00991FD5">
        <w:t xml:space="preserve"> 24. i </w:t>
      </w:r>
      <w:r w:rsidRPr="00991FD5">
        <w:t xml:space="preserve">članak 24. </w:t>
      </w:r>
      <w:r w:rsidR="007F10F7" w:rsidRPr="00991FD5">
        <w:t>mijenjaju se i glase:</w:t>
      </w:r>
    </w:p>
    <w:p w:rsidR="00DF6195" w:rsidRPr="00991FD5" w:rsidRDefault="00DF6195" w:rsidP="007F10F7">
      <w:pPr>
        <w:pStyle w:val="box453791"/>
        <w:spacing w:before="0" w:beforeAutospacing="0" w:after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„</w:t>
      </w:r>
      <w:r w:rsidRPr="00991FD5">
        <w:rPr>
          <w:rFonts w:eastAsiaTheme="minorHAnsi"/>
          <w:b/>
          <w:color w:val="000000" w:themeColor="text1"/>
          <w:lang w:eastAsia="en-US"/>
        </w:rPr>
        <w:t>4.1. Sektor za politike zapošljavanja</w:t>
      </w:r>
    </w:p>
    <w:p w:rsidR="00DF6195" w:rsidRPr="00991FD5" w:rsidRDefault="00DF6195" w:rsidP="007F10F7">
      <w:pPr>
        <w:pStyle w:val="box453791"/>
        <w:spacing w:before="0" w:beforeAutospacing="0" w:after="0"/>
        <w:jc w:val="center"/>
        <w:rPr>
          <w:rFonts w:eastAsiaTheme="minorHAnsi"/>
          <w:i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Članak 24.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 xml:space="preserve">Sektor za politike zapošljavanja obavlja upravne i stručne poslove u vezi s nacionalnim politikama zapošljavanja, predlaže strateške dokumente kojima se definiraju mjere aktivne politike zapošljavanja sukladno nacionalnim razvojnim ciljevima, međunarodnim strateškim dokumentima i smjernicama Europske unije, prati opće smjernice i odluke Europske unije te ispituje usklađenost i sudjeluje u pripremi nacrta prijedloga zakona i prijedloga drugih propisa iz djelokruga Uprave, prati provedbu mjera aktivne politike zapošljavanja, analizira stanje i buduće potrebe na tržištu rada te sudjeluje u radu tijela </w:t>
      </w:r>
      <w:r w:rsidRPr="00991FD5">
        <w:rPr>
          <w:rFonts w:eastAsiaTheme="minorHAnsi"/>
          <w:color w:val="000000" w:themeColor="text1"/>
          <w:lang w:eastAsia="en-US"/>
        </w:rPr>
        <w:t>Europske unije</w:t>
      </w:r>
      <w:r w:rsidRPr="00991FD5">
        <w:t xml:space="preserve"> u području zapošljavanja, predlaže politike zapošljavanja stranaca sukladno stanju i potrebama tržišta rada, priprema prijedloge stručnih i nacionalnih mišljenja i stajališta s područja tržišta rada i zapošljavanja, osigurava informacije vezano uz zapošljavanje radnika iz europskog gospodarskog prostora i radnika izvan Europske unije koji rade u Republici Hrvatskoj, obavlja upravne i stručne poslove u vezi s upravnim nadzorom i normativnim uređenjem tržišta rada i zapošljavanja, rješava u prvostupanjskom postupku u upravnim stvarima o zahtjevima za stjecanje statusa integrativnih radionica i zaštitnih radionica za zapošljavanje osoba s invaliditetom, rješava u drugostupanjskom postupku u upravnim stvarima u vezi s obvezom plaćanja novčane naknade u slučaju neispunjenja kvote za zapošljavanje osoba s invaliditetom te ostvarivanjem prava radnika u slučaju stečaja poslodavca i u slučaju blokade računa poslodavca, izrađuje pravna mišljenja u vezi s primjenom propisa iz područja tržišta rada i zapošljavanja, sudjeluje u izradi godišnjeg plana rada, prati provođenje nacionalnih strategija i akcijskih planova iz svog djelokruga, sudjeluje u planiranju državnog proračuna i u izradi strateškog plana Ministarstva, te obavlja i druge poslove u okviru svog djelokruga. 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U Sektoru za politike zapošljavanja ustrojavaju se: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4.1.1. Služba za razvoj i praćenje politika zapošljavanja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4.1.2. Služba za normativno uređenje politika zapošljavanja i koordinaciju institucija tržišta rada.“.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11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4F3470" w:rsidP="007F10F7">
      <w:pPr>
        <w:jc w:val="both"/>
      </w:pPr>
      <w:r w:rsidRPr="00991FD5">
        <w:t xml:space="preserve">Naslov iznad članka 25. i članak 25. </w:t>
      </w:r>
      <w:r w:rsidR="007F10F7" w:rsidRPr="00991FD5">
        <w:t>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</w:pPr>
      <w:r w:rsidRPr="00991FD5">
        <w:t>„4.1.1. Služba za razvoj i praćenje politika zapošljavanja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t>Članak 25.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 xml:space="preserve">Služba za razvoj i praćenje politika zapošljavanja obavlja stručne poslove u vezi s nacionalnim politikama zapošljavanja, koordinira i sudjeluje u izradi sektorskih strateških i </w:t>
      </w:r>
      <w:r w:rsidRPr="00991FD5">
        <w:lastRenderedPageBreak/>
        <w:t>planskih dokumenta u području zapošljavanja, donosi i prati smjernice za razvoj i provedbu aktivne politike zapošljavanja, definira mjere aktivne politike zapošljavanja u skladu s ciljevima i potrebama tržišta rada, donosi i sudjeluje u izradi nacionalnih programa u području zapošljavanja, prikuplja i prati statističke podatke o kretanjima na tržištu rada na nacionalnoj i EU razini te izrađuje pripadajuće analize, prati smjernice i preporuke Europske unije te na osnovu njih predlaže nacionalne politike zapošljavanja, predlaže politike zapošljavanja stranaca sukladno stanju i potrebama tržišta rada, sudjeluje u radu te izrađuje mišljenja i stajališta za tijela Europske unije u području zapošljavanja, koordinira i provodi aktivnosti vezane uz promicanje slobodnog kretanja radnika Europske unije, sudjeluje u postupcima sklapanja međunarodnih ugovora u području zapošljavanja i prati njihovu provedbu, te obavlja i druge poslove u okviru svog djelokruga.“.</w:t>
      </w:r>
    </w:p>
    <w:p w:rsidR="00523860" w:rsidRPr="00991FD5" w:rsidRDefault="00523860" w:rsidP="007F10F7">
      <w:pPr>
        <w:jc w:val="both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2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23860" w:rsidP="007F10F7">
      <w:pPr>
        <w:jc w:val="both"/>
      </w:pPr>
      <w:r w:rsidRPr="00991FD5">
        <w:t>Naslova iznad č</w:t>
      </w:r>
      <w:r w:rsidR="007F10F7" w:rsidRPr="00991FD5">
        <w:t>lank</w:t>
      </w:r>
      <w:r w:rsidRPr="00991FD5">
        <w:t>a</w:t>
      </w:r>
      <w:r w:rsidR="007F10F7" w:rsidRPr="00991FD5">
        <w:t xml:space="preserve"> 26. i </w:t>
      </w:r>
      <w:r w:rsidRPr="00991FD5">
        <w:t>članak 26.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</w:pPr>
      <w:r w:rsidRPr="00991FD5">
        <w:t>„4.1.2. Služba za normativno uređenje politika zapošljavanja i koordinaciju institucija tržišta rada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t>Članak 26.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</w:pPr>
      <w:r w:rsidRPr="00991FD5">
        <w:t>Služba za normativno uređenje politika zapošljavanja i koordinaciju institucija tržišta rada obavlja upravne i stručne poslove u vezi s normativnim uređenjem područja tržišta rada, vođenja evidencija agencija za privremeno zapošljavanje i agencija  koje obavljaju djelatnosti u vezi sa zapošljavanjem, rješava u prvostupanjskom postupku u upravnim stvarima o zahtjevima za stjecanje statusa integrativnih radionica i zaštitnih radionica za osobe s invaliditetom, rješava u drugostupanjskom postupku u upravnim stvarima u vezi s obvezom plaćanja novčane naknade u slučaju neispunjenja kvote za zapošljavanje osoba s invaliditetom, rješava u drugostupanjskom postupku u upravnim stvarima u vezi s ostvarivanjem prava radnika u slučaju stečaja poslodavca i u slučaju blokade računa poslodavca, obavlja poslove upravnog nadzora nad Hrvatskim zavodom za zapošljavanje, Agencijom za osiguranje radničkih tražbina, Zavodom za vještačenje, profesionalnu rehabilitaciju i zapošljavanje osoba s invaliditetom te nad centrima za profesionalnu rehabilitaciju, pruža pravnu podršku procesima povezivanja obrazovanja i tržišta rada, prati i sudjeluje u postupcima donošenja EU propisa s područja tržišta rada, predlaže mjere koje pridonose unaprjeđenju i razvoju rada Hrvatskog zavoda za zapošljavanje, Agencije za osiguranje radničkih tražbina, Zavoda za vještačenje, profesionalnu rehabilitaciju i zapošljavanje osoba s invaliditetom te centara za profesionalnu rehabilitaciju, te obavlja i druge poslove u okviru svog djelokruga.“.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3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23860" w:rsidP="007F10F7">
      <w:pPr>
        <w:jc w:val="both"/>
      </w:pPr>
      <w:r w:rsidRPr="00991FD5">
        <w:t>Naslov iznad č</w:t>
      </w:r>
      <w:r w:rsidR="007F10F7" w:rsidRPr="00991FD5">
        <w:t>lank</w:t>
      </w:r>
      <w:r w:rsidRPr="00991FD5">
        <w:t>a</w:t>
      </w:r>
      <w:r w:rsidR="007F10F7" w:rsidRPr="00991FD5">
        <w:t xml:space="preserve"> 27. i </w:t>
      </w:r>
      <w:r w:rsidRPr="00991FD5">
        <w:t>članak 27.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„4.2. Sektor za razvoj tržišta rada</w:t>
      </w:r>
    </w:p>
    <w:p w:rsidR="007F10F7" w:rsidRPr="00991FD5" w:rsidRDefault="007F10F7" w:rsidP="007F10F7">
      <w:pPr>
        <w:jc w:val="center"/>
        <w:rPr>
          <w:b/>
          <w:i/>
        </w:rPr>
      </w:pPr>
    </w:p>
    <w:p w:rsidR="007F10F7" w:rsidRPr="00991FD5" w:rsidRDefault="007F10F7" w:rsidP="007F10F7">
      <w:pPr>
        <w:jc w:val="center"/>
      </w:pPr>
      <w:r w:rsidRPr="00991FD5">
        <w:t>Članak 27.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both"/>
      </w:pPr>
      <w:r w:rsidRPr="00991FD5">
        <w:t xml:space="preserve">Sektor za razvoj tržišta rada obavlja stručne i analitičke poslove u području tržišta rada, poslove vezane uz usklađivanje ponude i potražnje na tržištu rada, odnosno povezivanja obrazovanja i tržišta rada, planira razvoj ljudskih potencijala na nacionalnoj razini, implementirajući politike cjeloživotnog učenja, profesionalnog usmjeravanja i razvoja </w:t>
      </w:r>
      <w:r w:rsidRPr="00991FD5">
        <w:lastRenderedPageBreak/>
        <w:t>karijere, izrađuje pravna mišljenja u vezi s primjenom propisa iz područja tržišta rada, postupa u vezi s primjenom propisa tržišta rada, prati međunarodne propise na području tržišta rada, sudjeluje u radu europskih i međunarodnih tijela iz područja tržišta rada, priprema prijedloge stručnih i nacionalnih mišljenja i stajališta s područja tržišta rada i zapošljavanja za potrebe sudjelovanja u radnim skupinama, prikuplja podatke nužne za razumijevanje kretanja na tržištu rada, i to o traženim zanimanjima i zvanjima, kompetencijama na tržištu rada, obrazovnim institucijama i programima, na temelju dobivenih analitičkih rezultata sudjeluje u definiranju politika u vezi s tržištem rada, u suradnji s ministarstvom nadležnim za obrazovanje i znanost, Hrvatskim zavodom za zapošljavanje i ostalim povezanim državnim tijelima i institucijama obavlja i poslove u vezi s praćenjem usklađenosti obrazovnih programa, znanja, vještina i kompetencija s potrebama poslodavaca na tržištu rada, poslove vezane uz razvrstavanje, standardizaciju i upis zanimanja u podregistar, koordinira poslove vezane uz sustav reguliranih profesija, uređenje i vođenje Nacionalne klasifikacije zanimanja te povezivanje iste s Europskom klasifikacijom zanimanja i vještina, sudjeluje u predlaganju novih programskih rješenja bitnih za cjeloživotno profesionalno usmjeravanje i razvoj karijere, kao i ostalih rješenja u vezi s uspostavom uravnoteženog tržišta rada, pruža stručnu pomoć tijelima, poslodavcima, radnicima i nezaposlenima, obrazovnim institucijama i ustanovama, u suradnji s nadležnom upravom sudjeluje u pripremi programa i projekata te provedbi projekata iz programa Europske unije i ostalih oblika međunarodne pomoći, sudjeluje u izradi godišnjeg plana rada, prati provođenje nacionalnih strategija i akcijskih planova iz svog djelokruga, sudjeluje u planiranju državnog proračuna i u izradi strateškog plana Ministarstva, te obavlja i druge poslove u okviru svog djelokruga.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shd w:val="clear" w:color="auto" w:fill="FFFFFF" w:themeFill="background1"/>
        <w:jc w:val="both"/>
      </w:pPr>
      <w:r w:rsidRPr="00991FD5">
        <w:t>U Sektoru za razvoj tržišta rada ustrojavaju se:</w:t>
      </w:r>
    </w:p>
    <w:p w:rsidR="007F10F7" w:rsidRPr="00991FD5" w:rsidRDefault="007F10F7" w:rsidP="007F10F7">
      <w:pPr>
        <w:contextualSpacing/>
        <w:jc w:val="both"/>
      </w:pPr>
      <w:r w:rsidRPr="00991FD5">
        <w:t>4.2.1. Služba za EU politike i implementaciju projekata u području tržišta rada</w:t>
      </w:r>
    </w:p>
    <w:p w:rsidR="007F10F7" w:rsidRPr="00991FD5" w:rsidRDefault="007F10F7" w:rsidP="007F10F7">
      <w:pPr>
        <w:contextualSpacing/>
        <w:jc w:val="both"/>
      </w:pPr>
      <w:r w:rsidRPr="00991FD5">
        <w:t>4.2.2. Služba za praćenje i usklađivanje potreba tržišta rada.“.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4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23860" w:rsidP="007F10F7">
      <w:pPr>
        <w:jc w:val="both"/>
      </w:pPr>
      <w:r w:rsidRPr="00991FD5">
        <w:t>Naslov iznad č</w:t>
      </w:r>
      <w:r w:rsidR="007F10F7" w:rsidRPr="00991FD5">
        <w:t>lank</w:t>
      </w:r>
      <w:r w:rsidRPr="00991FD5">
        <w:t>a</w:t>
      </w:r>
      <w:r w:rsidR="007F10F7" w:rsidRPr="00991FD5">
        <w:t xml:space="preserve"> 28. i </w:t>
      </w:r>
      <w:r w:rsidRPr="00991FD5">
        <w:t>članak 28.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</w:pPr>
      <w:r w:rsidRPr="00991FD5">
        <w:t>„4.2.1. Služba za EU politike i implementaciju projekata u području tržišta rada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t>Članak 28.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both"/>
      </w:pPr>
      <w:r w:rsidRPr="00991FD5">
        <w:t xml:space="preserve">Služba za EU politike i implementaciju projekata u području tržišta rada obavlja stručne poslove u vezi sa suradnjom i sudjelovanjem u radu tijela Europske unije u području tržišta rada i zapošljavanja, prati međunarodne propise iz područja tržišta rada i zapošljavanja, izrađuje prijedloge politika i mjera kojima se nacionalne politike zapošljavanja usmjeravaju i usklađuju sa strateškim ciljevima Europske unije na području tržišta rada i zapošljavanja, koordinira procesima vezanim uz programe zapošljavanja Europske unije, priprema prijedloge stručnih i nacionalnih mišljenja i stajališta s područja tržišta rada i zapošljavanja za potrebe sudjelovanja u radnim skupinama vijeća, prati i daje preporuke vezano uz opće smjernice i odluke Europske unije te ispituje usklađenost i sudjeluje u praćenju implementacije istih, prati politike slobodnog kretanja radnika na području europskog tržišta rada u svrhu poboljšanja mobilnosti radne snage na europskom tržištu rada, koordinira izradu strategije i akcijskih planova iz područja cjeloživotnog profesionalnog usmjeravanja i razvoja karijere, te vodi rad Foruma za cjeloživotno profesionalno usmjeravanje i razvoj karijere Republike Hrvatske u cilju osiguravanja učinkovite koordinacije sudjelovanja svih relevantnih dionika u pružanju usluga cjeloživotnog profesionalnog usmjeravanja, obavlja poslove koji se odnose na: pripremu, planiranje, provedbu i praćenje programa i projekata za </w:t>
      </w:r>
      <w:r w:rsidRPr="00991FD5">
        <w:lastRenderedPageBreak/>
        <w:t>korištenje sredstava fondova Europske unije te drugih međunarodnih izvora financiranja iz područja tržišta rada i zapošljavanja, surađuje s institucijama nadležnim za provedbu programa i projekata Europske unije u Republici Hrvatskoj i Europskoj uniji, obavlja poslove u vezi sa sklapanjem partnerstva povezanih s programima i projektima Europske unije, kao i na druge oblike suradnje usmjerene korištenju sredstava iz fondova Europske unije, izrađuje sažetke operacija za projekte iz područja tržišta rada i zapošljavanja financirane iz fondova Europske unije, sudjeluje u njihovoj provedbi i praćenju, te obavlja i druge poslove u okviru svog djelokruga.“.</w:t>
      </w: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5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23860" w:rsidP="007F10F7">
      <w:pPr>
        <w:jc w:val="both"/>
      </w:pPr>
      <w:r w:rsidRPr="00991FD5">
        <w:t>Naslov iznad č</w:t>
      </w:r>
      <w:r w:rsidR="007F10F7" w:rsidRPr="00991FD5">
        <w:t>lank</w:t>
      </w:r>
      <w:r w:rsidRPr="00991FD5">
        <w:t>a</w:t>
      </w:r>
      <w:r w:rsidR="007F10F7" w:rsidRPr="00991FD5">
        <w:t xml:space="preserve"> 29. i </w:t>
      </w:r>
      <w:r w:rsidRPr="00991FD5">
        <w:t>članak 29.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t>„4.2.2. Služba za praćenje i usklađivanje potreba tržišta rada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t>Članak 29.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both"/>
      </w:pPr>
      <w:r w:rsidRPr="00991FD5">
        <w:t>Služba za praćenje i usklađivanje potreba tržišta rada obavlja stručne i analitičke poslove u vezi s koordinacijom politika zapošljavanja i tržišta rada s politikama obrazovanja, gospodarstva te koordinacijom dionika, instrumenata i metodologija u cilju usklađivanja obrazovne ponude i potražnje na tržištu rada, obavlja stručne poslove na području suradnje s ministarstvom nadležnim za znanost i obrazovanje u području primjene i razvoja Hrvatskog kvalifikacijskog okvira, provodi upravne i stručne poslove vođenja postupka formalnog vrednovanja standarda zanimanja i upisa u Podregistar standarda zanimanja, priprema stručne i analitičke podloge i alate za izradu standarda zanimanja te obavlja kontinuiranu stručnu podršku predlagateljima standarda zanimanja, surađuje s dionicima tržišta rada u procjeni potreba i izradi standarda zanimanja, sudjeluje u izradi strateških dokumenata u području obrazovanja i tržišta rada u suradnji s ostalim nadležnim tijelima državne uprave, obavlja poslove uređenja i vođenja Nacionalne klasifikacije zanimanja te povezivanje iste s Europskom klasifikacijom zanimanja i vještina (ESCO) kao i ujednačavanja kompetencijskog okvira i implementacije u nacionalne instrumente posredovanja pri zapošljavanju, obavlja poslove koordinacije sustava reguliranih profesija, ažurira i vodi europsku bazu reguliranih profesija, te izdaje EU potvrde fizičkim osobama, u suradnji s nadležnim tijelima ažurira i uređuje popise reguliranih profesija te iste usklađuje s europskom direktivom, koordinira vrednovanje programa obrazovanja odraslih koji se provode u okviru mjera aktivne politike zapošljavanja, sudjeluje u radu vijeća, radnih skupina i odbora nadležnog središnjeg tijela za područje obrazovanja, te obavlja i druge poslove u okviru svog djelokruga.“.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6</w:t>
      </w:r>
      <w:r w:rsidRPr="00991FD5">
        <w:rPr>
          <w:b/>
        </w:rPr>
        <w:t>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Članak 61. mijenja se i glasi: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pStyle w:val="box458411"/>
        <w:spacing w:before="0" w:beforeAutospacing="0" w:after="0"/>
        <w:jc w:val="both"/>
      </w:pPr>
      <w:r w:rsidRPr="00991FD5">
        <w:t xml:space="preserve">„Samostalni sektor za socijalno partnerstvo obavlja organizacijske, administrativno-tehničke i druge poslove za potrebe nacionalnog Gospodarsko-socijalnog vijeća i njegovih stalnih i povremenih radnih tijela, vodi aktivnosti u svezi koordinacije i posredovanja u cilju boljeg razvitka tripartitnog socijalnog dijaloga i partnerstva u Republici Hrvatskoj, od lokalne do nacionalne razine, organizira i vodi poslove vezane uz postupke osiguranja administrativne potpore pregovaračkom odboru Vlade Republike Hrvatske u kolektivnom pregovaranju o sklapanju temeljnog kolektivnog ugovora za službenike i namještenike u javnim službama i kolektivnog ugovora za državne službenike i namještenike, surađuje i pruža stručnu pomoć koordinatorima za socijalni dijalog u tijelima državne uprave i koordinira suradnju tijela državne uprave i socijalnih partnera na nacionalnoj razini, koordinira aktivnosti i pruža stručnu pomoć aktivnostima gospodarsko-socijalnih vijeća u jedinicama lokalne i područne </w:t>
      </w:r>
      <w:r w:rsidRPr="00991FD5">
        <w:lastRenderedPageBreak/>
        <w:t>(regionalne) samouprave, pruža stručnu pomoć u radu i osnivanju sektorskih socijalnih vijeća, vodi i obavlja administrativne poslove vezane uz postupak obveznoga mirenja u kolektivnim radnim sporovima, vodi listu miritelja u kolektivnim radnim sporovima koju utvrđuje Gospodarsko-socijalno vijeće i evidenciju postupaka obveznog mirenja u kolektivnim radnim sporovima, pruža stručnu pomoć organizacijama socijalnih partnera u okviru svog djelokruga, sudjeluje u izradi godišnjeg plana rada, prati provođenje nacionalnih strategija i akcijskih planova iz svog djelokruga, sudjeluje u planiranju državnog proračuna i u izradi strateškog plana Ministarstva, te obavlja i druge poslove u okviru svog djelokruga.“.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7</w:t>
      </w:r>
      <w:r w:rsidRPr="00991FD5">
        <w:rPr>
          <w:b/>
        </w:rPr>
        <w:t>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Članci 61.a do 61.c brišu se.</w:t>
      </w:r>
    </w:p>
    <w:p w:rsidR="007F10F7" w:rsidRPr="00991FD5" w:rsidRDefault="007F10F7" w:rsidP="007F10F7">
      <w:pPr>
        <w:pStyle w:val="clanak-"/>
        <w:spacing w:before="0" w:beforeAutospacing="0" w:after="0" w:afterAutospacing="0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8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-"/>
        <w:spacing w:before="0" w:beforeAutospacing="0" w:after="0" w:afterAutospacing="0"/>
      </w:pPr>
    </w:p>
    <w:p w:rsidR="007F10F7" w:rsidRPr="00991FD5" w:rsidRDefault="00523860" w:rsidP="007F10F7">
      <w:pPr>
        <w:jc w:val="both"/>
      </w:pPr>
      <w:r w:rsidRPr="00991FD5">
        <w:t>Naslov iznad č</w:t>
      </w:r>
      <w:r w:rsidR="007F10F7" w:rsidRPr="00991FD5">
        <w:t>lank</w:t>
      </w:r>
      <w:r w:rsidRPr="00991FD5">
        <w:t>a</w:t>
      </w:r>
      <w:r w:rsidR="007F10F7" w:rsidRPr="00991FD5">
        <w:t xml:space="preserve"> 61.d i </w:t>
      </w:r>
      <w:r w:rsidRPr="00991FD5">
        <w:t>članak 61.d</w:t>
      </w:r>
      <w:r w:rsidR="007F10F7" w:rsidRPr="00991FD5">
        <w:t xml:space="preserve"> mijenjaju se i glase: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  <w:rPr>
          <w:color w:val="231F20"/>
        </w:rPr>
      </w:pPr>
      <w:r w:rsidRPr="00991FD5">
        <w:t>„</w:t>
      </w:r>
      <w:r w:rsidRPr="00991FD5">
        <w:rPr>
          <w:b/>
        </w:rPr>
        <w:t>8.a</w:t>
      </w:r>
      <w:r w:rsidR="00523860" w:rsidRPr="00991FD5">
        <w:rPr>
          <w:b/>
        </w:rPr>
        <w:t xml:space="preserve"> </w:t>
      </w:r>
      <w:r w:rsidRPr="00991FD5">
        <w:rPr>
          <w:b/>
          <w:color w:val="231F20"/>
        </w:rPr>
        <w:t>SAMOSTALNI SEKTOR ZA KOORDINACIJU EUROPSKIH POSLOVA I MEĐUNARODNE SURADNJE</w:t>
      </w:r>
    </w:p>
    <w:p w:rsidR="007F10F7" w:rsidRPr="00991FD5" w:rsidRDefault="007F10F7" w:rsidP="007F10F7">
      <w:pPr>
        <w:jc w:val="center"/>
        <w:rPr>
          <w:color w:val="231F20"/>
        </w:rPr>
      </w:pPr>
    </w:p>
    <w:p w:rsidR="007F10F7" w:rsidRPr="00991FD5" w:rsidRDefault="007F10F7" w:rsidP="007F10F7">
      <w:pPr>
        <w:jc w:val="center"/>
        <w:rPr>
          <w:color w:val="231F20"/>
        </w:rPr>
      </w:pPr>
      <w:r w:rsidRPr="00991FD5">
        <w:rPr>
          <w:color w:val="231F20"/>
        </w:rPr>
        <w:t xml:space="preserve">Članak 61.d </w:t>
      </w:r>
    </w:p>
    <w:p w:rsidR="007F10F7" w:rsidRPr="00991FD5" w:rsidRDefault="007F10F7" w:rsidP="007F10F7">
      <w:pPr>
        <w:jc w:val="center"/>
        <w:rPr>
          <w:color w:val="231F20"/>
        </w:rPr>
      </w:pPr>
    </w:p>
    <w:p w:rsidR="007F10F7" w:rsidRPr="00991FD5" w:rsidRDefault="007F10F7" w:rsidP="007F10F7">
      <w:pPr>
        <w:jc w:val="both"/>
      </w:pPr>
      <w:r w:rsidRPr="00991FD5">
        <w:t>Samostalni sektor za koordinaciju europskih poslova i međunarodne suradnje je središnja točka za koordinaciju i izradu stručnih priprema i prijedloga stajališta iz nadležnosti Ministarstva, u suradnji s ostalim nadležnim tijelima državne uprave, drugim unutarnjim ustrojstvenim jedinicama Ministarstva i javnim ustanovama u nadležnosti Ministarstva, za potrebe sudjelovanja u radu tijela Europske unije te međunarodnih inicijativa i organizacija s naglaskom na koordinaciju aktivnosti u Međunarodnoj organizaciji rada, Vijeću Europe i Ujedinjenim narodima, vodi i redovno ažurira evidenciju bilješki kao i bazu imenovanja državnih dužnosnika i službenika Ministarstva, koordinira rad predstavnika Ministarstva u Stalnom predstavništvu Republike Hrvatske pri Europskoj uniji i/ili drugim multilateralnim organizacijama, obavlja poslove vezane uz provedbu Programa za preuzimanje i provedbu pravne stečevine Europske unije iz djelokruga Ministarstva te komunikaciju s tijelima Europske unije i drugim državama članicama, poslove vezane uz bilateralnu i multilateralnu suradnju, sudjeluje i koordinira postupke sklapanja višestranih i bilateralnih međunarodnih ugovora iz djelokruga Ministarstva te postupke usklađivanja zakonodavstva Republike Hrvatske iz djelokruga Ministarstva s višestranim međunarodnim ugovorima, sudjeluje u koordinaciji i/ili izradi odgovarajućih izvješća iz djelokruga Ministarstva, sukladno obvezama koje proizlaze iz članstva u međunarodnim organizacijama, središnja je točka za sve horizontalne poslove i aktivnosti vezane za pripremu i provedbu predsjedanja Republike Hrvatske Vijećem EU 2020., koordinira pripremu i provedbu svih organizacijskih, logističkih i drugih aktivnosti vezanih za predsjedanje, te obavlja i druge poslove u okviru svog djelokruga.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shd w:val="clear" w:color="auto" w:fill="FFFFFF" w:themeFill="background1"/>
        <w:jc w:val="both"/>
      </w:pPr>
      <w:r w:rsidRPr="00991FD5">
        <w:t>U Samostalnom sektoru za koordinaciju europskih poslova i međunarodne suradnje ustrojavaju se:</w:t>
      </w:r>
    </w:p>
    <w:p w:rsidR="007F10F7" w:rsidRPr="00991FD5" w:rsidRDefault="007F10F7" w:rsidP="007F10F7">
      <w:pPr>
        <w:shd w:val="clear" w:color="auto" w:fill="FFFFFF" w:themeFill="background1"/>
        <w:jc w:val="both"/>
      </w:pPr>
      <w:r w:rsidRPr="00991FD5">
        <w:t>8.a.1. Služba za europske poslove</w:t>
      </w:r>
    </w:p>
    <w:p w:rsidR="007F10F7" w:rsidRPr="00991FD5" w:rsidRDefault="007F10F7" w:rsidP="007F10F7">
      <w:pPr>
        <w:shd w:val="clear" w:color="auto" w:fill="FFFFFF" w:themeFill="background1"/>
        <w:jc w:val="both"/>
      </w:pPr>
      <w:r w:rsidRPr="00991FD5">
        <w:t xml:space="preserve">8.a.2. </w:t>
      </w:r>
      <w:r w:rsidRPr="00991FD5">
        <w:rPr>
          <w:color w:val="231F20"/>
        </w:rPr>
        <w:t>Služba za međunarodne poslove.“.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Članak 1</w:t>
      </w:r>
      <w:r w:rsidR="00A03A63" w:rsidRPr="00991FD5">
        <w:rPr>
          <w:b/>
        </w:rPr>
        <w:t>9</w:t>
      </w:r>
      <w:r w:rsidRPr="00991FD5">
        <w:rPr>
          <w:b/>
        </w:rPr>
        <w:t>.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both"/>
      </w:pPr>
      <w:r w:rsidRPr="00991FD5">
        <w:t xml:space="preserve">Iza članka 61.d dodaju se članci 61.e, 61.f, 61.g, 61.h i 61.i s naslovima iznad njih koji glase: </w:t>
      </w:r>
    </w:p>
    <w:p w:rsidR="007F10F7" w:rsidRPr="00991FD5" w:rsidRDefault="007F10F7" w:rsidP="007F10F7">
      <w:pPr>
        <w:shd w:val="clear" w:color="auto" w:fill="FFFFFF" w:themeFill="background1"/>
        <w:jc w:val="center"/>
      </w:pPr>
    </w:p>
    <w:p w:rsidR="007F10F7" w:rsidRPr="00991FD5" w:rsidRDefault="007F10F7" w:rsidP="007F10F7">
      <w:pPr>
        <w:shd w:val="clear" w:color="auto" w:fill="FFFFFF" w:themeFill="background1"/>
        <w:jc w:val="center"/>
      </w:pPr>
      <w:r w:rsidRPr="00991FD5">
        <w:lastRenderedPageBreak/>
        <w:t>„8.a.1. Služba za europske poslove</w:t>
      </w:r>
    </w:p>
    <w:p w:rsidR="007F10F7" w:rsidRPr="00991FD5" w:rsidRDefault="007F10F7" w:rsidP="007F10F7">
      <w:pPr>
        <w:shd w:val="clear" w:color="auto" w:fill="FFFFFF" w:themeFill="background1"/>
        <w:jc w:val="both"/>
      </w:pPr>
    </w:p>
    <w:p w:rsidR="007F10F7" w:rsidRPr="00991FD5" w:rsidRDefault="007F10F7" w:rsidP="007F10F7">
      <w:pPr>
        <w:shd w:val="clear" w:color="auto" w:fill="FFFFFF" w:themeFill="background1"/>
        <w:jc w:val="center"/>
      </w:pPr>
      <w:r w:rsidRPr="00991FD5">
        <w:t>Članak 61.e</w:t>
      </w:r>
    </w:p>
    <w:p w:rsidR="007F10F7" w:rsidRPr="00991FD5" w:rsidRDefault="007F10F7" w:rsidP="007F10F7">
      <w:pPr>
        <w:shd w:val="clear" w:color="auto" w:fill="FFFFFF" w:themeFill="background1"/>
        <w:jc w:val="center"/>
      </w:pPr>
    </w:p>
    <w:p w:rsidR="007F10F7" w:rsidRPr="00991FD5" w:rsidRDefault="007F10F7" w:rsidP="007F10F7">
      <w:pPr>
        <w:jc w:val="both"/>
      </w:pPr>
      <w:r w:rsidRPr="00991FD5">
        <w:t>Služba za europske poslove obavlja stručne poslove vezane za koordinaciju sudjelovanja Ministarstva i javnih ustanova u djelokrugu Ministarstva u radu tijela Europske unije, vodi evidenciju i ažurira bilješke, koordinira izradu stručnih priprema te prijedloga stajališta iz nadležnosti Ministarstva s ostalim nadležnim tijelima državne uprave, drugim unutarnjim ustrojstvenim jedinicama Ministarstva i javnim ustanovama u nadležnosti Ministarstva iz njihovog djelokruga koji je povezan s Europskom unijom, prvenstveno sudjelovanje u radnim skupinama Vijeća i sudjelovanje u formaciji Vijeća za zapošljavanje, socijalnu politiku, zdravstvo i pitanja potrošača te za potrebe sudjelovanja u drugim tijelima Europske unije iz djelokruga Ministarstva, obavlja poslove vezane uz provedbu Programa za preuzimanje i provedbu pravne stečevine Europske unije iz djelokruga Ministarstva, prati rad Međuresorne radne skupine za europske poslove i EU koordinaciju pri Ministarstvu vanjskih i europskih poslova, p</w:t>
      </w:r>
      <w:r w:rsidRPr="00991FD5">
        <w:rPr>
          <w:color w:val="231F20"/>
        </w:rPr>
        <w:t>riprema predsjedanje Republike Hrvatske Vijećem EU 2020. i</w:t>
      </w:r>
      <w:r w:rsidRPr="00991FD5">
        <w:t xml:space="preserve">z djelokruga Ministarstva u suradnji sa </w:t>
      </w:r>
      <w:r w:rsidRPr="00991FD5">
        <w:rPr>
          <w:color w:val="231F20"/>
        </w:rPr>
        <w:t>Stalnim predstavništvom Republike Hrvatske pri E</w:t>
      </w:r>
      <w:r w:rsidR="00D42D01" w:rsidRPr="00991FD5">
        <w:rPr>
          <w:color w:val="231F20"/>
        </w:rPr>
        <w:t>uropskoj uniji</w:t>
      </w:r>
      <w:r w:rsidRPr="00991FD5">
        <w:rPr>
          <w:color w:val="231F20"/>
        </w:rPr>
        <w:t>, drugim nadležnim tijelima državne uprave,</w:t>
      </w:r>
      <w:r w:rsidRPr="00991FD5">
        <w:t xml:space="preserve"> posebice s ministarstvima čiji se djelokrug nalazi unutar Vijeća za zapošljavanje, socijalnu politiku, zdravstvo i pitanja potrošača</w:t>
      </w:r>
      <w:r w:rsidRPr="00991FD5">
        <w:rPr>
          <w:color w:val="231F20"/>
        </w:rPr>
        <w:t xml:space="preserve"> te javnim ustanovama u nadležnosti Ministarstva, obavlja </w:t>
      </w:r>
      <w:r w:rsidRPr="00991FD5">
        <w:t>komunikaciju s tijelima E</w:t>
      </w:r>
      <w:r w:rsidR="00D42D01" w:rsidRPr="00991FD5">
        <w:t>uropske unije</w:t>
      </w:r>
      <w:r w:rsidRPr="00991FD5">
        <w:t xml:space="preserve"> i drugim državama članicama, koordinira izradu prioriteta Republike Hrvatske iz djelokruga Ministarstva, o</w:t>
      </w:r>
      <w:r w:rsidRPr="00991FD5">
        <w:rPr>
          <w:color w:val="231F20"/>
        </w:rPr>
        <w:t xml:space="preserve">bavlja sve horizontalne poslove i aktivnosti vezane za pripremu i provedbu predsjedanja Republike Hrvatske Vijećem EU 2020.,  te koordinira pripremu i provedbu svih organizacijskih i logističkih aktivnosti, obavlja i druge poslove vezane za pripremu Predsjedanja, </w:t>
      </w:r>
      <w:r w:rsidRPr="00991FD5">
        <w:t>te obavlja i druge poslove u okviru svog djelokruga.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shd w:val="clear" w:color="auto" w:fill="FFFFFF" w:themeFill="background1"/>
        <w:jc w:val="center"/>
      </w:pPr>
      <w:r w:rsidRPr="00991FD5">
        <w:t xml:space="preserve">8.a.2. </w:t>
      </w:r>
      <w:r w:rsidRPr="00991FD5">
        <w:rPr>
          <w:color w:val="231F20"/>
        </w:rPr>
        <w:t>Služba za međunarodne poslove</w:t>
      </w:r>
    </w:p>
    <w:p w:rsidR="007F10F7" w:rsidRPr="00991FD5" w:rsidRDefault="007F10F7" w:rsidP="007F10F7">
      <w:pPr>
        <w:shd w:val="clear" w:color="auto" w:fill="FFFFFF" w:themeFill="background1"/>
        <w:jc w:val="both"/>
      </w:pPr>
    </w:p>
    <w:p w:rsidR="007F10F7" w:rsidRPr="00991FD5" w:rsidRDefault="007F10F7" w:rsidP="007F10F7">
      <w:pPr>
        <w:shd w:val="clear" w:color="auto" w:fill="FFFFFF" w:themeFill="background1"/>
        <w:jc w:val="center"/>
      </w:pPr>
      <w:r w:rsidRPr="00991FD5">
        <w:t>Članak 61.f</w:t>
      </w:r>
    </w:p>
    <w:p w:rsidR="007F10F7" w:rsidRPr="00991FD5" w:rsidRDefault="007F10F7" w:rsidP="007F10F7">
      <w:pPr>
        <w:shd w:val="clear" w:color="auto" w:fill="FFFFFF" w:themeFill="background1"/>
        <w:jc w:val="center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textAlignment w:val="baseline"/>
      </w:pPr>
      <w:r w:rsidRPr="00991FD5">
        <w:t xml:space="preserve">Služba za međunarodne poslove koordinira sudjelovanje u radu međunarodnih inicijativa i međunarodnih organizacija u djelokrugu Ministarstva a osobito Međunarodne organizacije rada, Vijeća Europe, Ujedinjenih naroda, vodi evidenciju i ažurira bilješke te prati međunarodne propise iz nadležnosti Ministarstva, obavlja i prati poslove vezane uz bilateralnu i multilateralnu suradnju, koordinira postupke sklapanja višestranih i bilateralnih međunarodnih ugovora iz djelokruga Ministarstva te postupke usklađivanja zakonodavstva Republike Hrvatske iz djelokruga Ministarstva s višestranim međunarodnim ugovorima, koordinira izradu odgovarajućih izvješća iz djelokruga Ministarstva sukladno obvezama koje proizlaze iz članstva u međunarodnim organizacijama, u suradnji s drugim unutarnjim ustrojstvenim jedinicama Ministarstva, </w:t>
      </w:r>
      <w:r w:rsidRPr="00991FD5">
        <w:rPr>
          <w:color w:val="231F20"/>
        </w:rPr>
        <w:t xml:space="preserve">drugim nadležnim tijelima državne uprave i javnim ustanovama u nadležnosti Ministarstva koordinira </w:t>
      </w:r>
      <w:r w:rsidRPr="00991FD5">
        <w:t>izradu stručnih priprema za sudjelovanje u radu međunarodnih organizacija, u sklopu provedbe aktivnosti vezanih za  Predsjedanje Republike Hrvatske Vijećem Europske unije obavlja koordinativne poslove vezane uz pripremu Predsjedanja unutar Međunarodne organizacije rada, te obavlja i druge poslove u okviru svog djelokruga.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textAlignment w:val="baseline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8.b SAMOSTALNI SEKTOR ZA ANALITIKU</w:t>
      </w:r>
    </w:p>
    <w:p w:rsidR="007F10F7" w:rsidRPr="00991FD5" w:rsidRDefault="007F10F7" w:rsidP="007F10F7">
      <w:pPr>
        <w:jc w:val="center"/>
        <w:rPr>
          <w:b/>
          <w:i/>
        </w:rPr>
      </w:pPr>
    </w:p>
    <w:p w:rsidR="007F10F7" w:rsidRPr="00991FD5" w:rsidRDefault="007F10F7" w:rsidP="007F10F7">
      <w:pPr>
        <w:jc w:val="center"/>
      </w:pPr>
      <w:r w:rsidRPr="00991FD5">
        <w:t>Članak 61.g</w:t>
      </w: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 xml:space="preserve">Samostalni sektor za analitiku koordinira, upravlja i kontrolira poslovne procese vezane uz izradu analiza i priprema izvještaja iz djelokruga Ministarstva, definira potrebne podatke za </w:t>
      </w:r>
      <w:r w:rsidRPr="00991FD5">
        <w:rPr>
          <w:rFonts w:eastAsiaTheme="minorHAnsi"/>
          <w:color w:val="000000" w:themeColor="text1"/>
          <w:lang w:eastAsia="en-US"/>
        </w:rPr>
        <w:lastRenderedPageBreak/>
        <w:t xml:space="preserve">izradu analiza, prikuplja podatke u suradnji s drugim tijelima državne uprave u cilju razmjene i kvalitativne provjere prikupljenih podataka, izrađuje sustavne analize iz dostupnih podataka, priprema standarde podataka koji će se prikupljati, priprema i predlaže standardne obrasce i tehnička rješenja za kvalitetnije prikupljanje podataka u skladu s ciljevima digitalizacije državne uprave, osigurava dostupnost i relevantnost izrađenih izvještaja iz djelokruga Ministarstva, priprema izvještaje i biltene za javnost </w:t>
      </w:r>
      <w:r w:rsidRPr="00991FD5">
        <w:rPr>
          <w:rFonts w:eastAsiaTheme="minorHAnsi"/>
          <w:lang w:eastAsia="en-US"/>
        </w:rPr>
        <w:t>kao podrške Samostalnom odjelu za odnose s javnošću</w:t>
      </w:r>
      <w:r w:rsidRPr="00991FD5">
        <w:rPr>
          <w:rFonts w:eastAsiaTheme="minorHAnsi"/>
          <w:color w:val="FF0000"/>
          <w:lang w:eastAsia="en-US"/>
        </w:rPr>
        <w:t xml:space="preserve"> </w:t>
      </w:r>
      <w:r w:rsidRPr="00991FD5">
        <w:rPr>
          <w:rFonts w:eastAsiaTheme="minorHAnsi"/>
          <w:color w:val="000000" w:themeColor="text1"/>
          <w:lang w:eastAsia="en-US"/>
        </w:rPr>
        <w:t xml:space="preserve">u cilju pravodobnog i točnog informiranja javnosti, izrađuje analize procesa prikupljanja podataka te prijedloge proširenja i poboljšanja procesa prikupljanja istih, </w:t>
      </w:r>
      <w:r w:rsidRPr="00991FD5">
        <w:rPr>
          <w:rFonts w:eastAsiaTheme="minorHAnsi"/>
          <w:lang w:eastAsia="en-US"/>
        </w:rPr>
        <w:t xml:space="preserve">sukladno promjenama na tržištu rada i ciljevima razvoja radnog zakonodavstva analizira dostupne podatke i priprema analitičke podloge za normativne poslove iz područja rada,  </w:t>
      </w:r>
      <w:r w:rsidRPr="00991FD5">
        <w:t>prati stanje i analizira dostupne podatke vezane za procese zdravlja, starenja i umirovljenja te priprema analitičke podloge vezane uz razvoj i unaprjeđenje sustava socijalne sigurnosti iz djelokruga Ministarstva,</w:t>
      </w:r>
      <w:r w:rsidRPr="00991FD5">
        <w:rPr>
          <w:rFonts w:eastAsiaTheme="minorHAnsi"/>
          <w:lang w:eastAsia="en-US"/>
        </w:rPr>
        <w:t xml:space="preserve"> </w:t>
      </w:r>
      <w:r w:rsidRPr="00991FD5">
        <w:rPr>
          <w:rFonts w:eastAsiaTheme="minorHAnsi"/>
          <w:color w:val="000000" w:themeColor="text1"/>
          <w:lang w:eastAsia="en-US"/>
        </w:rPr>
        <w:t xml:space="preserve">koordinira i obavlja analitičke poslove za pripremu podloga i analiza u svezi kolektivnih ugovora u javnom sektoru, prati učinke sklopljenih kolektivnih ugovora u javnom sektoru, daje prijedloge za unaprjeđenje stanja, koordinira praćenje provedbe i pripremu pregovora za granske kolektivne ugovore, vodi poslove u svezi podataka dobivenih putem centralnog obračuna plaća, prati učinke primjene kolektivnih ugovora javnog sektora, izrađuje godišnje izvješće o učincima sklopljenih </w:t>
      </w:r>
      <w:r w:rsidRPr="00991FD5">
        <w:rPr>
          <w:rFonts w:eastAsiaTheme="minorHAnsi"/>
          <w:lang w:eastAsia="en-US"/>
        </w:rPr>
        <w:t xml:space="preserve">kolektivnih ugovora, objedinjava </w:t>
      </w:r>
      <w:r w:rsidRPr="00991FD5">
        <w:rPr>
          <w:rFonts w:eastAsiaTheme="minorHAnsi"/>
          <w:color w:val="000000" w:themeColor="text1"/>
          <w:lang w:eastAsia="en-US"/>
        </w:rPr>
        <w:t>i dostavlja Vladi Republike Hrvatske objedinjeno izvješće o stanju obveza iz kolektivnih ugovora koji obvezuju Vladu Republike Hrvatske, sudjeluje u planiranju državnog proračuna i u izradi strateškog plana Ministarstva, te obavlja druge poslove u okviru svog djelokruga.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U Samostalnom sektoru za analitiku ustrojavaju se: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8.b.1. Služba za analizu radnog zakonodavstva i sustava socijalne sigurnosti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8.b.2. Služba za analitičku pripremu kolektivnog pregovaranja u javnom sektoru.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8.b.1. Služba za analizu radnog zakonodavstva i sustava socijalne sigurnosti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Članak 61.h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 xml:space="preserve">Služba za analizu radnog zakonodavstva i sustava socijalne sigurnosti koordinira, upravlja i kontrolira poslovne procese vezane uz izradu analiza i pripreme izvještaja iz djelokruga Sektora, obavlja stručne i administrativne poslove vezane za analizu podataka i izradu analitičkih podloga, definira potrebne podatke za izradu analiza, prikuplja podatke u suradnji s drugim tijelima državne uprave u cilju razmjene i kvalitativne provjere prikupljenih podataka, izrađuje sustavne analize iz dostupnih podataka, priprema standarde podataka koji će se prikupljati, priprema i predlaže standardne obrasce i tehnička rješenja za kvalitetnije prikupljanje podataka u skladu s ciljevima digitalizacije državne uprave, osigurava dostupnost i relevantnost izrađenih izvještaja iz djelokruga Službe, priprema izvještaje i biltene za javnost </w:t>
      </w:r>
      <w:r w:rsidRPr="00991FD5">
        <w:rPr>
          <w:rFonts w:eastAsiaTheme="minorHAnsi"/>
          <w:lang w:eastAsia="en-US"/>
        </w:rPr>
        <w:t xml:space="preserve">kao podrške Samostalnom odjelu za odnose s javnošću </w:t>
      </w:r>
      <w:r w:rsidRPr="00991FD5">
        <w:rPr>
          <w:rFonts w:eastAsiaTheme="minorHAnsi"/>
          <w:color w:val="000000" w:themeColor="text1"/>
          <w:lang w:eastAsia="en-US"/>
        </w:rPr>
        <w:t xml:space="preserve">u cilju pravodobnog i točnog informiranja javnosti, izrađuje analize procesa prikupljanja podataka te prijedloga proširenja i poboljšanja procesa prikupljanja istih, </w:t>
      </w:r>
      <w:r w:rsidRPr="00991FD5">
        <w:rPr>
          <w:rFonts w:eastAsiaTheme="minorHAnsi"/>
          <w:lang w:eastAsia="en-US"/>
        </w:rPr>
        <w:t xml:space="preserve">sukladno promjenama na tržištu rada i ciljevima razvoja radnog zakonodavstva analizira dostupne podatke i priprema analitičke podloge za normativne poslove iz područja rada, </w:t>
      </w:r>
      <w:r w:rsidRPr="00991FD5">
        <w:t>prati stanje i analizira dostupne podatke vezane za procese zdravlja, starenja i umirovljenja te priprema analitičke podloge vezane uz razvoj i unaprjeđenje sustava socijalne sigurnosti iz djelokruga Ministarstva</w:t>
      </w:r>
      <w:r w:rsidRPr="00991FD5">
        <w:rPr>
          <w:color w:val="666666"/>
        </w:rPr>
        <w:t>,</w:t>
      </w:r>
      <w:r w:rsidRPr="00991FD5">
        <w:rPr>
          <w:rFonts w:eastAsiaTheme="minorHAnsi"/>
          <w:color w:val="000000" w:themeColor="text1"/>
          <w:lang w:eastAsia="en-US"/>
        </w:rPr>
        <w:t xml:space="preserve"> te obavlja i druge poslove u okviru svog djelokruga.</w:t>
      </w: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8.b.2. Služba za analitičku pripremu kolektivnog pregovaranja u javnom sektoru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A03A63" w:rsidRPr="00991FD5" w:rsidRDefault="00A03A63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A03A63" w:rsidRPr="00991FD5" w:rsidRDefault="00A03A63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lastRenderedPageBreak/>
        <w:t>Članak 61.i</w:t>
      </w:r>
    </w:p>
    <w:p w:rsidR="007F10F7" w:rsidRPr="00991FD5" w:rsidRDefault="007F10F7" w:rsidP="007F10F7">
      <w:pPr>
        <w:pStyle w:val="box453791"/>
        <w:spacing w:before="0" w:beforeAutospacing="0" w:after="0"/>
        <w:jc w:val="center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  <w:r w:rsidRPr="00991FD5">
        <w:rPr>
          <w:rFonts w:eastAsiaTheme="minorHAnsi"/>
          <w:color w:val="000000" w:themeColor="text1"/>
          <w:lang w:eastAsia="en-US"/>
        </w:rPr>
        <w:t>Služba za analitičku pripremu kolektivnog pregovaranja u javnom sektoru koordinira, obavlja analitičke poslove za pripremu podloga i analiza u svezi kolektivnih ugovora u javnom sektoru, prati učinke sklopljenih kolektivnih ugovora u javnom sektoru, daje prijedloge za unaprjeđenje stanja, koordinira praćenje provedbe i pripremu pregovora za granske kolektivne ugovore, vodi poslove u svezi podataka dobivenih putem centralnog obračuna plaća, pruža administrativnu i stručnu podršku Povjerenstvu za tumačenje Temeljnog kolektivnog ugovora, pruža administrativnu i stručnu podršku povjerenstvima sukladno Temeljnom kolektivnom ugovoru, prati pravne i financijske učinke primjene kolektivnih ugovora javnog sektora, izrađuje godišnje izvješće o učincima sklopljenoga kolektivnoga ugovora koje uključuje pravne i financijske učinke sklopljenoga kolektivnoga ugovora te informaciju o eventualnim pravnim problemima i sudskim sporovima vezanima uz primjenu kolektivnoga ugovora, objedinjava i priprema za dostavu Vladi Republike Hrvatske objedinjenog izvješća o stanju obveza iz kolektivnih ugovora koji obvezuju Vladu Republike Hrvatske, te obavlja i druge poslove u okviru svog djelokruga.“.</w:t>
      </w:r>
    </w:p>
    <w:p w:rsidR="00941FE0" w:rsidRPr="00991FD5" w:rsidRDefault="00941FE0" w:rsidP="007F10F7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941FE0">
      <w:pPr>
        <w:pStyle w:val="box458998"/>
        <w:spacing w:before="0" w:beforeAutospacing="0" w:after="0"/>
        <w:jc w:val="center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20</w:t>
      </w:r>
      <w:r w:rsidRPr="00991FD5">
        <w:rPr>
          <w:b/>
        </w:rPr>
        <w:t>.</w:t>
      </w:r>
    </w:p>
    <w:p w:rsidR="00941FE0" w:rsidRPr="00991FD5" w:rsidRDefault="00941FE0" w:rsidP="00941FE0">
      <w:pPr>
        <w:pStyle w:val="box458998"/>
        <w:spacing w:before="0" w:beforeAutospacing="0" w:after="0"/>
        <w:jc w:val="both"/>
      </w:pPr>
    </w:p>
    <w:p w:rsidR="007F10F7" w:rsidRPr="00991FD5" w:rsidRDefault="00D42D01" w:rsidP="00941FE0">
      <w:pPr>
        <w:pStyle w:val="box458998"/>
        <w:spacing w:before="0" w:beforeAutospacing="0" w:after="0"/>
        <w:jc w:val="both"/>
      </w:pPr>
      <w:r w:rsidRPr="00991FD5">
        <w:t xml:space="preserve">Naslovi iznad članaka </w:t>
      </w:r>
      <w:r w:rsidR="007F10F7" w:rsidRPr="00991FD5">
        <w:t xml:space="preserve">64. do 80. i članci </w:t>
      </w:r>
      <w:r w:rsidRPr="00991FD5">
        <w:t>64</w:t>
      </w:r>
      <w:r w:rsidR="007F10F7" w:rsidRPr="00991FD5">
        <w:t xml:space="preserve">. </w:t>
      </w:r>
      <w:r w:rsidR="00941FE0" w:rsidRPr="00991FD5">
        <w:t>do 80. brišu se.</w:t>
      </w:r>
    </w:p>
    <w:p w:rsidR="00941FE0" w:rsidRPr="00991FD5" w:rsidRDefault="00941FE0" w:rsidP="00941FE0">
      <w:pPr>
        <w:pStyle w:val="box458998"/>
        <w:spacing w:before="0" w:beforeAutospacing="0" w:after="0"/>
        <w:jc w:val="center"/>
        <w:rPr>
          <w:b/>
        </w:rPr>
      </w:pPr>
    </w:p>
    <w:p w:rsidR="00941FE0" w:rsidRPr="00991FD5" w:rsidRDefault="00941FE0" w:rsidP="00941FE0">
      <w:pPr>
        <w:pStyle w:val="box458998"/>
        <w:spacing w:before="0" w:beforeAutospacing="0" w:after="0"/>
        <w:jc w:val="center"/>
        <w:rPr>
          <w:b/>
        </w:rPr>
      </w:pPr>
      <w:r w:rsidRPr="00991FD5">
        <w:rPr>
          <w:b/>
        </w:rPr>
        <w:t xml:space="preserve">Članak </w:t>
      </w:r>
      <w:r w:rsidR="00A03A63" w:rsidRPr="00991FD5">
        <w:rPr>
          <w:b/>
        </w:rPr>
        <w:t>21</w:t>
      </w:r>
      <w:r w:rsidRPr="00991FD5">
        <w:rPr>
          <w:b/>
        </w:rPr>
        <w:t>.</w:t>
      </w:r>
    </w:p>
    <w:p w:rsidR="00941FE0" w:rsidRPr="00991FD5" w:rsidRDefault="00941FE0" w:rsidP="00941FE0">
      <w:pPr>
        <w:pStyle w:val="box458998"/>
        <w:spacing w:before="0" w:beforeAutospacing="0" w:after="0"/>
        <w:jc w:val="both"/>
      </w:pPr>
    </w:p>
    <w:p w:rsidR="00941FE0" w:rsidRPr="00991FD5" w:rsidRDefault="00941FE0" w:rsidP="00941FE0">
      <w:pPr>
        <w:pStyle w:val="box458998"/>
        <w:spacing w:before="0" w:beforeAutospacing="0" w:after="0"/>
        <w:jc w:val="both"/>
      </w:pPr>
      <w:r w:rsidRPr="00991FD5">
        <w:t>Članci 84. do 85. brišu se.</w:t>
      </w:r>
    </w:p>
    <w:p w:rsidR="00941FE0" w:rsidRPr="00991FD5" w:rsidRDefault="00941FE0" w:rsidP="00941FE0">
      <w:pPr>
        <w:pStyle w:val="box458998"/>
        <w:spacing w:before="0" w:beforeAutospacing="0" w:after="0"/>
        <w:jc w:val="center"/>
      </w:pPr>
    </w:p>
    <w:p w:rsidR="007F10F7" w:rsidRPr="00991FD5" w:rsidRDefault="007F10F7" w:rsidP="00941FE0">
      <w:pPr>
        <w:pStyle w:val="box458998"/>
        <w:spacing w:before="0" w:beforeAutospacing="0" w:after="0"/>
        <w:jc w:val="center"/>
        <w:rPr>
          <w:b/>
        </w:rPr>
      </w:pPr>
      <w:r w:rsidRPr="00991FD5">
        <w:rPr>
          <w:b/>
        </w:rPr>
        <w:t xml:space="preserve">Članak </w:t>
      </w:r>
      <w:r w:rsidR="00941FE0" w:rsidRPr="00991FD5">
        <w:rPr>
          <w:b/>
        </w:rPr>
        <w:t>2</w:t>
      </w:r>
      <w:r w:rsidR="00A03A63" w:rsidRPr="00991FD5">
        <w:rPr>
          <w:b/>
        </w:rPr>
        <w:t>2</w:t>
      </w:r>
      <w:r w:rsidRPr="00991FD5">
        <w:rPr>
          <w:b/>
        </w:rPr>
        <w:t>.</w:t>
      </w:r>
    </w:p>
    <w:p w:rsidR="00941FE0" w:rsidRPr="00991FD5" w:rsidRDefault="00941FE0" w:rsidP="00941FE0">
      <w:pPr>
        <w:pStyle w:val="box458998"/>
        <w:spacing w:before="0" w:beforeAutospacing="0" w:after="0"/>
        <w:jc w:val="center"/>
        <w:rPr>
          <w:b/>
        </w:rPr>
      </w:pPr>
    </w:p>
    <w:p w:rsidR="007F10F7" w:rsidRPr="00991FD5" w:rsidRDefault="007F10F7" w:rsidP="00941FE0">
      <w:pPr>
        <w:pStyle w:val="box458998"/>
        <w:spacing w:before="0" w:beforeAutospacing="0" w:after="0"/>
        <w:jc w:val="both"/>
      </w:pPr>
      <w:r w:rsidRPr="00991FD5">
        <w:t>U cijelom tekstu Uredbe riječi: »Samostalna služba za koordinaciju europskih poslova i međunarodne suradnje« zamjenjuju se riječima: »Samostalni sektor za koordinaciju europskih poslova i međunarodne suradnje«, u odgovarajućem padežu.</w:t>
      </w:r>
    </w:p>
    <w:p w:rsidR="007F10F7" w:rsidRPr="00991FD5" w:rsidRDefault="007F10F7" w:rsidP="00941FE0">
      <w:pPr>
        <w:pStyle w:val="box453791"/>
        <w:spacing w:before="0" w:beforeAutospacing="0" w:after="0"/>
        <w:jc w:val="both"/>
        <w:rPr>
          <w:rFonts w:eastAsiaTheme="minorHAnsi"/>
          <w:color w:val="000000" w:themeColor="text1"/>
          <w:lang w:eastAsia="en-US"/>
        </w:rPr>
      </w:pPr>
    </w:p>
    <w:p w:rsidR="007F10F7" w:rsidRPr="00991FD5" w:rsidRDefault="007F10F7" w:rsidP="00941FE0">
      <w:pPr>
        <w:jc w:val="center"/>
        <w:rPr>
          <w:b/>
        </w:rPr>
      </w:pPr>
      <w:r w:rsidRPr="00991FD5">
        <w:rPr>
          <w:b/>
        </w:rPr>
        <w:t>Članak 2</w:t>
      </w:r>
      <w:r w:rsidR="00A03A63" w:rsidRPr="00991FD5">
        <w:rPr>
          <w:b/>
        </w:rPr>
        <w:t>3</w:t>
      </w:r>
      <w:r w:rsidRPr="00991FD5">
        <w:rPr>
          <w:b/>
        </w:rPr>
        <w:t xml:space="preserve">. </w:t>
      </w:r>
    </w:p>
    <w:p w:rsidR="007F10F7" w:rsidRPr="00991FD5" w:rsidRDefault="007F10F7" w:rsidP="00941FE0">
      <w:pPr>
        <w:pStyle w:val="t-9-8"/>
        <w:spacing w:before="0" w:beforeAutospacing="0" w:after="0" w:afterAutospacing="0"/>
        <w:jc w:val="both"/>
      </w:pPr>
    </w:p>
    <w:p w:rsidR="007F10F7" w:rsidRPr="00991FD5" w:rsidRDefault="007F10F7" w:rsidP="00941FE0">
      <w:pPr>
        <w:pStyle w:val="t-9-8"/>
        <w:spacing w:before="0" w:beforeAutospacing="0" w:after="0" w:afterAutospacing="0"/>
        <w:jc w:val="both"/>
      </w:pPr>
      <w:r w:rsidRPr="00991FD5">
        <w:t>Okvirni broj potrebnih državnih službenika i namještenika Ministarstva rada i mirovinskoga sustava prikazan u tablici koja je sastavni dio Uredbe o izmjenama i dopuni Uredbe o unutarnjem ustrojstvu Ministarstva rada i mirovinskoga sustava (</w:t>
      </w:r>
      <w:r w:rsidR="00941FE0" w:rsidRPr="00991FD5">
        <w:t>N</w:t>
      </w:r>
      <w:r w:rsidRPr="00991FD5">
        <w:t>arodne novine, br</w:t>
      </w:r>
      <w:r w:rsidR="00941FE0" w:rsidRPr="00991FD5">
        <w:t>.</w:t>
      </w:r>
      <w:r w:rsidRPr="00991FD5">
        <w:t xml:space="preserve"> 116/18) zamjenjuje se Okvirnim broj potrebnih državnih službenika i namještenika Ministarstva rada i mirovinskoga sustava koji je prikazan u tablici u prilogu ove Uredbe i njezin je sastavni dio.</w:t>
      </w:r>
    </w:p>
    <w:p w:rsidR="007F10F7" w:rsidRPr="00991FD5" w:rsidRDefault="007F10F7" w:rsidP="007F10F7">
      <w:pPr>
        <w:pStyle w:val="t-9-8"/>
        <w:spacing w:before="0" w:beforeAutospacing="0" w:after="0" w:afterAutospacing="0"/>
        <w:jc w:val="both"/>
      </w:pPr>
    </w:p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t>Članak 2</w:t>
      </w:r>
      <w:r w:rsidR="00A03A63" w:rsidRPr="00991FD5">
        <w:rPr>
          <w:b/>
        </w:rPr>
        <w:t>4</w:t>
      </w:r>
      <w:r w:rsidRPr="00991FD5">
        <w:rPr>
          <w:b/>
        </w:rPr>
        <w:t>.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Ministar rada i mirovinskoga sustava, uz prethodnu suglasnost središnjeg tijela državne uprave nadležnog za službeničke odnose, uskladit će Pravilnik o unutarnjem redu Ministarstva rada i mirovinskoga sustava s odredbama ove Uredbe u roku od 30 dana od dana njezina stupanja na snagu.</w:t>
      </w:r>
    </w:p>
    <w:p w:rsidR="007F10F7" w:rsidRPr="00991FD5" w:rsidRDefault="007F10F7" w:rsidP="007F10F7">
      <w:pPr>
        <w:jc w:val="both"/>
      </w:pPr>
    </w:p>
    <w:p w:rsidR="00A03A63" w:rsidRPr="00991FD5" w:rsidRDefault="00A03A63" w:rsidP="007F10F7">
      <w:pPr>
        <w:jc w:val="both"/>
      </w:pPr>
    </w:p>
    <w:p w:rsidR="00A03A63" w:rsidRPr="00991FD5" w:rsidRDefault="00A03A63" w:rsidP="007F10F7">
      <w:pPr>
        <w:jc w:val="both"/>
      </w:pPr>
    </w:p>
    <w:p w:rsidR="00A03A63" w:rsidRPr="00991FD5" w:rsidRDefault="00A03A63" w:rsidP="007F10F7">
      <w:pPr>
        <w:jc w:val="both"/>
      </w:pPr>
    </w:p>
    <w:p w:rsidR="00A03A63" w:rsidRPr="00991FD5" w:rsidRDefault="00A03A63" w:rsidP="007F10F7">
      <w:pPr>
        <w:jc w:val="both"/>
      </w:pPr>
    </w:p>
    <w:p w:rsidR="00A03A63" w:rsidRPr="00991FD5" w:rsidRDefault="00A03A63" w:rsidP="007F10F7">
      <w:pPr>
        <w:jc w:val="both"/>
      </w:pPr>
    </w:p>
    <w:p w:rsidR="00A03A63" w:rsidRPr="00991FD5" w:rsidRDefault="00A03A63" w:rsidP="007F10F7">
      <w:pPr>
        <w:jc w:val="both"/>
      </w:pPr>
    </w:p>
    <w:p w:rsidR="007F10F7" w:rsidRPr="00991FD5" w:rsidRDefault="007F10F7" w:rsidP="007F10F7">
      <w:pPr>
        <w:pStyle w:val="clanak"/>
        <w:spacing w:before="0" w:beforeAutospacing="0" w:after="0" w:afterAutospacing="0"/>
        <w:rPr>
          <w:b/>
        </w:rPr>
      </w:pPr>
      <w:r w:rsidRPr="00991FD5">
        <w:rPr>
          <w:b/>
        </w:rPr>
        <w:lastRenderedPageBreak/>
        <w:t>Članak 2</w:t>
      </w:r>
      <w:r w:rsidR="00A03A63" w:rsidRPr="00991FD5">
        <w:rPr>
          <w:b/>
        </w:rPr>
        <w:t>5</w:t>
      </w:r>
      <w:r w:rsidRPr="00991FD5">
        <w:rPr>
          <w:b/>
        </w:rPr>
        <w:t>.</w:t>
      </w:r>
    </w:p>
    <w:p w:rsidR="007F10F7" w:rsidRPr="00991FD5" w:rsidRDefault="007F10F7" w:rsidP="007F10F7">
      <w:pPr>
        <w:pStyle w:val="clanak"/>
        <w:spacing w:before="0" w:beforeAutospacing="0" w:after="0" w:afterAutospacing="0"/>
      </w:pPr>
    </w:p>
    <w:p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>Ova Uredba stupa na snagu osmoga dana od dana objave u Narodnim novinama.</w:t>
      </w:r>
    </w:p>
    <w:p w:rsidR="007F10F7" w:rsidRPr="00991FD5" w:rsidRDefault="007F10F7" w:rsidP="007F10F7">
      <w:pPr>
        <w:pStyle w:val="klasa2"/>
        <w:spacing w:before="0" w:beforeAutospacing="0" w:after="0" w:afterAutospacing="0"/>
        <w:jc w:val="both"/>
      </w:pPr>
    </w:p>
    <w:p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 xml:space="preserve">Klasa: </w:t>
      </w:r>
    </w:p>
    <w:p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>Urbroj:</w:t>
      </w:r>
    </w:p>
    <w:p w:rsidR="007F10F7" w:rsidRPr="00991FD5" w:rsidRDefault="007F10F7" w:rsidP="007F10F7">
      <w:pPr>
        <w:pStyle w:val="klasa2"/>
        <w:spacing w:before="0" w:beforeAutospacing="0" w:after="0" w:afterAutospacing="0"/>
        <w:jc w:val="both"/>
      </w:pPr>
      <w:r w:rsidRPr="00991FD5">
        <w:t>Zagreb,</w:t>
      </w:r>
    </w:p>
    <w:p w:rsidR="007F10F7" w:rsidRPr="00991FD5" w:rsidRDefault="007F10F7" w:rsidP="007F10F7">
      <w:pPr>
        <w:pStyle w:val="t-9-8-potpis"/>
        <w:spacing w:before="0" w:beforeAutospacing="0" w:after="0" w:afterAutospacing="0"/>
        <w:ind w:left="7088"/>
        <w:jc w:val="left"/>
      </w:pPr>
      <w:r w:rsidRPr="00991FD5">
        <w:t>Predsjednik</w:t>
      </w:r>
    </w:p>
    <w:p w:rsidR="007F10F7" w:rsidRPr="00991FD5" w:rsidRDefault="007F10F7" w:rsidP="007F10F7">
      <w:pPr>
        <w:pStyle w:val="t-9-8-potpis"/>
        <w:spacing w:before="0" w:beforeAutospacing="0" w:after="0" w:afterAutospacing="0"/>
        <w:ind w:left="7088"/>
        <w:jc w:val="left"/>
      </w:pPr>
    </w:p>
    <w:p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  <w:r w:rsidRPr="00991FD5">
        <w:rPr>
          <w:rStyle w:val="bold1"/>
        </w:rPr>
        <w:t>mr. sc. Andrej Plenković</w:t>
      </w:r>
    </w:p>
    <w:p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7F10F7" w:rsidRPr="00991FD5" w:rsidRDefault="007F10F7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DF6195" w:rsidRPr="00991FD5" w:rsidRDefault="00DF6195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A03A63" w:rsidRPr="00991FD5" w:rsidRDefault="00A03A63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BD325D" w:rsidRPr="00991FD5" w:rsidRDefault="00BD325D" w:rsidP="007F10F7">
      <w:pPr>
        <w:pStyle w:val="t-9-8-potpis"/>
        <w:spacing w:before="0" w:beforeAutospacing="0" w:after="0" w:afterAutospacing="0"/>
        <w:ind w:left="6372"/>
        <w:jc w:val="left"/>
        <w:rPr>
          <w:rStyle w:val="bold1"/>
          <w:b w:val="0"/>
        </w:rPr>
      </w:pPr>
    </w:p>
    <w:p w:rsidR="007F10F7" w:rsidRPr="00991FD5" w:rsidRDefault="007F10F7" w:rsidP="007F10F7">
      <w:pPr>
        <w:jc w:val="center"/>
      </w:pPr>
    </w:p>
    <w:p w:rsidR="007F10F7" w:rsidRPr="00991FD5" w:rsidRDefault="007F10F7" w:rsidP="007F10F7">
      <w:pPr>
        <w:jc w:val="center"/>
      </w:pPr>
      <w:r w:rsidRPr="00991FD5">
        <w:lastRenderedPageBreak/>
        <w:t xml:space="preserve">OKVIRNI BROJ DRŽAVNIH SLUŽBENIKA I NAMJEŠTENIKA </w:t>
      </w:r>
    </w:p>
    <w:p w:rsidR="007F10F7" w:rsidRPr="00991FD5" w:rsidRDefault="007F10F7" w:rsidP="007F10F7">
      <w:pPr>
        <w:jc w:val="center"/>
      </w:pPr>
      <w:r w:rsidRPr="00991FD5">
        <w:t>MINISTARSTVA RADA I MIROVINSKOGA SUSTAVA</w:t>
      </w:r>
    </w:p>
    <w:tbl>
      <w:tblPr>
        <w:tblW w:w="11143" w:type="dxa"/>
        <w:tblCellSpacing w:w="15" w:type="dxa"/>
        <w:tblInd w:w="-9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449"/>
        <w:gridCol w:w="1701"/>
      </w:tblGrid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Redni broj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Naziv unutarnje ustrojstvene jedinice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Broj</w:t>
            </w:r>
            <w:r w:rsidRPr="00991FD5">
              <w:rPr>
                <w:b/>
                <w:bCs/>
              </w:rPr>
              <w:br/>
              <w:t>službenika i</w:t>
            </w:r>
            <w:r w:rsidRPr="00991FD5">
              <w:rPr>
                <w:b/>
                <w:bCs/>
              </w:rPr>
              <w:br/>
              <w:t>namještenika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KABINET MINISTRA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18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GLAVNO TAJNIŠTVO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neposredno u Glavnom tajništvu,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ljudske potencijale i opće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ljudske potencijale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opće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2864F2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2.1.2.1.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Pododsjek za poslove pisarnice i pismohrane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2864F2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  <w:bCs/>
                <w:iCs/>
              </w:rPr>
              <w:t>Sektor za planiranje, financije i proračun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proračun i računovodstvo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planiranje, kontrolu i upravljanje rizicima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2.3.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nabavu, informatičke i tehničke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2.3.1.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nabavu i informatičke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2.3.2.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Pododsjek za pomoćno-tehničke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Glavno tajništvo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0E1F52">
            <w:pPr>
              <w:jc w:val="center"/>
            </w:pPr>
            <w:r w:rsidRPr="00991FD5">
              <w:rPr>
                <w:b/>
                <w:bCs/>
              </w:rPr>
              <w:t>3</w:t>
            </w:r>
            <w:r w:rsidR="000E1F52" w:rsidRPr="00991FD5">
              <w:rPr>
                <w:b/>
                <w:bCs/>
              </w:rPr>
              <w:t>7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RAD I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radne odnose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3.1.1.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rad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3.1.2.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unaprjeđenje i razvoj radnog zakonodavstva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rPr>
                <w:b/>
              </w:rPr>
            </w:pPr>
            <w:r w:rsidRPr="00991FD5">
              <w:rPr>
                <w:b/>
              </w:rPr>
              <w:t>Sektor za kolektivne radne odnose i međunarodnu suradnju na području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3.2.1.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kolektivne radne odnose i administrativnu suradnju u području upućivanja radnika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3.2.2.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Služba za međunarodnu suradnju na području rada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3.3.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rPr>
                <w:b/>
              </w:rPr>
            </w:pPr>
            <w:r w:rsidRPr="00991FD5">
              <w:rPr>
                <w:b/>
              </w:rPr>
              <w:t>Sektor za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3.3.1.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r w:rsidRPr="00991FD5">
              <w:t>Služba za zaštitu na radu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D74C8F" w:rsidP="006F7879">
            <w:pPr>
              <w:jc w:val="center"/>
            </w:pPr>
            <w:r w:rsidRPr="00991FD5">
              <w:t>7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3.3.2.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r w:rsidRPr="00991FD5">
              <w:t>Služba za unapređivanje sigurnosti na radu i ovlaštenja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D74C8F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rad i zaštitu na radu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37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TRŽIŠTE RADA I ZAPOŠLJAVANJE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politike zapošljavanja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lastRenderedPageBreak/>
              <w:t>4.1.1.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razvoj i praćenje politika zapošljavanja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4.1.2.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normativno uređenje politika zapošljavanja i koordinaciju institucija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 xml:space="preserve">4.2. 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razvoj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4.2.1.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EU politike i implementaciju projekata u području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4.2.2. 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praćenje i usklađivanje potreba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tržište rada i zapošljavanje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23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5.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MIROVINSKI SUSTAV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5.1.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Sektor za mirovinski sustav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5.1.1.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mirovinsko osiguranje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5.1.2.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analizu i razvoj mirovinskoga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  <w:bCs/>
              </w:rPr>
              <w:t>5.2.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  <w:rPr>
                <w:b/>
              </w:rPr>
            </w:pPr>
            <w:r w:rsidRPr="00991FD5">
              <w:rPr>
                <w:b/>
              </w:rPr>
              <w:t>Sektor za europske poslove i međunarodnu suradnju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5.2.1.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međunarodnu suradnju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5.2.2.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europske poslove u području mirovinskog sustava i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mirovinski sustav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23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UPRAVA ZA UPRAVLJANJE OPERATIVNIM PROGRAMIMA EUROPSKE UNIJE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 xml:space="preserve">neposredno u Upravi, izvan sastava nižih ustrojstvenih jedinica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  <w:rPr>
                <w:b/>
              </w:rPr>
            </w:pPr>
            <w:r w:rsidRPr="00991FD5">
              <w:rPr>
                <w:b/>
              </w:rPr>
              <w:t>Sektor za programiranje i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Služba za programiranje i vrednovanje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6.1.1.1.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6.1.1.2.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programiranje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6.1.1.3.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vrednovanje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pStyle w:val="t-9-8"/>
              <w:spacing w:before="0" w:beforeAutospacing="0" w:after="0" w:afterAutospacing="0"/>
              <w:jc w:val="both"/>
            </w:pPr>
            <w:r w:rsidRPr="00991FD5">
              <w:t>Služba za financijsko planiranje i praćenje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6.1.2.1.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financijsko planiranje i kontrolu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6.1.2.2.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financijsko praćenje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6.2.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</w:rPr>
              <w:t>Sektor za informiranje, obrazovanje i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informiranje i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6.2.1.1.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informiranje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6.2.1.2.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tehničku pomoć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t>6.2.2.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razvoj i unaprjeđenje administrativnih kapaciteta sustava upravljanja i kontrola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lastRenderedPageBreak/>
              <w:t>6.2.2.1.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pripremu i provedbu edukacija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6.2.2.2.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praćenje i razvoj administrativnih kapaciteta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6.3.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pripremu i provedbu projekata operativnih programa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upravljanje projektima u području tržišta rada i društvenog poduzetništva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u području tržišta rada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6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iz područja društvenog poduzetništva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upravljanje projektima iz područja socijalne uključenosti i obrazovanja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iz područja socijalne uključenosti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iz područja obrazovanja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provedbu projekata iz područja dobrog upravljanja i razvoja civilnoga društva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iz područja dobrog upravljanja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iz područja razvoja civilnoga društva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financijske instrumente i teritorijalna ulaganja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financijske instrumente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operacije financirane kroz mehanizam Integriranih teritorijalnih ulaganja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6.3.4.3.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projekte integriranih ulaganja za regeneraciju nerazvijenih područja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6.4.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</w:rPr>
            </w:pPr>
            <w:r w:rsidRPr="00991FD5">
              <w:rPr>
                <w:b/>
              </w:rPr>
              <w:t>Sektor za reviziju, uspostavu i unaprjeđenje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unaprjeđenje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6.4.1.1.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uspostavu pravila i poslovnih procesa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6.4.1.2.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horizontalne aktivnosti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informacijske sustave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6.4.2.1.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pružanje podrške korisnicima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6.4.2.2.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razvoj informacijskih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6.4.3.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revizije i kontrolu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6.4.3.1.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koordinaciju revizija na razini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6.4.3.2.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kontrolu i provjere na razini sustava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6.4.4.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postupanje po prigovorima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6.4.4.1.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prigovore u postupcima odabira operacija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6.4.4.2.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Odjel za prigovore u provedbi operacije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</w:pPr>
            <w:r w:rsidRPr="00991FD5">
              <w:t>3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Uprava za upravljanje operativnim programima Europske unije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118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7.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SEKTOR ZA REVIZIJU I NADZOR MEDICINSKOG VJEŠTAČENJA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12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8.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SOCIJALNO PARTNERSTVO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C56475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10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480F6A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lastRenderedPageBreak/>
              <w:t>8.a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KOORDINACIJU EUROPSKIH POSLOVA I MEĐUNARODNE SURADNJE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8.a.1.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t>Služba za europske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C56475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8.a.2.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međunarodne poslove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 xml:space="preserve">Samostalni sektor za koordinaciju europskih poslova i međunarodne suradnje – ukupno 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C56475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  <w:r w:rsidR="00C56475"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480F6A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8.b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SEKTOR ZA ANALITIKU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8.b.1.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analizu radnog zakonodavstva i sustava socijalne sigurnosti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  <w:r w:rsidRPr="00991FD5">
              <w:rPr>
                <w:bCs/>
              </w:rPr>
              <w:t>8.b.2.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</w:pPr>
            <w:r w:rsidRPr="00991FD5">
              <w:t>Služba za analitičku pripremu kolektivnog pregovaranja u javnom sektoru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Cs/>
              </w:rPr>
            </w:pPr>
            <w:r w:rsidRPr="00991FD5">
              <w:rPr>
                <w:bCs/>
              </w:rPr>
              <w:t>5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both"/>
              <w:rPr>
                <w:bCs/>
              </w:rPr>
            </w:pP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right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sektor za analitiku -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10F7" w:rsidRPr="00991FD5" w:rsidRDefault="007F10F7" w:rsidP="006F7879">
            <w:pPr>
              <w:jc w:val="center"/>
              <w:rPr>
                <w:b/>
                <w:bCs/>
              </w:rPr>
            </w:pPr>
            <w:r w:rsidRPr="00991FD5">
              <w:rPr>
                <w:b/>
                <w:bCs/>
              </w:rPr>
              <w:t>11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9.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  <w:rPr>
                <w:b/>
                <w:bCs/>
              </w:rPr>
            </w:pPr>
            <w:r w:rsidRPr="00991FD5">
              <w:rPr>
                <w:b/>
                <w:bCs/>
              </w:rPr>
              <w:t>SAMOSTALNI ODJEL ZA ODNOSE S JAVNOŠĆU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  <w:rPr>
                <w:b/>
              </w:rPr>
            </w:pPr>
            <w:r w:rsidRPr="00991FD5">
              <w:rPr>
                <w:b/>
              </w:rPr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10.</w:t>
            </w:r>
          </w:p>
        </w:tc>
        <w:tc>
          <w:tcPr>
            <w:tcW w:w="84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both"/>
            </w:pPr>
            <w:r w:rsidRPr="00991FD5">
              <w:rPr>
                <w:b/>
                <w:bCs/>
              </w:rPr>
              <w:t>SAMOSTALNI ODJEL ZA UNUTARNJU REVIZIJU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center"/>
            </w:pPr>
            <w:r w:rsidRPr="00991FD5">
              <w:rPr>
                <w:b/>
                <w:bCs/>
              </w:rPr>
              <w:t>4</w:t>
            </w:r>
          </w:p>
        </w:tc>
      </w:tr>
      <w:tr w:rsidR="007F10F7" w:rsidRPr="00991FD5" w:rsidTr="00480F6A">
        <w:trPr>
          <w:tblCellSpacing w:w="15" w:type="dxa"/>
        </w:trPr>
        <w:tc>
          <w:tcPr>
            <w:tcW w:w="93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7F10F7" w:rsidP="006F7879">
            <w:pPr>
              <w:jc w:val="right"/>
            </w:pPr>
            <w:r w:rsidRPr="00991FD5">
              <w:rPr>
                <w:b/>
                <w:bCs/>
              </w:rPr>
              <w:t>MINISTARSTVO RADA I MIROVINSKOGA SUSTAVA – UKUPNO</w:t>
            </w:r>
          </w:p>
        </w:tc>
        <w:tc>
          <w:tcPr>
            <w:tcW w:w="16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10F7" w:rsidRPr="00991FD5" w:rsidRDefault="00D74C8F" w:rsidP="006F7879">
            <w:pPr>
              <w:jc w:val="center"/>
              <w:rPr>
                <w:b/>
                <w:color w:val="FF0000"/>
              </w:rPr>
            </w:pPr>
            <w:r w:rsidRPr="00991FD5">
              <w:rPr>
                <w:b/>
              </w:rPr>
              <w:t>308</w:t>
            </w:r>
          </w:p>
        </w:tc>
      </w:tr>
    </w:tbl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D74C8F" w:rsidRPr="00991FD5" w:rsidRDefault="00D74C8F" w:rsidP="007F10F7"/>
    <w:p w:rsidR="00D74C8F" w:rsidRPr="00991FD5" w:rsidRDefault="00D74C8F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/>
    <w:p w:rsidR="007F10F7" w:rsidRPr="00991FD5" w:rsidRDefault="007F10F7" w:rsidP="007F10F7">
      <w:pPr>
        <w:jc w:val="center"/>
        <w:rPr>
          <w:b/>
        </w:rPr>
      </w:pPr>
      <w:r w:rsidRPr="00991FD5">
        <w:rPr>
          <w:b/>
        </w:rPr>
        <w:lastRenderedPageBreak/>
        <w:t>O B R A Z L O Ž E N J E</w:t>
      </w:r>
    </w:p>
    <w:p w:rsidR="007F10F7" w:rsidRPr="00991FD5" w:rsidRDefault="007F10F7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Vlada Republike Hrvatske donijela je Uredbu o unutarnjem ustrojstvu Ministarstva rada i mirovinskoga sustava („Narodne novine“, broj 21/17, 80/18 i 116/18).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Sukladno odredbi članka 24. stavka 1. točke 3. Zakona o izmjenama i dopunama Zakona o ustrojstvu i djelokrugu ministarstava i drugih središnjih tijela državne uprave („Narodne novine“, broj 116/18), Državni inspektorat, koji je, na temelju Zakona o Državnom inspektoratu („Narodne novine“, broj 115/18), ustrojen s danom 1. travnja 2019. godine, od Ministarstva rada i mirovinskoga sustava, s navedenim danom preuzeo je inspekcijske poslove u području rada i zaštite na radu.</w:t>
      </w:r>
    </w:p>
    <w:p w:rsidR="00DF6195" w:rsidRPr="00991FD5" w:rsidRDefault="00DF6195" w:rsidP="007F10F7">
      <w:pPr>
        <w:jc w:val="both"/>
      </w:pPr>
    </w:p>
    <w:p w:rsidR="00BE1CCF" w:rsidRPr="00991FD5" w:rsidRDefault="007F10F7" w:rsidP="007F10F7">
      <w:pPr>
        <w:jc w:val="both"/>
      </w:pPr>
      <w:r w:rsidRPr="00991FD5">
        <w:t>Nadalje, sukladno odredbi članka 24. stavka 2. i 5. navedenog Zakona Državni inspektorat preuzeo je od Ministarstva rada i mirovinskoga sustava 2</w:t>
      </w:r>
      <w:r w:rsidR="006D4880" w:rsidRPr="00991FD5">
        <w:t xml:space="preserve">64 </w:t>
      </w:r>
      <w:r w:rsidRPr="00991FD5">
        <w:t>državn</w:t>
      </w:r>
      <w:r w:rsidR="00BE1CCF" w:rsidRPr="00991FD5">
        <w:t>a</w:t>
      </w:r>
      <w:r w:rsidRPr="00991FD5">
        <w:t xml:space="preserve"> službenika</w:t>
      </w:r>
      <w:r w:rsidR="00BE1CCF" w:rsidRPr="00991FD5">
        <w:t>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Člankom 32. Zakona o izmjenama i dopunama Zakona o ustrojstvu i djelokrugu ministarstava i drugih središnjih tijela državne uprave, propisano je da će Vlada Republike Hrvatske, u roku od 60 dana od dana stupanja na snagu navedenog Zakona uskladiti uredbe o unutarnjem ustrojstvu ministarstava čije poslove preuzima Državni inspektorat.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Člankom 34. Zakona o izmjenama i dopunama Zakona o ustrojstvu i djelokrugu ministarstava i drugih središnjih tijela državne uprave, propisano je da članak 32. navedenog Zakona, stupa na snagu 1. travnja 2019. godine.</w:t>
      </w:r>
    </w:p>
    <w:p w:rsidR="00DF6195" w:rsidRPr="00991FD5" w:rsidRDefault="00DF6195" w:rsidP="007F10F7">
      <w:pPr>
        <w:jc w:val="both"/>
      </w:pPr>
    </w:p>
    <w:p w:rsidR="00466104" w:rsidRPr="00991FD5" w:rsidRDefault="007F10F7" w:rsidP="00466104">
      <w:pPr>
        <w:jc w:val="both"/>
      </w:pPr>
      <w:r w:rsidRPr="00991FD5">
        <w:t>Slijedom navedenog, Ministarstvo rada i mirovinskoga sustava  pripremilo je Prijedlog uredbe o izmjenama i dopun</w:t>
      </w:r>
      <w:r w:rsidR="00710256" w:rsidRPr="00991FD5">
        <w:t>ama</w:t>
      </w:r>
      <w:r w:rsidRPr="00991FD5">
        <w:t xml:space="preserve"> Uredbe o unutarnjem ustrojstvu Ministarstva rada i mirovinskoga sustava, kojim se predlaže</w:t>
      </w:r>
      <w:r w:rsidR="00697F38" w:rsidRPr="00991FD5">
        <w:t xml:space="preserve"> brisanje odredbi važeće Uredbe, koje se odnose na bivši Inspektorat rada, odnosno preuzete poslove od strane Državnog inspektorata te</w:t>
      </w:r>
      <w:r w:rsidRPr="00991FD5">
        <w:t xml:space="preserve"> smanjenje okvirnog broja državnih službenika i namještenika, s dosadašnjih 606 </w:t>
      </w:r>
      <w:r w:rsidR="00466104" w:rsidRPr="00991FD5">
        <w:t xml:space="preserve">za 277 izvršitelja sistematiziranih u Inspektoratu rada </w:t>
      </w:r>
      <w:r w:rsidR="00697F38" w:rsidRPr="00991FD5">
        <w:t>i</w:t>
      </w:r>
      <w:r w:rsidR="00466104" w:rsidRPr="00991FD5">
        <w:t xml:space="preserve"> 20 samostalnih izvršitelja za poslove pisarnice i pismohrane po područnim uredima i ispostava, sistematiziranih u Pododsjeku za poslove pisarnice i pismohrane, Služba za opće poslove, Sektor za ljudske potencijale i opće  poslove, Glavno tajništvo, što ukupno iznosi </w:t>
      </w:r>
      <w:r w:rsidR="00697F38" w:rsidRPr="00991FD5">
        <w:t xml:space="preserve">smanjenje za </w:t>
      </w:r>
      <w:r w:rsidR="00466104" w:rsidRPr="00991FD5">
        <w:t>297 izvršitelja.</w:t>
      </w:r>
    </w:p>
    <w:p w:rsidR="00A81926" w:rsidRPr="00991FD5" w:rsidRDefault="00A81926" w:rsidP="007F10F7">
      <w:pPr>
        <w:jc w:val="both"/>
      </w:pPr>
    </w:p>
    <w:p w:rsidR="008600BA" w:rsidRPr="00991FD5" w:rsidRDefault="00466104" w:rsidP="007F10F7">
      <w:pPr>
        <w:jc w:val="both"/>
      </w:pPr>
      <w:r w:rsidRPr="00991FD5">
        <w:t>Nadalje, o</w:t>
      </w:r>
      <w:r w:rsidR="008600BA" w:rsidRPr="00991FD5">
        <w:t xml:space="preserve">vim Prijedlogom uredbe, </w:t>
      </w:r>
      <w:r w:rsidR="00A81926" w:rsidRPr="00991FD5">
        <w:t>zbog bolje i učinkovitije organizacije rada</w:t>
      </w:r>
      <w:r w:rsidR="008600BA" w:rsidRPr="00991FD5">
        <w:t xml:space="preserve">, predlaže se </w:t>
      </w:r>
      <w:r w:rsidR="00697F38" w:rsidRPr="00991FD5">
        <w:t xml:space="preserve"> </w:t>
      </w:r>
      <w:r w:rsidR="00F931C4" w:rsidRPr="00991FD5">
        <w:t xml:space="preserve">djelomična promjena unutarnjeg ustrojstva te </w:t>
      </w:r>
      <w:r w:rsidR="008600BA" w:rsidRPr="00991FD5">
        <w:t>novi okvirni broj od 3</w:t>
      </w:r>
      <w:r w:rsidR="00D74C8F" w:rsidRPr="00991FD5">
        <w:t>0</w:t>
      </w:r>
      <w:r w:rsidR="008600BA" w:rsidRPr="00991FD5">
        <w:t xml:space="preserve">8 izvršitelja, što je </w:t>
      </w:r>
      <w:r w:rsidR="00D74C8F" w:rsidRPr="00991FD5">
        <w:t xml:space="preserve">dodatno smanjenje za jednog </w:t>
      </w:r>
      <w:r w:rsidR="008600BA" w:rsidRPr="00991FD5">
        <w:t xml:space="preserve">izvršitelja, nakon </w:t>
      </w:r>
      <w:r w:rsidR="00D74C8F" w:rsidRPr="00991FD5">
        <w:t xml:space="preserve">smanjenja broja izvršitelja </w:t>
      </w:r>
      <w:r w:rsidR="00384033" w:rsidRPr="00991FD5">
        <w:t>vezanih za preuzete poslove od strane Državnog inspektorata</w:t>
      </w:r>
      <w:r w:rsidR="000C5A25" w:rsidRPr="00991FD5">
        <w:t>.</w:t>
      </w:r>
    </w:p>
    <w:p w:rsidR="00EC250F" w:rsidRPr="00991FD5" w:rsidRDefault="00EC250F" w:rsidP="007F10F7">
      <w:pPr>
        <w:jc w:val="both"/>
      </w:pPr>
    </w:p>
    <w:p w:rsidR="00EC250F" w:rsidRPr="00991FD5" w:rsidRDefault="00EC250F" w:rsidP="007F10F7">
      <w:pPr>
        <w:jc w:val="both"/>
      </w:pPr>
      <w:r w:rsidRPr="00991FD5">
        <w:t xml:space="preserve">Slijedom navedenog, </w:t>
      </w:r>
      <w:r w:rsidR="000831FC" w:rsidRPr="00991FD5">
        <w:t xml:space="preserve">predlaže se </w:t>
      </w:r>
      <w:r w:rsidRPr="00991FD5">
        <w:t>u Glavnom tajništvu ukidanje Pododsjeka za upravljanje imovinom te smanjenje okvirnog broja izvršitelja s</w:t>
      </w:r>
      <w:r w:rsidR="0023480F" w:rsidRPr="00991FD5">
        <w:t xml:space="preserve"> dosadašnjih </w:t>
      </w:r>
      <w:r w:rsidRPr="00991FD5">
        <w:t xml:space="preserve">61 na 37, </w:t>
      </w:r>
      <w:r w:rsidR="0023480F" w:rsidRPr="00991FD5">
        <w:t xml:space="preserve">a </w:t>
      </w:r>
      <w:r w:rsidRPr="00991FD5">
        <w:t>u Upravi za rad i zaštitu na radu, Sektoru za zaštitu na radu predlaže se smanjenje okvirnog broja izvršitelja s 18 na 14</w:t>
      </w:r>
      <w:r w:rsidR="00A50439" w:rsidRPr="00991FD5">
        <w:t xml:space="preserve">, što je smanjenje okvirnog broja izvršitelja u navedenoj Upravi s </w:t>
      </w:r>
      <w:r w:rsidR="0023480F" w:rsidRPr="00991FD5">
        <w:t xml:space="preserve">dosadašnjih </w:t>
      </w:r>
      <w:r w:rsidR="00A50439" w:rsidRPr="00991FD5">
        <w:t>41 na 37 izvršitelja. Također, predlaže se preustroj Uprave za tržište rada i zapošljavanje te smanjenje okvirnog broja izvršitelja s dosadašnjih 25 na 23 izvršitelja.</w:t>
      </w:r>
      <w:r w:rsidRPr="00991FD5">
        <w:t xml:space="preserve"> </w:t>
      </w:r>
    </w:p>
    <w:p w:rsidR="00DF6195" w:rsidRPr="00991FD5" w:rsidRDefault="00DF6195" w:rsidP="007F10F7">
      <w:pPr>
        <w:jc w:val="both"/>
      </w:pPr>
    </w:p>
    <w:p w:rsidR="007F10F7" w:rsidRPr="00991FD5" w:rsidRDefault="00EC250F" w:rsidP="007F10F7">
      <w:pPr>
        <w:jc w:val="both"/>
      </w:pPr>
      <w:r w:rsidRPr="00991FD5">
        <w:t>Nadalje</w:t>
      </w:r>
      <w:r w:rsidR="007F10F7" w:rsidRPr="00991FD5">
        <w:t xml:space="preserve">, radi potrebe unaprjeđenja i osiguravanja kvalitetnog obavljanja poslova prikupljanja i obrade relevantnih podataka, između ostalih, vezanih za kolektivno pregovaranje, iz djelokruga Ministarstva, na sistematičan i sveobuhvatan način te analize istih, kao i funkcionalnije podjele poslova između unutarnjih ustrojstvenih jedinica Ministarstva, predlaže se ustrojavanje Samostalnog sektora za analitiku, umjesto dosadašnje Službe za analitiku u sastavu Samostalnog sektora za socijalno partnerstvo. Predlaže se ustrojavanje </w:t>
      </w:r>
      <w:r w:rsidR="007F10F7" w:rsidRPr="00991FD5">
        <w:lastRenderedPageBreak/>
        <w:t xml:space="preserve">dvije službe unutar navedenog Samostalnog sektora, i to Služba za analizu radnog zakonodavstva i sustava socijalne sigurnosti i Služba za analitičku pripremu kolektivnog pregovaranja u javnom sektoru. Zbog specifičnosti i složenosti navedenih poslova, predlaže se ustrojavanje službi s pet (5) izvršitelja. 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Sukladno navedenim prijedlozima predlaže se izmjena djelokruga i naziva Službe za praćenje i analizu radnog zakonodavstva, ustrojene u okviru Sektora za radne odnose u Upravi za rad i zaštitu na radu, i to na način da novi naziv glasi: Služba za unaprjeđenje i razvoj radnog zakonodavstva. Iz djelokruga Službe za unaprjeđenje i razvoj radnog zakonodavstva izdvajaju se poslovi izrade analitičkih podloga za normativne poslove iz područja rada, koji će se obavljati unutar Samostalnog sektora za analitiku, a dodaju se poslovi pružanja tehničke potpore Stručnom povjerenstvu za praćenje i analizu kretanja minimalne plaće.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Nadalje, predlaže se preustroj Uprave za tržište rada i zapošljavanje, na način da se umjesto dosadašnjeg Sektora za zapošljavanje ustrojava Sektor za politike zapošljavanja s dvije službe i to: Služba za razvoj i praćenje politika zapošljavanja i Služba za normativno uređenje politika zapošljavanja i koordinaciju institucija tržišta rada.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Umjesto dosadašnjeg Sektora za tržište rada ustrojava se Sektor za razvoj tržišta rada s dvije službe i to: Služba za EU politike i implementaciju projekata u području tržišta rada i Služba za praćenje i usklađivanje potreba tržišta rada. Navedeno se predlaže, s obzirom na vrstu i sadržaj stručnih poslova kao i njihova opsega složenosti, koji se s jedne strane odnose na poslove razvoja i praćenja politika zapošljavanja i institucija tržišta rada (Hrvatski zavod za zapošljavanje, Agencija za osiguranje radničkih tražbina i Zavod za vještačenje, profesionalnu rehabilitaciju i zapošljavanje osoba s invaliditetom), a s druge strane na praćenje i razvoj tržišta rada, usklađivanje  ponude i potražnje na tržištu rada te pripremu i provedbu projekata financiranih sredstvima Europske unije.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Sektor za politike zapošljavanja obavlja stručne poslove u vezi s nacionalnim politikama zapošljavanja te predlaže načine njihova unaprjeđenja, ujedno obavlja upravne i stručne poslove u vezi s upravnim nadzorom i normativnim uređenjem tržišta rada i zapošljavanja, prati provedbu mjera aktivne politike zapošljavanja, analizira stanje i buduće potrebe na tržištu rada, sudjeluje u radu tijela EU u području zapošljavanja i predlaže politike zapošljavanja stranaca sukladno stanju i potrebama tržišta rada.</w:t>
      </w:r>
    </w:p>
    <w:p w:rsidR="00F85546" w:rsidRPr="00991FD5" w:rsidRDefault="00F85546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 xml:space="preserve">Unutar Sektora za politike zapošljavanja predlaže se ustrojavanje Službe za razvoj i praćenje politika zapošljavanja i Službe za normativno uređenje politika zapošljavanja i koordinaciju institucija tržišta rada.  </w:t>
      </w:r>
    </w:p>
    <w:p w:rsidR="00F85546" w:rsidRPr="00991FD5" w:rsidRDefault="00F85546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Služba za razvoj i praćenje politika zapošljavanja obavlja stručne poslove u vezi s nacionalnim politikama zapošljavanja, koordinira i sudjeluje u izradi sektorskih  strateških i planskih dokumenta u području zapošljavanja, prikuplja i prati statističke podatke o kretanjima na tržištu rada na nacionalnoj i EU razini, predlaže politike zapošljavanja stranaca sukladno stanju i potrebama tržišta rada te koordinira i provodi aktivnosti vezane uz promicanje slobodnog kretanja radnika Europske unije. Zbog specifičnosti i složenosti navedenih poslova, predlaže se ustrojavanje službe s pet (5) izvršitelja.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 xml:space="preserve">Služba za normativno uređenje politika zapošljavanja i koordinaciju institucija tržišta rada obavlja upravne i stručne poslove u vezi s normativnim uređenjem područja tržišta rada te praćenjem rada institucija na tržištu rada iz djelokruga Uprave. Također, pruža pravnu podršku procesima povezivanja obrazovanja i tržišta rada, prati i sudjeluje u postupcima donošenja EU propisa s područja tržišta rada te predlaže mjere koje pridonose unaprjeđenju i </w:t>
      </w:r>
      <w:r w:rsidRPr="00991FD5">
        <w:lastRenderedPageBreak/>
        <w:t xml:space="preserve">razvoju institucija tržišta rada (Hrvatski zavod za zapošljavanje, Agencija za osiguranje radničkih tražbina i Zavod za vještačenje, profesionalnu rehabilitaciju i zapošljavanje osoba s invaliditetom te centri za profesionalnu rehabilitaciju). Stoga se predlaže ustrojavanje službe s pet (5) izvršitelja. 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 xml:space="preserve">Sektor za razvoj tržišta rada obavlja stručne i analitičke poslove u području tržišta rada, poslove vezane uz usklađivanje ponude i potražnje na tržištu rada, odnosno povezivanja obrazovanja i tržišta rada, planira razvoj ljudskih potencijala na nacionalnoj razini, implementirajući politike cjeloživotnog učenja, profesionalnog usmjeravanja i razvoja karijere. Također, koordinira poslove vezane uz sustav reguliranih profesija, uređenje i vođenje Nacionalne klasifikacije zanimanja te povezivanje iste s Europskom klasifikacijom zanimanja i vještina, sudjeluje u pripremi i provedbi programa i projekata financiranih sredstvima Europske unije i iz ostalih oblika međunarodne pomoći. 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Unutar Sektora za razvoj tržišta rada predlaže se ustrojavanje Službe za EU politike i implementaciju projekata u području tržišta rada te Službe za praćenje i usklađivanje potreba tržišta rada.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Služba za EU politike i implementaciju projekata u području tržišta rada obavlja stručne poslove u vezi sa suradnjom i sudjelovanjem u radu tijela E</w:t>
      </w:r>
      <w:r w:rsidR="007854E4" w:rsidRPr="00991FD5">
        <w:t>uropske unije</w:t>
      </w:r>
      <w:r w:rsidRPr="00991FD5">
        <w:t xml:space="preserve"> u području tržišta rada i zapošljavanja, prati međunarodne propise te izrađuje prijedloge politika i mjera kojima se nacionalne politike zapošljavanja usmjeravaju i usklađuju sa strateškim ciljevima EU. Služba koordinira izradu strategije i akcijskih planova iz područja cjeloživotnog profesionalnog usmjeravanja i razvoja karijere, te vodi rad Foruma za cjeloživotno profesionalno usmjeravanje i razvoj karijere Republike Hrvatske. Služba također obavlja poslove koji se odnose na pripremu, planiranje, provedbu i praćenje programa i projekata za korištenje sredstava fondova Europske unije te drugih međunarodnih izvora financiranja iz područja tržišta rada i zapošljavanja. Zbog specifičnosti i složenosti navedenih poslova, kao i novih poslova vezanih uz implementaciju projekata financiranih iz sredstava Europske unije i ostalih izvora financiranja te poslova vezanih uz predsjedavanje Republike Hrvatske Vijećem EU 2020. godine, predlaže se ustrojavanje službe s</w:t>
      </w:r>
      <w:r w:rsidR="00D74C8F" w:rsidRPr="00991FD5">
        <w:t xml:space="preserve"> pet</w:t>
      </w:r>
      <w:r w:rsidRPr="00991FD5">
        <w:t xml:space="preserve"> (</w:t>
      </w:r>
      <w:r w:rsidR="00D74C8F" w:rsidRPr="00991FD5">
        <w:t>5</w:t>
      </w:r>
      <w:r w:rsidRPr="00991FD5">
        <w:t xml:space="preserve">) izvršitelja. 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Služba za praćenje i usklađivanje potreba tržišta rada obavlja stručne i analitičke poslove u vezi s koordinacijom politika zapošljavanja i tržišta rada s politikama obrazovanja te gospodarstva u cilju usklađivanja obrazovne ponude i potražnje na tržištu rada. Služba provodi upravne i stručne poslove vođenja postupka formalnog vrednovanja standarda zanimanja i upisa u Podregistar standarda zanimanja. Priprema stručne i analitičke podloge i alate za izradu standarda zanimanja te obavlja kontinuiranu stručnu podršku predlagateljima standarda zanimanja. U nadležnosti Službe su poslovi uređenja i vođenja Nacionalne klasifikacije zanimanja te povezivanje iste s Europskom klasifikacijom zanimanja i vještina (ESCO) kao i ujednačavanja kompetencijskog okvira i implementacije u nacionalne instrumente posredovanja pri zapošljavanju. Obavlja poslove koordinacije sustava reguliranih profesija, ažurira i vodi europsku bazu reguliranih profesija, te izdaje EU potvrde fizičkim osobama. U suradnji s nadležnim tijelima ažurira i uređuje popise reguliranih profesija te iste usklađuje s europskom direktivom. Koordinira vrednovanje programa obrazovanja odraslih koji se provode u okviru mjera aktivne politike zapošljavanja. Zbog specifičnosti i složenosti navedenih poslova, predlaže se ustrojavanje službe s</w:t>
      </w:r>
      <w:r w:rsidR="00D74C8F" w:rsidRPr="00991FD5">
        <w:t xml:space="preserve"> pet </w:t>
      </w:r>
      <w:r w:rsidRPr="00991FD5">
        <w:t>(</w:t>
      </w:r>
      <w:r w:rsidR="00D74C8F" w:rsidRPr="00991FD5">
        <w:t>5</w:t>
      </w:r>
      <w:r w:rsidRPr="00991FD5">
        <w:t xml:space="preserve">) izvršitelja. </w:t>
      </w:r>
    </w:p>
    <w:p w:rsidR="00DF6195" w:rsidRPr="00991FD5" w:rsidRDefault="00DF6195" w:rsidP="007F10F7">
      <w:pPr>
        <w:jc w:val="both"/>
      </w:pPr>
    </w:p>
    <w:p w:rsidR="00F85546" w:rsidRPr="00991FD5" w:rsidRDefault="00F85546" w:rsidP="00F85546">
      <w:pPr>
        <w:jc w:val="both"/>
      </w:pPr>
      <w:r w:rsidRPr="00991FD5">
        <w:t xml:space="preserve">Nadalje, predlaže se preustroj Samostalnog sektora za socijalno partnerstvo u okviru kojega su bile ustrojene tri službe (Služba za socijalno partnerstvo, Služba za kolektivne pregovore u javnom sektoru i Služba za analitiku), na način da isti, zbog važnosti i posebnosti svojih poslova podrške Gospodarsko-socijalnom vijeću, bude ustrojen kao samostalna unutarnja </w:t>
      </w:r>
      <w:r w:rsidRPr="00991FD5">
        <w:lastRenderedPageBreak/>
        <w:t>ustrojstvena jedinica bez službi, s 10 izvršitelja umjesto dosadašnjih 16. Ujedno dio poslova dosadašnjeg Samostalnog sektora, i to: poslovi prikupljanja i obrade podataka, analize i praćenja primjene sklopljenih kolektivnih ugovora te suradnje sa Samostalnim odjelom za odnose s javnošću, prelazi u djelokrugu novog Samostalnog sektora za analitiku.</w:t>
      </w:r>
    </w:p>
    <w:p w:rsidR="00F85546" w:rsidRPr="00991FD5" w:rsidRDefault="00F85546" w:rsidP="007F10F7">
      <w:pPr>
        <w:jc w:val="both"/>
      </w:pPr>
    </w:p>
    <w:p w:rsidR="00C63123" w:rsidRPr="00991FD5" w:rsidRDefault="007F10F7" w:rsidP="00C63123">
      <w:pPr>
        <w:jc w:val="both"/>
      </w:pPr>
      <w:r w:rsidRPr="00991FD5">
        <w:t>Preustroj Samostalne službe za koordinaciju europskih poslova i međunarodne suradnje u Samostalni sektora za koordinaciju europskih poslova i međunarodne suradnje, s dvije službe, predlaže se u cilju pravovremenog i kvalitetnog izvršavanja obveza Ministarstva na području europskih poslova i međunarodne suradnje. Djelokrug Samostalnog sektora se odnosi na aktivnosti Ministarstva koje je nositelj poslova ispred Republike Hrvatske u Vijeću za zapošljavanje, socijalnu politiku, zdravstvo i potrošačka pitanja, Radnoj skupini za socijalna pitanja, Odboru za zapošljavanje i na pripremu tjednih sastanaka odbora zamjenika stalnih predstavnika pri Europskoj uniji (COREPER I). Navedene obaveze zahtijevaju stalnu aktivnost predstavnika Ministarstva u navedenim tijelima te pripremu dokumenata i stajališta za sastanke što zahtjeva stalnu koordinaciju i suradnju, kako s drugim unutarnjim ustrojstvenim jedinicama Ministarstva, tako i s drugim tijelima državne uprave. Nadalje, ustrojavanje Samostalnog sektora predlaže se i zbog poslova koji proizlaze iz članstva Republike Hrvatske u Međunarodnoj organizaciji rada, Vijeću Europe, Ujedinjenim narodima i drugim međunarodnim organizacijama, kao i ambiciji Republike Hrvatske za pridruživanje određenim međunarodnim organizacijama i/ili inicijativama. Samostalni sektor, također, koordinira i poslove vezane uz sklapanje međunarodnih ugovora iz djelokruga Ministarstva, a ususret Predsjedanju Republike Hrvatske Vijećem Europske unije u 2020. godini, Samostalni sektor bit će zadužen za koordinaciju i provedbu aktivnosti vezanih uz tematsku i logističku pripremu svih događanja i sastanaka. Nadalje, s obzirom da su postupci izrade prijedloga stajališta Republike Hrvatske te stručnih priprema za potrebe sudjelovanja u radu tijela Europske unije, kao i postupci komunikacije s tijelima Europske unije i drugim državama članicama definirani nacionalnim i europskim zakonodavstvom, a njihova provedba iziskuje poštivanje procedura i metodologija rada različitih od procedura i metodologija rada vezanih uz bilateralnu suradnju s trećim državama, sklapanje višestranih i bilateralnih međunarodnih ugovora i obveza koje proizlaze iz članstva u međunarodnim organizacijama, poput izrade različitih izvješća i ispitivanja usklađenosti zakonodavstva Republike Hrvatske s višestranim međunarodnim ugovorima, potrebno je navedene postupke razdvojiti u dvije organizacijske jedinice. Ustrojavanjem Samostalnog sektora, s dvije službe</w:t>
      </w:r>
      <w:r w:rsidR="00F85546" w:rsidRPr="00991FD5">
        <w:t xml:space="preserve"> (Služba za europske poslove i Služba za međunarodne poslove), </w:t>
      </w:r>
      <w:r w:rsidRPr="00991FD5">
        <w:t xml:space="preserve">stvorit će se organizacijski, administrativni i logistički preduvjeti za redovito i uspješno obavljanje poslova u sklopu europske i međunarodne suradnje u djelokrugu Ministarstva tijekom i nakon završetka Predsjedanja Republike Hrvatske Vijećem Europske unije 2020. godine. </w:t>
      </w:r>
      <w:r w:rsidR="00C63123" w:rsidRPr="00991FD5">
        <w:t xml:space="preserve">Zbog specifičnosti i složenosti navedenih poslova, predlaže se ustrojavanje službi s pet (5) izvršitelja. </w:t>
      </w:r>
    </w:p>
    <w:p w:rsidR="00DF6195" w:rsidRPr="00991FD5" w:rsidRDefault="00DF6195" w:rsidP="007F10F7">
      <w:pPr>
        <w:jc w:val="both"/>
      </w:pPr>
    </w:p>
    <w:p w:rsidR="007F10F7" w:rsidRPr="00991FD5" w:rsidRDefault="007F10F7" w:rsidP="007F10F7">
      <w:pPr>
        <w:jc w:val="both"/>
      </w:pPr>
      <w:r w:rsidRPr="00991FD5">
        <w:t>Sukladno navedenim promjenama usklađen je i djelokrug Službe za međunarodnu suradnju na području rada u Upravi za rad i zaštitu na radu.</w:t>
      </w:r>
    </w:p>
    <w:p w:rsidR="00C63123" w:rsidRPr="00991FD5" w:rsidRDefault="00C63123" w:rsidP="007F10F7">
      <w:pPr>
        <w:jc w:val="both"/>
      </w:pPr>
    </w:p>
    <w:p w:rsidR="00C63123" w:rsidRPr="00991FD5" w:rsidRDefault="00C63123" w:rsidP="00C63123">
      <w:pPr>
        <w:jc w:val="both"/>
      </w:pPr>
      <w:r w:rsidRPr="00991FD5">
        <w:t>Predlaže se stupanje na snagu uredbe osmoga dana od dana objave.</w:t>
      </w:r>
    </w:p>
    <w:p w:rsidR="00C63123" w:rsidRPr="00991FD5" w:rsidRDefault="00C63123" w:rsidP="007F10F7">
      <w:pPr>
        <w:jc w:val="both"/>
      </w:pPr>
    </w:p>
    <w:p w:rsidR="007F10F7" w:rsidRPr="00303A1D" w:rsidRDefault="00480F6A" w:rsidP="007F10F7">
      <w:pPr>
        <w:jc w:val="both"/>
      </w:pPr>
      <w:r w:rsidRPr="00991FD5">
        <w:t>F</w:t>
      </w:r>
      <w:r w:rsidR="007F10F7" w:rsidRPr="00991FD5">
        <w:t>inancijska sredstva za provedbu uredbe osigurana su u državnom proračunu na razdjelu Ministarstva rada i mirovinskoga sustava.</w:t>
      </w:r>
    </w:p>
    <w:p w:rsidR="00C63123" w:rsidRDefault="00C63123" w:rsidP="007F10F7">
      <w:pPr>
        <w:jc w:val="both"/>
      </w:pPr>
    </w:p>
    <w:sectPr w:rsidR="00C63123" w:rsidSect="007F10F7">
      <w:type w:val="continuous"/>
      <w:pgSz w:w="11906" w:h="16838"/>
      <w:pgMar w:top="992" w:right="1418" w:bottom="1134" w:left="1418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43" w:rsidRDefault="00DD0F43" w:rsidP="0011560A">
      <w:r>
        <w:separator/>
      </w:r>
    </w:p>
  </w:endnote>
  <w:endnote w:type="continuationSeparator" w:id="0">
    <w:p w:rsidR="00DD0F43" w:rsidRDefault="00DD0F4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C8" w:rsidRPr="00CE78D1" w:rsidRDefault="008E03C8" w:rsidP="005A63D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 w:rsidR="004E75EC"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8E03C8" w:rsidRDefault="008E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43" w:rsidRDefault="00DD0F43" w:rsidP="0011560A">
      <w:r>
        <w:separator/>
      </w:r>
    </w:p>
  </w:footnote>
  <w:footnote w:type="continuationSeparator" w:id="0">
    <w:p w:rsidR="00DD0F43" w:rsidRDefault="00DD0F4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66617"/>
      <w:docPartObj>
        <w:docPartGallery w:val="Page Numbers (Top of Page)"/>
        <w:docPartUnique/>
      </w:docPartObj>
    </w:sdtPr>
    <w:sdtEndPr/>
    <w:sdtContent>
      <w:p w:rsidR="008E03C8" w:rsidRDefault="008E03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EC">
          <w:rPr>
            <w:noProof/>
          </w:rPr>
          <w:t>21</w:t>
        </w:r>
        <w:r>
          <w:fldChar w:fldCharType="end"/>
        </w:r>
      </w:p>
    </w:sdtContent>
  </w:sdt>
  <w:p w:rsidR="008E03C8" w:rsidRDefault="008E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F7"/>
    <w:multiLevelType w:val="hybridMultilevel"/>
    <w:tmpl w:val="CFE655AC"/>
    <w:lvl w:ilvl="0" w:tplc="D254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D9"/>
    <w:multiLevelType w:val="multilevel"/>
    <w:tmpl w:val="5C522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80F5F"/>
    <w:multiLevelType w:val="hybridMultilevel"/>
    <w:tmpl w:val="E974B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0FD4"/>
    <w:multiLevelType w:val="hybridMultilevel"/>
    <w:tmpl w:val="A65E0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38C7"/>
    <w:multiLevelType w:val="hybridMultilevel"/>
    <w:tmpl w:val="EEAE4FA8"/>
    <w:lvl w:ilvl="0" w:tplc="1D743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EB7"/>
    <w:multiLevelType w:val="hybridMultilevel"/>
    <w:tmpl w:val="4C7A6C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BA0D73"/>
    <w:multiLevelType w:val="hybridMultilevel"/>
    <w:tmpl w:val="6340F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42"/>
    <w:multiLevelType w:val="hybridMultilevel"/>
    <w:tmpl w:val="E55EC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4354"/>
    <w:multiLevelType w:val="multilevel"/>
    <w:tmpl w:val="82AC9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9F464B"/>
    <w:multiLevelType w:val="hybridMultilevel"/>
    <w:tmpl w:val="DB447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76223"/>
    <w:multiLevelType w:val="multilevel"/>
    <w:tmpl w:val="4964FD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AF6318"/>
    <w:multiLevelType w:val="hybridMultilevel"/>
    <w:tmpl w:val="B5C02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17E70"/>
    <w:multiLevelType w:val="hybridMultilevel"/>
    <w:tmpl w:val="B1242812"/>
    <w:lvl w:ilvl="0" w:tplc="1D743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4BF1"/>
    <w:rsid w:val="000350D9"/>
    <w:rsid w:val="00057310"/>
    <w:rsid w:val="00063520"/>
    <w:rsid w:val="000831FC"/>
    <w:rsid w:val="00086A6C"/>
    <w:rsid w:val="000A1D60"/>
    <w:rsid w:val="000A3A3B"/>
    <w:rsid w:val="000C5A25"/>
    <w:rsid w:val="000D1A50"/>
    <w:rsid w:val="000D74BD"/>
    <w:rsid w:val="000E1F52"/>
    <w:rsid w:val="001015C6"/>
    <w:rsid w:val="00110E6C"/>
    <w:rsid w:val="0011560A"/>
    <w:rsid w:val="00125142"/>
    <w:rsid w:val="00135F1A"/>
    <w:rsid w:val="00146B79"/>
    <w:rsid w:val="00147DE9"/>
    <w:rsid w:val="00166EF6"/>
    <w:rsid w:val="00170226"/>
    <w:rsid w:val="001741AA"/>
    <w:rsid w:val="001917B2"/>
    <w:rsid w:val="001A13E7"/>
    <w:rsid w:val="001B5FCD"/>
    <w:rsid w:val="001B7A97"/>
    <w:rsid w:val="001D067B"/>
    <w:rsid w:val="001E7218"/>
    <w:rsid w:val="002179F8"/>
    <w:rsid w:val="00220956"/>
    <w:rsid w:val="0023480F"/>
    <w:rsid w:val="0023763F"/>
    <w:rsid w:val="00240CA0"/>
    <w:rsid w:val="0028608D"/>
    <w:rsid w:val="002864F2"/>
    <w:rsid w:val="0029163B"/>
    <w:rsid w:val="002A1D77"/>
    <w:rsid w:val="002A4696"/>
    <w:rsid w:val="002A5C48"/>
    <w:rsid w:val="002B107A"/>
    <w:rsid w:val="002D1256"/>
    <w:rsid w:val="002D6C51"/>
    <w:rsid w:val="002D7C91"/>
    <w:rsid w:val="003033E4"/>
    <w:rsid w:val="00304232"/>
    <w:rsid w:val="00313BE1"/>
    <w:rsid w:val="00323C77"/>
    <w:rsid w:val="00336EE7"/>
    <w:rsid w:val="0034351C"/>
    <w:rsid w:val="00381F04"/>
    <w:rsid w:val="00384033"/>
    <w:rsid w:val="0038426B"/>
    <w:rsid w:val="003929F5"/>
    <w:rsid w:val="003A2F05"/>
    <w:rsid w:val="003C09D8"/>
    <w:rsid w:val="003D47D1"/>
    <w:rsid w:val="003F3F86"/>
    <w:rsid w:val="003F5623"/>
    <w:rsid w:val="004039BD"/>
    <w:rsid w:val="00407DCF"/>
    <w:rsid w:val="00421A46"/>
    <w:rsid w:val="00440D6D"/>
    <w:rsid w:val="00442367"/>
    <w:rsid w:val="00461188"/>
    <w:rsid w:val="00466104"/>
    <w:rsid w:val="00477AC1"/>
    <w:rsid w:val="00480F6A"/>
    <w:rsid w:val="004A776B"/>
    <w:rsid w:val="004B1D6A"/>
    <w:rsid w:val="004C1375"/>
    <w:rsid w:val="004C5354"/>
    <w:rsid w:val="004E1300"/>
    <w:rsid w:val="004E3355"/>
    <w:rsid w:val="004E4E34"/>
    <w:rsid w:val="004E75EC"/>
    <w:rsid w:val="004F3470"/>
    <w:rsid w:val="004F7F5F"/>
    <w:rsid w:val="00504248"/>
    <w:rsid w:val="005146D6"/>
    <w:rsid w:val="00523860"/>
    <w:rsid w:val="00535E09"/>
    <w:rsid w:val="00562C8C"/>
    <w:rsid w:val="0056365A"/>
    <w:rsid w:val="00571F6C"/>
    <w:rsid w:val="005861F2"/>
    <w:rsid w:val="005873A3"/>
    <w:rsid w:val="005906BB"/>
    <w:rsid w:val="005A63D2"/>
    <w:rsid w:val="005C3A4C"/>
    <w:rsid w:val="005D14B5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97F38"/>
    <w:rsid w:val="006B7800"/>
    <w:rsid w:val="006C0CC3"/>
    <w:rsid w:val="006D4880"/>
    <w:rsid w:val="006E14A9"/>
    <w:rsid w:val="006E611E"/>
    <w:rsid w:val="006F7879"/>
    <w:rsid w:val="007010C7"/>
    <w:rsid w:val="00710256"/>
    <w:rsid w:val="0072181A"/>
    <w:rsid w:val="00726165"/>
    <w:rsid w:val="00731AC4"/>
    <w:rsid w:val="007413D6"/>
    <w:rsid w:val="007638D8"/>
    <w:rsid w:val="00777CAA"/>
    <w:rsid w:val="007854E4"/>
    <w:rsid w:val="0078648A"/>
    <w:rsid w:val="007A1768"/>
    <w:rsid w:val="007A1881"/>
    <w:rsid w:val="007E3965"/>
    <w:rsid w:val="007F10F7"/>
    <w:rsid w:val="008137B5"/>
    <w:rsid w:val="00833808"/>
    <w:rsid w:val="008353A1"/>
    <w:rsid w:val="008365FD"/>
    <w:rsid w:val="008600BA"/>
    <w:rsid w:val="00881BBB"/>
    <w:rsid w:val="0089283D"/>
    <w:rsid w:val="008C0768"/>
    <w:rsid w:val="008C1D0A"/>
    <w:rsid w:val="008D1E25"/>
    <w:rsid w:val="008D7B2F"/>
    <w:rsid w:val="008E03C8"/>
    <w:rsid w:val="008F0DD4"/>
    <w:rsid w:val="0090200F"/>
    <w:rsid w:val="009047E4"/>
    <w:rsid w:val="009126B3"/>
    <w:rsid w:val="009152C4"/>
    <w:rsid w:val="00931CF8"/>
    <w:rsid w:val="00941FE0"/>
    <w:rsid w:val="0095079B"/>
    <w:rsid w:val="00953BA1"/>
    <w:rsid w:val="00954D08"/>
    <w:rsid w:val="00991FD5"/>
    <w:rsid w:val="009930CA"/>
    <w:rsid w:val="009A428E"/>
    <w:rsid w:val="009A6AB5"/>
    <w:rsid w:val="009C33E1"/>
    <w:rsid w:val="009C7815"/>
    <w:rsid w:val="00A03A63"/>
    <w:rsid w:val="00A15F08"/>
    <w:rsid w:val="00A175E9"/>
    <w:rsid w:val="00A21819"/>
    <w:rsid w:val="00A45CF4"/>
    <w:rsid w:val="00A50439"/>
    <w:rsid w:val="00A52A71"/>
    <w:rsid w:val="00A573DC"/>
    <w:rsid w:val="00A6339A"/>
    <w:rsid w:val="00A725A4"/>
    <w:rsid w:val="00A76446"/>
    <w:rsid w:val="00A81926"/>
    <w:rsid w:val="00A8288D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C348C"/>
    <w:rsid w:val="00BD325D"/>
    <w:rsid w:val="00BE1CCF"/>
    <w:rsid w:val="00C337A4"/>
    <w:rsid w:val="00C44327"/>
    <w:rsid w:val="00C56475"/>
    <w:rsid w:val="00C63123"/>
    <w:rsid w:val="00C969CC"/>
    <w:rsid w:val="00CA4F84"/>
    <w:rsid w:val="00CD1639"/>
    <w:rsid w:val="00CD3EFA"/>
    <w:rsid w:val="00CE3D00"/>
    <w:rsid w:val="00CE78D1"/>
    <w:rsid w:val="00CF2E12"/>
    <w:rsid w:val="00CF7BB4"/>
    <w:rsid w:val="00CF7EEC"/>
    <w:rsid w:val="00D01975"/>
    <w:rsid w:val="00D07290"/>
    <w:rsid w:val="00D1127C"/>
    <w:rsid w:val="00D14240"/>
    <w:rsid w:val="00D1614C"/>
    <w:rsid w:val="00D42D01"/>
    <w:rsid w:val="00D62C4D"/>
    <w:rsid w:val="00D74C8F"/>
    <w:rsid w:val="00D8016C"/>
    <w:rsid w:val="00D92A3D"/>
    <w:rsid w:val="00DB0A6B"/>
    <w:rsid w:val="00DB28EB"/>
    <w:rsid w:val="00DB6366"/>
    <w:rsid w:val="00DD0F43"/>
    <w:rsid w:val="00DF6195"/>
    <w:rsid w:val="00E12CC0"/>
    <w:rsid w:val="00E25569"/>
    <w:rsid w:val="00E3460E"/>
    <w:rsid w:val="00E42B67"/>
    <w:rsid w:val="00E4782A"/>
    <w:rsid w:val="00E52188"/>
    <w:rsid w:val="00E601A2"/>
    <w:rsid w:val="00E77198"/>
    <w:rsid w:val="00E83E23"/>
    <w:rsid w:val="00EA3AD1"/>
    <w:rsid w:val="00EB1248"/>
    <w:rsid w:val="00EC08EF"/>
    <w:rsid w:val="00EC250F"/>
    <w:rsid w:val="00EC7767"/>
    <w:rsid w:val="00ED236E"/>
    <w:rsid w:val="00EE03CA"/>
    <w:rsid w:val="00EE5168"/>
    <w:rsid w:val="00EE7199"/>
    <w:rsid w:val="00F3220D"/>
    <w:rsid w:val="00F60E4A"/>
    <w:rsid w:val="00F764AD"/>
    <w:rsid w:val="00F85546"/>
    <w:rsid w:val="00F931C4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B32F2"/>
  <w15:docId w15:val="{ABF7CBC4-B028-450B-8442-C3DC3A76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j-d">
    <w:name w:val="broj-d"/>
    <w:basedOn w:val="Normal"/>
    <w:rsid w:val="00240CA0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240CA0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240CA0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2-9-fett-s">
    <w:name w:val="t-12-9-fett-s"/>
    <w:basedOn w:val="Normal"/>
    <w:rsid w:val="00240CA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240CA0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240CA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240CA0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240CA0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240CA0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240CA0"/>
    <w:rPr>
      <w:i/>
      <w:iCs/>
    </w:rPr>
  </w:style>
  <w:style w:type="paragraph" w:customStyle="1" w:styleId="klasa2">
    <w:name w:val="klasa2"/>
    <w:basedOn w:val="Normal"/>
    <w:rsid w:val="00240CA0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240CA0"/>
    <w:rPr>
      <w:b/>
      <w:bCs/>
    </w:rPr>
  </w:style>
  <w:style w:type="paragraph" w:styleId="NormalWeb">
    <w:name w:val="Normal (Web)"/>
    <w:basedOn w:val="Normal"/>
    <w:unhideWhenUsed/>
    <w:rsid w:val="00240CA0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240CA0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sred">
    <w:name w:val="t-10-9-sred"/>
    <w:basedOn w:val="Normal"/>
    <w:rsid w:val="00240C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kurz-s-fett">
    <w:name w:val="t-10-9-kurz-s-fett"/>
    <w:basedOn w:val="Normal"/>
    <w:rsid w:val="00240CA0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-9-8-bez-uvl">
    <w:name w:val="t-9-8-bez-uvl"/>
    <w:basedOn w:val="Normal"/>
    <w:rsid w:val="00240C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0CA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40CA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0CA0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40CA0"/>
    <w:pPr>
      <w:ind w:left="720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0CA0"/>
    <w:rPr>
      <w:lang w:val="en-US" w:eastAsia="en-US"/>
    </w:rPr>
  </w:style>
  <w:style w:type="paragraph" w:customStyle="1" w:styleId="box453791">
    <w:name w:val="box_453791"/>
    <w:basedOn w:val="Normal"/>
    <w:rsid w:val="00240CA0"/>
    <w:pPr>
      <w:spacing w:before="100" w:beforeAutospacing="1" w:after="225"/>
    </w:pPr>
  </w:style>
  <w:style w:type="paragraph" w:customStyle="1" w:styleId="xmsonormal">
    <w:name w:val="x_msonormal"/>
    <w:basedOn w:val="Normal"/>
    <w:rsid w:val="00240CA0"/>
    <w:rPr>
      <w:rFonts w:eastAsiaTheme="minorHAnsi"/>
    </w:rPr>
  </w:style>
  <w:style w:type="paragraph" w:customStyle="1" w:styleId="xmsolistparagraph">
    <w:name w:val="x_msolistparagraph"/>
    <w:basedOn w:val="Normal"/>
    <w:rsid w:val="00240CA0"/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24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CA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CA0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0CA0"/>
    <w:rPr>
      <w:rFonts w:asciiTheme="minorHAnsi" w:eastAsiaTheme="minorEastAsia" w:hAnsiTheme="minorHAnsi" w:cstheme="minorBidi"/>
      <w:b/>
      <w:bCs/>
    </w:rPr>
  </w:style>
  <w:style w:type="paragraph" w:customStyle="1" w:styleId="box457674">
    <w:name w:val="box_457674"/>
    <w:basedOn w:val="Normal"/>
    <w:rsid w:val="00240CA0"/>
    <w:pPr>
      <w:spacing w:before="100" w:beforeAutospacing="1" w:after="225"/>
    </w:pPr>
  </w:style>
  <w:style w:type="paragraph" w:customStyle="1" w:styleId="box458411">
    <w:name w:val="box_458411"/>
    <w:basedOn w:val="Normal"/>
    <w:rsid w:val="00240CA0"/>
    <w:pPr>
      <w:spacing w:before="100" w:beforeAutospacing="1" w:after="225"/>
    </w:pPr>
  </w:style>
  <w:style w:type="paragraph" w:customStyle="1" w:styleId="box459192">
    <w:name w:val="box_459192"/>
    <w:basedOn w:val="Normal"/>
    <w:rsid w:val="00240CA0"/>
    <w:pPr>
      <w:spacing w:before="100" w:beforeAutospacing="1" w:after="225"/>
    </w:pPr>
  </w:style>
  <w:style w:type="paragraph" w:customStyle="1" w:styleId="box458998">
    <w:name w:val="box_458998"/>
    <w:basedOn w:val="Normal"/>
    <w:rsid w:val="00240CA0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2984-72C5-42E8-A8AF-3747E7A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8422</Words>
  <Characters>48007</Characters>
  <Application>Microsoft Office Word</Application>
  <DocSecurity>0</DocSecurity>
  <Lines>400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Bartolić</cp:lastModifiedBy>
  <cp:revision>51</cp:revision>
  <cp:lastPrinted>2019-06-06T08:17:00Z</cp:lastPrinted>
  <dcterms:created xsi:type="dcterms:W3CDTF">2019-01-21T10:27:00Z</dcterms:created>
  <dcterms:modified xsi:type="dcterms:W3CDTF">2019-06-10T09:21:00Z</dcterms:modified>
</cp:coreProperties>
</file>