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61686" w14:textId="77777777" w:rsidR="00F0053C" w:rsidRPr="00F0053C" w:rsidRDefault="00F0053C" w:rsidP="00F0053C">
      <w:pPr>
        <w:jc w:val="center"/>
        <w:rPr>
          <w:rFonts w:ascii="Times New Roman" w:eastAsia="Times New Roman" w:hAnsi="Times New Roman" w:cs="Times New Roman"/>
          <w:sz w:val="24"/>
          <w:szCs w:val="24"/>
          <w:lang w:eastAsia="hr-HR"/>
        </w:rPr>
      </w:pPr>
      <w:bookmarkStart w:id="0" w:name="_GoBack"/>
      <w:bookmarkEnd w:id="0"/>
      <w:r w:rsidRPr="00F0053C">
        <w:rPr>
          <w:rFonts w:ascii="Times New Roman" w:eastAsia="Times New Roman" w:hAnsi="Times New Roman" w:cs="Times New Roman"/>
          <w:noProof/>
          <w:sz w:val="24"/>
          <w:szCs w:val="24"/>
          <w:lang w:eastAsia="hr-HR"/>
        </w:rPr>
        <w:drawing>
          <wp:inline distT="0" distB="0" distL="0" distR="0" wp14:anchorId="3650C4C9" wp14:editId="539A31BA">
            <wp:extent cx="508000" cy="6858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8000" cy="685800"/>
                    </a:xfrm>
                    <a:prstGeom prst="rect">
                      <a:avLst/>
                    </a:prstGeom>
                    <a:noFill/>
                    <a:ln>
                      <a:noFill/>
                    </a:ln>
                  </pic:spPr>
                </pic:pic>
              </a:graphicData>
            </a:graphic>
          </wp:inline>
        </w:drawing>
      </w:r>
    </w:p>
    <w:p w14:paraId="1C4AC2F0" w14:textId="77777777" w:rsidR="00F0053C" w:rsidRPr="00F0053C" w:rsidRDefault="00F0053C" w:rsidP="00F0053C">
      <w:pPr>
        <w:spacing w:after="0" w:line="240" w:lineRule="auto"/>
        <w:jc w:val="center"/>
        <w:rPr>
          <w:rFonts w:ascii="Times New Roman" w:eastAsia="Times New Roman" w:hAnsi="Times New Roman" w:cs="Times New Roman"/>
          <w:sz w:val="28"/>
          <w:szCs w:val="24"/>
          <w:lang w:eastAsia="hr-HR"/>
        </w:rPr>
      </w:pPr>
      <w:r w:rsidRPr="00F0053C">
        <w:rPr>
          <w:rFonts w:ascii="Times New Roman" w:eastAsia="Times New Roman" w:hAnsi="Times New Roman" w:cs="Times New Roman"/>
          <w:sz w:val="28"/>
          <w:szCs w:val="24"/>
          <w:lang w:eastAsia="hr-HR"/>
        </w:rPr>
        <w:t>VLADA REPUBLIKE HRVATSKE</w:t>
      </w:r>
    </w:p>
    <w:p w14:paraId="7B2523C3"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5AD9E0FB"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7398E1CF"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4B1BC03A"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02AA5EFF"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5D0AFBA8"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09653D85"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0BF5C780"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6EF3251B" w14:textId="06317A9E" w:rsidR="00F0053C" w:rsidRPr="00F0053C" w:rsidRDefault="00822387" w:rsidP="00F0053C">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 27</w:t>
      </w:r>
      <w:r w:rsidR="00F0053C" w:rsidRPr="00F0053C">
        <w:rPr>
          <w:rFonts w:ascii="Times New Roman" w:eastAsia="Times New Roman" w:hAnsi="Times New Roman" w:cs="Times New Roman"/>
          <w:sz w:val="24"/>
          <w:szCs w:val="24"/>
          <w:lang w:eastAsia="hr-HR"/>
        </w:rPr>
        <w:t>. lipnja 2019.</w:t>
      </w:r>
    </w:p>
    <w:p w14:paraId="00E37213" w14:textId="77777777" w:rsidR="00F0053C" w:rsidRPr="00F0053C" w:rsidRDefault="00F0053C" w:rsidP="00F0053C">
      <w:pPr>
        <w:spacing w:after="0" w:line="240" w:lineRule="auto"/>
        <w:jc w:val="right"/>
        <w:rPr>
          <w:rFonts w:ascii="Times New Roman" w:eastAsia="Times New Roman" w:hAnsi="Times New Roman" w:cs="Times New Roman"/>
          <w:sz w:val="24"/>
          <w:szCs w:val="24"/>
          <w:lang w:eastAsia="hr-HR"/>
        </w:rPr>
      </w:pPr>
    </w:p>
    <w:p w14:paraId="309C00B8" w14:textId="77777777" w:rsidR="00F0053C" w:rsidRPr="00F0053C" w:rsidRDefault="00F0053C" w:rsidP="00F0053C">
      <w:pPr>
        <w:spacing w:after="0" w:line="240" w:lineRule="auto"/>
        <w:jc w:val="right"/>
        <w:rPr>
          <w:rFonts w:ascii="Times New Roman" w:eastAsia="Times New Roman" w:hAnsi="Times New Roman" w:cs="Times New Roman"/>
          <w:sz w:val="24"/>
          <w:szCs w:val="24"/>
          <w:lang w:eastAsia="hr-HR"/>
        </w:rPr>
      </w:pPr>
    </w:p>
    <w:p w14:paraId="6BD46710" w14:textId="77777777" w:rsidR="00F0053C" w:rsidRPr="00F0053C" w:rsidRDefault="00F0053C" w:rsidP="00F0053C">
      <w:pPr>
        <w:spacing w:after="0" w:line="240" w:lineRule="auto"/>
        <w:jc w:val="right"/>
        <w:rPr>
          <w:rFonts w:ascii="Times New Roman" w:eastAsia="Times New Roman" w:hAnsi="Times New Roman" w:cs="Times New Roman"/>
          <w:sz w:val="24"/>
          <w:szCs w:val="24"/>
          <w:lang w:eastAsia="hr-HR"/>
        </w:rPr>
      </w:pPr>
    </w:p>
    <w:p w14:paraId="4E82BC72" w14:textId="77777777" w:rsidR="00F0053C" w:rsidRPr="00F0053C" w:rsidRDefault="00F0053C" w:rsidP="00F0053C">
      <w:pPr>
        <w:spacing w:after="0" w:line="240" w:lineRule="auto"/>
        <w:jc w:val="right"/>
        <w:rPr>
          <w:rFonts w:ascii="Times New Roman" w:eastAsia="Times New Roman" w:hAnsi="Times New Roman" w:cs="Times New Roman"/>
          <w:sz w:val="24"/>
          <w:szCs w:val="24"/>
          <w:lang w:eastAsia="hr-HR"/>
        </w:rPr>
      </w:pPr>
    </w:p>
    <w:p w14:paraId="08844BBE" w14:textId="77777777" w:rsidR="00F0053C" w:rsidRPr="00F0053C" w:rsidRDefault="00F0053C" w:rsidP="00F0053C">
      <w:pPr>
        <w:spacing w:after="0" w:line="240" w:lineRule="auto"/>
        <w:jc w:val="right"/>
        <w:rPr>
          <w:rFonts w:ascii="Times New Roman" w:eastAsia="Times New Roman" w:hAnsi="Times New Roman" w:cs="Times New Roman"/>
          <w:sz w:val="24"/>
          <w:szCs w:val="24"/>
          <w:lang w:eastAsia="hr-HR"/>
        </w:rPr>
      </w:pPr>
    </w:p>
    <w:p w14:paraId="565A61D5" w14:textId="77777777" w:rsidR="00F0053C" w:rsidRPr="00F0053C" w:rsidRDefault="00F0053C" w:rsidP="00F0053C">
      <w:pPr>
        <w:spacing w:after="0" w:line="240" w:lineRule="auto"/>
        <w:jc w:val="right"/>
        <w:rPr>
          <w:rFonts w:ascii="Times New Roman" w:eastAsia="Times New Roman" w:hAnsi="Times New Roman" w:cs="Times New Roman"/>
          <w:sz w:val="24"/>
          <w:szCs w:val="24"/>
          <w:lang w:eastAsia="hr-HR"/>
        </w:rPr>
      </w:pPr>
    </w:p>
    <w:p w14:paraId="64680FDA" w14:textId="77777777" w:rsidR="00F0053C" w:rsidRPr="00F0053C" w:rsidRDefault="00F0053C" w:rsidP="00F0053C">
      <w:pPr>
        <w:spacing w:after="0" w:line="240" w:lineRule="auto"/>
        <w:jc w:val="right"/>
        <w:rPr>
          <w:rFonts w:ascii="Times New Roman" w:eastAsia="Times New Roman" w:hAnsi="Times New Roman" w:cs="Times New Roman"/>
          <w:sz w:val="24"/>
          <w:szCs w:val="24"/>
          <w:lang w:eastAsia="hr-HR"/>
        </w:rPr>
      </w:pPr>
    </w:p>
    <w:p w14:paraId="0735187B"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r w:rsidRPr="00F0053C">
        <w:rPr>
          <w:rFonts w:ascii="Times New Roman" w:eastAsia="Times New Roman" w:hAnsi="Times New Roman" w:cs="Times New Roman"/>
          <w:sz w:val="24"/>
          <w:szCs w:val="24"/>
          <w:lang w:eastAsia="hr-HR"/>
        </w:rPr>
        <w:t>__________________________________________________________________________</w:t>
      </w:r>
    </w:p>
    <w:p w14:paraId="1AF8EAF2" w14:textId="77777777" w:rsidR="00F0053C" w:rsidRPr="00F0053C" w:rsidRDefault="00F0053C" w:rsidP="00F0053C">
      <w:pPr>
        <w:spacing w:after="0" w:line="240" w:lineRule="auto"/>
        <w:rPr>
          <w:rFonts w:ascii="Times New Roman" w:eastAsia="Times New Roman" w:hAnsi="Times New Roman" w:cs="Times New Roman"/>
          <w:b/>
          <w:smallCaps/>
          <w:sz w:val="24"/>
          <w:szCs w:val="24"/>
          <w:lang w:eastAsia="hr-HR"/>
        </w:rPr>
        <w:sectPr w:rsidR="00F0053C" w:rsidRPr="00F0053C">
          <w:footerReference w:type="default" r:id="rId12"/>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0053C" w:rsidRPr="00F0053C" w14:paraId="204C9402" w14:textId="77777777" w:rsidTr="00F0053C">
        <w:tc>
          <w:tcPr>
            <w:tcW w:w="1951" w:type="dxa"/>
          </w:tcPr>
          <w:p w14:paraId="5A5A0B99" w14:textId="77777777" w:rsidR="00F0053C" w:rsidRPr="00F0053C" w:rsidRDefault="00F0053C" w:rsidP="00F0053C">
            <w:pPr>
              <w:jc w:val="right"/>
              <w:rPr>
                <w:b/>
                <w:smallCaps/>
                <w:sz w:val="24"/>
                <w:szCs w:val="24"/>
              </w:rPr>
            </w:pPr>
          </w:p>
          <w:p w14:paraId="4B7BC393" w14:textId="77777777" w:rsidR="00F0053C" w:rsidRPr="00F0053C" w:rsidRDefault="00F0053C" w:rsidP="00F0053C">
            <w:pPr>
              <w:jc w:val="right"/>
              <w:rPr>
                <w:sz w:val="24"/>
                <w:szCs w:val="24"/>
              </w:rPr>
            </w:pPr>
            <w:r w:rsidRPr="00F0053C">
              <w:rPr>
                <w:b/>
                <w:smallCaps/>
                <w:sz w:val="24"/>
                <w:szCs w:val="24"/>
              </w:rPr>
              <w:t>Predlagatelj</w:t>
            </w:r>
            <w:r w:rsidRPr="00F0053C">
              <w:rPr>
                <w:b/>
                <w:sz w:val="24"/>
                <w:szCs w:val="24"/>
              </w:rPr>
              <w:t>:</w:t>
            </w:r>
          </w:p>
        </w:tc>
        <w:tc>
          <w:tcPr>
            <w:tcW w:w="7229" w:type="dxa"/>
          </w:tcPr>
          <w:p w14:paraId="660AB3D2" w14:textId="77777777" w:rsidR="00F0053C" w:rsidRPr="00F0053C" w:rsidRDefault="00F0053C" w:rsidP="00F0053C">
            <w:pPr>
              <w:jc w:val="both"/>
              <w:rPr>
                <w:sz w:val="24"/>
                <w:szCs w:val="24"/>
              </w:rPr>
            </w:pPr>
          </w:p>
          <w:p w14:paraId="43A15BD3" w14:textId="06259680" w:rsidR="00F0053C" w:rsidRPr="00F0053C" w:rsidRDefault="00F0053C" w:rsidP="00F0053C">
            <w:pPr>
              <w:jc w:val="both"/>
              <w:rPr>
                <w:sz w:val="24"/>
                <w:szCs w:val="24"/>
              </w:rPr>
            </w:pPr>
            <w:r>
              <w:rPr>
                <w:sz w:val="24"/>
                <w:szCs w:val="24"/>
              </w:rPr>
              <w:t xml:space="preserve">Ministarstvo obrane </w:t>
            </w:r>
          </w:p>
        </w:tc>
      </w:tr>
    </w:tbl>
    <w:p w14:paraId="34D6C8D9"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r w:rsidRPr="00F0053C">
        <w:rPr>
          <w:rFonts w:ascii="Times New Roman" w:eastAsia="Times New Roman" w:hAnsi="Times New Roman" w:cs="Times New Roman"/>
          <w:sz w:val="24"/>
          <w:szCs w:val="24"/>
          <w:lang w:eastAsia="hr-HR"/>
        </w:rPr>
        <w:t>__________________________________________________________________________</w:t>
      </w:r>
    </w:p>
    <w:p w14:paraId="2EE4088C" w14:textId="77777777" w:rsidR="00F0053C" w:rsidRPr="00F0053C" w:rsidRDefault="00F0053C" w:rsidP="00F0053C">
      <w:pPr>
        <w:spacing w:after="0" w:line="240" w:lineRule="auto"/>
        <w:rPr>
          <w:rFonts w:ascii="Times New Roman" w:eastAsia="Times New Roman" w:hAnsi="Times New Roman" w:cs="Times New Roman"/>
          <w:b/>
          <w:smallCaps/>
          <w:sz w:val="24"/>
          <w:szCs w:val="24"/>
          <w:lang w:eastAsia="hr-HR"/>
        </w:rPr>
        <w:sectPr w:rsidR="00F0053C" w:rsidRPr="00F0053C">
          <w:type w:val="continuous"/>
          <w:pgSz w:w="11906" w:h="16838"/>
          <w:pgMar w:top="993" w:right="1417" w:bottom="1417" w:left="1417" w:header="709" w:footer="658" w:gutter="0"/>
          <w:cols w:space="720"/>
        </w:sect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F0053C" w:rsidRPr="00F0053C" w14:paraId="5ECDCEAE" w14:textId="77777777" w:rsidTr="00F0053C">
        <w:tc>
          <w:tcPr>
            <w:tcW w:w="1951" w:type="dxa"/>
          </w:tcPr>
          <w:p w14:paraId="7D28A2EB" w14:textId="77777777" w:rsidR="00F0053C" w:rsidRPr="00F0053C" w:rsidRDefault="00F0053C" w:rsidP="00F0053C">
            <w:pPr>
              <w:jc w:val="right"/>
              <w:rPr>
                <w:b/>
                <w:smallCaps/>
                <w:sz w:val="24"/>
                <w:szCs w:val="24"/>
              </w:rPr>
            </w:pPr>
          </w:p>
          <w:p w14:paraId="1AFF1D31" w14:textId="77777777" w:rsidR="00F0053C" w:rsidRPr="00F0053C" w:rsidRDefault="00F0053C" w:rsidP="00F0053C">
            <w:pPr>
              <w:jc w:val="right"/>
              <w:rPr>
                <w:sz w:val="24"/>
                <w:szCs w:val="24"/>
              </w:rPr>
            </w:pPr>
            <w:r w:rsidRPr="00F0053C">
              <w:rPr>
                <w:b/>
                <w:smallCaps/>
                <w:sz w:val="24"/>
                <w:szCs w:val="24"/>
              </w:rPr>
              <w:t>Predmet</w:t>
            </w:r>
            <w:r w:rsidRPr="00F0053C">
              <w:rPr>
                <w:b/>
                <w:sz w:val="24"/>
                <w:szCs w:val="24"/>
              </w:rPr>
              <w:t>:</w:t>
            </w:r>
          </w:p>
        </w:tc>
        <w:tc>
          <w:tcPr>
            <w:tcW w:w="7229" w:type="dxa"/>
          </w:tcPr>
          <w:p w14:paraId="480F922E" w14:textId="77777777" w:rsidR="00F0053C" w:rsidRPr="00F0053C" w:rsidRDefault="00F0053C" w:rsidP="00F0053C">
            <w:pPr>
              <w:jc w:val="both"/>
              <w:rPr>
                <w:sz w:val="24"/>
                <w:szCs w:val="24"/>
              </w:rPr>
            </w:pPr>
          </w:p>
          <w:p w14:paraId="1867BD17" w14:textId="43B63F7A" w:rsidR="00F0053C" w:rsidRPr="00F0053C" w:rsidRDefault="00F0053C" w:rsidP="00F0053C">
            <w:pPr>
              <w:jc w:val="both"/>
              <w:rPr>
                <w:sz w:val="24"/>
                <w:szCs w:val="24"/>
              </w:rPr>
            </w:pPr>
            <w:r w:rsidRPr="00F0053C">
              <w:rPr>
                <w:sz w:val="24"/>
                <w:szCs w:val="24"/>
              </w:rPr>
              <w:t xml:space="preserve">Nacrt prijedloga odluke o sudjelovanju Oružanih snaga Republike Hrvatske u operaciji potpore miru „SEA GUARDIAN“ u Sredozemlju </w:t>
            </w:r>
          </w:p>
        </w:tc>
      </w:tr>
    </w:tbl>
    <w:p w14:paraId="187ED350" w14:textId="77777777" w:rsidR="00F0053C" w:rsidRPr="00F0053C" w:rsidRDefault="00F0053C" w:rsidP="00F0053C">
      <w:pPr>
        <w:tabs>
          <w:tab w:val="left" w:pos="1843"/>
        </w:tabs>
        <w:spacing w:after="0" w:line="240" w:lineRule="auto"/>
        <w:ind w:left="1843" w:hanging="1843"/>
        <w:rPr>
          <w:rFonts w:ascii="Times New Roman" w:eastAsia="Times New Roman" w:hAnsi="Times New Roman" w:cs="Times New Roman"/>
          <w:sz w:val="24"/>
          <w:szCs w:val="24"/>
          <w:lang w:eastAsia="hr-HR"/>
        </w:rPr>
      </w:pPr>
      <w:r w:rsidRPr="00F0053C">
        <w:rPr>
          <w:rFonts w:ascii="Times New Roman" w:eastAsia="Times New Roman" w:hAnsi="Times New Roman" w:cs="Times New Roman"/>
          <w:sz w:val="24"/>
          <w:szCs w:val="24"/>
          <w:lang w:eastAsia="hr-HR"/>
        </w:rPr>
        <w:t>__________________________________________________________________________</w:t>
      </w:r>
    </w:p>
    <w:p w14:paraId="547D5F54"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68BF0D5A"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04702EDC"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5EC25662"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6078CABC"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pPr>
    </w:p>
    <w:p w14:paraId="15068609" w14:textId="77777777" w:rsidR="00F0053C" w:rsidRPr="00F0053C" w:rsidRDefault="00F0053C" w:rsidP="00F0053C">
      <w:pPr>
        <w:spacing w:after="0" w:line="240" w:lineRule="auto"/>
        <w:rPr>
          <w:rFonts w:ascii="Times New Roman" w:eastAsia="Times New Roman" w:hAnsi="Times New Roman" w:cs="Times New Roman"/>
          <w:sz w:val="24"/>
          <w:szCs w:val="24"/>
          <w:lang w:eastAsia="hr-HR"/>
        </w:rPr>
        <w:sectPr w:rsidR="00F0053C" w:rsidRPr="00F0053C">
          <w:type w:val="continuous"/>
          <w:pgSz w:w="11906" w:h="16838"/>
          <w:pgMar w:top="993" w:right="1417" w:bottom="1417" w:left="1417" w:header="709" w:footer="658" w:gutter="0"/>
          <w:cols w:space="720"/>
        </w:sectPr>
      </w:pPr>
    </w:p>
    <w:p w14:paraId="59CB0232" w14:textId="77777777" w:rsidR="00E74A1E" w:rsidRPr="00E74A1E" w:rsidRDefault="00E74A1E" w:rsidP="00E74A1E">
      <w:pPr>
        <w:pBdr>
          <w:bottom w:val="single" w:sz="4" w:space="1" w:color="auto"/>
        </w:pBd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E74A1E">
        <w:rPr>
          <w:rFonts w:ascii="Times New Roman" w:eastAsia="Times New Roman" w:hAnsi="Times New Roman" w:cs="Times New Roman"/>
          <w:b/>
          <w:bCs/>
          <w:color w:val="000000"/>
          <w:sz w:val="24"/>
          <w:szCs w:val="24"/>
          <w:lang w:eastAsia="hr-HR"/>
        </w:rPr>
        <w:lastRenderedPageBreak/>
        <w:t>VLADA REPUBLIKE HRVATSKE</w:t>
      </w:r>
    </w:p>
    <w:p w14:paraId="59CB0233" w14:textId="77777777" w:rsidR="00E74A1E" w:rsidRPr="00E74A1E" w:rsidRDefault="00E74A1E" w:rsidP="00E74A1E">
      <w:pPr>
        <w:pBdr>
          <w:bottom w:val="single" w:sz="4" w:space="1" w:color="auto"/>
        </w:pBd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p>
    <w:p w14:paraId="59CB0234" w14:textId="77777777" w:rsidR="00E74A1E" w:rsidRPr="00E74A1E" w:rsidRDefault="00E74A1E" w:rsidP="00E74A1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p>
    <w:p w14:paraId="59CB0235" w14:textId="77777777" w:rsidR="00E74A1E" w:rsidRPr="00E74A1E" w:rsidRDefault="00E74A1E" w:rsidP="00E74A1E">
      <w:pPr>
        <w:tabs>
          <w:tab w:val="left" w:pos="1365"/>
        </w:tabs>
        <w:autoSpaceDE w:val="0"/>
        <w:autoSpaceDN w:val="0"/>
        <w:adjustRightInd w:val="0"/>
        <w:spacing w:after="0" w:line="240" w:lineRule="auto"/>
        <w:rPr>
          <w:rFonts w:ascii="Times New Roman" w:eastAsia="Times New Roman" w:hAnsi="Times New Roman" w:cs="Times New Roman"/>
          <w:b/>
          <w:bCs/>
          <w:color w:val="000000"/>
          <w:sz w:val="24"/>
          <w:szCs w:val="24"/>
          <w:lang w:eastAsia="hr-HR"/>
        </w:rPr>
      </w:pPr>
      <w:r w:rsidRPr="00E74A1E">
        <w:rPr>
          <w:rFonts w:ascii="Times New Roman" w:eastAsia="Times New Roman" w:hAnsi="Times New Roman" w:cs="Times New Roman"/>
          <w:b/>
          <w:bCs/>
          <w:color w:val="000000"/>
          <w:sz w:val="24"/>
          <w:szCs w:val="24"/>
          <w:lang w:eastAsia="hr-HR"/>
        </w:rPr>
        <w:tab/>
      </w:r>
    </w:p>
    <w:p w14:paraId="59CB0236" w14:textId="77777777" w:rsidR="00E74A1E" w:rsidRPr="00E74A1E" w:rsidRDefault="00E74A1E" w:rsidP="00E74A1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p>
    <w:p w14:paraId="59CB0237"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r w:rsidRPr="00E74A1E">
        <w:rPr>
          <w:rFonts w:ascii="Times New Roman" w:eastAsia="Times New Roman" w:hAnsi="Times New Roman" w:cs="Times New Roman"/>
          <w:b/>
          <w:bCs/>
          <w:color w:val="000000"/>
          <w:sz w:val="24"/>
          <w:szCs w:val="24"/>
          <w:lang w:eastAsia="hr-HR"/>
        </w:rPr>
        <w:tab/>
      </w:r>
      <w:r w:rsidRPr="00E74A1E">
        <w:rPr>
          <w:rFonts w:ascii="Times New Roman" w:eastAsia="Times New Roman" w:hAnsi="Times New Roman" w:cs="Times New Roman"/>
          <w:b/>
          <w:bCs/>
          <w:color w:val="000000"/>
          <w:sz w:val="24"/>
          <w:szCs w:val="24"/>
          <w:lang w:eastAsia="hr-HR"/>
        </w:rPr>
        <w:tab/>
      </w:r>
      <w:r w:rsidRPr="00E74A1E">
        <w:rPr>
          <w:rFonts w:ascii="Times New Roman" w:eastAsia="Times New Roman" w:hAnsi="Times New Roman" w:cs="Times New Roman"/>
          <w:b/>
          <w:bCs/>
          <w:color w:val="000000"/>
          <w:sz w:val="24"/>
          <w:szCs w:val="24"/>
          <w:lang w:eastAsia="hr-HR"/>
        </w:rPr>
        <w:tab/>
      </w:r>
      <w:r w:rsidRPr="00E74A1E">
        <w:rPr>
          <w:rFonts w:ascii="Times New Roman" w:eastAsia="Times New Roman" w:hAnsi="Times New Roman" w:cs="Times New Roman"/>
          <w:b/>
          <w:bCs/>
          <w:color w:val="000000"/>
          <w:sz w:val="24"/>
          <w:szCs w:val="24"/>
          <w:lang w:eastAsia="hr-HR"/>
        </w:rPr>
        <w:tab/>
      </w:r>
      <w:r w:rsidRPr="00E74A1E">
        <w:rPr>
          <w:rFonts w:ascii="Times New Roman" w:eastAsia="Times New Roman" w:hAnsi="Times New Roman" w:cs="Times New Roman"/>
          <w:b/>
          <w:bCs/>
          <w:color w:val="000000"/>
          <w:sz w:val="24"/>
          <w:szCs w:val="24"/>
          <w:lang w:eastAsia="hr-HR"/>
        </w:rPr>
        <w:tab/>
      </w:r>
    </w:p>
    <w:p w14:paraId="59CB0238"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39" w14:textId="77777777" w:rsidR="00E74A1E" w:rsidRPr="00E74A1E" w:rsidRDefault="0039103B" w:rsidP="0039103B">
      <w:pPr>
        <w:autoSpaceDE w:val="0"/>
        <w:autoSpaceDN w:val="0"/>
        <w:adjustRightInd w:val="0"/>
        <w:spacing w:after="0" w:line="240" w:lineRule="auto"/>
        <w:ind w:left="2880" w:firstLine="720"/>
        <w:jc w:val="right"/>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N</w:t>
      </w:r>
      <w:r w:rsidR="007D7B79">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
          <w:bCs/>
          <w:color w:val="000000"/>
          <w:sz w:val="24"/>
          <w:szCs w:val="24"/>
          <w:lang w:eastAsia="hr-HR"/>
        </w:rPr>
        <w:t>a</w:t>
      </w:r>
      <w:r w:rsidR="007D7B79">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
          <w:bCs/>
          <w:color w:val="000000"/>
          <w:sz w:val="24"/>
          <w:szCs w:val="24"/>
          <w:lang w:eastAsia="hr-HR"/>
        </w:rPr>
        <w:t>c</w:t>
      </w:r>
      <w:r w:rsidR="007D7B79">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
          <w:bCs/>
          <w:color w:val="000000"/>
          <w:sz w:val="24"/>
          <w:szCs w:val="24"/>
          <w:lang w:eastAsia="hr-HR"/>
        </w:rPr>
        <w:t>r</w:t>
      </w:r>
      <w:r w:rsidR="007D7B79">
        <w:rPr>
          <w:rFonts w:ascii="Times New Roman" w:eastAsia="Times New Roman" w:hAnsi="Times New Roman" w:cs="Times New Roman"/>
          <w:b/>
          <w:bCs/>
          <w:color w:val="000000"/>
          <w:sz w:val="24"/>
          <w:szCs w:val="24"/>
          <w:lang w:eastAsia="hr-HR"/>
        </w:rPr>
        <w:t xml:space="preserve"> </w:t>
      </w:r>
      <w:r>
        <w:rPr>
          <w:rFonts w:ascii="Times New Roman" w:eastAsia="Times New Roman" w:hAnsi="Times New Roman" w:cs="Times New Roman"/>
          <w:b/>
          <w:bCs/>
          <w:color w:val="000000"/>
          <w:sz w:val="24"/>
          <w:szCs w:val="24"/>
          <w:lang w:eastAsia="hr-HR"/>
        </w:rPr>
        <w:t xml:space="preserve">t </w:t>
      </w:r>
    </w:p>
    <w:p w14:paraId="59CB023A"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r w:rsidRPr="00E74A1E">
        <w:rPr>
          <w:rFonts w:ascii="Times New Roman" w:eastAsia="Times New Roman" w:hAnsi="Times New Roman" w:cs="Times New Roman"/>
          <w:b/>
          <w:bCs/>
          <w:color w:val="000000"/>
          <w:sz w:val="24"/>
          <w:szCs w:val="24"/>
          <w:lang w:eastAsia="hr-HR"/>
        </w:rPr>
        <w:tab/>
      </w:r>
    </w:p>
    <w:p w14:paraId="59CB023B"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3C"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3D"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3E"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3F"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0"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1"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2"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3" w14:textId="77777777" w:rsidR="00E74A1E" w:rsidRPr="00105F38" w:rsidRDefault="00E74A1E" w:rsidP="00E74A1E">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105F38">
        <w:rPr>
          <w:rFonts w:ascii="Times New Roman" w:eastAsia="Calibri" w:hAnsi="Times New Roman" w:cs="Times New Roman"/>
          <w:b/>
          <w:bCs/>
          <w:color w:val="000000"/>
          <w:sz w:val="28"/>
          <w:szCs w:val="28"/>
          <w:lang w:eastAsia="en-US"/>
        </w:rPr>
        <w:t xml:space="preserve">PRIJEDLOG ODLUKE O SUDJELOVANJU </w:t>
      </w:r>
    </w:p>
    <w:p w14:paraId="59CB0244" w14:textId="77777777" w:rsidR="00DC3A2A" w:rsidRDefault="00E74A1E" w:rsidP="00E74A1E">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105F38">
        <w:rPr>
          <w:rFonts w:ascii="Times New Roman" w:eastAsia="Calibri" w:hAnsi="Times New Roman" w:cs="Times New Roman"/>
          <w:b/>
          <w:bCs/>
          <w:color w:val="000000"/>
          <w:sz w:val="28"/>
          <w:szCs w:val="28"/>
          <w:lang w:eastAsia="en-US"/>
        </w:rPr>
        <w:t xml:space="preserve">ORUŽANIH SNAGA REPUBLIKE HRVATSKE U </w:t>
      </w:r>
      <w:r w:rsidR="006E528D" w:rsidRPr="00105F38">
        <w:rPr>
          <w:rFonts w:ascii="Times New Roman" w:eastAsia="Calibri" w:hAnsi="Times New Roman" w:cs="Times New Roman"/>
          <w:b/>
          <w:bCs/>
          <w:color w:val="000000"/>
          <w:sz w:val="28"/>
          <w:szCs w:val="28"/>
          <w:lang w:eastAsia="en-US"/>
        </w:rPr>
        <w:t xml:space="preserve">OPERACIJI </w:t>
      </w:r>
    </w:p>
    <w:p w14:paraId="59CB0245" w14:textId="77777777" w:rsidR="00E74A1E" w:rsidRPr="00105F38" w:rsidRDefault="006E528D" w:rsidP="00E74A1E">
      <w:pPr>
        <w:autoSpaceDE w:val="0"/>
        <w:autoSpaceDN w:val="0"/>
        <w:adjustRightInd w:val="0"/>
        <w:spacing w:after="0" w:line="240" w:lineRule="auto"/>
        <w:jc w:val="center"/>
        <w:rPr>
          <w:rFonts w:ascii="Times New Roman" w:eastAsia="Calibri" w:hAnsi="Times New Roman" w:cs="Times New Roman"/>
          <w:b/>
          <w:bCs/>
          <w:color w:val="000000"/>
          <w:sz w:val="28"/>
          <w:szCs w:val="28"/>
          <w:lang w:eastAsia="en-US"/>
        </w:rPr>
      </w:pPr>
      <w:r w:rsidRPr="00105F38">
        <w:rPr>
          <w:rFonts w:ascii="Times New Roman" w:eastAsia="Calibri" w:hAnsi="Times New Roman" w:cs="Times New Roman"/>
          <w:b/>
          <w:bCs/>
          <w:color w:val="000000"/>
          <w:sz w:val="28"/>
          <w:szCs w:val="28"/>
          <w:lang w:eastAsia="en-US"/>
        </w:rPr>
        <w:t>POTPORE MIRU</w:t>
      </w:r>
      <w:r w:rsidR="00105F38">
        <w:rPr>
          <w:rFonts w:ascii="Times New Roman" w:eastAsia="Calibri" w:hAnsi="Times New Roman" w:cs="Times New Roman"/>
          <w:b/>
          <w:bCs/>
          <w:color w:val="000000"/>
          <w:sz w:val="28"/>
          <w:szCs w:val="28"/>
          <w:lang w:eastAsia="en-US"/>
        </w:rPr>
        <w:t xml:space="preserve"> </w:t>
      </w:r>
      <w:r w:rsidR="00E74A1E" w:rsidRPr="00105F38">
        <w:rPr>
          <w:rFonts w:ascii="Times New Roman" w:eastAsia="Calibri" w:hAnsi="Times New Roman" w:cs="Times New Roman"/>
          <w:b/>
          <w:bCs/>
          <w:color w:val="000000"/>
          <w:sz w:val="28"/>
          <w:szCs w:val="28"/>
          <w:lang w:eastAsia="en-US"/>
        </w:rPr>
        <w:t xml:space="preserve">„SEA GUARDIAN“ </w:t>
      </w:r>
      <w:r w:rsidRPr="00105F38">
        <w:rPr>
          <w:rFonts w:ascii="Times New Roman" w:eastAsia="Calibri" w:hAnsi="Times New Roman" w:cs="Times New Roman"/>
          <w:b/>
          <w:bCs/>
          <w:color w:val="000000"/>
          <w:sz w:val="28"/>
          <w:szCs w:val="28"/>
          <w:lang w:eastAsia="en-US"/>
        </w:rPr>
        <w:t xml:space="preserve">U SREDOZEMLJU </w:t>
      </w:r>
    </w:p>
    <w:p w14:paraId="59CB0246"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7"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8"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9"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A"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B"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C"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D"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4E" w14:textId="77777777" w:rsidR="00E74A1E" w:rsidRPr="00E74A1E" w:rsidRDefault="00E74A1E" w:rsidP="00E74A1E">
      <w:pPr>
        <w:autoSpaceDE w:val="0"/>
        <w:autoSpaceDN w:val="0"/>
        <w:adjustRightInd w:val="0"/>
        <w:spacing w:after="0" w:line="240" w:lineRule="auto"/>
        <w:ind w:left="2880" w:firstLine="720"/>
        <w:rPr>
          <w:rFonts w:ascii="Times New Roman" w:eastAsia="Times New Roman" w:hAnsi="Times New Roman" w:cs="Times New Roman"/>
          <w:b/>
          <w:bCs/>
          <w:color w:val="000000"/>
          <w:sz w:val="24"/>
          <w:szCs w:val="24"/>
          <w:lang w:eastAsia="hr-HR"/>
        </w:rPr>
      </w:pPr>
    </w:p>
    <w:p w14:paraId="59CB024F"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0"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1"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2"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3"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4"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5"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6"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7"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8"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9"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A" w14:textId="77777777" w:rsidR="00E74A1E" w:rsidRPr="00E74A1E"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B" w14:textId="77777777" w:rsidR="00E74A1E" w:rsidRPr="007D7B79"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C" w14:textId="77777777" w:rsidR="00E74A1E" w:rsidRPr="007D7B79" w:rsidRDefault="00E74A1E" w:rsidP="00E74A1E">
      <w:pPr>
        <w:autoSpaceDE w:val="0"/>
        <w:autoSpaceDN w:val="0"/>
        <w:adjustRightInd w:val="0"/>
        <w:spacing w:after="0" w:line="240" w:lineRule="auto"/>
        <w:ind w:left="2880" w:firstLine="720"/>
        <w:jc w:val="center"/>
        <w:rPr>
          <w:rFonts w:ascii="Times New Roman" w:eastAsia="Times New Roman" w:hAnsi="Times New Roman" w:cs="Times New Roman"/>
          <w:b/>
          <w:bCs/>
          <w:color w:val="000000"/>
          <w:sz w:val="24"/>
          <w:szCs w:val="24"/>
          <w:lang w:eastAsia="hr-HR"/>
        </w:rPr>
      </w:pPr>
    </w:p>
    <w:p w14:paraId="59CB025D" w14:textId="46D28963" w:rsidR="00E74A1E" w:rsidRPr="007D7B79" w:rsidRDefault="00822387" w:rsidP="00E74A1E">
      <w:pPr>
        <w:pBdr>
          <w:top w:val="single" w:sz="4" w:space="1" w:color="auto"/>
        </w:pBd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Zagreb, lip</w:t>
      </w:r>
      <w:r w:rsidR="00D04C2F" w:rsidRPr="007D7B79">
        <w:rPr>
          <w:rFonts w:ascii="Times New Roman" w:eastAsia="Times New Roman" w:hAnsi="Times New Roman" w:cs="Times New Roman"/>
          <w:b/>
          <w:bCs/>
          <w:color w:val="000000"/>
          <w:sz w:val="24"/>
          <w:szCs w:val="24"/>
          <w:lang w:eastAsia="hr-HR"/>
        </w:rPr>
        <w:t>anj</w:t>
      </w:r>
      <w:r w:rsidR="00E74A1E" w:rsidRPr="007D7B79">
        <w:rPr>
          <w:rFonts w:ascii="Times New Roman" w:eastAsia="Times New Roman" w:hAnsi="Times New Roman" w:cs="Times New Roman"/>
          <w:b/>
          <w:bCs/>
          <w:color w:val="000000"/>
          <w:sz w:val="24"/>
          <w:szCs w:val="24"/>
          <w:lang w:eastAsia="hr-HR"/>
        </w:rPr>
        <w:t xml:space="preserve"> 2019.</w:t>
      </w:r>
    </w:p>
    <w:p w14:paraId="59CB025E" w14:textId="77777777" w:rsidR="00E74A1E" w:rsidRDefault="00E74A1E" w:rsidP="007D7B79">
      <w:pPr>
        <w:spacing w:after="0" w:line="240" w:lineRule="auto"/>
        <w:jc w:val="both"/>
        <w:rPr>
          <w:rFonts w:ascii="Times New Roman" w:eastAsia="Calibri" w:hAnsi="Times New Roman" w:cs="Times New Roman"/>
          <w:b/>
          <w:color w:val="000000"/>
          <w:sz w:val="24"/>
          <w:szCs w:val="24"/>
          <w:lang w:eastAsia="en-US"/>
        </w:rPr>
      </w:pPr>
      <w:r w:rsidRPr="00E74A1E">
        <w:rPr>
          <w:rFonts w:ascii="Times New Roman" w:eastAsia="Times New Roman" w:hAnsi="Times New Roman" w:cs="Times New Roman"/>
          <w:color w:val="000000"/>
          <w:sz w:val="24"/>
          <w:szCs w:val="24"/>
          <w:lang w:eastAsia="hr-HR"/>
        </w:rPr>
        <w:br w:type="page"/>
      </w:r>
      <w:r w:rsidRPr="00E74A1E">
        <w:rPr>
          <w:rFonts w:ascii="Times New Roman" w:eastAsia="Calibri" w:hAnsi="Times New Roman" w:cs="Times New Roman"/>
          <w:b/>
          <w:color w:val="000000"/>
          <w:sz w:val="24"/>
          <w:szCs w:val="24"/>
          <w:lang w:eastAsia="en-US"/>
        </w:rPr>
        <w:lastRenderedPageBreak/>
        <w:t xml:space="preserve">PRIJEDLOG ODLUKE O SUDJELOVANJU ORUŽANIH SNAGA REPUBLIKE HRVATSKE U </w:t>
      </w:r>
      <w:r w:rsidRPr="00E74A1E">
        <w:rPr>
          <w:rFonts w:ascii="Times New Roman" w:eastAsia="Calibri" w:hAnsi="Times New Roman" w:cs="Times New Roman"/>
          <w:b/>
          <w:bCs/>
          <w:color w:val="000000"/>
          <w:sz w:val="24"/>
          <w:szCs w:val="24"/>
          <w:lang w:eastAsia="en-US"/>
        </w:rPr>
        <w:t xml:space="preserve">NATO OPERACIJI </w:t>
      </w:r>
      <w:r w:rsidR="006E528D">
        <w:rPr>
          <w:rFonts w:ascii="Times New Roman" w:eastAsia="Calibri" w:hAnsi="Times New Roman" w:cs="Times New Roman"/>
          <w:b/>
          <w:bCs/>
          <w:color w:val="000000"/>
          <w:sz w:val="24"/>
          <w:szCs w:val="24"/>
          <w:lang w:eastAsia="en-US"/>
        </w:rPr>
        <w:t xml:space="preserve">POTPORE MIRU </w:t>
      </w:r>
      <w:r w:rsidR="00DE1F52">
        <w:rPr>
          <w:rFonts w:ascii="Times New Roman" w:eastAsia="Calibri" w:hAnsi="Times New Roman" w:cs="Times New Roman"/>
          <w:b/>
          <w:color w:val="000000"/>
          <w:sz w:val="24"/>
          <w:szCs w:val="24"/>
          <w:lang w:eastAsia="en-US"/>
        </w:rPr>
        <w:t>„</w:t>
      </w:r>
      <w:r w:rsidRPr="00E74A1E">
        <w:rPr>
          <w:rFonts w:ascii="Times New Roman" w:eastAsia="Calibri" w:hAnsi="Times New Roman" w:cs="Times New Roman"/>
          <w:b/>
          <w:color w:val="000000"/>
          <w:sz w:val="24"/>
          <w:szCs w:val="24"/>
          <w:lang w:eastAsia="en-US"/>
        </w:rPr>
        <w:t>SEA GUARDIAN</w:t>
      </w:r>
      <w:r w:rsidR="00DE1F52">
        <w:rPr>
          <w:rFonts w:ascii="Times New Roman" w:eastAsia="Calibri" w:hAnsi="Times New Roman" w:cs="Times New Roman"/>
          <w:b/>
          <w:color w:val="000000"/>
          <w:sz w:val="24"/>
          <w:szCs w:val="24"/>
          <w:lang w:eastAsia="en-US"/>
        </w:rPr>
        <w:t>“</w:t>
      </w:r>
      <w:r w:rsidRPr="00E74A1E">
        <w:rPr>
          <w:rFonts w:ascii="Times New Roman" w:eastAsia="Calibri" w:hAnsi="Times New Roman" w:cs="Times New Roman"/>
          <w:b/>
          <w:color w:val="000000"/>
          <w:sz w:val="24"/>
          <w:szCs w:val="24"/>
          <w:lang w:eastAsia="en-US"/>
        </w:rPr>
        <w:t xml:space="preserve"> </w:t>
      </w:r>
      <w:r w:rsidR="006E528D">
        <w:rPr>
          <w:rFonts w:ascii="Times New Roman" w:eastAsia="Calibri" w:hAnsi="Times New Roman" w:cs="Times New Roman"/>
          <w:b/>
          <w:color w:val="000000"/>
          <w:sz w:val="24"/>
          <w:szCs w:val="24"/>
          <w:lang w:eastAsia="en-US"/>
        </w:rPr>
        <w:t>U SREDOZEMLJU</w:t>
      </w:r>
    </w:p>
    <w:p w14:paraId="59CB025F" w14:textId="77777777" w:rsidR="007D7B79" w:rsidRPr="00E74A1E" w:rsidRDefault="007D7B79" w:rsidP="007D7B79">
      <w:pPr>
        <w:spacing w:after="0" w:line="240" w:lineRule="auto"/>
        <w:jc w:val="both"/>
        <w:rPr>
          <w:rFonts w:ascii="Times New Roman" w:eastAsia="Calibri" w:hAnsi="Times New Roman" w:cs="Times New Roman"/>
          <w:b/>
          <w:color w:val="000000"/>
          <w:sz w:val="24"/>
          <w:szCs w:val="24"/>
          <w:lang w:eastAsia="en-US"/>
        </w:rPr>
      </w:pPr>
    </w:p>
    <w:p w14:paraId="59CB0260" w14:textId="77777777" w:rsidR="00E74A1E" w:rsidRPr="00E74A1E" w:rsidRDefault="00E74A1E" w:rsidP="00E74A1E">
      <w:pPr>
        <w:spacing w:after="0" w:line="240" w:lineRule="auto"/>
        <w:jc w:val="center"/>
        <w:rPr>
          <w:rFonts w:ascii="Times New Roman" w:eastAsia="Calibri" w:hAnsi="Times New Roman" w:cs="Times New Roman"/>
          <w:b/>
          <w:color w:val="000000"/>
          <w:sz w:val="24"/>
          <w:szCs w:val="24"/>
          <w:lang w:eastAsia="en-US"/>
        </w:rPr>
      </w:pPr>
    </w:p>
    <w:p w14:paraId="59CB0261" w14:textId="77777777" w:rsidR="00E74A1E" w:rsidRPr="00E74A1E" w:rsidRDefault="00E74A1E" w:rsidP="00E74A1E">
      <w:pPr>
        <w:keepNext/>
        <w:numPr>
          <w:ilvl w:val="0"/>
          <w:numId w:val="1"/>
        </w:numPr>
        <w:tabs>
          <w:tab w:val="num" w:pos="993"/>
        </w:tabs>
        <w:autoSpaceDE w:val="0"/>
        <w:autoSpaceDN w:val="0"/>
        <w:adjustRightInd w:val="0"/>
        <w:spacing w:after="0" w:line="240" w:lineRule="auto"/>
        <w:ind w:left="1440"/>
        <w:outlineLvl w:val="0"/>
        <w:rPr>
          <w:rFonts w:ascii="Times New Roman" w:eastAsia="Times New Roman" w:hAnsi="Times New Roman" w:cs="Times New Roman"/>
          <w:b/>
          <w:bCs/>
          <w:color w:val="000000"/>
          <w:sz w:val="24"/>
          <w:szCs w:val="24"/>
          <w:lang w:eastAsia="en-US"/>
        </w:rPr>
      </w:pPr>
      <w:r w:rsidRPr="00E74A1E">
        <w:rPr>
          <w:rFonts w:ascii="Times New Roman" w:eastAsia="Times New Roman" w:hAnsi="Times New Roman" w:cs="Times New Roman"/>
          <w:b/>
          <w:bCs/>
          <w:color w:val="000000"/>
          <w:sz w:val="24"/>
          <w:szCs w:val="24"/>
          <w:lang w:eastAsia="en-US"/>
        </w:rPr>
        <w:t>USTAVNA OSNOVA</w:t>
      </w:r>
      <w:r w:rsidR="00136D8A">
        <w:rPr>
          <w:rFonts w:ascii="Times New Roman" w:eastAsia="Times New Roman" w:hAnsi="Times New Roman" w:cs="Times New Roman"/>
          <w:b/>
          <w:bCs/>
          <w:color w:val="000000"/>
          <w:sz w:val="24"/>
          <w:szCs w:val="24"/>
          <w:lang w:eastAsia="en-US"/>
        </w:rPr>
        <w:t xml:space="preserve"> ZA DONOŠENJE ODLUKE </w:t>
      </w:r>
    </w:p>
    <w:p w14:paraId="59CB0262" w14:textId="77777777" w:rsidR="00E74A1E" w:rsidRPr="00E74A1E" w:rsidRDefault="00E74A1E" w:rsidP="00E74A1E">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59CB0263" w14:textId="77777777" w:rsidR="00E74A1E" w:rsidRPr="00E74A1E" w:rsidRDefault="00E74A1E" w:rsidP="00E74A1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E74A1E">
        <w:rPr>
          <w:rFonts w:ascii="Times New Roman" w:eastAsia="Times New Roman" w:hAnsi="Times New Roman" w:cs="Times New Roman"/>
          <w:color w:val="000000"/>
          <w:sz w:val="24"/>
          <w:szCs w:val="24"/>
          <w:lang w:eastAsia="hr-HR"/>
        </w:rPr>
        <w:t>Na temelju članka 7. stavka 5. Ustava Republike Hrvatske (Narodne novine, br. 85/10 – pročišćeni tekst i 5/14 – Odluka Ustavnog suda Republike Hrvatske) pokreće se postupak za donošenje Odluke o sudjelovanju Oružanih snaga Republike Hrvatske u operaciji</w:t>
      </w:r>
      <w:r w:rsidR="006E528D">
        <w:rPr>
          <w:rFonts w:ascii="Times New Roman" w:eastAsia="Times New Roman" w:hAnsi="Times New Roman" w:cs="Times New Roman"/>
          <w:color w:val="000000"/>
          <w:sz w:val="24"/>
          <w:szCs w:val="24"/>
          <w:lang w:eastAsia="hr-HR"/>
        </w:rPr>
        <w:t xml:space="preserve"> potpore miru</w:t>
      </w:r>
      <w:r w:rsidRPr="00E74A1E">
        <w:rPr>
          <w:rFonts w:ascii="Times New Roman" w:eastAsia="Times New Roman" w:hAnsi="Times New Roman" w:cs="Times New Roman"/>
          <w:color w:val="000000"/>
          <w:sz w:val="24"/>
          <w:szCs w:val="24"/>
          <w:lang w:eastAsia="hr-HR"/>
        </w:rPr>
        <w:t xml:space="preserve"> „SEA GUARDIAN“ </w:t>
      </w:r>
      <w:r w:rsidR="006E528D">
        <w:rPr>
          <w:rFonts w:ascii="Times New Roman" w:eastAsia="Times New Roman" w:hAnsi="Times New Roman" w:cs="Times New Roman"/>
          <w:color w:val="000000"/>
          <w:sz w:val="24"/>
          <w:szCs w:val="24"/>
          <w:lang w:eastAsia="hr-HR"/>
        </w:rPr>
        <w:t xml:space="preserve">u Sredozemlju </w:t>
      </w:r>
      <w:r w:rsidRPr="00E74A1E">
        <w:rPr>
          <w:rFonts w:ascii="Times New Roman" w:eastAsia="Times New Roman" w:hAnsi="Times New Roman" w:cs="Times New Roman"/>
          <w:color w:val="000000"/>
          <w:sz w:val="24"/>
          <w:szCs w:val="24"/>
          <w:lang w:eastAsia="hr-HR"/>
        </w:rPr>
        <w:t>(u daljnjem tekstu Odluka).</w:t>
      </w:r>
    </w:p>
    <w:p w14:paraId="59CB0264" w14:textId="77777777" w:rsidR="00E74A1E" w:rsidRPr="00E74A1E" w:rsidRDefault="00E74A1E" w:rsidP="00E74A1E">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p>
    <w:p w14:paraId="59CB0265" w14:textId="77777777" w:rsidR="00E74A1E" w:rsidRDefault="00D04C2F" w:rsidP="007D7B79">
      <w:pPr>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 </w:t>
      </w:r>
      <w:r w:rsidR="007D7B79">
        <w:rPr>
          <w:rFonts w:ascii="Times New Roman" w:eastAsia="Times New Roman" w:hAnsi="Times New Roman" w:cs="Times New Roman"/>
          <w:b/>
          <w:bCs/>
          <w:color w:val="000000"/>
          <w:sz w:val="24"/>
          <w:szCs w:val="24"/>
          <w:lang w:eastAsia="hr-HR"/>
        </w:rPr>
        <w:tab/>
      </w:r>
      <w:r>
        <w:rPr>
          <w:rFonts w:ascii="Times New Roman" w:eastAsia="Times New Roman" w:hAnsi="Times New Roman" w:cs="Times New Roman"/>
          <w:b/>
          <w:bCs/>
          <w:color w:val="000000"/>
          <w:sz w:val="24"/>
          <w:szCs w:val="24"/>
          <w:lang w:eastAsia="hr-HR"/>
        </w:rPr>
        <w:t xml:space="preserve"> II .  </w:t>
      </w:r>
      <w:r w:rsidR="00E74A1E" w:rsidRPr="00E74A1E">
        <w:rPr>
          <w:rFonts w:ascii="Times New Roman" w:eastAsia="Times New Roman" w:hAnsi="Times New Roman" w:cs="Times New Roman"/>
          <w:b/>
          <w:bCs/>
          <w:color w:val="000000"/>
          <w:sz w:val="24"/>
          <w:szCs w:val="24"/>
          <w:lang w:eastAsia="hr-HR"/>
        </w:rPr>
        <w:t>OCJENA DOSADAŠNJEG STANJA</w:t>
      </w:r>
    </w:p>
    <w:p w14:paraId="59CB0266" w14:textId="77777777" w:rsidR="007D7B79" w:rsidRPr="007D7B79" w:rsidRDefault="007D7B79" w:rsidP="007D7B79">
      <w:pPr>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hr-HR"/>
        </w:rPr>
      </w:pPr>
    </w:p>
    <w:p w14:paraId="59CB0267" w14:textId="77777777" w:rsidR="007D7B79" w:rsidRDefault="00E74A1E" w:rsidP="007D7B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E74A1E">
        <w:rPr>
          <w:rFonts w:ascii="Times New Roman" w:eastAsia="Times New Roman" w:hAnsi="Times New Roman" w:cs="Times New Roman"/>
          <w:color w:val="000000"/>
          <w:sz w:val="24"/>
          <w:szCs w:val="24"/>
          <w:lang w:eastAsia="hr-HR"/>
        </w:rPr>
        <w:t xml:space="preserve">Na održanom NATO </w:t>
      </w:r>
      <w:r w:rsidR="00DE1F52">
        <w:rPr>
          <w:rFonts w:ascii="Times New Roman" w:eastAsia="Times New Roman" w:hAnsi="Times New Roman" w:cs="Times New Roman"/>
          <w:color w:val="000000"/>
          <w:sz w:val="24"/>
          <w:szCs w:val="24"/>
          <w:lang w:eastAsia="hr-HR"/>
        </w:rPr>
        <w:t xml:space="preserve">sastanku na vrhu </w:t>
      </w:r>
      <w:r w:rsidRPr="00E74A1E">
        <w:rPr>
          <w:rFonts w:ascii="Times New Roman" w:eastAsia="Times New Roman" w:hAnsi="Times New Roman" w:cs="Times New Roman"/>
          <w:color w:val="000000"/>
          <w:sz w:val="24"/>
          <w:szCs w:val="24"/>
          <w:lang w:eastAsia="hr-HR"/>
        </w:rPr>
        <w:t xml:space="preserve">u Varšavi 2016. godine, NATO je najavio transformaciju pomorske protuterorističke operacije „ACTIVE ENDEAVOUR“ na području Mediterana u novu pomorsku sigurnosnu operaciju nazvanu „SEA GUARDIAN“ izvan članka 5. </w:t>
      </w:r>
      <w:r w:rsidR="00D04C2F" w:rsidRPr="00E74A1E">
        <w:rPr>
          <w:rFonts w:ascii="Times New Roman" w:eastAsia="Times New Roman" w:hAnsi="Times New Roman" w:cs="Times New Roman"/>
          <w:color w:val="000000"/>
          <w:sz w:val="24"/>
          <w:szCs w:val="24"/>
          <w:lang w:eastAsia="hr-HR"/>
        </w:rPr>
        <w:t>Sjevernoatlantskog</w:t>
      </w:r>
      <w:r w:rsidR="007D7B79">
        <w:rPr>
          <w:rFonts w:ascii="Times New Roman" w:eastAsia="Times New Roman" w:hAnsi="Times New Roman" w:cs="Times New Roman"/>
          <w:color w:val="000000"/>
          <w:sz w:val="24"/>
          <w:szCs w:val="24"/>
          <w:lang w:eastAsia="hr-HR"/>
        </w:rPr>
        <w:t>a</w:t>
      </w:r>
      <w:r w:rsidR="00D04C2F" w:rsidRPr="00E74A1E">
        <w:rPr>
          <w:rFonts w:ascii="Times New Roman" w:eastAsia="Times New Roman" w:hAnsi="Times New Roman" w:cs="Times New Roman"/>
          <w:color w:val="000000"/>
          <w:sz w:val="24"/>
          <w:szCs w:val="24"/>
          <w:lang w:eastAsia="hr-HR"/>
        </w:rPr>
        <w:t xml:space="preserve"> ugovora </w:t>
      </w:r>
      <w:r w:rsidRPr="00E74A1E">
        <w:rPr>
          <w:rFonts w:ascii="Times New Roman" w:eastAsia="Times New Roman" w:hAnsi="Times New Roman" w:cs="Times New Roman"/>
          <w:color w:val="000000"/>
          <w:sz w:val="24"/>
          <w:szCs w:val="24"/>
          <w:lang w:eastAsia="hr-HR"/>
        </w:rPr>
        <w:t>s početkom u studenom</w:t>
      </w:r>
      <w:r w:rsidR="007D7B79">
        <w:rPr>
          <w:rFonts w:ascii="Times New Roman" w:eastAsia="Times New Roman" w:hAnsi="Times New Roman" w:cs="Times New Roman"/>
          <w:color w:val="000000"/>
          <w:sz w:val="24"/>
          <w:szCs w:val="24"/>
          <w:lang w:eastAsia="hr-HR"/>
        </w:rPr>
        <w:t>e</w:t>
      </w:r>
      <w:r w:rsidRPr="00E74A1E">
        <w:rPr>
          <w:rFonts w:ascii="Times New Roman" w:eastAsia="Times New Roman" w:hAnsi="Times New Roman" w:cs="Times New Roman"/>
          <w:color w:val="000000"/>
          <w:sz w:val="24"/>
          <w:szCs w:val="24"/>
          <w:lang w:eastAsia="hr-HR"/>
        </w:rPr>
        <w:t xml:space="preserve"> 2016. </w:t>
      </w:r>
    </w:p>
    <w:p w14:paraId="59CB0268" w14:textId="77777777" w:rsidR="007D7B79" w:rsidRDefault="007D7B79" w:rsidP="007D7B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14:paraId="59CB0269" w14:textId="77777777" w:rsidR="00D04C2F" w:rsidRDefault="00E74A1E" w:rsidP="007D7B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E74A1E">
        <w:rPr>
          <w:rFonts w:ascii="Times New Roman" w:eastAsia="Times New Roman" w:hAnsi="Times New Roman" w:cs="Times New Roman"/>
          <w:color w:val="000000"/>
          <w:sz w:val="24"/>
          <w:szCs w:val="24"/>
          <w:lang w:eastAsia="hr-HR"/>
        </w:rPr>
        <w:t>Operacija</w:t>
      </w:r>
      <w:r w:rsidR="006E528D">
        <w:rPr>
          <w:rFonts w:ascii="Times New Roman" w:eastAsia="Times New Roman" w:hAnsi="Times New Roman" w:cs="Times New Roman"/>
          <w:color w:val="000000"/>
          <w:sz w:val="24"/>
          <w:szCs w:val="24"/>
          <w:lang w:eastAsia="hr-HR"/>
        </w:rPr>
        <w:t xml:space="preserve"> </w:t>
      </w:r>
      <w:r w:rsidRPr="00E74A1E">
        <w:rPr>
          <w:rFonts w:ascii="Times New Roman" w:eastAsia="Times New Roman" w:hAnsi="Times New Roman" w:cs="Times New Roman"/>
          <w:color w:val="000000"/>
          <w:sz w:val="24"/>
          <w:szCs w:val="24"/>
          <w:lang w:eastAsia="hr-HR"/>
        </w:rPr>
        <w:t>„SEA GUARDIAN“ pri</w:t>
      </w:r>
      <w:r w:rsidR="00D04C2F">
        <w:rPr>
          <w:rFonts w:ascii="Times New Roman" w:eastAsia="Times New Roman" w:hAnsi="Times New Roman" w:cs="Times New Roman"/>
          <w:color w:val="000000"/>
          <w:sz w:val="24"/>
          <w:szCs w:val="24"/>
          <w:lang w:eastAsia="hr-HR"/>
        </w:rPr>
        <w:t>do</w:t>
      </w:r>
      <w:r w:rsidRPr="00E74A1E">
        <w:rPr>
          <w:rFonts w:ascii="Times New Roman" w:eastAsia="Times New Roman" w:hAnsi="Times New Roman" w:cs="Times New Roman"/>
          <w:color w:val="000000"/>
          <w:sz w:val="24"/>
          <w:szCs w:val="24"/>
          <w:lang w:eastAsia="hr-HR"/>
        </w:rPr>
        <w:t xml:space="preserve">nosi pomorskoj situacijskoj informiranosti, razvoju regionalne pomorske sigurnosti, podupire borbu protiv terorizma, osigurava slobodu plovidbe, provodi zadaće pomorskog presretanja, </w:t>
      </w:r>
      <w:r w:rsidR="00D04C2F">
        <w:rPr>
          <w:rFonts w:ascii="Times New Roman" w:eastAsia="Times New Roman" w:hAnsi="Times New Roman" w:cs="Times New Roman"/>
          <w:color w:val="000000"/>
          <w:sz w:val="24"/>
          <w:szCs w:val="24"/>
          <w:lang w:eastAsia="hr-HR"/>
        </w:rPr>
        <w:t xml:space="preserve">pridonosi </w:t>
      </w:r>
      <w:r w:rsidRPr="00E74A1E">
        <w:rPr>
          <w:rFonts w:ascii="Times New Roman" w:eastAsia="Times New Roman" w:hAnsi="Times New Roman" w:cs="Times New Roman"/>
          <w:color w:val="000000"/>
          <w:sz w:val="24"/>
          <w:szCs w:val="24"/>
          <w:lang w:eastAsia="hr-HR"/>
        </w:rPr>
        <w:t>borbi protiv proliferacije oružja za masovno uništenje, št</w:t>
      </w:r>
      <w:r w:rsidR="00DE1F52">
        <w:rPr>
          <w:rFonts w:ascii="Times New Roman" w:eastAsia="Times New Roman" w:hAnsi="Times New Roman" w:cs="Times New Roman"/>
          <w:color w:val="000000"/>
          <w:sz w:val="24"/>
          <w:szCs w:val="24"/>
          <w:lang w:eastAsia="hr-HR"/>
        </w:rPr>
        <w:t>iti ključnu infrastrukturu</w:t>
      </w:r>
      <w:r w:rsidRPr="00E74A1E">
        <w:rPr>
          <w:rFonts w:ascii="Times New Roman" w:eastAsia="Times New Roman" w:hAnsi="Times New Roman" w:cs="Times New Roman"/>
          <w:color w:val="000000"/>
          <w:sz w:val="24"/>
          <w:szCs w:val="24"/>
          <w:lang w:eastAsia="hr-HR"/>
        </w:rPr>
        <w:t xml:space="preserve"> te pomaže razvoju sposobnosti ratnih mornarica partnerskih zemalja u</w:t>
      </w:r>
      <w:r w:rsidR="006E528D">
        <w:rPr>
          <w:rFonts w:ascii="Times New Roman" w:eastAsia="Times New Roman" w:hAnsi="Times New Roman" w:cs="Times New Roman"/>
          <w:color w:val="000000"/>
          <w:sz w:val="24"/>
          <w:szCs w:val="24"/>
          <w:lang w:eastAsia="hr-HR"/>
        </w:rPr>
        <w:t xml:space="preserve"> Sredozemlju</w:t>
      </w:r>
      <w:r w:rsidRPr="00E74A1E">
        <w:rPr>
          <w:rFonts w:ascii="Times New Roman" w:eastAsia="Times New Roman" w:hAnsi="Times New Roman" w:cs="Times New Roman"/>
          <w:color w:val="000000"/>
          <w:sz w:val="24"/>
          <w:szCs w:val="24"/>
          <w:lang w:eastAsia="hr-HR"/>
        </w:rPr>
        <w:t xml:space="preserve">. </w:t>
      </w:r>
    </w:p>
    <w:p w14:paraId="59CB026A" w14:textId="77777777" w:rsidR="00D04C2F" w:rsidRDefault="00D04C2F" w:rsidP="00E74A1E">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14:paraId="59CB026B" w14:textId="77777777" w:rsidR="007D7B79" w:rsidRDefault="00E74A1E" w:rsidP="007D7B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E74A1E">
        <w:rPr>
          <w:rFonts w:ascii="Times New Roman" w:eastAsia="Times New Roman" w:hAnsi="Times New Roman" w:cs="Times New Roman"/>
          <w:color w:val="000000"/>
          <w:sz w:val="24"/>
          <w:szCs w:val="24"/>
          <w:lang w:eastAsia="hr-HR"/>
        </w:rPr>
        <w:t xml:space="preserve">Dodatno, operacija „SEA GUARDIAN“ daje </w:t>
      </w:r>
      <w:r w:rsidR="007D7B79">
        <w:rPr>
          <w:rFonts w:ascii="Times New Roman" w:eastAsia="Times New Roman" w:hAnsi="Times New Roman" w:cs="Times New Roman"/>
          <w:color w:val="000000"/>
          <w:sz w:val="24"/>
          <w:szCs w:val="24"/>
          <w:lang w:eastAsia="hr-HR"/>
        </w:rPr>
        <w:t xml:space="preserve">pomoć operaciji EUNAVFOR </w:t>
      </w:r>
      <w:r w:rsidRPr="00E74A1E">
        <w:rPr>
          <w:rFonts w:ascii="Times New Roman" w:eastAsia="Times New Roman" w:hAnsi="Times New Roman" w:cs="Times New Roman"/>
          <w:color w:val="000000"/>
          <w:sz w:val="24"/>
          <w:szCs w:val="24"/>
          <w:lang w:eastAsia="hr-HR"/>
        </w:rPr>
        <w:t>MED „SOPHIA</w:t>
      </w:r>
      <w:r w:rsidR="00DE1F52">
        <w:rPr>
          <w:rFonts w:ascii="Times New Roman" w:eastAsia="Times New Roman" w:hAnsi="Times New Roman" w:cs="Times New Roman"/>
          <w:color w:val="000000"/>
          <w:sz w:val="24"/>
          <w:szCs w:val="24"/>
          <w:lang w:eastAsia="hr-HR"/>
        </w:rPr>
        <w:t xml:space="preserve">“ koju provodi Europska unija s </w:t>
      </w:r>
      <w:r w:rsidRPr="00E74A1E">
        <w:rPr>
          <w:rFonts w:ascii="Times New Roman" w:eastAsia="Times New Roman" w:hAnsi="Times New Roman" w:cs="Times New Roman"/>
          <w:color w:val="000000"/>
          <w:sz w:val="24"/>
          <w:szCs w:val="24"/>
          <w:lang w:eastAsia="hr-HR"/>
        </w:rPr>
        <w:t>ciljem spr</w:t>
      </w:r>
      <w:r w:rsidR="00DE1F52">
        <w:rPr>
          <w:rFonts w:ascii="Times New Roman" w:eastAsia="Times New Roman" w:hAnsi="Times New Roman" w:cs="Times New Roman"/>
          <w:color w:val="000000"/>
          <w:sz w:val="24"/>
          <w:szCs w:val="24"/>
          <w:lang w:eastAsia="hr-HR"/>
        </w:rPr>
        <w:t>j</w:t>
      </w:r>
      <w:r w:rsidRPr="00E74A1E">
        <w:rPr>
          <w:rFonts w:ascii="Times New Roman" w:eastAsia="Times New Roman" w:hAnsi="Times New Roman" w:cs="Times New Roman"/>
          <w:color w:val="000000"/>
          <w:sz w:val="24"/>
          <w:szCs w:val="24"/>
          <w:lang w:eastAsia="hr-HR"/>
        </w:rPr>
        <w:t xml:space="preserve">ečavanja krijumčarenja ljudi </w:t>
      </w:r>
      <w:r w:rsidR="006E528D">
        <w:rPr>
          <w:rFonts w:ascii="Times New Roman" w:eastAsia="Times New Roman" w:hAnsi="Times New Roman" w:cs="Times New Roman"/>
          <w:color w:val="000000"/>
          <w:sz w:val="24"/>
          <w:szCs w:val="24"/>
          <w:lang w:eastAsia="hr-HR"/>
        </w:rPr>
        <w:t>u Sredozemlju</w:t>
      </w:r>
      <w:r w:rsidRPr="00E74A1E">
        <w:rPr>
          <w:rFonts w:ascii="Times New Roman" w:eastAsia="Times New Roman" w:hAnsi="Times New Roman" w:cs="Times New Roman"/>
          <w:color w:val="000000"/>
          <w:sz w:val="24"/>
          <w:szCs w:val="24"/>
          <w:lang w:eastAsia="hr-HR"/>
        </w:rPr>
        <w:t xml:space="preserve"> te izgradnje sposobnosti libijskih sigurnosnih snaga za sprječavanje ilegalnih radnji na moru i samostalnog djelovanja u provedbi zadaća dodijeljenih zakonskim ovlastima.</w:t>
      </w:r>
    </w:p>
    <w:p w14:paraId="59CB026C" w14:textId="77777777" w:rsidR="007D7B79" w:rsidRDefault="007D7B79" w:rsidP="007D7B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p>
    <w:p w14:paraId="59CB026D" w14:textId="77777777" w:rsidR="007D7B79" w:rsidRDefault="00E74A1E" w:rsidP="007D7B79">
      <w:pPr>
        <w:autoSpaceDE w:val="0"/>
        <w:autoSpaceDN w:val="0"/>
        <w:adjustRightInd w:val="0"/>
        <w:spacing w:after="0" w:line="240" w:lineRule="auto"/>
        <w:ind w:firstLine="708"/>
        <w:jc w:val="both"/>
        <w:rPr>
          <w:rFonts w:ascii="Times New Roman" w:eastAsia="MS Mincho" w:hAnsi="Times New Roman" w:cs="Times New Roman"/>
          <w:color w:val="000000"/>
          <w:sz w:val="24"/>
          <w:szCs w:val="24"/>
          <w:lang w:eastAsia="ja-JP"/>
        </w:rPr>
      </w:pPr>
      <w:r w:rsidRPr="00E74A1E">
        <w:rPr>
          <w:rFonts w:ascii="Times New Roman" w:eastAsia="MS Mincho" w:hAnsi="Times New Roman" w:cs="Times New Roman"/>
          <w:color w:val="000000"/>
          <w:sz w:val="24"/>
          <w:szCs w:val="24"/>
          <w:lang w:eastAsia="ja-JP"/>
        </w:rPr>
        <w:t xml:space="preserve">Operacija „SEA GUARDIAN“ unaprijedila </w:t>
      </w:r>
      <w:r w:rsidR="007D7B79">
        <w:rPr>
          <w:rFonts w:ascii="Times New Roman" w:eastAsia="MS Mincho" w:hAnsi="Times New Roman" w:cs="Times New Roman"/>
          <w:color w:val="000000"/>
          <w:sz w:val="24"/>
          <w:szCs w:val="24"/>
          <w:lang w:eastAsia="ja-JP"/>
        </w:rPr>
        <w:t xml:space="preserve">je </w:t>
      </w:r>
      <w:r w:rsidRPr="00E74A1E">
        <w:rPr>
          <w:rFonts w:ascii="Times New Roman" w:eastAsia="MS Mincho" w:hAnsi="Times New Roman" w:cs="Times New Roman"/>
          <w:color w:val="000000"/>
          <w:sz w:val="24"/>
          <w:szCs w:val="24"/>
          <w:lang w:eastAsia="ja-JP"/>
        </w:rPr>
        <w:t xml:space="preserve">sigurnost u području </w:t>
      </w:r>
      <w:r w:rsidR="006E528D">
        <w:rPr>
          <w:rFonts w:ascii="Times New Roman" w:eastAsia="MS Mincho" w:hAnsi="Times New Roman" w:cs="Times New Roman"/>
          <w:color w:val="000000"/>
          <w:sz w:val="24"/>
          <w:szCs w:val="24"/>
          <w:lang w:eastAsia="ja-JP"/>
        </w:rPr>
        <w:t xml:space="preserve">Sredozemlja </w:t>
      </w:r>
      <w:r w:rsidRPr="00E74A1E">
        <w:rPr>
          <w:rFonts w:ascii="Times New Roman" w:eastAsia="MS Mincho" w:hAnsi="Times New Roman" w:cs="Times New Roman"/>
          <w:color w:val="000000"/>
          <w:sz w:val="24"/>
          <w:szCs w:val="24"/>
          <w:lang w:eastAsia="ja-JP"/>
        </w:rPr>
        <w:t>te je fleksibilno</w:t>
      </w:r>
      <w:r w:rsidR="00D04C2F">
        <w:rPr>
          <w:rFonts w:ascii="Times New Roman" w:eastAsia="MS Mincho" w:hAnsi="Times New Roman" w:cs="Times New Roman"/>
          <w:color w:val="000000"/>
          <w:sz w:val="24"/>
          <w:szCs w:val="24"/>
          <w:lang w:eastAsia="ja-JP"/>
        </w:rPr>
        <w:t>šću djelovanja</w:t>
      </w:r>
      <w:r w:rsidRPr="00E74A1E">
        <w:rPr>
          <w:rFonts w:ascii="Times New Roman" w:eastAsia="MS Mincho" w:hAnsi="Times New Roman" w:cs="Times New Roman"/>
          <w:color w:val="000000"/>
          <w:sz w:val="24"/>
          <w:szCs w:val="24"/>
          <w:lang w:eastAsia="ja-JP"/>
        </w:rPr>
        <w:t xml:space="preserve"> osigurala usklađeno angažiranje ljudskih i materijalnih resursa država članica Europske unije i NATO-a u dostizanju zajedničkih sigurnosnih ciljeva. </w:t>
      </w:r>
    </w:p>
    <w:p w14:paraId="59CB026E" w14:textId="77777777" w:rsidR="007D7B79" w:rsidRDefault="007D7B79" w:rsidP="007D7B79">
      <w:pPr>
        <w:autoSpaceDE w:val="0"/>
        <w:autoSpaceDN w:val="0"/>
        <w:adjustRightInd w:val="0"/>
        <w:spacing w:after="0" w:line="240" w:lineRule="auto"/>
        <w:ind w:firstLine="708"/>
        <w:jc w:val="both"/>
        <w:rPr>
          <w:rFonts w:ascii="Times New Roman" w:eastAsia="MS Mincho" w:hAnsi="Times New Roman" w:cs="Times New Roman"/>
          <w:color w:val="000000"/>
          <w:sz w:val="24"/>
          <w:szCs w:val="24"/>
          <w:lang w:eastAsia="ja-JP"/>
        </w:rPr>
      </w:pPr>
    </w:p>
    <w:p w14:paraId="59CB026F" w14:textId="77777777" w:rsidR="007D7B79" w:rsidRDefault="00E74A1E" w:rsidP="007D7B79">
      <w:pPr>
        <w:autoSpaceDE w:val="0"/>
        <w:autoSpaceDN w:val="0"/>
        <w:adjustRightInd w:val="0"/>
        <w:spacing w:after="0" w:line="240" w:lineRule="auto"/>
        <w:ind w:firstLine="708"/>
        <w:jc w:val="both"/>
        <w:rPr>
          <w:rFonts w:ascii="Times New Roman" w:eastAsia="MS Mincho" w:hAnsi="Times New Roman" w:cs="Times New Roman"/>
          <w:color w:val="000000"/>
          <w:sz w:val="24"/>
          <w:szCs w:val="24"/>
          <w:lang w:eastAsia="ja-JP"/>
        </w:rPr>
      </w:pPr>
      <w:r w:rsidRPr="00E74A1E">
        <w:rPr>
          <w:rFonts w:ascii="Times New Roman" w:eastAsia="MS Mincho" w:hAnsi="Times New Roman" w:cs="Times New Roman"/>
          <w:color w:val="000000"/>
          <w:sz w:val="24"/>
          <w:szCs w:val="24"/>
          <w:lang w:eastAsia="ja-JP"/>
        </w:rPr>
        <w:t>Zbog ograničenja u raspoloživosti resursa za provedbu operacije „SEA GUARDIAN“ te veličinu područja operacije, operativni plan operacije omogućio je angažiranje snaga d</w:t>
      </w:r>
      <w:r w:rsidR="00DE1F52">
        <w:rPr>
          <w:rFonts w:ascii="Times New Roman" w:eastAsia="MS Mincho" w:hAnsi="Times New Roman" w:cs="Times New Roman"/>
          <w:color w:val="000000"/>
          <w:sz w:val="24"/>
          <w:szCs w:val="24"/>
          <w:lang w:eastAsia="ja-JP"/>
        </w:rPr>
        <w:t xml:space="preserve">ržava članica NATO-a i u kraćim </w:t>
      </w:r>
      <w:r w:rsidRPr="00E74A1E">
        <w:rPr>
          <w:rFonts w:ascii="Times New Roman" w:eastAsia="MS Mincho" w:hAnsi="Times New Roman" w:cs="Times New Roman"/>
          <w:color w:val="000000"/>
          <w:sz w:val="24"/>
          <w:szCs w:val="24"/>
          <w:lang w:eastAsia="ja-JP"/>
        </w:rPr>
        <w:t xml:space="preserve">razdobljima u područjima od povećanog interesa operacije „SEA GUARDIAN“. Ova područja definirana su kao </w:t>
      </w:r>
      <w:r w:rsidR="00DE1F52">
        <w:rPr>
          <w:rFonts w:ascii="Times New Roman" w:eastAsia="MS Mincho" w:hAnsi="Times New Roman" w:cs="Times New Roman"/>
          <w:color w:val="000000"/>
          <w:sz w:val="24"/>
          <w:szCs w:val="24"/>
          <w:lang w:eastAsia="ja-JP"/>
        </w:rPr>
        <w:t xml:space="preserve">posljedica </w:t>
      </w:r>
      <w:r w:rsidRPr="00E74A1E">
        <w:rPr>
          <w:rFonts w:ascii="Times New Roman" w:eastAsia="MS Mincho" w:hAnsi="Times New Roman" w:cs="Times New Roman"/>
          <w:color w:val="000000"/>
          <w:sz w:val="24"/>
          <w:szCs w:val="24"/>
          <w:lang w:eastAsia="ja-JP"/>
        </w:rPr>
        <w:t xml:space="preserve">analize mogućih ugroza, rizika te korelacije s drugim operacijama </w:t>
      </w:r>
      <w:r w:rsidR="006E528D">
        <w:rPr>
          <w:rFonts w:ascii="Times New Roman" w:eastAsia="MS Mincho" w:hAnsi="Times New Roman" w:cs="Times New Roman"/>
          <w:color w:val="000000"/>
          <w:sz w:val="24"/>
          <w:szCs w:val="24"/>
          <w:lang w:eastAsia="ja-JP"/>
        </w:rPr>
        <w:t xml:space="preserve">u Sredozemlju </w:t>
      </w:r>
      <w:r w:rsidRPr="00E74A1E">
        <w:rPr>
          <w:rFonts w:ascii="Times New Roman" w:eastAsia="MS Mincho" w:hAnsi="Times New Roman" w:cs="Times New Roman"/>
          <w:color w:val="000000"/>
          <w:sz w:val="24"/>
          <w:szCs w:val="24"/>
          <w:lang w:eastAsia="ja-JP"/>
        </w:rPr>
        <w:t xml:space="preserve">s kojim operacija „SEA GUARDIAN“ surađuje. </w:t>
      </w:r>
    </w:p>
    <w:p w14:paraId="59CB0270" w14:textId="77777777" w:rsidR="007D7B79" w:rsidRDefault="007D7B79" w:rsidP="007D7B79">
      <w:pPr>
        <w:autoSpaceDE w:val="0"/>
        <w:autoSpaceDN w:val="0"/>
        <w:adjustRightInd w:val="0"/>
        <w:spacing w:after="0" w:line="240" w:lineRule="auto"/>
        <w:ind w:firstLine="708"/>
        <w:jc w:val="both"/>
        <w:rPr>
          <w:rFonts w:ascii="Times New Roman" w:eastAsia="MS Mincho" w:hAnsi="Times New Roman" w:cs="Times New Roman"/>
          <w:color w:val="000000"/>
          <w:sz w:val="24"/>
          <w:szCs w:val="24"/>
          <w:lang w:eastAsia="ja-JP"/>
        </w:rPr>
      </w:pPr>
    </w:p>
    <w:p w14:paraId="59CB0271" w14:textId="77777777" w:rsidR="00E74A1E" w:rsidRPr="007D7B79" w:rsidRDefault="00E74A1E" w:rsidP="007D7B79">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hr-HR"/>
        </w:rPr>
      </w:pPr>
      <w:r w:rsidRPr="00E74A1E">
        <w:rPr>
          <w:rFonts w:ascii="Times New Roman" w:eastAsia="MS Mincho" w:hAnsi="Times New Roman" w:cs="Times New Roman"/>
          <w:color w:val="000000"/>
          <w:sz w:val="24"/>
          <w:szCs w:val="24"/>
          <w:lang w:eastAsia="ja-JP"/>
        </w:rPr>
        <w:t>Navedeni pristup značajno je pri</w:t>
      </w:r>
      <w:r w:rsidR="00D04C2F">
        <w:rPr>
          <w:rFonts w:ascii="Times New Roman" w:eastAsia="MS Mincho" w:hAnsi="Times New Roman" w:cs="Times New Roman"/>
          <w:color w:val="000000"/>
          <w:sz w:val="24"/>
          <w:szCs w:val="24"/>
          <w:lang w:eastAsia="ja-JP"/>
        </w:rPr>
        <w:t>do</w:t>
      </w:r>
      <w:r w:rsidRPr="00E74A1E">
        <w:rPr>
          <w:rFonts w:ascii="Times New Roman" w:eastAsia="MS Mincho" w:hAnsi="Times New Roman" w:cs="Times New Roman"/>
          <w:color w:val="000000"/>
          <w:sz w:val="24"/>
          <w:szCs w:val="24"/>
          <w:lang w:eastAsia="ja-JP"/>
        </w:rPr>
        <w:t xml:space="preserve">nio unaprjeđivanju učinkovitosti operacije te osigurao da se i države članice NATO-a koje imaju ograničene resurse za provedbu operacija na moru mogu uključiti u operaciju te dati doprinos zajedničkoj sigurnosti, </w:t>
      </w:r>
      <w:r w:rsidR="00D04C2F">
        <w:rPr>
          <w:rFonts w:ascii="Times New Roman" w:eastAsia="MS Mincho" w:hAnsi="Times New Roman" w:cs="Times New Roman"/>
          <w:color w:val="000000"/>
          <w:sz w:val="24"/>
          <w:szCs w:val="24"/>
          <w:lang w:eastAsia="ja-JP"/>
        </w:rPr>
        <w:t xml:space="preserve">a </w:t>
      </w:r>
      <w:r w:rsidRPr="00E74A1E">
        <w:rPr>
          <w:rFonts w:ascii="Times New Roman" w:eastAsia="MS Mincho" w:hAnsi="Times New Roman" w:cs="Times New Roman"/>
          <w:color w:val="000000"/>
          <w:sz w:val="24"/>
          <w:szCs w:val="24"/>
          <w:lang w:eastAsia="ja-JP"/>
        </w:rPr>
        <w:t xml:space="preserve">time i gospodarskom i društvenom razvoju država članica NATO-a, Europske unije i </w:t>
      </w:r>
      <w:r w:rsidR="006E528D">
        <w:rPr>
          <w:rFonts w:ascii="Times New Roman" w:eastAsia="MS Mincho" w:hAnsi="Times New Roman" w:cs="Times New Roman"/>
          <w:color w:val="000000"/>
          <w:sz w:val="24"/>
          <w:szCs w:val="24"/>
          <w:lang w:eastAsia="ja-JP"/>
        </w:rPr>
        <w:t xml:space="preserve">sredozemne </w:t>
      </w:r>
      <w:r w:rsidRPr="00E74A1E">
        <w:rPr>
          <w:rFonts w:ascii="Times New Roman" w:eastAsia="MS Mincho" w:hAnsi="Times New Roman" w:cs="Times New Roman"/>
          <w:color w:val="000000"/>
          <w:sz w:val="24"/>
          <w:szCs w:val="24"/>
          <w:lang w:eastAsia="ja-JP"/>
        </w:rPr>
        <w:t xml:space="preserve">regije.   </w:t>
      </w:r>
    </w:p>
    <w:p w14:paraId="59CB0272" w14:textId="77777777" w:rsidR="00E74A1E" w:rsidRDefault="00E74A1E" w:rsidP="00E74A1E">
      <w:pPr>
        <w:spacing w:before="120" w:after="0" w:line="240" w:lineRule="auto"/>
        <w:jc w:val="both"/>
        <w:rPr>
          <w:rFonts w:ascii="Times New Roman" w:eastAsia="MS Mincho" w:hAnsi="Times New Roman" w:cs="Times New Roman"/>
          <w:color w:val="000000"/>
          <w:sz w:val="24"/>
          <w:szCs w:val="24"/>
          <w:lang w:eastAsia="ja-JP"/>
        </w:rPr>
      </w:pPr>
    </w:p>
    <w:p w14:paraId="59CB0273" w14:textId="77777777" w:rsidR="007D7B79" w:rsidRPr="00E74A1E" w:rsidRDefault="007D7B79" w:rsidP="00E74A1E">
      <w:pPr>
        <w:spacing w:before="120" w:after="0" w:line="240" w:lineRule="auto"/>
        <w:jc w:val="both"/>
        <w:rPr>
          <w:rFonts w:ascii="Times New Roman" w:eastAsia="MS Mincho" w:hAnsi="Times New Roman" w:cs="Times New Roman"/>
          <w:color w:val="000000"/>
          <w:sz w:val="24"/>
          <w:szCs w:val="24"/>
          <w:lang w:eastAsia="ja-JP"/>
        </w:rPr>
      </w:pPr>
    </w:p>
    <w:p w14:paraId="59CB0274" w14:textId="77777777" w:rsidR="00E74A1E" w:rsidRPr="007D7B79" w:rsidRDefault="00E74A1E" w:rsidP="007D7B79">
      <w:pPr>
        <w:spacing w:before="120" w:after="0" w:line="240" w:lineRule="auto"/>
        <w:jc w:val="both"/>
        <w:rPr>
          <w:rFonts w:ascii="Times New Roman" w:eastAsia="Times New Roman" w:hAnsi="Times New Roman" w:cs="Times New Roman"/>
          <w:iCs/>
          <w:color w:val="000000"/>
          <w:sz w:val="24"/>
          <w:szCs w:val="24"/>
          <w:lang w:eastAsia="hr-HR"/>
        </w:rPr>
      </w:pPr>
      <w:r w:rsidRPr="00E74A1E">
        <w:rPr>
          <w:rFonts w:ascii="Times New Roman" w:eastAsia="MS Mincho" w:hAnsi="Times New Roman" w:cs="Times New Roman"/>
          <w:color w:val="000000"/>
          <w:sz w:val="24"/>
          <w:szCs w:val="24"/>
          <w:lang w:eastAsia="ja-JP"/>
        </w:rPr>
        <w:lastRenderedPageBreak/>
        <w:tab/>
      </w:r>
      <w:r w:rsidR="007D7B79" w:rsidRPr="007D7B79">
        <w:rPr>
          <w:rFonts w:ascii="Times New Roman" w:eastAsia="Times New Roman" w:hAnsi="Times New Roman" w:cs="Times New Roman"/>
          <w:b/>
          <w:iCs/>
          <w:color w:val="000000"/>
          <w:sz w:val="24"/>
          <w:szCs w:val="24"/>
          <w:lang w:eastAsia="hr-HR"/>
        </w:rPr>
        <w:t>III.</w:t>
      </w:r>
      <w:r w:rsidR="007D7B79">
        <w:rPr>
          <w:rFonts w:ascii="Times New Roman" w:eastAsia="Times New Roman" w:hAnsi="Times New Roman" w:cs="Times New Roman"/>
          <w:iCs/>
          <w:color w:val="000000"/>
          <w:sz w:val="24"/>
          <w:szCs w:val="24"/>
          <w:lang w:eastAsia="hr-HR"/>
        </w:rPr>
        <w:tab/>
      </w:r>
      <w:r w:rsidRPr="007D7B79">
        <w:rPr>
          <w:rFonts w:ascii="Times New Roman" w:eastAsia="Times New Roman" w:hAnsi="Times New Roman" w:cs="Times New Roman"/>
          <w:b/>
          <w:bCs/>
          <w:color w:val="000000"/>
          <w:sz w:val="24"/>
          <w:szCs w:val="24"/>
          <w:lang w:eastAsia="hr-HR"/>
        </w:rPr>
        <w:t>RAZLOZI I CILJEVI DONOŠENJA ODLUKE</w:t>
      </w:r>
    </w:p>
    <w:p w14:paraId="59CB0275" w14:textId="77777777" w:rsidR="00E74A1E" w:rsidRPr="00E74A1E" w:rsidRDefault="00E74A1E" w:rsidP="00E74A1E">
      <w:pPr>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hr-HR"/>
        </w:rPr>
      </w:pPr>
    </w:p>
    <w:p w14:paraId="59CB0276" w14:textId="77777777" w:rsidR="007D7B79" w:rsidRDefault="00D04C2F" w:rsidP="007D7B79">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DE1F52">
        <w:rPr>
          <w:rFonts w:ascii="Times New Roman" w:eastAsia="Times New Roman" w:hAnsi="Times New Roman" w:cs="Times New Roman"/>
          <w:color w:val="000000"/>
          <w:sz w:val="24"/>
          <w:szCs w:val="24"/>
          <w:lang w:eastAsia="hr-HR"/>
        </w:rPr>
        <w:t>D</w:t>
      </w:r>
      <w:r w:rsidR="00E74A1E" w:rsidRPr="00E74A1E">
        <w:rPr>
          <w:rFonts w:ascii="Times New Roman" w:eastAsia="Times New Roman" w:hAnsi="Times New Roman" w:cs="Times New Roman"/>
          <w:color w:val="000000"/>
          <w:sz w:val="24"/>
          <w:szCs w:val="24"/>
          <w:lang w:eastAsia="hr-HR"/>
        </w:rPr>
        <w:t xml:space="preserve">inamika sigurnosnih izazova u području </w:t>
      </w:r>
      <w:r w:rsidR="006E528D">
        <w:rPr>
          <w:rFonts w:ascii="Times New Roman" w:eastAsia="Times New Roman" w:hAnsi="Times New Roman" w:cs="Times New Roman"/>
          <w:color w:val="000000"/>
          <w:sz w:val="24"/>
          <w:szCs w:val="24"/>
          <w:lang w:eastAsia="hr-HR"/>
        </w:rPr>
        <w:t xml:space="preserve">Sredozemlja </w:t>
      </w:r>
      <w:r w:rsidR="00E74A1E" w:rsidRPr="00E74A1E">
        <w:rPr>
          <w:rFonts w:ascii="Times New Roman" w:eastAsia="Times New Roman" w:hAnsi="Times New Roman" w:cs="Times New Roman"/>
          <w:color w:val="000000"/>
          <w:sz w:val="24"/>
          <w:szCs w:val="24"/>
          <w:lang w:eastAsia="hr-HR"/>
        </w:rPr>
        <w:t>zaht</w:t>
      </w:r>
      <w:r w:rsidR="00DE1F52">
        <w:rPr>
          <w:rFonts w:ascii="Times New Roman" w:eastAsia="Times New Roman" w:hAnsi="Times New Roman" w:cs="Times New Roman"/>
          <w:color w:val="000000"/>
          <w:sz w:val="24"/>
          <w:szCs w:val="24"/>
          <w:lang w:eastAsia="hr-HR"/>
        </w:rPr>
        <w:t>i</w:t>
      </w:r>
      <w:r w:rsidR="00E74A1E" w:rsidRPr="00E74A1E">
        <w:rPr>
          <w:rFonts w:ascii="Times New Roman" w:eastAsia="Times New Roman" w:hAnsi="Times New Roman" w:cs="Times New Roman"/>
          <w:color w:val="000000"/>
          <w:sz w:val="24"/>
          <w:szCs w:val="24"/>
          <w:lang w:eastAsia="hr-HR"/>
        </w:rPr>
        <w:t xml:space="preserve">jeva stalnu </w:t>
      </w:r>
      <w:r w:rsidR="00DE1F52">
        <w:rPr>
          <w:rFonts w:ascii="Times New Roman" w:eastAsia="Times New Roman" w:hAnsi="Times New Roman" w:cs="Times New Roman"/>
          <w:color w:val="000000"/>
          <w:sz w:val="24"/>
          <w:szCs w:val="24"/>
          <w:lang w:eastAsia="hr-HR"/>
        </w:rPr>
        <w:t xml:space="preserve">prisutnost </w:t>
      </w:r>
      <w:r w:rsidR="00E74A1E" w:rsidRPr="00E74A1E">
        <w:rPr>
          <w:rFonts w:ascii="Times New Roman" w:eastAsia="Times New Roman" w:hAnsi="Times New Roman" w:cs="Times New Roman"/>
          <w:color w:val="000000"/>
          <w:sz w:val="24"/>
          <w:szCs w:val="24"/>
          <w:lang w:eastAsia="hr-HR"/>
        </w:rPr>
        <w:t xml:space="preserve">snaga na moru </w:t>
      </w:r>
      <w:r>
        <w:rPr>
          <w:rFonts w:ascii="Times New Roman" w:eastAsia="Times New Roman" w:hAnsi="Times New Roman" w:cs="Times New Roman"/>
          <w:color w:val="000000"/>
          <w:sz w:val="24"/>
          <w:szCs w:val="24"/>
          <w:lang w:eastAsia="hr-HR"/>
        </w:rPr>
        <w:t xml:space="preserve">radi </w:t>
      </w:r>
      <w:r w:rsidR="00E74A1E" w:rsidRPr="00E74A1E">
        <w:rPr>
          <w:rFonts w:ascii="Times New Roman" w:eastAsia="Times New Roman" w:hAnsi="Times New Roman" w:cs="Times New Roman"/>
          <w:color w:val="000000"/>
          <w:sz w:val="24"/>
          <w:szCs w:val="24"/>
          <w:lang w:eastAsia="hr-HR"/>
        </w:rPr>
        <w:t>odvraćanja potencijalnih prijetnji, nadzora i osiguranja slobode plovidbe i miroljubivog korištenja i iskorištavanja plovnih ruta i prirodnih resursa</w:t>
      </w:r>
      <w:r>
        <w:rPr>
          <w:rFonts w:ascii="Times New Roman" w:eastAsia="Times New Roman" w:hAnsi="Times New Roman" w:cs="Times New Roman"/>
          <w:color w:val="000000"/>
          <w:sz w:val="24"/>
          <w:szCs w:val="24"/>
          <w:lang w:eastAsia="hr-HR"/>
        </w:rPr>
        <w:t>.</w:t>
      </w:r>
    </w:p>
    <w:p w14:paraId="59CB0277" w14:textId="77777777" w:rsidR="007D7B79" w:rsidRDefault="007D7B79" w:rsidP="007D7B79">
      <w:pPr>
        <w:spacing w:after="0" w:line="240" w:lineRule="auto"/>
        <w:jc w:val="both"/>
        <w:rPr>
          <w:rFonts w:ascii="Times New Roman" w:eastAsia="Times New Roman" w:hAnsi="Times New Roman" w:cs="Times New Roman"/>
          <w:color w:val="000000"/>
          <w:sz w:val="24"/>
          <w:szCs w:val="24"/>
          <w:lang w:eastAsia="hr-HR"/>
        </w:rPr>
      </w:pPr>
    </w:p>
    <w:p w14:paraId="59CB0278" w14:textId="77777777" w:rsidR="00E74A1E" w:rsidRPr="00E74A1E" w:rsidRDefault="00D04C2F" w:rsidP="007D7B79">
      <w:pPr>
        <w:spacing w:after="0" w:line="24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Uspješnost operacije „SEA </w:t>
      </w:r>
      <w:r w:rsidR="00E74A1E" w:rsidRPr="00E74A1E">
        <w:rPr>
          <w:rFonts w:ascii="Times New Roman" w:eastAsia="Times New Roman" w:hAnsi="Times New Roman" w:cs="Times New Roman"/>
          <w:color w:val="000000"/>
          <w:sz w:val="24"/>
          <w:szCs w:val="24"/>
          <w:lang w:eastAsia="hr-HR"/>
        </w:rPr>
        <w:t xml:space="preserve">GUARDIAN“ ima izravni učinak i na potencijalne sigurnosne prijetnje i održavanje sigurnog i stabilnog stanja u bližem području i prostoru </w:t>
      </w:r>
      <w:r>
        <w:rPr>
          <w:rFonts w:ascii="Times New Roman" w:eastAsia="Times New Roman" w:hAnsi="Times New Roman" w:cs="Times New Roman"/>
          <w:color w:val="000000"/>
          <w:sz w:val="24"/>
          <w:szCs w:val="24"/>
          <w:lang w:eastAsia="hr-HR"/>
        </w:rPr>
        <w:t>J</w:t>
      </w:r>
      <w:r w:rsidR="00E74A1E" w:rsidRPr="00E74A1E">
        <w:rPr>
          <w:rFonts w:ascii="Times New Roman" w:eastAsia="Times New Roman" w:hAnsi="Times New Roman" w:cs="Times New Roman"/>
          <w:color w:val="000000"/>
          <w:sz w:val="24"/>
          <w:szCs w:val="24"/>
          <w:lang w:eastAsia="hr-HR"/>
        </w:rPr>
        <w:t>adranskog mora, što utječe na hrvatsko gospodarstvo i društveni razvoj u cijelosti. Oružane snage Republ</w:t>
      </w:r>
      <w:r w:rsidR="007D7B79">
        <w:rPr>
          <w:rFonts w:ascii="Times New Roman" w:eastAsia="Times New Roman" w:hAnsi="Times New Roman" w:cs="Times New Roman"/>
          <w:color w:val="000000"/>
          <w:sz w:val="24"/>
          <w:szCs w:val="24"/>
          <w:lang w:eastAsia="hr-HR"/>
        </w:rPr>
        <w:t xml:space="preserve">ike Hrvatske, kroz djelatnosti </w:t>
      </w:r>
      <w:r w:rsidR="00E74A1E" w:rsidRPr="00E74A1E">
        <w:rPr>
          <w:rFonts w:ascii="Times New Roman" w:eastAsia="Times New Roman" w:hAnsi="Times New Roman" w:cs="Times New Roman"/>
          <w:color w:val="000000"/>
          <w:sz w:val="24"/>
          <w:szCs w:val="24"/>
          <w:lang w:eastAsia="hr-HR"/>
        </w:rPr>
        <w:t>Hrvatske ratne mornari</w:t>
      </w:r>
      <w:r>
        <w:rPr>
          <w:rFonts w:ascii="Times New Roman" w:eastAsia="Times New Roman" w:hAnsi="Times New Roman" w:cs="Times New Roman"/>
          <w:color w:val="000000"/>
          <w:sz w:val="24"/>
          <w:szCs w:val="24"/>
          <w:lang w:eastAsia="hr-HR"/>
        </w:rPr>
        <w:t xml:space="preserve">ce, održavaju </w:t>
      </w:r>
      <w:r w:rsidR="00DE1F52">
        <w:rPr>
          <w:rFonts w:ascii="Times New Roman" w:eastAsia="Times New Roman" w:hAnsi="Times New Roman" w:cs="Times New Roman"/>
          <w:color w:val="000000"/>
          <w:sz w:val="24"/>
          <w:szCs w:val="24"/>
          <w:lang w:eastAsia="hr-HR"/>
        </w:rPr>
        <w:t>stalnu</w:t>
      </w:r>
      <w:r>
        <w:rPr>
          <w:rFonts w:ascii="Times New Roman" w:eastAsia="Times New Roman" w:hAnsi="Times New Roman" w:cs="Times New Roman"/>
          <w:color w:val="000000"/>
          <w:sz w:val="24"/>
          <w:szCs w:val="24"/>
          <w:lang w:eastAsia="hr-HR"/>
        </w:rPr>
        <w:t xml:space="preserve"> vezu s </w:t>
      </w:r>
      <w:r w:rsidR="00E74A1E" w:rsidRPr="00E74A1E">
        <w:rPr>
          <w:rFonts w:ascii="Times New Roman" w:eastAsia="Times New Roman" w:hAnsi="Times New Roman" w:cs="Times New Roman"/>
          <w:color w:val="000000"/>
          <w:sz w:val="24"/>
          <w:szCs w:val="24"/>
          <w:lang w:eastAsia="hr-HR"/>
        </w:rPr>
        <w:t xml:space="preserve">regionalnim mornaricama i Savezničkim mornaričkim Zapovjedništvom </w:t>
      </w:r>
      <w:r>
        <w:rPr>
          <w:rFonts w:ascii="Times New Roman" w:eastAsia="Times New Roman" w:hAnsi="Times New Roman" w:cs="Times New Roman"/>
          <w:color w:val="000000"/>
          <w:sz w:val="24"/>
          <w:szCs w:val="24"/>
          <w:lang w:eastAsia="hr-HR"/>
        </w:rPr>
        <w:t>razmjenom</w:t>
      </w:r>
      <w:r w:rsidR="00E74A1E" w:rsidRPr="00E74A1E">
        <w:rPr>
          <w:rFonts w:ascii="Times New Roman" w:eastAsia="Times New Roman" w:hAnsi="Times New Roman" w:cs="Times New Roman"/>
          <w:color w:val="000000"/>
          <w:sz w:val="24"/>
          <w:szCs w:val="24"/>
          <w:lang w:eastAsia="hr-HR"/>
        </w:rPr>
        <w:t xml:space="preserve"> informacija o sigurnosnoj situacijskoj svjesnosti na moru s ciljem djelovanja u zaštiti zajedničkih interesa. </w:t>
      </w:r>
    </w:p>
    <w:p w14:paraId="59CB0279" w14:textId="77777777" w:rsidR="00E74A1E" w:rsidRPr="00E74A1E" w:rsidRDefault="00E74A1E" w:rsidP="00E74A1E">
      <w:pPr>
        <w:spacing w:after="0" w:line="240" w:lineRule="auto"/>
        <w:jc w:val="both"/>
        <w:rPr>
          <w:rFonts w:ascii="Times New Roman" w:eastAsia="Times New Roman" w:hAnsi="Times New Roman" w:cs="Times New Roman"/>
          <w:color w:val="000000"/>
          <w:sz w:val="24"/>
          <w:szCs w:val="24"/>
          <w:lang w:eastAsia="hr-HR"/>
        </w:rPr>
      </w:pPr>
    </w:p>
    <w:p w14:paraId="59CB027A" w14:textId="77777777" w:rsidR="007D7B79" w:rsidRDefault="00D04C2F" w:rsidP="00E74A1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E74A1E" w:rsidRPr="00E74A1E">
        <w:rPr>
          <w:rFonts w:ascii="Times New Roman" w:eastAsia="Times New Roman" w:hAnsi="Times New Roman" w:cs="Times New Roman"/>
          <w:color w:val="000000"/>
          <w:sz w:val="24"/>
          <w:szCs w:val="24"/>
          <w:lang w:eastAsia="hr-HR"/>
        </w:rPr>
        <w:t>U</w:t>
      </w:r>
      <w:r w:rsidR="00DE1F52">
        <w:rPr>
          <w:rFonts w:ascii="Times New Roman" w:eastAsia="Times New Roman" w:hAnsi="Times New Roman" w:cs="Times New Roman"/>
          <w:color w:val="000000"/>
          <w:sz w:val="24"/>
          <w:szCs w:val="24"/>
          <w:lang w:eastAsia="hr-HR"/>
        </w:rPr>
        <w:t xml:space="preserve"> konceptu</w:t>
      </w:r>
      <w:r w:rsidR="00E74A1E" w:rsidRPr="00E74A1E">
        <w:rPr>
          <w:rFonts w:ascii="Times New Roman" w:eastAsia="Times New Roman" w:hAnsi="Times New Roman" w:cs="Times New Roman"/>
          <w:color w:val="000000"/>
          <w:sz w:val="24"/>
          <w:szCs w:val="24"/>
          <w:lang w:eastAsia="hr-HR"/>
        </w:rPr>
        <w:t xml:space="preserve"> operacije „SEA GUARDIAN“ i plana djelovanja za 2019. godinu predviđeno je angažiranje snaga u području interesa operacije ispred Jadranskog mora i srednjem </w:t>
      </w:r>
      <w:r w:rsidR="006E528D">
        <w:rPr>
          <w:rFonts w:ascii="Times New Roman" w:eastAsia="Times New Roman" w:hAnsi="Times New Roman" w:cs="Times New Roman"/>
          <w:color w:val="000000"/>
          <w:sz w:val="24"/>
          <w:szCs w:val="24"/>
          <w:lang w:eastAsia="hr-HR"/>
        </w:rPr>
        <w:t xml:space="preserve">Sredozemlju </w:t>
      </w:r>
      <w:r w:rsidR="00E74A1E" w:rsidRPr="00E74A1E">
        <w:rPr>
          <w:rFonts w:ascii="Times New Roman" w:eastAsia="Times New Roman" w:hAnsi="Times New Roman" w:cs="Times New Roman"/>
          <w:color w:val="000000"/>
          <w:sz w:val="24"/>
          <w:szCs w:val="24"/>
          <w:lang w:eastAsia="hr-HR"/>
        </w:rPr>
        <w:t xml:space="preserve">kroz sekvencu operacije naziva Focus Operation (FOCOPS). </w:t>
      </w:r>
    </w:p>
    <w:p w14:paraId="59CB027B" w14:textId="77777777" w:rsidR="007D7B79" w:rsidRDefault="007D7B79" w:rsidP="00E74A1E">
      <w:pPr>
        <w:spacing w:after="0" w:line="240" w:lineRule="auto"/>
        <w:jc w:val="both"/>
        <w:rPr>
          <w:rFonts w:ascii="Times New Roman" w:eastAsia="Times New Roman" w:hAnsi="Times New Roman" w:cs="Times New Roman"/>
          <w:color w:val="000000"/>
          <w:sz w:val="24"/>
          <w:szCs w:val="24"/>
          <w:lang w:eastAsia="hr-HR"/>
        </w:rPr>
      </w:pPr>
    </w:p>
    <w:p w14:paraId="59CB027C" w14:textId="77777777" w:rsidR="00E74A1E" w:rsidRPr="00E74A1E" w:rsidRDefault="00E74A1E" w:rsidP="007D7B79">
      <w:pPr>
        <w:spacing w:after="0" w:line="240" w:lineRule="auto"/>
        <w:ind w:firstLine="708"/>
        <w:jc w:val="both"/>
        <w:rPr>
          <w:rFonts w:ascii="Times New Roman" w:eastAsia="Times New Roman" w:hAnsi="Times New Roman" w:cs="Times New Roman"/>
          <w:color w:val="000000"/>
          <w:sz w:val="24"/>
          <w:szCs w:val="24"/>
          <w:lang w:eastAsia="hr-HR"/>
        </w:rPr>
      </w:pPr>
      <w:r w:rsidRPr="00E74A1E">
        <w:rPr>
          <w:rFonts w:ascii="Times New Roman" w:eastAsia="Times New Roman" w:hAnsi="Times New Roman" w:cs="Times New Roman"/>
          <w:color w:val="000000"/>
          <w:sz w:val="24"/>
          <w:szCs w:val="24"/>
          <w:lang w:eastAsia="hr-HR"/>
        </w:rPr>
        <w:t xml:space="preserve">Sudjelovanje u FOCOPS-u operacije „SEA GUARDIAN“ podrazumijeva provedbu zadaća neborbenih djelovanja s težištem na dostizanje učinaka u doprinosu stvaranja cjelovite pomorske situacijske slike iz svih raspoloživih izvora (senzorski, vizualno i drugi izvori) u realnom vremenu uz identifikaciju plovila od interesa te uočljivosti </w:t>
      </w:r>
      <w:r w:rsidR="00DE1F52">
        <w:rPr>
          <w:rFonts w:ascii="Times New Roman" w:eastAsia="Times New Roman" w:hAnsi="Times New Roman" w:cs="Times New Roman"/>
          <w:color w:val="000000"/>
          <w:sz w:val="24"/>
          <w:szCs w:val="24"/>
          <w:lang w:eastAsia="hr-HR"/>
        </w:rPr>
        <w:t xml:space="preserve">snaga NATO-a </w:t>
      </w:r>
      <w:r w:rsidRPr="00E74A1E">
        <w:rPr>
          <w:rFonts w:ascii="Times New Roman" w:eastAsia="Times New Roman" w:hAnsi="Times New Roman" w:cs="Times New Roman"/>
          <w:color w:val="000000"/>
          <w:sz w:val="24"/>
          <w:szCs w:val="24"/>
          <w:lang w:eastAsia="hr-HR"/>
        </w:rPr>
        <w:t>na moru s c</w:t>
      </w:r>
      <w:r w:rsidR="007D7B79">
        <w:rPr>
          <w:rFonts w:ascii="Times New Roman" w:eastAsia="Times New Roman" w:hAnsi="Times New Roman" w:cs="Times New Roman"/>
          <w:color w:val="000000"/>
          <w:sz w:val="24"/>
          <w:szCs w:val="24"/>
          <w:lang w:eastAsia="hr-HR"/>
        </w:rPr>
        <w:t>iljem odvraćanja mogućih ugroza</w:t>
      </w:r>
      <w:r w:rsidRPr="00E74A1E">
        <w:rPr>
          <w:rFonts w:ascii="Times New Roman" w:eastAsia="Times New Roman" w:hAnsi="Times New Roman" w:cs="Times New Roman"/>
          <w:color w:val="000000"/>
          <w:sz w:val="24"/>
          <w:szCs w:val="24"/>
          <w:lang w:eastAsia="hr-HR"/>
        </w:rPr>
        <w:t xml:space="preserve"> i potpore NATO Strateškog komuniciranja.</w:t>
      </w:r>
    </w:p>
    <w:p w14:paraId="59CB027D" w14:textId="77777777" w:rsidR="00E74A1E" w:rsidRPr="00E74A1E" w:rsidRDefault="00E74A1E" w:rsidP="00E74A1E">
      <w:pPr>
        <w:spacing w:after="0" w:line="240" w:lineRule="auto"/>
        <w:jc w:val="both"/>
        <w:rPr>
          <w:rFonts w:ascii="Times New Roman" w:eastAsia="Times New Roman" w:hAnsi="Times New Roman" w:cs="Times New Roman"/>
          <w:color w:val="000000"/>
          <w:sz w:val="24"/>
          <w:szCs w:val="24"/>
          <w:lang w:eastAsia="hr-HR"/>
        </w:rPr>
      </w:pPr>
    </w:p>
    <w:p w14:paraId="59CB027E" w14:textId="77777777" w:rsidR="00E74A1E" w:rsidRPr="00E74A1E" w:rsidRDefault="0042493A" w:rsidP="00E74A1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E74A1E" w:rsidRPr="00E74A1E">
        <w:rPr>
          <w:rFonts w:ascii="Times New Roman" w:eastAsia="Times New Roman" w:hAnsi="Times New Roman" w:cs="Times New Roman"/>
          <w:color w:val="000000"/>
          <w:sz w:val="24"/>
          <w:szCs w:val="24"/>
          <w:lang w:eastAsia="hr-HR"/>
        </w:rPr>
        <w:t xml:space="preserve">S obzirom </w:t>
      </w:r>
      <w:r>
        <w:rPr>
          <w:rFonts w:ascii="Times New Roman" w:eastAsia="Times New Roman" w:hAnsi="Times New Roman" w:cs="Times New Roman"/>
          <w:color w:val="000000"/>
          <w:sz w:val="24"/>
          <w:szCs w:val="24"/>
          <w:lang w:eastAsia="hr-HR"/>
        </w:rPr>
        <w:t xml:space="preserve">na to </w:t>
      </w:r>
      <w:r w:rsidR="00E74A1E" w:rsidRPr="00E74A1E">
        <w:rPr>
          <w:rFonts w:ascii="Times New Roman" w:eastAsia="Times New Roman" w:hAnsi="Times New Roman" w:cs="Times New Roman"/>
          <w:color w:val="000000"/>
          <w:sz w:val="24"/>
          <w:szCs w:val="24"/>
          <w:lang w:eastAsia="hr-HR"/>
        </w:rPr>
        <w:t>da je riječ o savezničkoj operaciji zaštite zajedničkih interesa te mogućnosti angažiranja Oružanih snaga Republike Hrvatske u izravnoj zaštiti nacionalnih interesa u području ispred državnog teritorija, predlažemo dono</w:t>
      </w:r>
      <w:r w:rsidR="007D7B79">
        <w:rPr>
          <w:rFonts w:ascii="Times New Roman" w:eastAsia="Times New Roman" w:hAnsi="Times New Roman" w:cs="Times New Roman"/>
          <w:color w:val="000000"/>
          <w:sz w:val="24"/>
          <w:szCs w:val="24"/>
          <w:lang w:eastAsia="hr-HR"/>
        </w:rPr>
        <w:t>šenje o</w:t>
      </w:r>
      <w:r w:rsidR="009E569D">
        <w:rPr>
          <w:rFonts w:ascii="Times New Roman" w:eastAsia="Times New Roman" w:hAnsi="Times New Roman" w:cs="Times New Roman"/>
          <w:color w:val="000000"/>
          <w:sz w:val="24"/>
          <w:szCs w:val="24"/>
          <w:lang w:eastAsia="hr-HR"/>
        </w:rPr>
        <w:t xml:space="preserve">dluke o upućivanju </w:t>
      </w:r>
      <w:r w:rsidR="00E74A1E" w:rsidRPr="00E74A1E">
        <w:rPr>
          <w:rFonts w:ascii="Times New Roman" w:eastAsia="Times New Roman" w:hAnsi="Times New Roman" w:cs="Times New Roman"/>
          <w:color w:val="000000"/>
          <w:sz w:val="24"/>
          <w:szCs w:val="24"/>
          <w:lang w:eastAsia="hr-HR"/>
        </w:rPr>
        <w:t>broda Hr</w:t>
      </w:r>
      <w:r>
        <w:rPr>
          <w:rFonts w:ascii="Times New Roman" w:eastAsia="Times New Roman" w:hAnsi="Times New Roman" w:cs="Times New Roman"/>
          <w:color w:val="000000"/>
          <w:sz w:val="24"/>
          <w:szCs w:val="24"/>
          <w:lang w:eastAsia="hr-HR"/>
        </w:rPr>
        <w:t xml:space="preserve">vatske ratne mornarice s </w:t>
      </w:r>
      <w:r w:rsidR="009E569D">
        <w:rPr>
          <w:rFonts w:ascii="Times New Roman" w:eastAsia="Times New Roman" w:hAnsi="Times New Roman" w:cs="Times New Roman"/>
          <w:color w:val="000000"/>
          <w:sz w:val="24"/>
          <w:szCs w:val="24"/>
          <w:lang w:eastAsia="hr-HR"/>
        </w:rPr>
        <w:t>timom</w:t>
      </w:r>
      <w:r w:rsidR="00E74A1E" w:rsidRPr="00E74A1E">
        <w:rPr>
          <w:rFonts w:ascii="Times New Roman" w:eastAsia="Times New Roman" w:hAnsi="Times New Roman" w:cs="Times New Roman"/>
          <w:color w:val="000000"/>
          <w:sz w:val="24"/>
          <w:szCs w:val="24"/>
          <w:lang w:eastAsia="hr-HR"/>
        </w:rPr>
        <w:t xml:space="preserve"> za pregled broda</w:t>
      </w:r>
      <w:r w:rsidR="007D7B79">
        <w:rPr>
          <w:rFonts w:ascii="Times New Roman" w:eastAsia="Times New Roman" w:hAnsi="Times New Roman" w:cs="Times New Roman"/>
          <w:color w:val="000000"/>
          <w:sz w:val="24"/>
          <w:szCs w:val="24"/>
          <w:vertAlign w:val="superscript"/>
          <w:lang w:eastAsia="hr-HR"/>
        </w:rPr>
        <w:t xml:space="preserve"> </w:t>
      </w:r>
      <w:r w:rsidR="00E74A1E" w:rsidRPr="00E74A1E">
        <w:rPr>
          <w:rFonts w:ascii="Times New Roman" w:eastAsia="Times New Roman" w:hAnsi="Times New Roman" w:cs="Times New Roman"/>
          <w:color w:val="000000"/>
          <w:sz w:val="24"/>
          <w:szCs w:val="24"/>
          <w:lang w:eastAsia="hr-HR"/>
        </w:rPr>
        <w:t>u operaciju „SEA GUARDIAN“.  Uz izravnu zaštitu nacionalnih interesa na moru, sudjelovanjem Oružanih snaga Republike Hrvatske u NATO operaciji iskazao bi se vidljiv</w:t>
      </w:r>
      <w:r w:rsidR="00DE1F52">
        <w:rPr>
          <w:rFonts w:ascii="Times New Roman" w:eastAsia="Times New Roman" w:hAnsi="Times New Roman" w:cs="Times New Roman"/>
          <w:color w:val="000000"/>
          <w:sz w:val="24"/>
          <w:szCs w:val="24"/>
          <w:lang w:eastAsia="hr-HR"/>
        </w:rPr>
        <w:t xml:space="preserve"> doprinos Republike Hrvatske u s</w:t>
      </w:r>
      <w:r w:rsidR="00E74A1E" w:rsidRPr="00E74A1E">
        <w:rPr>
          <w:rFonts w:ascii="Times New Roman" w:eastAsia="Times New Roman" w:hAnsi="Times New Roman" w:cs="Times New Roman"/>
          <w:color w:val="000000"/>
          <w:sz w:val="24"/>
          <w:szCs w:val="24"/>
          <w:lang w:eastAsia="hr-HR"/>
        </w:rPr>
        <w:t xml:space="preserve">avezničkim naporima osiguranja zajedničke sigurnosti na moru unutar nacionalnih mogućnosti i raspoloživosti resursa. </w:t>
      </w:r>
    </w:p>
    <w:p w14:paraId="59CB027F" w14:textId="77777777" w:rsidR="00E74A1E" w:rsidRPr="00E74A1E" w:rsidRDefault="00E74A1E" w:rsidP="00E74A1E">
      <w:pPr>
        <w:spacing w:after="0" w:line="240" w:lineRule="auto"/>
        <w:jc w:val="both"/>
        <w:rPr>
          <w:rFonts w:ascii="Times New Roman" w:eastAsia="Times New Roman" w:hAnsi="Times New Roman" w:cs="Times New Roman"/>
          <w:color w:val="000000"/>
          <w:sz w:val="24"/>
          <w:szCs w:val="24"/>
          <w:lang w:eastAsia="hr-HR"/>
        </w:rPr>
      </w:pPr>
    </w:p>
    <w:p w14:paraId="59CB0280" w14:textId="77777777" w:rsidR="00E74A1E" w:rsidRPr="00E74A1E" w:rsidRDefault="0042493A" w:rsidP="00E74A1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E74A1E" w:rsidRPr="00E74A1E">
        <w:rPr>
          <w:rFonts w:ascii="Times New Roman" w:eastAsia="Times New Roman" w:hAnsi="Times New Roman" w:cs="Times New Roman"/>
          <w:color w:val="000000"/>
          <w:sz w:val="24"/>
          <w:szCs w:val="24"/>
          <w:lang w:eastAsia="hr-HR"/>
        </w:rPr>
        <w:t xml:space="preserve">Također, sudjelovanjem pripadnika </w:t>
      </w:r>
      <w:r>
        <w:rPr>
          <w:rFonts w:ascii="Times New Roman" w:eastAsia="Times New Roman" w:hAnsi="Times New Roman" w:cs="Times New Roman"/>
          <w:color w:val="000000"/>
          <w:sz w:val="24"/>
          <w:szCs w:val="24"/>
          <w:lang w:eastAsia="hr-HR"/>
        </w:rPr>
        <w:t xml:space="preserve">Oružanih snaga Republike Hrvatske </w:t>
      </w:r>
      <w:r w:rsidR="00E74A1E" w:rsidRPr="00E74A1E">
        <w:rPr>
          <w:rFonts w:ascii="Times New Roman" w:eastAsia="Times New Roman" w:hAnsi="Times New Roman" w:cs="Times New Roman"/>
          <w:color w:val="000000"/>
          <w:sz w:val="24"/>
          <w:szCs w:val="24"/>
          <w:lang w:eastAsia="hr-HR"/>
        </w:rPr>
        <w:t>i broda Hrvatske ratne mornarice u NATO operaciji nastavio bi se proces razvoja sposobnosti Oružanih snaga Republike Hrvatske za zajedničko djelovanje sa snagama država članica NATO-a. Ovaj zahtjev razvoja sposobnosti Oružanih snaga Republike Hrvatske trajna je zadaća kojom se osigurava sposobnost obrane i zaštite nacionalnih interesa.</w:t>
      </w:r>
    </w:p>
    <w:p w14:paraId="59CB0281" w14:textId="77777777" w:rsidR="00E74A1E" w:rsidRPr="00E74A1E" w:rsidRDefault="00E74A1E" w:rsidP="00E74A1E">
      <w:pPr>
        <w:spacing w:after="0" w:line="240" w:lineRule="auto"/>
        <w:jc w:val="both"/>
        <w:rPr>
          <w:rFonts w:ascii="Times New Roman" w:eastAsia="Times New Roman" w:hAnsi="Times New Roman" w:cs="Times New Roman"/>
          <w:color w:val="000000"/>
          <w:sz w:val="24"/>
          <w:szCs w:val="24"/>
          <w:lang w:eastAsia="hr-HR"/>
        </w:rPr>
      </w:pPr>
    </w:p>
    <w:p w14:paraId="59CB0282" w14:textId="77777777" w:rsidR="007D7B79" w:rsidRDefault="0042493A" w:rsidP="00E74A1E">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ab/>
      </w:r>
      <w:r w:rsidR="00E74A1E" w:rsidRPr="00E74A1E">
        <w:rPr>
          <w:rFonts w:ascii="Times New Roman" w:eastAsia="Times New Roman" w:hAnsi="Times New Roman" w:cs="Times New Roman"/>
          <w:color w:val="000000"/>
          <w:sz w:val="24"/>
          <w:szCs w:val="24"/>
          <w:lang w:eastAsia="hr-HR"/>
        </w:rPr>
        <w:t xml:space="preserve">Oružane snage Republike Hrvatske </w:t>
      </w:r>
      <w:r>
        <w:rPr>
          <w:rFonts w:ascii="Times New Roman" w:eastAsia="Times New Roman" w:hAnsi="Times New Roman" w:cs="Times New Roman"/>
          <w:color w:val="000000"/>
          <w:sz w:val="24"/>
          <w:szCs w:val="24"/>
          <w:lang w:eastAsia="hr-HR"/>
        </w:rPr>
        <w:t>su o</w:t>
      </w:r>
      <w:r w:rsidRPr="00E74A1E">
        <w:rPr>
          <w:rFonts w:ascii="Times New Roman" w:eastAsia="Times New Roman" w:hAnsi="Times New Roman" w:cs="Times New Roman"/>
          <w:color w:val="000000"/>
          <w:sz w:val="24"/>
          <w:szCs w:val="24"/>
          <w:lang w:eastAsia="hr-HR"/>
        </w:rPr>
        <w:t xml:space="preserve">d 3. do 24. rujna 2018. </w:t>
      </w:r>
      <w:r w:rsidR="00E74A1E" w:rsidRPr="00E74A1E">
        <w:rPr>
          <w:rFonts w:ascii="Times New Roman" w:eastAsia="Times New Roman" w:hAnsi="Times New Roman" w:cs="Times New Roman"/>
          <w:color w:val="000000"/>
          <w:sz w:val="24"/>
          <w:szCs w:val="24"/>
          <w:lang w:eastAsia="hr-HR"/>
        </w:rPr>
        <w:t>sudjelovale u FOCOP</w:t>
      </w:r>
      <w:r>
        <w:rPr>
          <w:rFonts w:ascii="Times New Roman" w:eastAsia="Times New Roman" w:hAnsi="Times New Roman" w:cs="Times New Roman"/>
          <w:color w:val="000000"/>
          <w:sz w:val="24"/>
          <w:szCs w:val="24"/>
          <w:lang w:eastAsia="hr-HR"/>
        </w:rPr>
        <w:t>S-u  operacije „SEA GUARDIAN“ s</w:t>
      </w:r>
      <w:r w:rsidR="00E74A1E" w:rsidRPr="00E74A1E">
        <w:rPr>
          <w:rFonts w:ascii="Times New Roman" w:eastAsia="Times New Roman" w:hAnsi="Times New Roman" w:cs="Times New Roman"/>
          <w:color w:val="000000"/>
          <w:sz w:val="24"/>
          <w:szCs w:val="24"/>
          <w:lang w:eastAsia="hr-HR"/>
        </w:rPr>
        <w:t xml:space="preserve"> posadom (33 pripadnika Hrvatske ratne mornarica) i brodom RTOP-41 „Vukovar“. </w:t>
      </w:r>
      <w:r w:rsidR="00DE1F52">
        <w:rPr>
          <w:rFonts w:ascii="Times New Roman" w:eastAsia="Times New Roman" w:hAnsi="Times New Roman" w:cs="Times New Roman"/>
          <w:color w:val="000000"/>
          <w:sz w:val="24"/>
          <w:szCs w:val="24"/>
          <w:lang w:eastAsia="hr-HR"/>
        </w:rPr>
        <w:t>U</w:t>
      </w:r>
      <w:r w:rsidR="00E74A1E" w:rsidRPr="00E74A1E">
        <w:rPr>
          <w:rFonts w:ascii="Times New Roman" w:eastAsia="Times New Roman" w:hAnsi="Times New Roman" w:cs="Times New Roman"/>
          <w:color w:val="000000"/>
          <w:sz w:val="24"/>
          <w:szCs w:val="24"/>
          <w:lang w:eastAsia="hr-HR"/>
        </w:rPr>
        <w:t xml:space="preserve"> operaciji </w:t>
      </w:r>
      <w:r w:rsidR="00DE1F52">
        <w:rPr>
          <w:rFonts w:ascii="Times New Roman" w:eastAsia="Times New Roman" w:hAnsi="Times New Roman" w:cs="Times New Roman"/>
          <w:color w:val="000000"/>
          <w:sz w:val="24"/>
          <w:szCs w:val="24"/>
          <w:lang w:eastAsia="hr-HR"/>
        </w:rPr>
        <w:t xml:space="preserve">su provodili </w:t>
      </w:r>
      <w:r w:rsidR="00E74A1E" w:rsidRPr="00E74A1E">
        <w:rPr>
          <w:rFonts w:ascii="Times New Roman" w:eastAsia="Times New Roman" w:hAnsi="Times New Roman" w:cs="Times New Roman"/>
          <w:color w:val="000000"/>
          <w:sz w:val="24"/>
          <w:szCs w:val="24"/>
          <w:lang w:eastAsia="hr-HR"/>
        </w:rPr>
        <w:t xml:space="preserve">zadaće iz operativnog plana i smjernica NATO Zapovjedništva mornaričkih snaga u području srednjeg Mediterana. </w:t>
      </w:r>
      <w:r>
        <w:rPr>
          <w:rFonts w:ascii="Times New Roman" w:eastAsia="Times New Roman" w:hAnsi="Times New Roman" w:cs="Times New Roman"/>
          <w:color w:val="000000"/>
          <w:sz w:val="24"/>
          <w:szCs w:val="24"/>
          <w:lang w:eastAsia="hr-HR"/>
        </w:rPr>
        <w:t>Na temelju</w:t>
      </w:r>
      <w:r w:rsidR="00E74A1E" w:rsidRPr="00E74A1E">
        <w:rPr>
          <w:rFonts w:ascii="Times New Roman" w:eastAsia="Times New Roman" w:hAnsi="Times New Roman" w:cs="Times New Roman"/>
          <w:color w:val="000000"/>
          <w:sz w:val="24"/>
          <w:szCs w:val="24"/>
          <w:lang w:eastAsia="hr-HR"/>
        </w:rPr>
        <w:t xml:space="preserve"> raščlambe po povratku iz operacije, </w:t>
      </w:r>
      <w:r w:rsidR="007D7B79">
        <w:rPr>
          <w:rFonts w:ascii="Times New Roman" w:eastAsia="Times New Roman" w:hAnsi="Times New Roman" w:cs="Times New Roman"/>
          <w:color w:val="000000"/>
          <w:sz w:val="24"/>
          <w:szCs w:val="24"/>
          <w:lang w:eastAsia="hr-HR"/>
        </w:rPr>
        <w:t>utvrđeno</w:t>
      </w:r>
      <w:r w:rsidR="00E74A1E" w:rsidRPr="00E74A1E">
        <w:rPr>
          <w:rFonts w:ascii="Times New Roman" w:eastAsia="Times New Roman" w:hAnsi="Times New Roman" w:cs="Times New Roman"/>
          <w:color w:val="000000"/>
          <w:sz w:val="24"/>
          <w:szCs w:val="24"/>
          <w:lang w:eastAsia="hr-HR"/>
        </w:rPr>
        <w:t xml:space="preserve"> </w:t>
      </w:r>
      <w:r w:rsidR="00E74A1E" w:rsidRPr="007D7B79">
        <w:rPr>
          <w:rFonts w:ascii="Times New Roman" w:eastAsia="Times New Roman" w:hAnsi="Times New Roman" w:cs="Times New Roman"/>
          <w:color w:val="000000"/>
          <w:sz w:val="24"/>
          <w:szCs w:val="24"/>
          <w:lang w:eastAsia="hr-HR"/>
        </w:rPr>
        <w:t>je da brodovi RTOP klase Helsinki imaju sposobnost provedbe zadaća u operaciji</w:t>
      </w:r>
      <w:r w:rsidR="00E74A1E" w:rsidRPr="00E74A1E">
        <w:rPr>
          <w:rFonts w:ascii="Times New Roman" w:eastAsia="Times New Roman" w:hAnsi="Times New Roman" w:cs="Times New Roman"/>
          <w:color w:val="000000"/>
          <w:sz w:val="24"/>
          <w:szCs w:val="24"/>
          <w:lang w:eastAsia="hr-HR"/>
        </w:rPr>
        <w:t xml:space="preserve"> te da se implementacijom stečenih iskustava i naučenih lekcija </w:t>
      </w:r>
      <w:r w:rsidR="009E569D">
        <w:rPr>
          <w:rFonts w:ascii="Times New Roman" w:eastAsia="Times New Roman" w:hAnsi="Times New Roman" w:cs="Times New Roman"/>
          <w:color w:val="000000"/>
          <w:sz w:val="24"/>
          <w:szCs w:val="24"/>
          <w:lang w:eastAsia="hr-HR"/>
        </w:rPr>
        <w:t>sudjelovanja</w:t>
      </w:r>
      <w:r w:rsidR="00E74A1E" w:rsidRPr="00E74A1E">
        <w:rPr>
          <w:rFonts w:ascii="Times New Roman" w:eastAsia="Times New Roman" w:hAnsi="Times New Roman" w:cs="Times New Roman"/>
          <w:color w:val="000000"/>
          <w:sz w:val="24"/>
          <w:szCs w:val="24"/>
          <w:lang w:eastAsia="hr-HR"/>
        </w:rPr>
        <w:t xml:space="preserve"> u NATO operaciji „SEA GUARDIAN“ značajno unaprjeđuju sposobnosti Hrvatske ratne mornarice za provedbu dodijeljenih misija i zadaća. </w:t>
      </w:r>
    </w:p>
    <w:p w14:paraId="59CB0283" w14:textId="77777777" w:rsidR="007D7B79" w:rsidRDefault="007D7B79" w:rsidP="00E74A1E">
      <w:pPr>
        <w:spacing w:after="0" w:line="240" w:lineRule="auto"/>
        <w:jc w:val="both"/>
        <w:rPr>
          <w:rFonts w:ascii="Times New Roman" w:eastAsia="Times New Roman" w:hAnsi="Times New Roman" w:cs="Times New Roman"/>
          <w:color w:val="000000"/>
          <w:sz w:val="24"/>
          <w:szCs w:val="24"/>
          <w:lang w:eastAsia="hr-HR"/>
        </w:rPr>
      </w:pPr>
    </w:p>
    <w:p w14:paraId="59CB0284" w14:textId="77777777" w:rsidR="00E74A1E" w:rsidRDefault="00E74A1E" w:rsidP="007D7B79">
      <w:pPr>
        <w:spacing w:after="0" w:line="240" w:lineRule="auto"/>
        <w:ind w:firstLine="708"/>
        <w:jc w:val="both"/>
        <w:rPr>
          <w:rFonts w:ascii="Times New Roman" w:eastAsia="Times New Roman" w:hAnsi="Times New Roman" w:cs="Times New Roman"/>
          <w:color w:val="000000"/>
          <w:sz w:val="24"/>
          <w:szCs w:val="24"/>
          <w:lang w:eastAsia="hr-HR"/>
        </w:rPr>
      </w:pPr>
      <w:r w:rsidRPr="00E74A1E">
        <w:rPr>
          <w:rFonts w:ascii="Times New Roman" w:eastAsia="Times New Roman" w:hAnsi="Times New Roman" w:cs="Times New Roman"/>
          <w:color w:val="000000"/>
          <w:sz w:val="24"/>
          <w:szCs w:val="24"/>
          <w:lang w:eastAsia="hr-HR"/>
        </w:rPr>
        <w:lastRenderedPageBreak/>
        <w:t>Za iskazanu profesionalnost, učinak i uspjeh u provedbi zadaća te doprinos u unaprjeđenju pomorske sigurnosti i</w:t>
      </w:r>
      <w:r w:rsidR="00DE1F52">
        <w:rPr>
          <w:rFonts w:ascii="Times New Roman" w:eastAsia="Times New Roman" w:hAnsi="Times New Roman" w:cs="Times New Roman"/>
          <w:color w:val="000000"/>
          <w:sz w:val="24"/>
          <w:szCs w:val="24"/>
          <w:lang w:eastAsia="hr-HR"/>
        </w:rPr>
        <w:t xml:space="preserve"> doprinos s</w:t>
      </w:r>
      <w:r w:rsidRPr="00E74A1E">
        <w:rPr>
          <w:rFonts w:ascii="Times New Roman" w:eastAsia="Times New Roman" w:hAnsi="Times New Roman" w:cs="Times New Roman"/>
          <w:color w:val="000000"/>
          <w:sz w:val="24"/>
          <w:szCs w:val="24"/>
          <w:lang w:eastAsia="hr-HR"/>
        </w:rPr>
        <w:t xml:space="preserve">avezničkim operacijama, zapovjednik NATO Zapovjedništva mornaričkih snaga pismeno je iskazao zahvalu i pohvalio pripadnike 1. </w:t>
      </w:r>
      <w:r w:rsidR="0042493A">
        <w:rPr>
          <w:rFonts w:ascii="Times New Roman" w:eastAsia="Times New Roman" w:hAnsi="Times New Roman" w:cs="Times New Roman"/>
          <w:color w:val="000000"/>
          <w:sz w:val="24"/>
          <w:szCs w:val="24"/>
          <w:lang w:eastAsia="hr-HR"/>
        </w:rPr>
        <w:t>hrvatskog</w:t>
      </w:r>
      <w:r w:rsidR="00DE1F52">
        <w:rPr>
          <w:rFonts w:ascii="Times New Roman" w:eastAsia="Times New Roman" w:hAnsi="Times New Roman" w:cs="Times New Roman"/>
          <w:color w:val="000000"/>
          <w:sz w:val="24"/>
          <w:szCs w:val="24"/>
          <w:lang w:eastAsia="hr-HR"/>
        </w:rPr>
        <w:t>a</w:t>
      </w:r>
      <w:r w:rsidR="0042493A">
        <w:rPr>
          <w:rFonts w:ascii="Times New Roman" w:eastAsia="Times New Roman" w:hAnsi="Times New Roman" w:cs="Times New Roman"/>
          <w:color w:val="000000"/>
          <w:sz w:val="24"/>
          <w:szCs w:val="24"/>
          <w:lang w:eastAsia="hr-HR"/>
        </w:rPr>
        <w:t xml:space="preserve"> kontingenta</w:t>
      </w:r>
      <w:r w:rsidRPr="00E74A1E">
        <w:rPr>
          <w:rFonts w:ascii="Times New Roman" w:eastAsia="Times New Roman" w:hAnsi="Times New Roman" w:cs="Times New Roman"/>
          <w:color w:val="000000"/>
          <w:sz w:val="24"/>
          <w:szCs w:val="24"/>
          <w:lang w:eastAsia="hr-HR"/>
        </w:rPr>
        <w:t xml:space="preserve"> u NATO operaciji „SEA GUARDIAN“.   </w:t>
      </w:r>
    </w:p>
    <w:p w14:paraId="59CB0285" w14:textId="77777777" w:rsidR="00E74A1E" w:rsidRPr="00E74A1E" w:rsidRDefault="00E74A1E" w:rsidP="00E74A1E">
      <w:pPr>
        <w:spacing w:after="0" w:line="240" w:lineRule="auto"/>
        <w:jc w:val="both"/>
        <w:rPr>
          <w:rFonts w:ascii="Times New Roman" w:eastAsia="Times New Roman" w:hAnsi="Times New Roman" w:cs="Times New Roman"/>
          <w:color w:val="000000"/>
          <w:sz w:val="24"/>
          <w:szCs w:val="24"/>
          <w:lang w:eastAsia="hr-HR"/>
        </w:rPr>
      </w:pPr>
    </w:p>
    <w:p w14:paraId="59CB0286" w14:textId="77777777" w:rsidR="00E74A1E" w:rsidRDefault="0042493A" w:rsidP="007D7B79">
      <w:pPr>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 xml:space="preserve">      IV.    </w:t>
      </w:r>
      <w:r w:rsidR="00E74A1E" w:rsidRPr="00E74A1E">
        <w:rPr>
          <w:rFonts w:ascii="Times New Roman" w:eastAsia="Times New Roman" w:hAnsi="Times New Roman" w:cs="Times New Roman"/>
          <w:b/>
          <w:bCs/>
          <w:color w:val="000000"/>
          <w:sz w:val="24"/>
          <w:szCs w:val="24"/>
          <w:lang w:eastAsia="hr-HR"/>
        </w:rPr>
        <w:t>POTREBNA FINANCIJSKA SREDSTVA</w:t>
      </w:r>
    </w:p>
    <w:p w14:paraId="59CB0287" w14:textId="77777777" w:rsidR="007D7B79" w:rsidRPr="007D7B79" w:rsidRDefault="007D7B79" w:rsidP="007D7B79">
      <w:pPr>
        <w:autoSpaceDE w:val="0"/>
        <w:autoSpaceDN w:val="0"/>
        <w:adjustRightInd w:val="0"/>
        <w:spacing w:after="0" w:line="240" w:lineRule="auto"/>
        <w:ind w:left="360"/>
        <w:rPr>
          <w:rFonts w:ascii="Times New Roman" w:eastAsia="Times New Roman" w:hAnsi="Times New Roman" w:cs="Times New Roman"/>
          <w:b/>
          <w:bCs/>
          <w:color w:val="000000"/>
          <w:sz w:val="24"/>
          <w:szCs w:val="24"/>
          <w:lang w:eastAsia="hr-HR"/>
        </w:rPr>
      </w:pPr>
    </w:p>
    <w:p w14:paraId="59CB0288" w14:textId="77777777" w:rsidR="00E74A1E" w:rsidRPr="00E74A1E" w:rsidRDefault="00E74A1E" w:rsidP="007D7B79">
      <w:pPr>
        <w:spacing w:after="0" w:line="240" w:lineRule="auto"/>
        <w:ind w:firstLine="709"/>
        <w:jc w:val="both"/>
        <w:rPr>
          <w:rFonts w:ascii="Times New Roman" w:eastAsia="Times New Roman" w:hAnsi="Times New Roman" w:cs="Times New Roman"/>
          <w:color w:val="000000"/>
          <w:sz w:val="24"/>
          <w:szCs w:val="24"/>
          <w:lang w:eastAsia="hr-HR"/>
        </w:rPr>
      </w:pPr>
      <w:r w:rsidRPr="00E74A1E">
        <w:rPr>
          <w:rFonts w:ascii="Times New Roman" w:eastAsia="Times New Roman" w:hAnsi="Times New Roman" w:cs="Times New Roman"/>
          <w:color w:val="000000"/>
          <w:sz w:val="24"/>
          <w:szCs w:val="24"/>
          <w:lang w:eastAsia="hr-HR"/>
        </w:rPr>
        <w:t>Financijska sredstva za provedbu ove Odluke osigurana su u državnom proračunu Republike Hrvatske na razdjelu Ministarstva obrane za 2019. godinu.</w:t>
      </w:r>
    </w:p>
    <w:p w14:paraId="59CB0289" w14:textId="77777777" w:rsidR="00E74A1E" w:rsidRPr="00E74A1E" w:rsidRDefault="00E74A1E" w:rsidP="00E74A1E">
      <w:pPr>
        <w:spacing w:before="120" w:after="0" w:line="240" w:lineRule="auto"/>
        <w:ind w:firstLine="709"/>
        <w:jc w:val="both"/>
        <w:rPr>
          <w:rFonts w:ascii="Times New Roman" w:eastAsia="Times New Roman" w:hAnsi="Times New Roman" w:cs="Times New Roman"/>
          <w:color w:val="000000"/>
          <w:sz w:val="24"/>
          <w:szCs w:val="24"/>
          <w:lang w:eastAsia="hr-HR"/>
        </w:rPr>
      </w:pPr>
    </w:p>
    <w:p w14:paraId="59CB028A"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8B"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8C"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8D"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8E"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8F"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0"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1"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2"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3"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4"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5"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6"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7"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8"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9"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A"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B" w14:textId="77777777" w:rsidR="00E74A1E" w:rsidRPr="00E74A1E" w:rsidRDefault="00E74A1E" w:rsidP="00E74A1E">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hr-HR"/>
        </w:rPr>
      </w:pPr>
    </w:p>
    <w:p w14:paraId="59CB029C" w14:textId="77777777" w:rsidR="00E74A1E" w:rsidRPr="00063C74" w:rsidRDefault="00E74A1E" w:rsidP="00063C7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E74A1E">
        <w:rPr>
          <w:rFonts w:ascii="Times New Roman" w:eastAsia="Times New Roman" w:hAnsi="Times New Roman" w:cs="Times New Roman"/>
          <w:b/>
          <w:bCs/>
          <w:color w:val="000000"/>
          <w:sz w:val="24"/>
          <w:szCs w:val="24"/>
          <w:lang w:eastAsia="hr-HR"/>
        </w:rPr>
        <w:br w:type="page"/>
      </w:r>
    </w:p>
    <w:p w14:paraId="59CB029D" w14:textId="77777777" w:rsidR="00E74A1E" w:rsidRPr="00E74A1E" w:rsidRDefault="00E74A1E" w:rsidP="00E74A1E">
      <w:pPr>
        <w:tabs>
          <w:tab w:val="left" w:pos="7040"/>
        </w:tabs>
        <w:autoSpaceDE w:val="0"/>
        <w:autoSpaceDN w:val="0"/>
        <w:adjustRightInd w:val="0"/>
        <w:spacing w:after="0" w:line="240" w:lineRule="auto"/>
        <w:jc w:val="right"/>
        <w:rPr>
          <w:rFonts w:ascii="Times New Roman" w:eastAsia="Times New Roman" w:hAnsi="Times New Roman" w:cs="Times New Roman"/>
          <w:b/>
          <w:color w:val="000000"/>
          <w:sz w:val="24"/>
          <w:szCs w:val="24"/>
          <w:lang w:eastAsia="hr-HR"/>
        </w:rPr>
      </w:pPr>
      <w:r w:rsidRPr="00E74A1E">
        <w:rPr>
          <w:rFonts w:ascii="Times New Roman" w:eastAsia="Times New Roman" w:hAnsi="Times New Roman" w:cs="Times New Roman"/>
          <w:color w:val="000000"/>
          <w:sz w:val="24"/>
          <w:szCs w:val="24"/>
          <w:lang w:eastAsia="hr-HR"/>
        </w:rPr>
        <w:lastRenderedPageBreak/>
        <w:tab/>
      </w:r>
      <w:r w:rsidRPr="00E74A1E">
        <w:rPr>
          <w:rFonts w:ascii="Times New Roman" w:eastAsia="Times New Roman" w:hAnsi="Times New Roman" w:cs="Times New Roman"/>
          <w:b/>
          <w:bCs/>
          <w:color w:val="000000"/>
          <w:sz w:val="24"/>
          <w:szCs w:val="24"/>
          <w:lang w:eastAsia="hr-HR"/>
        </w:rPr>
        <w:tab/>
      </w:r>
    </w:p>
    <w:p w14:paraId="59CB029E" w14:textId="77777777" w:rsidR="00E74A1E" w:rsidRPr="00E74A1E" w:rsidRDefault="00E74A1E" w:rsidP="00E74A1E">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sidRPr="00E74A1E">
        <w:rPr>
          <w:rFonts w:ascii="Times New Roman" w:eastAsia="Times New Roman" w:hAnsi="Times New Roman" w:cs="Times New Roman"/>
          <w:color w:val="000000"/>
          <w:sz w:val="24"/>
          <w:szCs w:val="24"/>
          <w:lang w:eastAsia="hr-HR"/>
        </w:rPr>
        <w:tab/>
      </w:r>
      <w:r w:rsidR="0042493A">
        <w:rPr>
          <w:rFonts w:ascii="Times New Roman" w:eastAsia="Times New Roman" w:hAnsi="Times New Roman" w:cs="Times New Roman"/>
          <w:color w:val="000000"/>
          <w:sz w:val="24"/>
          <w:szCs w:val="24"/>
          <w:lang w:eastAsia="hr-HR"/>
        </w:rPr>
        <w:t xml:space="preserve">    </w:t>
      </w:r>
      <w:r w:rsidRPr="00E74A1E">
        <w:rPr>
          <w:rFonts w:ascii="Times New Roman" w:eastAsia="Times New Roman" w:hAnsi="Times New Roman" w:cs="Times New Roman"/>
          <w:color w:val="000000"/>
          <w:sz w:val="24"/>
          <w:szCs w:val="24"/>
          <w:lang w:eastAsia="hr-HR"/>
        </w:rPr>
        <w:t xml:space="preserve">Na temelju članka </w:t>
      </w:r>
      <w:r w:rsidR="0042493A">
        <w:rPr>
          <w:rFonts w:ascii="Times New Roman" w:eastAsia="Times New Roman" w:hAnsi="Times New Roman" w:cs="Times New Roman"/>
          <w:color w:val="000000"/>
          <w:sz w:val="24"/>
          <w:szCs w:val="24"/>
          <w:lang w:eastAsia="hr-HR"/>
        </w:rPr>
        <w:t>54. stavka 2. Zakona o obrani (Narodne novine, br. 73/13, 75/15, 27/16</w:t>
      </w:r>
      <w:r w:rsidRPr="00E74A1E">
        <w:rPr>
          <w:rFonts w:ascii="Times New Roman" w:eastAsia="Times New Roman" w:hAnsi="Times New Roman" w:cs="Times New Roman"/>
          <w:color w:val="000000"/>
          <w:sz w:val="24"/>
          <w:szCs w:val="24"/>
          <w:lang w:eastAsia="hr-HR"/>
        </w:rPr>
        <w:t>, 110/17</w:t>
      </w:r>
      <w:r w:rsidR="00063C74">
        <w:rPr>
          <w:rFonts w:ascii="Times New Roman" w:eastAsia="Times New Roman" w:hAnsi="Times New Roman" w:cs="Times New Roman"/>
          <w:color w:val="000000"/>
          <w:sz w:val="24"/>
          <w:szCs w:val="24"/>
          <w:lang w:eastAsia="hr-HR"/>
        </w:rPr>
        <w:t>–</w:t>
      </w:r>
      <w:r w:rsidR="0042493A">
        <w:rPr>
          <w:rFonts w:ascii="Times New Roman" w:eastAsia="Times New Roman" w:hAnsi="Times New Roman" w:cs="Times New Roman"/>
          <w:color w:val="000000"/>
          <w:sz w:val="24"/>
          <w:szCs w:val="24"/>
          <w:lang w:eastAsia="hr-HR"/>
        </w:rPr>
        <w:t>Odluka Ustavnog suda Republike Hrvatske</w:t>
      </w:r>
      <w:r w:rsidRPr="00E74A1E">
        <w:rPr>
          <w:rFonts w:ascii="Times New Roman" w:eastAsia="Times New Roman" w:hAnsi="Times New Roman" w:cs="Times New Roman"/>
          <w:color w:val="000000"/>
          <w:sz w:val="24"/>
          <w:szCs w:val="24"/>
          <w:lang w:eastAsia="hr-HR"/>
        </w:rPr>
        <w:t xml:space="preserve"> i 30/18), na prijedlog Vlade Republike Hrvatske i uz prethodnu suglasnost Predsjednice Republike Hrvatske, Hrvatski s</w:t>
      </w:r>
      <w:r w:rsidR="00063C74">
        <w:rPr>
          <w:rFonts w:ascii="Times New Roman" w:eastAsia="Times New Roman" w:hAnsi="Times New Roman" w:cs="Times New Roman"/>
          <w:color w:val="000000"/>
          <w:sz w:val="24"/>
          <w:szCs w:val="24"/>
          <w:lang w:eastAsia="hr-HR"/>
        </w:rPr>
        <w:t>abor na sjednici ___________</w:t>
      </w:r>
      <w:r w:rsidRPr="00E74A1E">
        <w:rPr>
          <w:rFonts w:ascii="Times New Roman" w:eastAsia="Times New Roman" w:hAnsi="Times New Roman" w:cs="Times New Roman"/>
          <w:color w:val="000000"/>
          <w:sz w:val="24"/>
          <w:szCs w:val="24"/>
          <w:lang w:eastAsia="hr-HR"/>
        </w:rPr>
        <w:t xml:space="preserve"> donio je</w:t>
      </w:r>
    </w:p>
    <w:p w14:paraId="59CB029F" w14:textId="77777777" w:rsidR="00063C74" w:rsidRDefault="00063C74" w:rsidP="00063C74">
      <w:pPr>
        <w:autoSpaceDE w:val="0"/>
        <w:autoSpaceDN w:val="0"/>
        <w:adjustRightInd w:val="0"/>
        <w:spacing w:after="0" w:line="240" w:lineRule="auto"/>
        <w:rPr>
          <w:rFonts w:ascii="Times New Roman" w:eastAsia="Times New Roman" w:hAnsi="Times New Roman" w:cs="Times New Roman"/>
          <w:b/>
          <w:bCs/>
          <w:color w:val="000000"/>
          <w:sz w:val="24"/>
          <w:szCs w:val="24"/>
          <w:lang w:eastAsia="hr-HR"/>
        </w:rPr>
      </w:pPr>
    </w:p>
    <w:p w14:paraId="59CB02A0" w14:textId="77777777" w:rsidR="00063C74" w:rsidRDefault="00063C74" w:rsidP="00063C74">
      <w:pPr>
        <w:autoSpaceDE w:val="0"/>
        <w:autoSpaceDN w:val="0"/>
        <w:adjustRightInd w:val="0"/>
        <w:spacing w:after="0" w:line="240" w:lineRule="auto"/>
        <w:rPr>
          <w:rFonts w:ascii="Times New Roman" w:eastAsia="Times New Roman" w:hAnsi="Times New Roman" w:cs="Times New Roman"/>
          <w:b/>
          <w:bCs/>
          <w:color w:val="000000"/>
          <w:sz w:val="24"/>
          <w:szCs w:val="24"/>
          <w:lang w:eastAsia="hr-HR"/>
        </w:rPr>
      </w:pPr>
    </w:p>
    <w:p w14:paraId="59CB02A1" w14:textId="77777777" w:rsidR="00E74A1E" w:rsidRDefault="00E74A1E" w:rsidP="00063C7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E74A1E">
        <w:rPr>
          <w:rFonts w:ascii="Times New Roman" w:eastAsia="Times New Roman" w:hAnsi="Times New Roman" w:cs="Times New Roman"/>
          <w:b/>
          <w:bCs/>
          <w:color w:val="000000"/>
          <w:sz w:val="24"/>
          <w:szCs w:val="24"/>
          <w:lang w:eastAsia="hr-HR"/>
        </w:rPr>
        <w:t>O D L U K U</w:t>
      </w:r>
    </w:p>
    <w:p w14:paraId="59CB02A2" w14:textId="77777777" w:rsidR="0042493A" w:rsidRPr="00E74A1E" w:rsidRDefault="0042493A" w:rsidP="00063C74">
      <w:pPr>
        <w:autoSpaceDE w:val="0"/>
        <w:autoSpaceDN w:val="0"/>
        <w:adjustRightInd w:val="0"/>
        <w:spacing w:after="0" w:line="240" w:lineRule="auto"/>
        <w:ind w:firstLine="708"/>
        <w:jc w:val="center"/>
        <w:rPr>
          <w:rFonts w:ascii="Times New Roman" w:eastAsia="Times New Roman" w:hAnsi="Times New Roman" w:cs="Times New Roman"/>
          <w:b/>
          <w:bCs/>
          <w:color w:val="000000"/>
          <w:sz w:val="24"/>
          <w:szCs w:val="24"/>
          <w:lang w:eastAsia="hr-HR"/>
        </w:rPr>
      </w:pPr>
    </w:p>
    <w:p w14:paraId="59CB02A3" w14:textId="77777777" w:rsidR="0042493A" w:rsidRDefault="00E74A1E" w:rsidP="00063C74">
      <w:pPr>
        <w:autoSpaceDE w:val="0"/>
        <w:autoSpaceDN w:val="0"/>
        <w:adjustRightInd w:val="0"/>
        <w:spacing w:after="0" w:line="240" w:lineRule="auto"/>
        <w:jc w:val="center"/>
        <w:rPr>
          <w:rFonts w:ascii="Times New Roman" w:eastAsia="Calibri" w:hAnsi="Times New Roman" w:cs="Times New Roman"/>
          <w:b/>
          <w:color w:val="000000"/>
          <w:sz w:val="24"/>
          <w:szCs w:val="24"/>
          <w:lang w:eastAsia="en-US"/>
        </w:rPr>
      </w:pPr>
      <w:r w:rsidRPr="00E74A1E">
        <w:rPr>
          <w:rFonts w:ascii="Times New Roman" w:eastAsia="Times New Roman" w:hAnsi="Times New Roman" w:cs="Times New Roman"/>
          <w:b/>
          <w:bCs/>
          <w:color w:val="000000"/>
          <w:sz w:val="24"/>
          <w:szCs w:val="24"/>
          <w:lang w:eastAsia="hr-HR"/>
        </w:rPr>
        <w:t xml:space="preserve">O SUDJELOVANJU ORUŽANIH SNAGA </w:t>
      </w:r>
      <w:r w:rsidRPr="00E74A1E">
        <w:rPr>
          <w:rFonts w:ascii="Times New Roman" w:eastAsia="Calibri" w:hAnsi="Times New Roman" w:cs="Times New Roman"/>
          <w:b/>
          <w:color w:val="000000"/>
          <w:sz w:val="24"/>
          <w:szCs w:val="24"/>
          <w:lang w:eastAsia="en-US"/>
        </w:rPr>
        <w:t>REPUBLIKE HRVATSKE</w:t>
      </w:r>
    </w:p>
    <w:p w14:paraId="59CB02A4" w14:textId="77777777" w:rsidR="00E74A1E" w:rsidRPr="00E74A1E" w:rsidRDefault="00E74A1E" w:rsidP="00063C7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r w:rsidRPr="00E74A1E">
        <w:rPr>
          <w:rFonts w:ascii="Times New Roman" w:eastAsia="Calibri" w:hAnsi="Times New Roman" w:cs="Times New Roman"/>
          <w:b/>
          <w:color w:val="000000"/>
          <w:sz w:val="24"/>
          <w:szCs w:val="24"/>
          <w:lang w:eastAsia="en-US"/>
        </w:rPr>
        <w:t>U OPERACIJI</w:t>
      </w:r>
      <w:r w:rsidR="006E528D">
        <w:rPr>
          <w:rFonts w:ascii="Times New Roman" w:eastAsia="Calibri" w:hAnsi="Times New Roman" w:cs="Times New Roman"/>
          <w:b/>
          <w:color w:val="000000"/>
          <w:sz w:val="24"/>
          <w:szCs w:val="24"/>
          <w:lang w:eastAsia="en-US"/>
        </w:rPr>
        <w:t xml:space="preserve"> POTPORE MIRU</w:t>
      </w:r>
      <w:r w:rsidRPr="00E74A1E">
        <w:rPr>
          <w:rFonts w:ascii="Times New Roman" w:eastAsia="Calibri" w:hAnsi="Times New Roman" w:cs="Times New Roman"/>
          <w:b/>
          <w:color w:val="000000"/>
          <w:sz w:val="24"/>
          <w:szCs w:val="24"/>
          <w:lang w:eastAsia="en-US"/>
        </w:rPr>
        <w:t xml:space="preserve"> </w:t>
      </w:r>
      <w:r w:rsidR="0042493A">
        <w:rPr>
          <w:rFonts w:ascii="Times New Roman" w:eastAsia="Calibri" w:hAnsi="Times New Roman" w:cs="Times New Roman"/>
          <w:b/>
          <w:color w:val="000000"/>
          <w:sz w:val="24"/>
          <w:szCs w:val="24"/>
          <w:lang w:eastAsia="en-US"/>
        </w:rPr>
        <w:t>„</w:t>
      </w:r>
      <w:r w:rsidRPr="00E74A1E">
        <w:rPr>
          <w:rFonts w:ascii="Times New Roman" w:eastAsia="Calibri" w:hAnsi="Times New Roman" w:cs="Times New Roman"/>
          <w:b/>
          <w:color w:val="000000"/>
          <w:sz w:val="24"/>
          <w:szCs w:val="24"/>
          <w:lang w:eastAsia="en-US"/>
        </w:rPr>
        <w:t>SEA GUARDIAN</w:t>
      </w:r>
      <w:r w:rsidR="0042493A">
        <w:rPr>
          <w:rFonts w:ascii="Times New Roman" w:eastAsia="Calibri" w:hAnsi="Times New Roman" w:cs="Times New Roman"/>
          <w:b/>
          <w:color w:val="000000"/>
          <w:sz w:val="24"/>
          <w:szCs w:val="24"/>
          <w:lang w:eastAsia="en-US"/>
        </w:rPr>
        <w:t>“</w:t>
      </w:r>
      <w:r w:rsidRPr="00E74A1E">
        <w:rPr>
          <w:rFonts w:ascii="Times New Roman" w:eastAsia="Calibri" w:hAnsi="Times New Roman" w:cs="Times New Roman"/>
          <w:b/>
          <w:color w:val="000000"/>
          <w:sz w:val="24"/>
          <w:szCs w:val="24"/>
          <w:lang w:eastAsia="en-US"/>
        </w:rPr>
        <w:t xml:space="preserve"> </w:t>
      </w:r>
      <w:r w:rsidR="006E528D">
        <w:rPr>
          <w:rFonts w:ascii="Times New Roman" w:eastAsia="Calibri" w:hAnsi="Times New Roman" w:cs="Times New Roman"/>
          <w:b/>
          <w:color w:val="000000"/>
          <w:sz w:val="24"/>
          <w:szCs w:val="24"/>
          <w:lang w:eastAsia="en-US"/>
        </w:rPr>
        <w:t>U SREDOZEMLJU</w:t>
      </w:r>
    </w:p>
    <w:p w14:paraId="59CB02A5" w14:textId="77777777" w:rsidR="00063C74" w:rsidRDefault="00063C74" w:rsidP="00E74A1E">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p>
    <w:p w14:paraId="59CB02A6" w14:textId="77777777" w:rsidR="00E74A1E" w:rsidRPr="00E74A1E" w:rsidRDefault="00E74A1E" w:rsidP="00E74A1E">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r w:rsidRPr="00E74A1E">
        <w:rPr>
          <w:rFonts w:ascii="Times New Roman" w:eastAsia="Times New Roman" w:hAnsi="Times New Roman" w:cs="Times New Roman"/>
          <w:b/>
          <w:color w:val="000000"/>
          <w:sz w:val="24"/>
          <w:szCs w:val="24"/>
          <w:lang w:eastAsia="hr-HR"/>
        </w:rPr>
        <w:t>I.</w:t>
      </w:r>
    </w:p>
    <w:p w14:paraId="59CB02A7" w14:textId="77777777" w:rsidR="00E74A1E" w:rsidRPr="00E74A1E" w:rsidRDefault="00E74A1E" w:rsidP="00E74A1E">
      <w:pPr>
        <w:spacing w:before="100" w:beforeAutospacing="1" w:after="100" w:afterAutospacing="1" w:line="240" w:lineRule="auto"/>
        <w:jc w:val="both"/>
        <w:rPr>
          <w:rFonts w:ascii="Times New Roman" w:eastAsia="Times New Roman" w:hAnsi="Times New Roman" w:cs="Times New Roman"/>
          <w:color w:val="000000"/>
          <w:sz w:val="24"/>
          <w:szCs w:val="24"/>
          <w:lang w:eastAsia="hr-HR" w:bidi="ta-IN"/>
        </w:rPr>
      </w:pPr>
      <w:r w:rsidRPr="00E74A1E">
        <w:rPr>
          <w:rFonts w:ascii="Times New Roman" w:eastAsia="MS Mincho" w:hAnsi="Times New Roman" w:cs="Times New Roman"/>
          <w:color w:val="000000"/>
          <w:sz w:val="24"/>
          <w:szCs w:val="24"/>
          <w:lang w:eastAsia="ja-JP"/>
        </w:rPr>
        <w:tab/>
      </w:r>
      <w:r w:rsidRPr="00E74A1E">
        <w:rPr>
          <w:rFonts w:ascii="Times New Roman" w:eastAsia="Times New Roman" w:hAnsi="Times New Roman" w:cs="Times New Roman"/>
          <w:color w:val="000000"/>
          <w:sz w:val="24"/>
          <w:szCs w:val="24"/>
          <w:lang w:eastAsia="hr-HR" w:bidi="ta-IN"/>
        </w:rPr>
        <w:t>U operaciju</w:t>
      </w:r>
      <w:r w:rsidR="006E528D">
        <w:rPr>
          <w:rFonts w:ascii="Times New Roman" w:eastAsia="Times New Roman" w:hAnsi="Times New Roman" w:cs="Times New Roman"/>
          <w:color w:val="000000"/>
          <w:sz w:val="24"/>
          <w:szCs w:val="24"/>
          <w:lang w:eastAsia="hr-HR" w:bidi="ta-IN"/>
        </w:rPr>
        <w:t xml:space="preserve"> potpore miru </w:t>
      </w:r>
      <w:r w:rsidRPr="00E74A1E">
        <w:rPr>
          <w:rFonts w:ascii="Times New Roman" w:eastAsia="Times New Roman" w:hAnsi="Times New Roman" w:cs="Times New Roman"/>
          <w:color w:val="000000"/>
          <w:sz w:val="24"/>
          <w:szCs w:val="24"/>
          <w:lang w:eastAsia="hr-HR" w:bidi="ta-IN"/>
        </w:rPr>
        <w:t xml:space="preserve">„SEA GUARDIAN“ </w:t>
      </w:r>
      <w:r w:rsidR="006E528D">
        <w:rPr>
          <w:rFonts w:ascii="Times New Roman" w:eastAsia="Times New Roman" w:hAnsi="Times New Roman" w:cs="Times New Roman"/>
          <w:color w:val="000000"/>
          <w:sz w:val="24"/>
          <w:szCs w:val="24"/>
          <w:lang w:eastAsia="hr-HR" w:bidi="ta-IN"/>
        </w:rPr>
        <w:t xml:space="preserve">u Sredozemlju </w:t>
      </w:r>
      <w:r w:rsidR="009E569D">
        <w:rPr>
          <w:rFonts w:ascii="Times New Roman" w:eastAsia="Times New Roman" w:hAnsi="Times New Roman" w:cs="Times New Roman"/>
          <w:color w:val="000000"/>
          <w:sz w:val="24"/>
          <w:szCs w:val="24"/>
          <w:lang w:eastAsia="hr-HR" w:bidi="ta-IN"/>
        </w:rPr>
        <w:t>upućuje se u 2019. godini do 5</w:t>
      </w:r>
      <w:r w:rsidRPr="00E74A1E">
        <w:rPr>
          <w:rFonts w:ascii="Times New Roman" w:eastAsia="Times New Roman" w:hAnsi="Times New Roman" w:cs="Times New Roman"/>
          <w:color w:val="000000"/>
          <w:sz w:val="24"/>
          <w:szCs w:val="24"/>
          <w:lang w:eastAsia="hr-HR" w:bidi="ta-IN"/>
        </w:rPr>
        <w:t xml:space="preserve">0 pripadnika </w:t>
      </w:r>
      <w:r w:rsidR="0042493A">
        <w:rPr>
          <w:rFonts w:ascii="Times New Roman" w:eastAsia="Times New Roman" w:hAnsi="Times New Roman" w:cs="Times New Roman"/>
          <w:color w:val="000000"/>
          <w:sz w:val="24"/>
          <w:szCs w:val="24"/>
          <w:lang w:eastAsia="hr-HR" w:bidi="ta-IN"/>
        </w:rPr>
        <w:t>Or</w:t>
      </w:r>
      <w:r w:rsidR="006E528D">
        <w:rPr>
          <w:rFonts w:ascii="Times New Roman" w:eastAsia="Times New Roman" w:hAnsi="Times New Roman" w:cs="Times New Roman"/>
          <w:color w:val="000000"/>
          <w:sz w:val="24"/>
          <w:szCs w:val="24"/>
          <w:lang w:eastAsia="hr-HR" w:bidi="ta-IN"/>
        </w:rPr>
        <w:t xml:space="preserve">užanih snaga Republike Hrvatske </w:t>
      </w:r>
      <w:r w:rsidRPr="00E74A1E">
        <w:rPr>
          <w:rFonts w:ascii="Times New Roman" w:eastAsia="Times New Roman" w:hAnsi="Times New Roman" w:cs="Times New Roman"/>
          <w:color w:val="000000"/>
          <w:sz w:val="24"/>
          <w:szCs w:val="24"/>
          <w:lang w:eastAsia="hr-HR" w:bidi="ta-IN"/>
        </w:rPr>
        <w:t>brod</w:t>
      </w:r>
      <w:r w:rsidR="0042493A">
        <w:rPr>
          <w:rFonts w:ascii="Times New Roman" w:eastAsia="Times New Roman" w:hAnsi="Times New Roman" w:cs="Times New Roman"/>
          <w:color w:val="000000"/>
          <w:sz w:val="24"/>
          <w:szCs w:val="24"/>
          <w:lang w:eastAsia="hr-HR" w:bidi="ta-IN"/>
        </w:rPr>
        <w:t>om</w:t>
      </w:r>
      <w:r w:rsidRPr="00E74A1E">
        <w:rPr>
          <w:rFonts w:ascii="Times New Roman" w:eastAsia="Times New Roman" w:hAnsi="Times New Roman" w:cs="Times New Roman"/>
          <w:color w:val="000000"/>
          <w:sz w:val="24"/>
          <w:szCs w:val="24"/>
          <w:lang w:eastAsia="hr-HR" w:bidi="ta-IN"/>
        </w:rPr>
        <w:t xml:space="preserve"> </w:t>
      </w:r>
      <w:r w:rsidR="0042493A">
        <w:rPr>
          <w:rFonts w:ascii="Times New Roman" w:eastAsia="Times New Roman" w:hAnsi="Times New Roman" w:cs="Times New Roman"/>
          <w:color w:val="000000"/>
          <w:sz w:val="24"/>
          <w:szCs w:val="24"/>
          <w:lang w:eastAsia="hr-HR" w:bidi="ta-IN"/>
        </w:rPr>
        <w:t>Hrvatske ratne mornarice</w:t>
      </w:r>
      <w:r w:rsidRPr="00E74A1E">
        <w:rPr>
          <w:rFonts w:ascii="Times New Roman" w:eastAsia="Times New Roman" w:hAnsi="Times New Roman" w:cs="Times New Roman"/>
          <w:color w:val="000000"/>
          <w:sz w:val="24"/>
          <w:szCs w:val="24"/>
          <w:lang w:eastAsia="hr-HR" w:bidi="ta-IN"/>
        </w:rPr>
        <w:t>.</w:t>
      </w:r>
    </w:p>
    <w:p w14:paraId="59CB02A8" w14:textId="77777777" w:rsidR="00E74A1E" w:rsidRPr="00E74A1E" w:rsidRDefault="00E74A1E" w:rsidP="00E74A1E">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bidi="ta-IN"/>
        </w:rPr>
      </w:pPr>
      <w:r w:rsidRPr="00E74A1E">
        <w:rPr>
          <w:rFonts w:ascii="Times New Roman" w:eastAsia="Times New Roman" w:hAnsi="Times New Roman" w:cs="Times New Roman"/>
          <w:b/>
          <w:color w:val="000000"/>
          <w:sz w:val="24"/>
          <w:szCs w:val="24"/>
          <w:lang w:eastAsia="hr-HR" w:bidi="ta-IN"/>
        </w:rPr>
        <w:t>II.</w:t>
      </w:r>
    </w:p>
    <w:p w14:paraId="59CB02A9" w14:textId="77777777" w:rsidR="0076145B" w:rsidRDefault="0076145B" w:rsidP="0076145B">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r-HR" w:bidi="ta-IN"/>
        </w:rPr>
      </w:pPr>
      <w:r w:rsidRPr="0076145B">
        <w:rPr>
          <w:rFonts w:ascii="Times New Roman" w:eastAsia="Times New Roman" w:hAnsi="Times New Roman" w:cs="Times New Roman"/>
          <w:color w:val="000000"/>
          <w:sz w:val="24"/>
          <w:szCs w:val="24"/>
          <w:lang w:eastAsia="hr-HR" w:bidi="ta-IN"/>
        </w:rPr>
        <w:t xml:space="preserve">Obvezuje se Vlada Republike Hrvatske da nakon završetka sudjelovanja Oružanih snaga Republike Hrvatske </w:t>
      </w:r>
      <w:r>
        <w:rPr>
          <w:rFonts w:ascii="Times New Roman" w:eastAsia="Times New Roman" w:hAnsi="Times New Roman" w:cs="Times New Roman"/>
          <w:color w:val="000000"/>
          <w:sz w:val="24"/>
          <w:szCs w:val="24"/>
          <w:lang w:eastAsia="hr-HR" w:bidi="ta-IN"/>
        </w:rPr>
        <w:t xml:space="preserve">u operaciji potpore miru </w:t>
      </w:r>
      <w:r w:rsidRPr="0076145B">
        <w:rPr>
          <w:rFonts w:ascii="Times New Roman" w:eastAsia="Times New Roman" w:hAnsi="Times New Roman" w:cs="Times New Roman"/>
          <w:color w:val="000000"/>
          <w:sz w:val="24"/>
          <w:szCs w:val="24"/>
          <w:lang w:eastAsia="hr-HR" w:bidi="ta-IN"/>
        </w:rPr>
        <w:t xml:space="preserve">iz točke I. ove Odluke podnese izvješće Hrvatskome saboru. </w:t>
      </w:r>
    </w:p>
    <w:p w14:paraId="59CB02AA" w14:textId="77777777" w:rsidR="00E74A1E" w:rsidRPr="00E74A1E" w:rsidRDefault="00E74A1E" w:rsidP="00E74A1E">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bidi="ta-IN"/>
        </w:rPr>
      </w:pPr>
      <w:r w:rsidRPr="00E74A1E">
        <w:rPr>
          <w:rFonts w:ascii="Times New Roman" w:eastAsia="Times New Roman" w:hAnsi="Times New Roman" w:cs="Times New Roman"/>
          <w:b/>
          <w:color w:val="000000"/>
          <w:sz w:val="24"/>
          <w:szCs w:val="24"/>
          <w:lang w:eastAsia="hr-HR" w:bidi="ta-IN"/>
        </w:rPr>
        <w:t>III.</w:t>
      </w:r>
    </w:p>
    <w:p w14:paraId="59CB02AB" w14:textId="37FA1E12" w:rsidR="00E74A1E" w:rsidRPr="00E74A1E" w:rsidRDefault="00E74A1E" w:rsidP="00E74A1E">
      <w:pPr>
        <w:spacing w:before="120" w:after="0" w:line="240" w:lineRule="auto"/>
        <w:ind w:firstLine="708"/>
        <w:jc w:val="both"/>
        <w:rPr>
          <w:rFonts w:ascii="Times New Roman" w:eastAsia="Times New Roman" w:hAnsi="Times New Roman" w:cs="Times New Roman"/>
          <w:color w:val="000000"/>
          <w:sz w:val="24"/>
          <w:szCs w:val="24"/>
          <w:lang w:eastAsia="hr-HR"/>
        </w:rPr>
      </w:pPr>
      <w:r w:rsidRPr="00E74A1E">
        <w:rPr>
          <w:rFonts w:ascii="Times New Roman" w:eastAsia="Times New Roman" w:hAnsi="Times New Roman" w:cs="Times New Roman"/>
          <w:color w:val="000000"/>
          <w:sz w:val="24"/>
          <w:szCs w:val="24"/>
          <w:lang w:eastAsia="hr-HR"/>
        </w:rPr>
        <w:t xml:space="preserve">Ova Odluka stupa na </w:t>
      </w:r>
      <w:r w:rsidR="00CF2C23">
        <w:rPr>
          <w:rFonts w:ascii="Times New Roman" w:eastAsia="Times New Roman" w:hAnsi="Times New Roman" w:cs="Times New Roman"/>
          <w:color w:val="000000"/>
          <w:sz w:val="24"/>
          <w:szCs w:val="24"/>
          <w:lang w:eastAsia="hr-HR"/>
        </w:rPr>
        <w:t xml:space="preserve">snagu </w:t>
      </w:r>
      <w:r w:rsidR="00105F38">
        <w:rPr>
          <w:rFonts w:ascii="Times New Roman" w:eastAsia="Times New Roman" w:hAnsi="Times New Roman" w:cs="Times New Roman"/>
          <w:color w:val="000000"/>
          <w:sz w:val="24"/>
          <w:szCs w:val="24"/>
          <w:lang w:eastAsia="hr-HR"/>
        </w:rPr>
        <w:t xml:space="preserve">osmoga </w:t>
      </w:r>
      <w:r w:rsidRPr="00E74A1E">
        <w:rPr>
          <w:rFonts w:ascii="Times New Roman" w:eastAsia="Times New Roman" w:hAnsi="Times New Roman" w:cs="Times New Roman"/>
          <w:color w:val="000000"/>
          <w:sz w:val="24"/>
          <w:szCs w:val="24"/>
          <w:lang w:eastAsia="hr-HR"/>
        </w:rPr>
        <w:t>dana od dana objave u Narodnim novinama.</w:t>
      </w:r>
    </w:p>
    <w:p w14:paraId="59CB02AC" w14:textId="77777777" w:rsidR="00E74A1E" w:rsidRDefault="00E74A1E" w:rsidP="00E74A1E">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hr-HR"/>
        </w:rPr>
      </w:pPr>
    </w:p>
    <w:p w14:paraId="59CB02AD" w14:textId="77777777" w:rsidR="00E74A1E" w:rsidRPr="00E74A1E" w:rsidRDefault="00E74A1E" w:rsidP="00063C74">
      <w:pPr>
        <w:spacing w:before="120" w:after="0" w:line="240" w:lineRule="auto"/>
        <w:jc w:val="both"/>
        <w:rPr>
          <w:rFonts w:ascii="Times New Roman" w:eastAsia="Times New Roman" w:hAnsi="Times New Roman" w:cs="Times New Roman"/>
          <w:color w:val="000000"/>
          <w:sz w:val="24"/>
          <w:szCs w:val="24"/>
          <w:lang w:eastAsia="hr-HR"/>
        </w:rPr>
      </w:pPr>
    </w:p>
    <w:tbl>
      <w:tblPr>
        <w:tblW w:w="0" w:type="auto"/>
        <w:tblLook w:val="01E0" w:firstRow="1" w:lastRow="1" w:firstColumn="1" w:lastColumn="1" w:noHBand="0" w:noVBand="0"/>
      </w:tblPr>
      <w:tblGrid>
        <w:gridCol w:w="3528"/>
        <w:gridCol w:w="2520"/>
        <w:gridCol w:w="3574"/>
      </w:tblGrid>
      <w:tr w:rsidR="00E74A1E" w:rsidRPr="00E74A1E" w14:paraId="59CB02B5" w14:textId="77777777" w:rsidTr="00383531">
        <w:tc>
          <w:tcPr>
            <w:tcW w:w="3528" w:type="dxa"/>
            <w:shd w:val="clear" w:color="auto" w:fill="auto"/>
          </w:tcPr>
          <w:p w14:paraId="59CB02AE" w14:textId="77777777" w:rsidR="00E74A1E" w:rsidRPr="00E74A1E" w:rsidRDefault="00E74A1E" w:rsidP="00E74A1E">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p>
        </w:tc>
        <w:tc>
          <w:tcPr>
            <w:tcW w:w="2520" w:type="dxa"/>
            <w:shd w:val="clear" w:color="auto" w:fill="auto"/>
          </w:tcPr>
          <w:p w14:paraId="59CB02AF" w14:textId="77777777" w:rsidR="00E74A1E" w:rsidRPr="00E74A1E" w:rsidRDefault="00E74A1E" w:rsidP="00E74A1E">
            <w:pPr>
              <w:spacing w:after="0" w:line="240" w:lineRule="auto"/>
              <w:jc w:val="center"/>
              <w:rPr>
                <w:rFonts w:ascii="Times New Roman" w:eastAsia="Times New Roman" w:hAnsi="Times New Roman" w:cs="Times New Roman"/>
                <w:b/>
                <w:color w:val="000000"/>
                <w:sz w:val="24"/>
                <w:szCs w:val="24"/>
                <w:lang w:eastAsia="hr-HR"/>
              </w:rPr>
            </w:pPr>
          </w:p>
          <w:p w14:paraId="59CB02B0" w14:textId="77777777" w:rsidR="00E74A1E" w:rsidRDefault="00E74A1E" w:rsidP="00E74A1E">
            <w:pPr>
              <w:spacing w:after="0" w:line="240" w:lineRule="auto"/>
              <w:jc w:val="center"/>
              <w:rPr>
                <w:rFonts w:ascii="Times New Roman" w:eastAsia="Times New Roman" w:hAnsi="Times New Roman" w:cs="Times New Roman"/>
                <w:b/>
                <w:color w:val="000000"/>
                <w:sz w:val="24"/>
                <w:szCs w:val="24"/>
                <w:lang w:eastAsia="hr-HR"/>
              </w:rPr>
            </w:pPr>
            <w:r w:rsidRPr="00E74A1E">
              <w:rPr>
                <w:rFonts w:ascii="Times New Roman" w:eastAsia="Times New Roman" w:hAnsi="Times New Roman" w:cs="Times New Roman"/>
                <w:b/>
                <w:color w:val="000000"/>
                <w:sz w:val="24"/>
                <w:szCs w:val="24"/>
                <w:lang w:eastAsia="hr-HR"/>
              </w:rPr>
              <w:t>HRVATSKI SABOR</w:t>
            </w:r>
          </w:p>
          <w:p w14:paraId="59CB02B1" w14:textId="77777777" w:rsidR="00BD5C84" w:rsidRDefault="00BD5C84" w:rsidP="00E74A1E">
            <w:pPr>
              <w:spacing w:after="0" w:line="240" w:lineRule="auto"/>
              <w:jc w:val="center"/>
              <w:rPr>
                <w:rFonts w:ascii="Times New Roman" w:eastAsia="Times New Roman" w:hAnsi="Times New Roman" w:cs="Times New Roman"/>
                <w:b/>
                <w:color w:val="000000"/>
                <w:sz w:val="24"/>
                <w:szCs w:val="24"/>
                <w:lang w:eastAsia="hr-HR"/>
              </w:rPr>
            </w:pPr>
          </w:p>
          <w:p w14:paraId="59CB02B2" w14:textId="77777777" w:rsidR="00BD5C84" w:rsidRPr="00E74A1E" w:rsidRDefault="00BD5C84" w:rsidP="00E74A1E">
            <w:pPr>
              <w:spacing w:after="0" w:line="240" w:lineRule="auto"/>
              <w:jc w:val="center"/>
              <w:rPr>
                <w:rFonts w:ascii="Times New Roman" w:eastAsia="Times New Roman" w:hAnsi="Times New Roman" w:cs="Times New Roman"/>
                <w:b/>
                <w:color w:val="000000"/>
                <w:sz w:val="24"/>
                <w:szCs w:val="24"/>
                <w:lang w:eastAsia="hr-HR"/>
              </w:rPr>
            </w:pPr>
          </w:p>
        </w:tc>
        <w:tc>
          <w:tcPr>
            <w:tcW w:w="3574" w:type="dxa"/>
            <w:shd w:val="clear" w:color="auto" w:fill="auto"/>
          </w:tcPr>
          <w:p w14:paraId="59CB02B3" w14:textId="77777777" w:rsidR="00E74A1E" w:rsidRPr="00E74A1E" w:rsidRDefault="00E74A1E" w:rsidP="00E74A1E">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p>
          <w:p w14:paraId="59CB02B4" w14:textId="77777777" w:rsidR="00E74A1E" w:rsidRPr="00E74A1E" w:rsidRDefault="00E74A1E" w:rsidP="00E74A1E">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p>
        </w:tc>
      </w:tr>
      <w:tr w:rsidR="00E74A1E" w:rsidRPr="00E74A1E" w14:paraId="59CB02B9" w14:textId="77777777" w:rsidTr="00383531">
        <w:trPr>
          <w:trHeight w:val="310"/>
        </w:trPr>
        <w:tc>
          <w:tcPr>
            <w:tcW w:w="3528" w:type="dxa"/>
            <w:shd w:val="clear" w:color="auto" w:fill="auto"/>
          </w:tcPr>
          <w:p w14:paraId="59CB02B6" w14:textId="77777777" w:rsidR="00E74A1E" w:rsidRPr="00E74A1E" w:rsidRDefault="00E74A1E" w:rsidP="00E74A1E">
            <w:pPr>
              <w:spacing w:before="100" w:beforeAutospacing="1" w:after="100" w:afterAutospacing="1" w:line="240" w:lineRule="auto"/>
              <w:rPr>
                <w:rFonts w:ascii="Times New Roman" w:eastAsia="Times New Roman" w:hAnsi="Times New Roman" w:cs="Times New Roman"/>
                <w:b/>
                <w:color w:val="000000"/>
                <w:sz w:val="24"/>
                <w:szCs w:val="24"/>
                <w:lang w:eastAsia="hr-HR"/>
              </w:rPr>
            </w:pPr>
          </w:p>
        </w:tc>
        <w:tc>
          <w:tcPr>
            <w:tcW w:w="2520" w:type="dxa"/>
            <w:shd w:val="clear" w:color="auto" w:fill="auto"/>
          </w:tcPr>
          <w:p w14:paraId="59CB02B7" w14:textId="77777777" w:rsidR="00E74A1E" w:rsidRPr="00E74A1E" w:rsidRDefault="00E74A1E" w:rsidP="00E74A1E">
            <w:pPr>
              <w:spacing w:before="100" w:beforeAutospacing="1" w:after="100" w:afterAutospacing="1" w:line="240" w:lineRule="auto"/>
              <w:rPr>
                <w:rFonts w:ascii="Times New Roman" w:eastAsia="Times New Roman" w:hAnsi="Times New Roman" w:cs="Times New Roman"/>
                <w:b/>
                <w:color w:val="000000"/>
                <w:sz w:val="24"/>
                <w:szCs w:val="24"/>
                <w:lang w:eastAsia="hr-HR"/>
              </w:rPr>
            </w:pPr>
          </w:p>
        </w:tc>
        <w:tc>
          <w:tcPr>
            <w:tcW w:w="3574" w:type="dxa"/>
            <w:shd w:val="clear" w:color="auto" w:fill="auto"/>
          </w:tcPr>
          <w:p w14:paraId="59CB02B8" w14:textId="77777777" w:rsidR="00E74A1E" w:rsidRPr="00E74A1E" w:rsidRDefault="00E74A1E" w:rsidP="00E74A1E">
            <w:pPr>
              <w:spacing w:before="100" w:beforeAutospacing="1" w:after="100" w:afterAutospacing="1" w:line="240" w:lineRule="auto"/>
              <w:rPr>
                <w:rFonts w:ascii="Times New Roman" w:eastAsia="Times New Roman" w:hAnsi="Times New Roman" w:cs="Times New Roman"/>
                <w:b/>
                <w:color w:val="000000"/>
                <w:sz w:val="24"/>
                <w:szCs w:val="24"/>
                <w:lang w:eastAsia="hr-HR"/>
              </w:rPr>
            </w:pPr>
          </w:p>
        </w:tc>
      </w:tr>
      <w:tr w:rsidR="00E74A1E" w:rsidRPr="00E74A1E" w14:paraId="59CB02BE" w14:textId="77777777" w:rsidTr="00383531">
        <w:tc>
          <w:tcPr>
            <w:tcW w:w="3528" w:type="dxa"/>
            <w:shd w:val="clear" w:color="auto" w:fill="auto"/>
          </w:tcPr>
          <w:p w14:paraId="59CB02BA" w14:textId="77777777" w:rsidR="00E74A1E" w:rsidRPr="00E74A1E" w:rsidRDefault="00E74A1E" w:rsidP="00E74A1E">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p>
        </w:tc>
        <w:tc>
          <w:tcPr>
            <w:tcW w:w="2520" w:type="dxa"/>
            <w:shd w:val="clear" w:color="auto" w:fill="auto"/>
          </w:tcPr>
          <w:p w14:paraId="59CB02BB" w14:textId="77777777" w:rsidR="00E74A1E" w:rsidRPr="00E74A1E" w:rsidRDefault="00E74A1E" w:rsidP="00E74A1E">
            <w:pPr>
              <w:spacing w:before="100" w:beforeAutospacing="1" w:after="100" w:afterAutospacing="1" w:line="240" w:lineRule="auto"/>
              <w:jc w:val="center"/>
              <w:rPr>
                <w:rFonts w:ascii="Times New Roman" w:eastAsia="Times New Roman" w:hAnsi="Times New Roman" w:cs="Times New Roman"/>
                <w:b/>
                <w:color w:val="000000"/>
                <w:sz w:val="24"/>
                <w:szCs w:val="24"/>
                <w:lang w:eastAsia="hr-HR"/>
              </w:rPr>
            </w:pPr>
          </w:p>
        </w:tc>
        <w:tc>
          <w:tcPr>
            <w:tcW w:w="3574" w:type="dxa"/>
            <w:shd w:val="clear" w:color="auto" w:fill="auto"/>
          </w:tcPr>
          <w:p w14:paraId="59CB02BC" w14:textId="77777777" w:rsidR="0042493A" w:rsidRPr="00E74A1E" w:rsidRDefault="0042493A" w:rsidP="00063C74">
            <w:pPr>
              <w:spacing w:after="0" w:line="240" w:lineRule="auto"/>
              <w:ind w:left="-1228" w:firstLine="1228"/>
              <w:jc w:val="center"/>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 xml:space="preserve">Predsjednik </w:t>
            </w:r>
            <w:r w:rsidR="00E74A1E" w:rsidRPr="00E74A1E">
              <w:rPr>
                <w:rFonts w:ascii="Times New Roman" w:eastAsia="Times New Roman" w:hAnsi="Times New Roman" w:cs="Times New Roman"/>
                <w:color w:val="000000"/>
                <w:sz w:val="24"/>
                <w:szCs w:val="24"/>
                <w:lang w:eastAsia="hr-HR"/>
              </w:rPr>
              <w:t xml:space="preserve">Hrvatskoga sabora </w:t>
            </w:r>
          </w:p>
          <w:p w14:paraId="59CB02BD" w14:textId="77777777" w:rsidR="00E74A1E" w:rsidRPr="0042493A" w:rsidRDefault="00E74A1E" w:rsidP="00063C74">
            <w:pPr>
              <w:spacing w:after="0" w:line="240" w:lineRule="auto"/>
              <w:jc w:val="center"/>
              <w:rPr>
                <w:rFonts w:ascii="Times New Roman" w:eastAsia="Times New Roman" w:hAnsi="Times New Roman" w:cs="Times New Roman"/>
                <w:color w:val="000000"/>
                <w:sz w:val="24"/>
                <w:szCs w:val="24"/>
                <w:lang w:eastAsia="hr-HR"/>
              </w:rPr>
            </w:pPr>
            <w:r w:rsidRPr="0042493A">
              <w:rPr>
                <w:rFonts w:ascii="Times New Roman" w:eastAsia="Times New Roman" w:hAnsi="Times New Roman" w:cs="Times New Roman"/>
                <w:color w:val="000000"/>
                <w:sz w:val="24"/>
                <w:szCs w:val="24"/>
                <w:lang w:eastAsia="hr-HR"/>
              </w:rPr>
              <w:t>Gordan Jandroković</w:t>
            </w:r>
            <w:r w:rsidRPr="0042493A">
              <w:rPr>
                <w:rFonts w:ascii="Times New Roman" w:eastAsia="Times New Roman" w:hAnsi="Times New Roman" w:cs="Times New Roman"/>
                <w:color w:val="000000"/>
                <w:sz w:val="24"/>
                <w:szCs w:val="24"/>
                <w:lang w:eastAsia="hr-HR"/>
              </w:rPr>
              <w:br/>
            </w:r>
          </w:p>
        </w:tc>
      </w:tr>
    </w:tbl>
    <w:p w14:paraId="59CB02BF" w14:textId="77777777" w:rsidR="00E74A1E" w:rsidRDefault="00E74A1E" w:rsidP="00E74A1E">
      <w:pPr>
        <w:spacing w:after="0" w:line="240" w:lineRule="auto"/>
        <w:jc w:val="center"/>
        <w:rPr>
          <w:rFonts w:ascii="Times New Roman" w:eastAsia="Calibri" w:hAnsi="Times New Roman" w:cs="Times New Roman"/>
          <w:b/>
          <w:color w:val="000000"/>
          <w:sz w:val="24"/>
          <w:szCs w:val="24"/>
          <w:lang w:eastAsia="en-US"/>
        </w:rPr>
      </w:pPr>
    </w:p>
    <w:p w14:paraId="59CB02C0" w14:textId="77777777" w:rsidR="00063C74" w:rsidRDefault="00063C74" w:rsidP="00063C74">
      <w:pPr>
        <w:spacing w:after="0" w:line="240" w:lineRule="auto"/>
        <w:jc w:val="both"/>
        <w:rPr>
          <w:rFonts w:ascii="Times New Roman" w:eastAsia="Times New Roman" w:hAnsi="Times New Roman" w:cs="Times New Roman"/>
          <w:color w:val="000000"/>
          <w:sz w:val="24"/>
          <w:szCs w:val="24"/>
          <w:lang w:eastAsia="hr-HR"/>
        </w:rPr>
      </w:pPr>
    </w:p>
    <w:p w14:paraId="59CB02C1" w14:textId="77777777" w:rsidR="00063C74" w:rsidRPr="00E74A1E" w:rsidRDefault="00063C74" w:rsidP="00063C74">
      <w:pPr>
        <w:spacing w:after="0" w:line="240" w:lineRule="auto"/>
        <w:jc w:val="both"/>
        <w:rPr>
          <w:rFonts w:ascii="Times New Roman" w:eastAsia="Times New Roman" w:hAnsi="Times New Roman" w:cs="Times New Roman"/>
          <w:color w:val="000000"/>
          <w:sz w:val="24"/>
          <w:szCs w:val="24"/>
          <w:lang w:eastAsia="hr-HR"/>
        </w:rPr>
      </w:pPr>
      <w:r w:rsidRPr="00E74A1E">
        <w:rPr>
          <w:rFonts w:ascii="Times New Roman" w:eastAsia="Times New Roman" w:hAnsi="Times New Roman" w:cs="Times New Roman"/>
          <w:color w:val="000000"/>
          <w:sz w:val="24"/>
          <w:szCs w:val="24"/>
          <w:lang w:eastAsia="hr-HR"/>
        </w:rPr>
        <w:t>Klasa:</w:t>
      </w:r>
    </w:p>
    <w:p w14:paraId="59CB02C2" w14:textId="77777777" w:rsidR="00063C74" w:rsidRPr="00E74A1E" w:rsidRDefault="00063C74" w:rsidP="00063C74">
      <w:pPr>
        <w:spacing w:after="0" w:line="240" w:lineRule="auto"/>
        <w:jc w:val="both"/>
        <w:rPr>
          <w:rFonts w:ascii="Times New Roman" w:eastAsia="Times New Roman" w:hAnsi="Times New Roman" w:cs="Times New Roman"/>
          <w:color w:val="000000"/>
          <w:sz w:val="24"/>
          <w:szCs w:val="24"/>
          <w:lang w:eastAsia="hr-HR"/>
        </w:rPr>
      </w:pPr>
      <w:r w:rsidRPr="00E74A1E">
        <w:rPr>
          <w:rFonts w:ascii="Times New Roman" w:eastAsia="Times New Roman" w:hAnsi="Times New Roman" w:cs="Times New Roman"/>
          <w:color w:val="000000"/>
          <w:sz w:val="24"/>
          <w:szCs w:val="24"/>
          <w:lang w:eastAsia="hr-HR"/>
        </w:rPr>
        <w:t>Zagreb,</w:t>
      </w:r>
    </w:p>
    <w:p w14:paraId="59CB02C3" w14:textId="77777777" w:rsidR="00063C74" w:rsidRPr="00E74A1E" w:rsidRDefault="00063C74" w:rsidP="00E74A1E">
      <w:pPr>
        <w:spacing w:after="0" w:line="240" w:lineRule="auto"/>
        <w:jc w:val="center"/>
        <w:rPr>
          <w:rFonts w:ascii="Times New Roman" w:eastAsia="Calibri" w:hAnsi="Times New Roman" w:cs="Times New Roman"/>
          <w:b/>
          <w:color w:val="000000"/>
          <w:sz w:val="24"/>
          <w:szCs w:val="24"/>
          <w:lang w:eastAsia="en-US"/>
        </w:rPr>
      </w:pPr>
    </w:p>
    <w:p w14:paraId="59CB02C4" w14:textId="77777777" w:rsidR="00E74A1E" w:rsidRPr="00E74A1E" w:rsidRDefault="00E74A1E" w:rsidP="00E74A1E">
      <w:pPr>
        <w:spacing w:after="0" w:line="240" w:lineRule="auto"/>
        <w:jc w:val="center"/>
        <w:rPr>
          <w:rFonts w:ascii="Times New Roman" w:eastAsia="Calibri" w:hAnsi="Times New Roman" w:cs="Times New Roman"/>
          <w:b/>
          <w:color w:val="000000"/>
          <w:sz w:val="24"/>
          <w:szCs w:val="24"/>
          <w:lang w:eastAsia="en-US"/>
        </w:rPr>
      </w:pPr>
    </w:p>
    <w:p w14:paraId="59CB02C5" w14:textId="77777777" w:rsidR="00E74A1E" w:rsidRPr="00E74A1E" w:rsidRDefault="00E74A1E" w:rsidP="00E74A1E">
      <w:pPr>
        <w:spacing w:after="0" w:line="240" w:lineRule="auto"/>
        <w:jc w:val="center"/>
        <w:rPr>
          <w:rFonts w:ascii="Times New Roman" w:eastAsia="Calibri" w:hAnsi="Times New Roman" w:cs="Times New Roman"/>
          <w:b/>
          <w:color w:val="000000"/>
          <w:sz w:val="24"/>
          <w:szCs w:val="24"/>
          <w:lang w:eastAsia="en-US"/>
        </w:rPr>
      </w:pPr>
    </w:p>
    <w:p w14:paraId="59CB02C6" w14:textId="77777777" w:rsidR="00E74A1E" w:rsidRPr="00E74A1E" w:rsidRDefault="00E74A1E" w:rsidP="00E74A1E">
      <w:pPr>
        <w:spacing w:after="0" w:line="240" w:lineRule="auto"/>
        <w:jc w:val="center"/>
        <w:rPr>
          <w:rFonts w:ascii="Times New Roman" w:eastAsia="Calibri" w:hAnsi="Times New Roman" w:cs="Times New Roman"/>
          <w:b/>
          <w:color w:val="000000"/>
          <w:sz w:val="24"/>
          <w:szCs w:val="24"/>
          <w:lang w:eastAsia="en-US"/>
        </w:rPr>
      </w:pPr>
    </w:p>
    <w:p w14:paraId="59CB02C7" w14:textId="77777777" w:rsidR="00E74A1E" w:rsidRPr="00E74A1E" w:rsidRDefault="00E74A1E" w:rsidP="00136D8A">
      <w:pPr>
        <w:spacing w:after="0" w:line="240" w:lineRule="auto"/>
        <w:rPr>
          <w:rFonts w:ascii="Times New Roman" w:eastAsia="Calibri" w:hAnsi="Times New Roman" w:cs="Times New Roman"/>
          <w:b/>
          <w:color w:val="000000"/>
          <w:sz w:val="24"/>
          <w:szCs w:val="24"/>
          <w:lang w:eastAsia="en-US"/>
        </w:rPr>
      </w:pPr>
    </w:p>
    <w:p w14:paraId="59CB02C8" w14:textId="77777777" w:rsidR="00E74A1E" w:rsidRPr="00E74A1E" w:rsidRDefault="00E74A1E" w:rsidP="00E74A1E">
      <w:pPr>
        <w:spacing w:after="0" w:line="240" w:lineRule="auto"/>
        <w:jc w:val="center"/>
        <w:rPr>
          <w:rFonts w:ascii="Times New Roman" w:eastAsia="Calibri" w:hAnsi="Times New Roman" w:cs="Times New Roman"/>
          <w:b/>
          <w:color w:val="000000"/>
          <w:sz w:val="24"/>
          <w:szCs w:val="24"/>
          <w:lang w:eastAsia="en-US"/>
        </w:rPr>
      </w:pPr>
      <w:r w:rsidRPr="00E74A1E">
        <w:rPr>
          <w:rFonts w:ascii="Times New Roman" w:eastAsia="Calibri" w:hAnsi="Times New Roman" w:cs="Times New Roman"/>
          <w:b/>
          <w:color w:val="000000"/>
          <w:sz w:val="24"/>
          <w:szCs w:val="24"/>
          <w:lang w:eastAsia="en-US"/>
        </w:rPr>
        <w:t>O B R A Z L O Ž E NJ E</w:t>
      </w:r>
    </w:p>
    <w:p w14:paraId="59CB02C9" w14:textId="77777777" w:rsidR="00E74A1E" w:rsidRPr="00E74A1E" w:rsidRDefault="00E74A1E" w:rsidP="00E74A1E">
      <w:pPr>
        <w:autoSpaceDE w:val="0"/>
        <w:autoSpaceDN w:val="0"/>
        <w:adjustRightInd w:val="0"/>
        <w:spacing w:after="0" w:line="240" w:lineRule="auto"/>
        <w:rPr>
          <w:rFonts w:ascii="Times New Roman" w:eastAsia="Times New Roman" w:hAnsi="Times New Roman" w:cs="Times New Roman"/>
          <w:b/>
          <w:bCs/>
          <w:color w:val="000000"/>
          <w:sz w:val="24"/>
          <w:szCs w:val="24"/>
          <w:lang w:eastAsia="hr-HR"/>
        </w:rPr>
      </w:pPr>
    </w:p>
    <w:p w14:paraId="59CB02CA" w14:textId="646DC5DC" w:rsidR="00E74A1E" w:rsidRPr="00851E88" w:rsidRDefault="00851E88" w:rsidP="00E74A1E">
      <w:pPr>
        <w:spacing w:before="100" w:beforeAutospacing="1" w:after="100" w:afterAutospacing="1" w:line="240" w:lineRule="auto"/>
        <w:jc w:val="both"/>
        <w:rPr>
          <w:rFonts w:ascii="Times New Roman" w:eastAsia="Times New Roman" w:hAnsi="Times New Roman" w:cs="Times New Roman"/>
          <w:b/>
          <w:color w:val="000000"/>
          <w:sz w:val="24"/>
          <w:szCs w:val="24"/>
          <w:lang w:eastAsia="hr-HR" w:bidi="ta-IN"/>
        </w:rPr>
      </w:pPr>
      <w:r>
        <w:rPr>
          <w:rFonts w:ascii="Times New Roman" w:eastAsia="MS Mincho" w:hAnsi="Times New Roman" w:cs="Times New Roman"/>
          <w:b/>
          <w:bCs/>
          <w:color w:val="000000"/>
          <w:sz w:val="24"/>
          <w:szCs w:val="24"/>
          <w:lang w:eastAsia="ja-JP"/>
        </w:rPr>
        <w:tab/>
      </w:r>
      <w:r w:rsidR="00E74A1E" w:rsidRPr="00E74A1E">
        <w:rPr>
          <w:rFonts w:ascii="Times New Roman" w:eastAsia="MS Mincho" w:hAnsi="Times New Roman" w:cs="Times New Roman"/>
          <w:b/>
          <w:bCs/>
          <w:color w:val="000000"/>
          <w:sz w:val="24"/>
          <w:szCs w:val="24"/>
          <w:lang w:eastAsia="ja-JP"/>
        </w:rPr>
        <w:t xml:space="preserve">Točkom I. </w:t>
      </w:r>
      <w:r w:rsidR="00E74A1E" w:rsidRPr="00E74A1E">
        <w:rPr>
          <w:rFonts w:ascii="Times New Roman" w:eastAsia="MS Mincho" w:hAnsi="Times New Roman" w:cs="Times New Roman"/>
          <w:bCs/>
          <w:color w:val="000000"/>
          <w:sz w:val="24"/>
          <w:szCs w:val="24"/>
          <w:lang w:eastAsia="ja-JP"/>
        </w:rPr>
        <w:t>o</w:t>
      </w:r>
      <w:r w:rsidR="00E74A1E" w:rsidRPr="00E74A1E">
        <w:rPr>
          <w:rFonts w:ascii="Times New Roman" w:eastAsia="MS Mincho" w:hAnsi="Times New Roman" w:cs="Times New Roman"/>
          <w:color w:val="000000"/>
          <w:sz w:val="24"/>
          <w:szCs w:val="24"/>
          <w:lang w:eastAsia="ja-JP"/>
        </w:rPr>
        <w:t>dređuje se da Hrvatski sabor donosi Odluku o sudjelovanju Oruž</w:t>
      </w:r>
      <w:r w:rsidR="006E528D">
        <w:rPr>
          <w:rFonts w:ascii="Times New Roman" w:eastAsia="MS Mincho" w:hAnsi="Times New Roman" w:cs="Times New Roman"/>
          <w:color w:val="000000"/>
          <w:sz w:val="24"/>
          <w:szCs w:val="24"/>
          <w:lang w:eastAsia="ja-JP"/>
        </w:rPr>
        <w:t xml:space="preserve">anih snaga Republike Hrvatske u </w:t>
      </w:r>
      <w:r w:rsidR="00E74A1E" w:rsidRPr="00E74A1E">
        <w:rPr>
          <w:rFonts w:ascii="Times New Roman" w:eastAsia="MS Mincho" w:hAnsi="Times New Roman" w:cs="Times New Roman"/>
          <w:color w:val="000000"/>
          <w:sz w:val="24"/>
          <w:szCs w:val="24"/>
          <w:lang w:eastAsia="ja-JP"/>
        </w:rPr>
        <w:t>operaciji</w:t>
      </w:r>
      <w:r w:rsidR="006E528D">
        <w:rPr>
          <w:rFonts w:ascii="Times New Roman" w:eastAsia="MS Mincho" w:hAnsi="Times New Roman" w:cs="Times New Roman"/>
          <w:color w:val="000000"/>
          <w:sz w:val="24"/>
          <w:szCs w:val="24"/>
          <w:lang w:eastAsia="ja-JP"/>
        </w:rPr>
        <w:t xml:space="preserve"> potpore miru</w:t>
      </w:r>
      <w:r w:rsidR="00E74A1E" w:rsidRPr="00E74A1E">
        <w:rPr>
          <w:rFonts w:ascii="Times New Roman" w:eastAsia="MS Mincho" w:hAnsi="Times New Roman" w:cs="Times New Roman"/>
          <w:color w:val="000000"/>
          <w:sz w:val="24"/>
          <w:szCs w:val="24"/>
          <w:lang w:eastAsia="ja-JP"/>
        </w:rPr>
        <w:t xml:space="preserve"> „SEA GUARDIAN“ </w:t>
      </w:r>
      <w:r w:rsidR="006E528D">
        <w:rPr>
          <w:rFonts w:ascii="Times New Roman" w:eastAsia="MS Mincho" w:hAnsi="Times New Roman" w:cs="Times New Roman"/>
          <w:color w:val="000000"/>
          <w:sz w:val="24"/>
          <w:szCs w:val="24"/>
          <w:lang w:eastAsia="ja-JP"/>
        </w:rPr>
        <w:t>u Sredozemlju</w:t>
      </w:r>
      <w:r w:rsidR="00E74A1E" w:rsidRPr="00E74A1E">
        <w:rPr>
          <w:rFonts w:ascii="Times New Roman" w:eastAsia="MS Mincho" w:hAnsi="Times New Roman" w:cs="Times New Roman"/>
          <w:color w:val="000000"/>
          <w:sz w:val="24"/>
          <w:szCs w:val="24"/>
          <w:lang w:eastAsia="ja-JP"/>
        </w:rPr>
        <w:t>. Pravni temelj za donošenje Odluke Hrvatskog sabora je članak 7. stavak 5. Ustava Republike Hrvatske koji propisuje da Oružane snage Republike Hrvatske mogu prijeći njezine granice ili djelovati preko njezinih granica na temelju Odluke Hrvatskog sabora, koju predlaže Vlada Republike Hrvatske, uz p</w:t>
      </w:r>
      <w:r w:rsidR="00822387">
        <w:rPr>
          <w:rFonts w:ascii="Times New Roman" w:eastAsia="MS Mincho" w:hAnsi="Times New Roman" w:cs="Times New Roman"/>
          <w:color w:val="000000"/>
          <w:sz w:val="24"/>
          <w:szCs w:val="24"/>
          <w:lang w:eastAsia="ja-JP"/>
        </w:rPr>
        <w:t>rethodnu suglasnost Predsjednika</w:t>
      </w:r>
      <w:r w:rsidR="00E74A1E" w:rsidRPr="00E74A1E">
        <w:rPr>
          <w:rFonts w:ascii="Times New Roman" w:eastAsia="MS Mincho" w:hAnsi="Times New Roman" w:cs="Times New Roman"/>
          <w:color w:val="000000"/>
          <w:sz w:val="24"/>
          <w:szCs w:val="24"/>
          <w:lang w:eastAsia="ja-JP"/>
        </w:rPr>
        <w:t xml:space="preserve"> Republike Hrvatske. Zakon o obrani (Narodne novine, br. 73/13, 75/15, 27/16, 110/17</w:t>
      </w:r>
      <w:r w:rsidR="00063C74">
        <w:rPr>
          <w:rFonts w:ascii="Times New Roman" w:eastAsia="MS Mincho" w:hAnsi="Times New Roman" w:cs="Times New Roman"/>
          <w:color w:val="000000"/>
          <w:sz w:val="24"/>
          <w:szCs w:val="24"/>
          <w:lang w:eastAsia="ja-JP"/>
        </w:rPr>
        <w:t>–</w:t>
      </w:r>
      <w:r w:rsidR="0042493A">
        <w:rPr>
          <w:rFonts w:ascii="Times New Roman" w:eastAsia="MS Mincho" w:hAnsi="Times New Roman" w:cs="Times New Roman"/>
          <w:color w:val="000000"/>
          <w:sz w:val="24"/>
          <w:szCs w:val="24"/>
          <w:lang w:eastAsia="ja-JP"/>
        </w:rPr>
        <w:t>Odluka Ustavnog suda Republike Hrvatske</w:t>
      </w:r>
      <w:r w:rsidR="00E74A1E" w:rsidRPr="00E74A1E">
        <w:rPr>
          <w:rFonts w:ascii="Times New Roman" w:eastAsia="MS Mincho" w:hAnsi="Times New Roman" w:cs="Times New Roman"/>
          <w:color w:val="000000"/>
          <w:sz w:val="24"/>
          <w:szCs w:val="24"/>
          <w:lang w:eastAsia="ja-JP"/>
        </w:rPr>
        <w:t xml:space="preserve"> i 30/18) u članku 54. stavku 2. na istovjetan način uređuje ovo područje. </w:t>
      </w:r>
      <w:r w:rsidR="00E74A1E" w:rsidRPr="00E74A1E">
        <w:rPr>
          <w:rFonts w:ascii="Times New Roman" w:eastAsia="Times New Roman" w:hAnsi="Times New Roman" w:cs="Times New Roman"/>
          <w:color w:val="000000"/>
          <w:sz w:val="24"/>
          <w:szCs w:val="24"/>
          <w:lang w:eastAsia="hr-HR" w:bidi="ta-IN"/>
        </w:rPr>
        <w:t xml:space="preserve">U operaciju </w:t>
      </w:r>
      <w:r w:rsidR="006E528D">
        <w:rPr>
          <w:rFonts w:ascii="Times New Roman" w:eastAsia="Times New Roman" w:hAnsi="Times New Roman" w:cs="Times New Roman"/>
          <w:color w:val="000000"/>
          <w:sz w:val="24"/>
          <w:szCs w:val="24"/>
          <w:lang w:eastAsia="hr-HR" w:bidi="ta-IN"/>
        </w:rPr>
        <w:t xml:space="preserve">potpore miru </w:t>
      </w:r>
      <w:r w:rsidR="00E74A1E" w:rsidRPr="00E74A1E">
        <w:rPr>
          <w:rFonts w:ascii="Times New Roman" w:eastAsia="Times New Roman" w:hAnsi="Times New Roman" w:cs="Times New Roman"/>
          <w:color w:val="000000"/>
          <w:sz w:val="24"/>
          <w:szCs w:val="24"/>
          <w:lang w:eastAsia="hr-HR" w:bidi="ta-IN"/>
        </w:rPr>
        <w:t xml:space="preserve">„SEA GUARDIAN“ </w:t>
      </w:r>
      <w:r w:rsidR="006E528D">
        <w:rPr>
          <w:rFonts w:ascii="Times New Roman" w:eastAsia="Times New Roman" w:hAnsi="Times New Roman" w:cs="Times New Roman"/>
          <w:color w:val="000000"/>
          <w:sz w:val="24"/>
          <w:szCs w:val="24"/>
          <w:lang w:eastAsia="hr-HR" w:bidi="ta-IN"/>
        </w:rPr>
        <w:t xml:space="preserve">u Sredozemlju </w:t>
      </w:r>
      <w:r w:rsidR="009E569D">
        <w:rPr>
          <w:rFonts w:ascii="Times New Roman" w:eastAsia="Times New Roman" w:hAnsi="Times New Roman" w:cs="Times New Roman"/>
          <w:color w:val="000000"/>
          <w:sz w:val="24"/>
          <w:szCs w:val="24"/>
          <w:lang w:eastAsia="hr-HR" w:bidi="ta-IN"/>
        </w:rPr>
        <w:t>upućuje se u 2019. godini do 5</w:t>
      </w:r>
      <w:r w:rsidR="00E74A1E" w:rsidRPr="00E74A1E">
        <w:rPr>
          <w:rFonts w:ascii="Times New Roman" w:eastAsia="Times New Roman" w:hAnsi="Times New Roman" w:cs="Times New Roman"/>
          <w:color w:val="000000"/>
          <w:sz w:val="24"/>
          <w:szCs w:val="24"/>
          <w:lang w:eastAsia="hr-HR" w:bidi="ta-IN"/>
        </w:rPr>
        <w:t>0 pripadnika</w:t>
      </w:r>
      <w:r w:rsidR="008257B3">
        <w:rPr>
          <w:rFonts w:ascii="Times New Roman" w:eastAsia="Times New Roman" w:hAnsi="Times New Roman" w:cs="Times New Roman"/>
          <w:color w:val="000000"/>
          <w:sz w:val="24"/>
          <w:szCs w:val="24"/>
          <w:lang w:eastAsia="hr-HR" w:bidi="ta-IN"/>
        </w:rPr>
        <w:t xml:space="preserve"> Oruža</w:t>
      </w:r>
      <w:r w:rsidR="00105F38">
        <w:rPr>
          <w:rFonts w:ascii="Times New Roman" w:eastAsia="Times New Roman" w:hAnsi="Times New Roman" w:cs="Times New Roman"/>
          <w:color w:val="000000"/>
          <w:sz w:val="24"/>
          <w:szCs w:val="24"/>
          <w:lang w:eastAsia="hr-HR" w:bidi="ta-IN"/>
        </w:rPr>
        <w:t xml:space="preserve">nih snaga Republike Hrvatske </w:t>
      </w:r>
      <w:r w:rsidR="009E569D">
        <w:rPr>
          <w:rFonts w:ascii="Times New Roman" w:eastAsia="Times New Roman" w:hAnsi="Times New Roman" w:cs="Times New Roman"/>
          <w:color w:val="000000"/>
          <w:sz w:val="24"/>
          <w:szCs w:val="24"/>
          <w:lang w:eastAsia="hr-HR" w:bidi="ta-IN"/>
        </w:rPr>
        <w:t>brod</w:t>
      </w:r>
      <w:r w:rsidR="008257B3">
        <w:rPr>
          <w:rFonts w:ascii="Times New Roman" w:eastAsia="Times New Roman" w:hAnsi="Times New Roman" w:cs="Times New Roman"/>
          <w:color w:val="000000"/>
          <w:sz w:val="24"/>
          <w:szCs w:val="24"/>
          <w:lang w:eastAsia="hr-HR" w:bidi="ta-IN"/>
        </w:rPr>
        <w:t>om Hrvatske ratne mornarice</w:t>
      </w:r>
      <w:r w:rsidR="00DE1F52">
        <w:rPr>
          <w:rFonts w:ascii="Times New Roman" w:eastAsia="Times New Roman" w:hAnsi="Times New Roman" w:cs="Times New Roman"/>
          <w:color w:val="000000"/>
          <w:sz w:val="24"/>
          <w:szCs w:val="24"/>
          <w:lang w:eastAsia="hr-HR" w:bidi="ta-IN"/>
        </w:rPr>
        <w:t xml:space="preserve">. </w:t>
      </w:r>
    </w:p>
    <w:p w14:paraId="59CB02CB" w14:textId="77777777" w:rsidR="00E74A1E" w:rsidRPr="00E74A1E" w:rsidRDefault="00E74A1E" w:rsidP="00F12DFD">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hr-HR" w:bidi="ta-IN"/>
        </w:rPr>
      </w:pPr>
      <w:r w:rsidRPr="00E74A1E">
        <w:rPr>
          <w:rFonts w:ascii="Times New Roman" w:eastAsia="Times New Roman" w:hAnsi="Times New Roman" w:cs="Times New Roman"/>
          <w:b/>
          <w:color w:val="000000"/>
          <w:sz w:val="24"/>
          <w:szCs w:val="24"/>
          <w:lang w:eastAsia="hr-HR"/>
        </w:rPr>
        <w:t>Točkom</w:t>
      </w:r>
      <w:r w:rsidRPr="00E74A1E">
        <w:rPr>
          <w:rFonts w:ascii="Times New Roman" w:eastAsia="Times New Roman" w:hAnsi="Times New Roman" w:cs="Times New Roman"/>
          <w:color w:val="000000"/>
          <w:sz w:val="24"/>
          <w:szCs w:val="24"/>
          <w:lang w:eastAsia="hr-HR"/>
        </w:rPr>
        <w:t xml:space="preserve"> </w:t>
      </w:r>
      <w:r w:rsidRPr="00E74A1E">
        <w:rPr>
          <w:rFonts w:ascii="Times New Roman" w:eastAsia="Times New Roman" w:hAnsi="Times New Roman" w:cs="Times New Roman"/>
          <w:b/>
          <w:bCs/>
          <w:color w:val="000000"/>
          <w:sz w:val="24"/>
          <w:szCs w:val="24"/>
          <w:lang w:eastAsia="hr-HR"/>
        </w:rPr>
        <w:t xml:space="preserve">II. </w:t>
      </w:r>
      <w:r w:rsidRPr="00E74A1E">
        <w:rPr>
          <w:rFonts w:ascii="Times New Roman" w:eastAsia="Times New Roman" w:hAnsi="Times New Roman" w:cs="Times New Roman"/>
          <w:bCs/>
          <w:color w:val="000000"/>
          <w:sz w:val="24"/>
          <w:szCs w:val="24"/>
          <w:lang w:eastAsia="hr-HR"/>
        </w:rPr>
        <w:t>o</w:t>
      </w:r>
      <w:r w:rsidRPr="00E74A1E">
        <w:rPr>
          <w:rFonts w:ascii="Times New Roman" w:eastAsia="Times New Roman" w:hAnsi="Times New Roman" w:cs="Times New Roman"/>
          <w:color w:val="000000"/>
          <w:sz w:val="24"/>
          <w:szCs w:val="24"/>
          <w:lang w:eastAsia="hr-HR"/>
        </w:rPr>
        <w:t>bvezuje se</w:t>
      </w:r>
      <w:r w:rsidR="00851E88">
        <w:rPr>
          <w:rFonts w:ascii="Times New Roman" w:eastAsia="Times New Roman" w:hAnsi="Times New Roman" w:cs="Times New Roman"/>
          <w:color w:val="000000"/>
          <w:sz w:val="24"/>
          <w:szCs w:val="24"/>
          <w:lang w:eastAsia="hr-HR"/>
        </w:rPr>
        <w:t xml:space="preserve"> Vlada Republike Hrvatske </w:t>
      </w:r>
      <w:r w:rsidR="0076145B" w:rsidRPr="0076145B">
        <w:rPr>
          <w:rFonts w:ascii="Times New Roman" w:eastAsia="Times New Roman" w:hAnsi="Times New Roman" w:cs="Times New Roman"/>
          <w:color w:val="000000"/>
          <w:sz w:val="24"/>
          <w:szCs w:val="24"/>
          <w:lang w:eastAsia="hr-HR" w:bidi="ta-IN"/>
        </w:rPr>
        <w:t xml:space="preserve">da nakon završetka sudjelovanja Oružanih snaga Republike Hrvatske </w:t>
      </w:r>
      <w:r w:rsidR="0076145B">
        <w:rPr>
          <w:rFonts w:ascii="Times New Roman" w:eastAsia="Times New Roman" w:hAnsi="Times New Roman" w:cs="Times New Roman"/>
          <w:color w:val="000000"/>
          <w:sz w:val="24"/>
          <w:szCs w:val="24"/>
          <w:lang w:eastAsia="hr-HR" w:bidi="ta-IN"/>
        </w:rPr>
        <w:t xml:space="preserve">u operaciji potpore miru </w:t>
      </w:r>
      <w:r w:rsidR="0076145B" w:rsidRPr="0076145B">
        <w:rPr>
          <w:rFonts w:ascii="Times New Roman" w:eastAsia="Times New Roman" w:hAnsi="Times New Roman" w:cs="Times New Roman"/>
          <w:color w:val="000000"/>
          <w:sz w:val="24"/>
          <w:szCs w:val="24"/>
          <w:lang w:eastAsia="hr-HR" w:bidi="ta-IN"/>
        </w:rPr>
        <w:t xml:space="preserve">iz točke I. ove Odluke podnese izvješće Hrvatskome saboru. </w:t>
      </w:r>
    </w:p>
    <w:p w14:paraId="59CB02CC" w14:textId="77777777" w:rsidR="00E74A1E" w:rsidRPr="00E74A1E" w:rsidRDefault="00851E88" w:rsidP="00E74A1E">
      <w:pPr>
        <w:autoSpaceDE w:val="0"/>
        <w:autoSpaceDN w:val="0"/>
        <w:adjustRightInd w:val="0"/>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color w:val="000000"/>
          <w:sz w:val="24"/>
          <w:szCs w:val="24"/>
          <w:lang w:eastAsia="hr-HR"/>
        </w:rPr>
        <w:tab/>
      </w:r>
      <w:r w:rsidR="00E74A1E" w:rsidRPr="00E74A1E">
        <w:rPr>
          <w:rFonts w:ascii="Times New Roman" w:eastAsia="Times New Roman" w:hAnsi="Times New Roman" w:cs="Times New Roman"/>
          <w:b/>
          <w:color w:val="000000"/>
          <w:sz w:val="24"/>
          <w:szCs w:val="24"/>
          <w:lang w:eastAsia="hr-HR"/>
        </w:rPr>
        <w:t>Točkom III.</w:t>
      </w:r>
      <w:r w:rsidR="00E74A1E" w:rsidRPr="00E74A1E">
        <w:rPr>
          <w:rFonts w:ascii="Times New Roman" w:eastAsia="Times New Roman" w:hAnsi="Times New Roman" w:cs="Times New Roman"/>
          <w:color w:val="000000"/>
          <w:sz w:val="24"/>
          <w:szCs w:val="24"/>
          <w:lang w:eastAsia="hr-HR"/>
        </w:rPr>
        <w:t xml:space="preserve"> utvrđuje se stupanje na snagu Odluke Hrvatskoga sabora.</w:t>
      </w:r>
    </w:p>
    <w:p w14:paraId="59CB02CD" w14:textId="77777777" w:rsidR="00E74A1E" w:rsidRPr="00E74A1E" w:rsidRDefault="00E74A1E" w:rsidP="00E74A1E">
      <w:pPr>
        <w:spacing w:before="100" w:beforeAutospacing="1" w:after="100" w:afterAutospacing="1" w:line="240" w:lineRule="auto"/>
        <w:jc w:val="both"/>
        <w:rPr>
          <w:rFonts w:ascii="Times New Roman" w:eastAsia="MS Mincho" w:hAnsi="Times New Roman" w:cs="Times New Roman"/>
          <w:b/>
          <w:bCs/>
          <w:color w:val="000000"/>
          <w:sz w:val="24"/>
          <w:szCs w:val="24"/>
          <w:lang w:eastAsia="ja-JP"/>
        </w:rPr>
      </w:pPr>
    </w:p>
    <w:p w14:paraId="59CB02CE" w14:textId="77777777" w:rsidR="00E74A1E" w:rsidRPr="00E74A1E" w:rsidRDefault="00E74A1E" w:rsidP="00E74A1E">
      <w:pPr>
        <w:spacing w:before="100" w:beforeAutospacing="1" w:after="100" w:afterAutospacing="1" w:line="240" w:lineRule="auto"/>
        <w:jc w:val="both"/>
        <w:rPr>
          <w:rFonts w:ascii="Times New Roman" w:eastAsia="MS Mincho" w:hAnsi="Times New Roman" w:cs="Times New Roman"/>
          <w:b/>
          <w:bCs/>
          <w:color w:val="000000"/>
          <w:sz w:val="24"/>
          <w:szCs w:val="24"/>
          <w:lang w:eastAsia="ja-JP"/>
        </w:rPr>
      </w:pPr>
    </w:p>
    <w:p w14:paraId="59CB02CF" w14:textId="77777777" w:rsidR="00E74A1E" w:rsidRPr="00E74A1E" w:rsidRDefault="00E74A1E" w:rsidP="00E74A1E">
      <w:pPr>
        <w:spacing w:before="100" w:beforeAutospacing="1" w:after="100" w:afterAutospacing="1" w:line="240" w:lineRule="auto"/>
        <w:jc w:val="both"/>
        <w:rPr>
          <w:rFonts w:ascii="Times New Roman" w:eastAsia="MS Mincho" w:hAnsi="Times New Roman" w:cs="Times New Roman"/>
          <w:b/>
          <w:bCs/>
          <w:color w:val="000000"/>
          <w:sz w:val="24"/>
          <w:szCs w:val="24"/>
          <w:lang w:eastAsia="ja-JP"/>
        </w:rPr>
      </w:pPr>
    </w:p>
    <w:p w14:paraId="59CB02D0" w14:textId="77777777" w:rsidR="00E74A1E" w:rsidRPr="00E74A1E" w:rsidRDefault="00E74A1E" w:rsidP="00E74A1E">
      <w:pPr>
        <w:spacing w:before="100" w:beforeAutospacing="1" w:after="100" w:afterAutospacing="1" w:line="240" w:lineRule="auto"/>
        <w:jc w:val="both"/>
        <w:rPr>
          <w:rFonts w:ascii="Times New Roman" w:eastAsia="MS Mincho" w:hAnsi="Times New Roman" w:cs="Times New Roman"/>
          <w:b/>
          <w:bCs/>
          <w:color w:val="000000"/>
          <w:sz w:val="24"/>
          <w:szCs w:val="24"/>
          <w:lang w:eastAsia="ja-JP"/>
        </w:rPr>
      </w:pPr>
    </w:p>
    <w:p w14:paraId="59CB02D1" w14:textId="77777777" w:rsidR="00E74A1E" w:rsidRPr="00E74A1E" w:rsidRDefault="00E74A1E" w:rsidP="00E74A1E">
      <w:pPr>
        <w:spacing w:after="0" w:line="240" w:lineRule="auto"/>
        <w:rPr>
          <w:rFonts w:ascii="Times New Roman" w:eastAsia="Times New Roman" w:hAnsi="Times New Roman" w:cs="Times New Roman"/>
          <w:color w:val="000000"/>
          <w:sz w:val="24"/>
          <w:szCs w:val="24"/>
          <w:lang w:eastAsia="hr-HR"/>
        </w:rPr>
      </w:pPr>
    </w:p>
    <w:p w14:paraId="59CB02D2" w14:textId="77777777" w:rsidR="00A872F8" w:rsidRDefault="00A872F8"/>
    <w:sectPr w:rsidR="00A872F8" w:rsidSect="00A268F7">
      <w:footerReference w:type="even" r:id="rId13"/>
      <w:footerReference w:type="default" r:id="rId14"/>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EB6A5" w14:textId="77777777" w:rsidR="0031728B" w:rsidRDefault="0031728B" w:rsidP="00E74A1E">
      <w:pPr>
        <w:spacing w:after="0" w:line="240" w:lineRule="auto"/>
      </w:pPr>
      <w:r>
        <w:separator/>
      </w:r>
    </w:p>
  </w:endnote>
  <w:endnote w:type="continuationSeparator" w:id="0">
    <w:p w14:paraId="657143D0" w14:textId="77777777" w:rsidR="0031728B" w:rsidRDefault="0031728B" w:rsidP="00E7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4AA99" w14:textId="77777777" w:rsidR="00F0053C" w:rsidRPr="00F0053C" w:rsidRDefault="00F0053C" w:rsidP="00F0053C">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lang w:eastAsia="hr-HR"/>
      </w:rPr>
    </w:pPr>
    <w:r w:rsidRPr="00F0053C">
      <w:rPr>
        <w:rFonts w:ascii="Times New Roman" w:eastAsia="Times New Roman" w:hAnsi="Times New Roman" w:cs="Times New Roman"/>
        <w:color w:val="404040" w:themeColor="text1" w:themeTint="BF"/>
        <w:spacing w:val="20"/>
        <w:sz w:val="20"/>
        <w:szCs w:val="24"/>
        <w:lang w:eastAsia="hr-HR"/>
      </w:rPr>
      <w:t>Banski dvori | Trg Sv. Marka 2  | 10000 Zagreb | tel. 01 4569 222 | vlada.gov.hr</w:t>
    </w:r>
  </w:p>
  <w:p w14:paraId="30A95A78" w14:textId="21847AB8" w:rsidR="00F0053C" w:rsidRPr="00F0053C" w:rsidRDefault="00F0053C" w:rsidP="00F00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02D7" w14:textId="77777777" w:rsidR="00563A49" w:rsidRDefault="00164C0A" w:rsidP="006E4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B02D8" w14:textId="77777777" w:rsidR="00563A49" w:rsidRDefault="0031728B" w:rsidP="008D1EC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02D9" w14:textId="63DA4CD1" w:rsidR="00563A49" w:rsidRDefault="00164C0A" w:rsidP="006E4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0C0">
      <w:rPr>
        <w:rStyle w:val="PageNumber"/>
        <w:noProof/>
      </w:rPr>
      <w:t>2</w:t>
    </w:r>
    <w:r>
      <w:rPr>
        <w:rStyle w:val="PageNumber"/>
      </w:rPr>
      <w:fldChar w:fldCharType="end"/>
    </w:r>
  </w:p>
  <w:p w14:paraId="59CB02DA" w14:textId="77777777" w:rsidR="00563A49" w:rsidRDefault="0031728B" w:rsidP="008D1E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56EF9C" w14:textId="77777777" w:rsidR="0031728B" w:rsidRDefault="0031728B" w:rsidP="00E74A1E">
      <w:pPr>
        <w:spacing w:after="0" w:line="240" w:lineRule="auto"/>
      </w:pPr>
      <w:r>
        <w:separator/>
      </w:r>
    </w:p>
  </w:footnote>
  <w:footnote w:type="continuationSeparator" w:id="0">
    <w:p w14:paraId="1341E9D3" w14:textId="77777777" w:rsidR="0031728B" w:rsidRDefault="0031728B" w:rsidP="00E74A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A9A"/>
    <w:multiLevelType w:val="hybridMultilevel"/>
    <w:tmpl w:val="D71005E4"/>
    <w:lvl w:ilvl="0" w:tplc="FB3490C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51FC7C67"/>
    <w:multiLevelType w:val="hybridMultilevel"/>
    <w:tmpl w:val="7A36CE1E"/>
    <w:lvl w:ilvl="0" w:tplc="8BCCA006">
      <w:start w:val="3"/>
      <w:numFmt w:val="upperRoman"/>
      <w:lvlText w:val="%1."/>
      <w:lvlJc w:val="left"/>
      <w:pPr>
        <w:ind w:left="2136" w:hanging="72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A1E"/>
    <w:rsid w:val="00034E13"/>
    <w:rsid w:val="00063C74"/>
    <w:rsid w:val="00105F38"/>
    <w:rsid w:val="00136D8A"/>
    <w:rsid w:val="00164C0A"/>
    <w:rsid w:val="002F4D58"/>
    <w:rsid w:val="00312125"/>
    <w:rsid w:val="0031728B"/>
    <w:rsid w:val="00336A55"/>
    <w:rsid w:val="0039103B"/>
    <w:rsid w:val="0042493A"/>
    <w:rsid w:val="004459CA"/>
    <w:rsid w:val="004A4000"/>
    <w:rsid w:val="004E3552"/>
    <w:rsid w:val="0057012C"/>
    <w:rsid w:val="005B3888"/>
    <w:rsid w:val="006E528D"/>
    <w:rsid w:val="006E6106"/>
    <w:rsid w:val="006F09C9"/>
    <w:rsid w:val="0076145B"/>
    <w:rsid w:val="007960C0"/>
    <w:rsid w:val="007D7B79"/>
    <w:rsid w:val="00822387"/>
    <w:rsid w:val="008257B3"/>
    <w:rsid w:val="00851E88"/>
    <w:rsid w:val="008B1D13"/>
    <w:rsid w:val="008C54BD"/>
    <w:rsid w:val="009070FA"/>
    <w:rsid w:val="00975512"/>
    <w:rsid w:val="0097639C"/>
    <w:rsid w:val="009E569D"/>
    <w:rsid w:val="00A872F8"/>
    <w:rsid w:val="00A92E39"/>
    <w:rsid w:val="00B94501"/>
    <w:rsid w:val="00BD5C84"/>
    <w:rsid w:val="00CB3529"/>
    <w:rsid w:val="00CD007F"/>
    <w:rsid w:val="00CF2C23"/>
    <w:rsid w:val="00D04C2F"/>
    <w:rsid w:val="00D2012B"/>
    <w:rsid w:val="00D27003"/>
    <w:rsid w:val="00D9775F"/>
    <w:rsid w:val="00DC3A2A"/>
    <w:rsid w:val="00DE1F52"/>
    <w:rsid w:val="00E74A1E"/>
    <w:rsid w:val="00F0053C"/>
    <w:rsid w:val="00F12DF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0232"/>
  <w15:docId w15:val="{9F5487A7-6E2E-4E91-BE71-88CFAD26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4A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A1E"/>
    <w:rPr>
      <w:sz w:val="20"/>
      <w:szCs w:val="20"/>
    </w:rPr>
  </w:style>
  <w:style w:type="paragraph" w:styleId="Footer">
    <w:name w:val="footer"/>
    <w:basedOn w:val="Normal"/>
    <w:link w:val="FooterChar"/>
    <w:rsid w:val="00E74A1E"/>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rsid w:val="00E74A1E"/>
    <w:rPr>
      <w:rFonts w:ascii="Times New Roman" w:eastAsia="Times New Roman" w:hAnsi="Times New Roman" w:cs="Times New Roman"/>
      <w:sz w:val="24"/>
      <w:szCs w:val="24"/>
      <w:lang w:eastAsia="hr-HR"/>
    </w:rPr>
  </w:style>
  <w:style w:type="character" w:styleId="PageNumber">
    <w:name w:val="page number"/>
    <w:basedOn w:val="DefaultParagraphFont"/>
    <w:rsid w:val="00E74A1E"/>
  </w:style>
  <w:style w:type="character" w:styleId="FootnoteReference">
    <w:name w:val="footnote reference"/>
    <w:semiHidden/>
    <w:rsid w:val="00E74A1E"/>
    <w:rPr>
      <w:rFonts w:cs="Times New Roman"/>
      <w:vertAlign w:val="superscript"/>
    </w:rPr>
  </w:style>
  <w:style w:type="paragraph" w:styleId="BalloonText">
    <w:name w:val="Balloon Text"/>
    <w:basedOn w:val="Normal"/>
    <w:link w:val="BalloonTextChar"/>
    <w:uiPriority w:val="99"/>
    <w:semiHidden/>
    <w:unhideWhenUsed/>
    <w:rsid w:val="00391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03B"/>
    <w:rPr>
      <w:rFonts w:ascii="Tahoma" w:hAnsi="Tahoma" w:cs="Tahoma"/>
      <w:sz w:val="16"/>
      <w:szCs w:val="16"/>
    </w:rPr>
  </w:style>
  <w:style w:type="paragraph" w:styleId="ListParagraph">
    <w:name w:val="List Paragraph"/>
    <w:basedOn w:val="Normal"/>
    <w:uiPriority w:val="34"/>
    <w:qFormat/>
    <w:rsid w:val="007D7B79"/>
    <w:pPr>
      <w:ind w:left="720"/>
      <w:contextualSpacing/>
    </w:pPr>
  </w:style>
  <w:style w:type="table" w:styleId="TableGrid">
    <w:name w:val="Table Grid"/>
    <w:basedOn w:val="TableNormal"/>
    <w:rsid w:val="00F0053C"/>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5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0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79480">
      <w:bodyDiv w:val="1"/>
      <w:marLeft w:val="0"/>
      <w:marRight w:val="0"/>
      <w:marTop w:val="0"/>
      <w:marBottom w:val="0"/>
      <w:divBdr>
        <w:top w:val="none" w:sz="0" w:space="0" w:color="auto"/>
        <w:left w:val="none" w:sz="0" w:space="0" w:color="auto"/>
        <w:bottom w:val="none" w:sz="0" w:space="0" w:color="auto"/>
        <w:right w:val="none" w:sz="0" w:space="0" w:color="auto"/>
      </w:divBdr>
    </w:div>
    <w:div w:id="47318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BAE45-D986-4560-A3CD-B72ED00A0FD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C5D0D4-7422-400B-B0B3-BCDBB1436ABC}">
  <ds:schemaRefs>
    <ds:schemaRef ds:uri="http://schemas.microsoft.com/sharepoint/v3/contenttype/forms"/>
  </ds:schemaRefs>
</ds:datastoreItem>
</file>

<file path=customXml/itemProps3.xml><?xml version="1.0" encoding="utf-8"?>
<ds:datastoreItem xmlns:ds="http://schemas.openxmlformats.org/officeDocument/2006/customXml" ds:itemID="{9B302DFC-0B3A-49CE-B23D-6F189D1B6EE6}">
  <ds:schemaRefs>
    <ds:schemaRef ds:uri="http://schemas.microsoft.com/sharepoint/events"/>
  </ds:schemaRefs>
</ds:datastoreItem>
</file>

<file path=customXml/itemProps4.xml><?xml version="1.0" encoding="utf-8"?>
<ds:datastoreItem xmlns:ds="http://schemas.openxmlformats.org/officeDocument/2006/customXml" ds:itemID="{08987F33-97FA-4A58-ACBA-8879B03BD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MORH</Company>
  <LinksUpToDate>false</LinksUpToDate>
  <CharactersWithSpaces>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Višnja Prebeg</dc:creator>
  <cp:lastModifiedBy>Vlatka Šelimber</cp:lastModifiedBy>
  <cp:revision>2</cp:revision>
  <cp:lastPrinted>2019-05-27T14:47:00Z</cp:lastPrinted>
  <dcterms:created xsi:type="dcterms:W3CDTF">2019-06-27T07:17:00Z</dcterms:created>
  <dcterms:modified xsi:type="dcterms:W3CDTF">2019-06-27T07:17:00Z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