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5BAD" w14:textId="77777777" w:rsidR="00E95D92" w:rsidRDefault="00E95D92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0EFDC787" w14:textId="77777777" w:rsidR="00E95D92" w:rsidRDefault="00E95D92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DC4B0D" w14:textId="77777777" w:rsidR="00E95D92" w:rsidRDefault="00E95D92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3816B9" w14:textId="77777777" w:rsidR="00E95D92" w:rsidRDefault="00E95D92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CCB1B7" w14:textId="77777777" w:rsidR="000D4440" w:rsidRPr="000D4440" w:rsidRDefault="000D4440" w:rsidP="000D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4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433E94" wp14:editId="19C4A04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4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D444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D444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7CA92B9" w14:textId="77777777" w:rsidR="000D4440" w:rsidRPr="000D4440" w:rsidRDefault="000D4440" w:rsidP="000D444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D444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16B837F" w14:textId="77777777" w:rsidR="000D4440" w:rsidRPr="000D4440" w:rsidRDefault="000D4440" w:rsidP="000D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07322" w14:textId="77777777" w:rsidR="000D4440" w:rsidRPr="000D4440" w:rsidRDefault="000D4440" w:rsidP="000D4440">
      <w:pPr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A316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B44F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Pr="000D4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0A6DAA95" w14:textId="77777777" w:rsidR="000D4440" w:rsidRPr="000D4440" w:rsidRDefault="000D4440" w:rsidP="000D44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44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E7D05F4" w14:textId="77777777" w:rsidR="000D4440" w:rsidRPr="000D4440" w:rsidRDefault="000D4440" w:rsidP="000D444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D4440" w:rsidRPr="000D4440" w:rsidSect="008343B0">
          <w:footerReference w:type="first" r:id="rId7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D4440" w:rsidRPr="000D4440" w14:paraId="7AF3CFAB" w14:textId="77777777" w:rsidTr="00E721D7">
        <w:tc>
          <w:tcPr>
            <w:tcW w:w="1951" w:type="dxa"/>
          </w:tcPr>
          <w:p w14:paraId="6D5A0E25" w14:textId="77777777" w:rsidR="000D4440" w:rsidRPr="000D4440" w:rsidRDefault="000D4440" w:rsidP="000D444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D4440">
              <w:rPr>
                <w:b/>
                <w:smallCaps/>
                <w:sz w:val="24"/>
                <w:szCs w:val="24"/>
              </w:rPr>
              <w:t>Predlagatelj</w:t>
            </w:r>
            <w:r w:rsidRPr="000D44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DD9D99" w14:textId="77777777" w:rsidR="000D4440" w:rsidRPr="000D4440" w:rsidRDefault="000D4440" w:rsidP="000D4440">
            <w:pPr>
              <w:spacing w:line="360" w:lineRule="auto"/>
              <w:rPr>
                <w:sz w:val="24"/>
                <w:szCs w:val="24"/>
              </w:rPr>
            </w:pPr>
            <w:r w:rsidRPr="000D4440">
              <w:rPr>
                <w:sz w:val="24"/>
                <w:szCs w:val="24"/>
              </w:rPr>
              <w:t>Ministarstvo mora, prometa i infrastrukture</w:t>
            </w:r>
          </w:p>
        </w:tc>
      </w:tr>
    </w:tbl>
    <w:tbl>
      <w:tblPr>
        <w:tblStyle w:val="TableGrid"/>
        <w:tblpPr w:leftFromText="180" w:rightFromText="180" w:vertAnchor="text" w:horzAnchor="margin" w:tblpY="9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D4440" w:rsidRPr="000D4440" w14:paraId="6FCD8BC1" w14:textId="77777777" w:rsidTr="000D4440">
        <w:tc>
          <w:tcPr>
            <w:tcW w:w="1951" w:type="dxa"/>
          </w:tcPr>
          <w:p w14:paraId="7672D232" w14:textId="77777777" w:rsidR="000D4440" w:rsidRPr="000D4440" w:rsidRDefault="000D4440" w:rsidP="000D4440">
            <w:pPr>
              <w:spacing w:line="360" w:lineRule="auto"/>
              <w:rPr>
                <w:sz w:val="24"/>
                <w:szCs w:val="24"/>
              </w:rPr>
            </w:pPr>
            <w:r w:rsidRPr="000D4440">
              <w:rPr>
                <w:b/>
                <w:smallCaps/>
                <w:sz w:val="24"/>
                <w:szCs w:val="24"/>
              </w:rPr>
              <w:t>Predmet</w:t>
            </w:r>
            <w:r w:rsidRPr="000D44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DF6CAC4" w14:textId="77777777" w:rsidR="000D4440" w:rsidRPr="000D4440" w:rsidRDefault="009B44FA" w:rsidP="009B44FA">
            <w:pPr>
              <w:jc w:val="both"/>
              <w:rPr>
                <w:sz w:val="24"/>
                <w:szCs w:val="24"/>
              </w:rPr>
            </w:pPr>
            <w:r w:rsidRPr="009B44FA">
              <w:rPr>
                <w:bCs/>
                <w:sz w:val="24"/>
                <w:szCs w:val="24"/>
              </w:rPr>
              <w:t>Prijedlog odluke o izmjeni i dopuni Odluke o koncesiji pomorskog dobra u svrhu izgradnje i gospodarskog korištenja luka posebne namjene: 1) "Luka nautičkog turizma - Sveta Katarina" na dijelu k.o. Pula i dijelu k.o. Štinjan; i 2) "Luka 2" na dijelu k.o. Štinjan, na lokaciji razvojnog programa Brijuni Rivijera - "otok Sv. Katarina - Monumenti" i u svrhu izgradnje i gospodarskog korištenja pomorskog dobra izvan lučkog područja</w:t>
            </w:r>
          </w:p>
        </w:tc>
      </w:tr>
    </w:tbl>
    <w:p w14:paraId="3B77610D" w14:textId="77777777" w:rsidR="000D4440" w:rsidRPr="000D4440" w:rsidRDefault="000D4440" w:rsidP="000D4440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r-HR"/>
        </w:rPr>
      </w:pPr>
      <w:r w:rsidRPr="000D444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  <w:r w:rsidRPr="000D444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r-HR"/>
        </w:rPr>
        <w:t>__</w:t>
      </w:r>
    </w:p>
    <w:p w14:paraId="6DD305F6" w14:textId="77777777" w:rsidR="000D4440" w:rsidRPr="000D4440" w:rsidRDefault="000D4440" w:rsidP="000D44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D4440" w:rsidRPr="000D444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0D444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14:paraId="5398B131" w14:textId="77777777" w:rsidR="009B44FA" w:rsidRPr="009B44FA" w:rsidRDefault="009B44FA" w:rsidP="009B4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B4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Prijedlog</w:t>
      </w:r>
    </w:p>
    <w:p w14:paraId="23D28456" w14:textId="77777777" w:rsidR="009B44FA" w:rsidRDefault="009B44FA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2BA16B" w14:textId="77777777" w:rsidR="009B44FA" w:rsidRDefault="009B44FA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DC7F54" w14:textId="77777777" w:rsidR="009B44FA" w:rsidRDefault="009B44FA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0DA438" w14:textId="77777777" w:rsidR="009B44FA" w:rsidRDefault="009B44FA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619EA3" w14:textId="77777777" w:rsidR="00ED6138" w:rsidRPr="00ED6138" w:rsidRDefault="00ED6138" w:rsidP="009B44F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61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80. stavka 4. podstavka 2. Zakona o pom</w:t>
      </w:r>
      <w:r w:rsidR="009B44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orskom dobru i morskim lukama (Narodne novine</w:t>
      </w:r>
      <w:r w:rsidRPr="00ED61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158/03, 100/04, 141/06, 38/09, 123/11 – Odluka Ustavnog s</w:t>
      </w:r>
      <w:r w:rsidR="000F66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uda Republike Hrvatske i 56/16)</w:t>
      </w:r>
      <w:r w:rsidR="009B44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D61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Vlada Republike Hrvatske je na sjednici održanoj _____________ 2019. godine donijela</w:t>
      </w:r>
    </w:p>
    <w:p w14:paraId="520F7FB9" w14:textId="77777777" w:rsidR="00ED6138" w:rsidRPr="00ED6138" w:rsidRDefault="00ED6138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A3B200" w14:textId="77777777" w:rsidR="00ED6138" w:rsidRPr="00ED6138" w:rsidRDefault="00ED6138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F08304" w14:textId="77777777" w:rsidR="00ED6138" w:rsidRDefault="006F7495" w:rsidP="009B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9B4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</w:t>
      </w:r>
      <w:r w:rsidR="009B4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</w:t>
      </w:r>
      <w:r w:rsidR="009B4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9B4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</w:t>
      </w:r>
      <w:r w:rsidR="009B4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</w:p>
    <w:p w14:paraId="2EDF0234" w14:textId="77777777" w:rsidR="009B44FA" w:rsidRDefault="009B44FA" w:rsidP="009B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643EE3" w14:textId="77777777" w:rsidR="009B44FA" w:rsidRDefault="009B44FA" w:rsidP="009B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B4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izmjeni i dopuni Odluke o koncesiji pomorskog dobra u svrhu izgradnje i gospodarskog korištenja luka posebne namjene: 1) "Luka nautičkog turizma - Sveta Katarina" na dijelu k.o. Pula i dijelu k.o. Štinjan; i 2) "Luka 2" na dijelu k.o. Štinjan, na lokaciji razvojnog programa Brijuni Rivijera - "otok Sv. Katarina - Monumenti" i u svrhu izgradnje i gospodarskog korištenja pomorskog dobra izvan lučkog područja</w:t>
      </w:r>
    </w:p>
    <w:p w14:paraId="6CCD5491" w14:textId="77777777" w:rsidR="009B44FA" w:rsidRPr="00ED6138" w:rsidRDefault="009B44FA" w:rsidP="009B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32312B" w14:textId="77777777" w:rsidR="00ED6138" w:rsidRPr="00ED6138" w:rsidRDefault="00ED6138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950714" w14:textId="77777777" w:rsidR="00ED6138" w:rsidRPr="00ED6138" w:rsidRDefault="00ED6138" w:rsidP="0030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D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</w:t>
      </w:r>
    </w:p>
    <w:p w14:paraId="0C3D568C" w14:textId="77777777" w:rsidR="00ED6138" w:rsidRPr="00ED6138" w:rsidRDefault="00ED6138" w:rsidP="0030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2DE8E4" w14:textId="77777777" w:rsidR="00460576" w:rsidRDefault="009B44FA" w:rsidP="009B44F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ED6138" w:rsidRPr="00ED61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koncesiji pomorskog dobra u svrhu izgradnje i gospodarskog korištenja luka posebne namjene: 1) „Luka nautičkog turizma – Sveta Katarina“ na dijelu k.o. Pula i dijelu k.o. Štinjan; i 2) „Luka 2“ na dijelu k.o. Štinjan, na lokaciji razvojnog programa Brijuni Rivijera – „otok Sv. Katarina – Monumenti“ i u svrhu izgradnje i gospodarskog korištenja pomorskog dobra izvan lučkog područja (Narodne novine, br. 44/12, 40/15, 119/15</w:t>
      </w:r>
      <w:r w:rsidR="00904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88/16) </w:t>
      </w:r>
      <w:r w:rsidR="002A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772B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2A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F0D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</w:t>
      </w:r>
      <w:r w:rsidR="002A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tekstu: Odluka o koncesiji)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A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02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točk</w:t>
      </w:r>
      <w:r w:rsidR="00ED6138" w:rsidRPr="00ED61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04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II</w:t>
      </w:r>
      <w:r w:rsidR="00460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04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60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stavak 3. mijenja se i glasi:</w:t>
      </w:r>
    </w:p>
    <w:p w14:paraId="044C36DE" w14:textId="77777777" w:rsidR="00460576" w:rsidRDefault="00460576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E1936C" w14:textId="77777777" w:rsidR="005B326C" w:rsidRDefault="00460576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„Ovlaštenik koncesije ovlašten je i dužan do 31. prosinca 2021. godine </w:t>
      </w:r>
      <w:r w:rsidR="005B3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dovršiti izgradnju i predati Davatelju koncesije uporabnu dozvolu za pomorsk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dobro iz točke II. stav</w:t>
      </w:r>
      <w:r w:rsidR="009B44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 1.</w:t>
      </w:r>
      <w:r w:rsidR="008A1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3.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34E2B" w:rsidRPr="00A34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 o koncesiji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A1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</w:t>
      </w:r>
      <w:r w:rsidR="005B3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pomors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 dobro iz točke II. stavka 2. Odluke</w:t>
      </w:r>
      <w:r w:rsidR="000F6670" w:rsidRPr="000F6670">
        <w:t xml:space="preserve"> </w:t>
      </w:r>
      <w:r w:rsidR="000F6670" w:rsidRPr="000F66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koncesiji </w:t>
      </w:r>
      <w:r w:rsidR="005B3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dovršetak izgradnje i predaju upor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abne dozvole počinje teći danom</w:t>
      </w:r>
      <w:r w:rsidR="00E855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</w:t>
      </w:r>
      <w:r w:rsidR="00D76E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nja </w:t>
      </w:r>
      <w:r w:rsidR="00E855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ovlaštenik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855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koncesije </w:t>
      </w:r>
      <w:r w:rsidR="005C4E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E855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posjed</w:t>
      </w:r>
      <w:r w:rsidR="008A1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.“</w:t>
      </w:r>
      <w:r w:rsidR="00204E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AE19FF4" w14:textId="77777777" w:rsidR="005B326C" w:rsidRDefault="005B326C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C22815" w14:textId="77777777" w:rsidR="005F575A" w:rsidRDefault="005F575A" w:rsidP="005F575A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</w:t>
      </w:r>
    </w:p>
    <w:p w14:paraId="3F88A2AB" w14:textId="77777777" w:rsidR="005F575A" w:rsidRDefault="005F575A" w:rsidP="005F575A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7D54978" w14:textId="77777777" w:rsidR="005F575A" w:rsidRDefault="00204EA5" w:rsidP="00204E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5F575A" w:rsidRPr="00A34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toč</w:t>
      </w:r>
      <w:r w:rsidR="000802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5F575A" w:rsidRPr="00A34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VI. </w:t>
      </w:r>
      <w:r w:rsidR="00A34E2B" w:rsidRPr="00A34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Odluke o koncesiji </w:t>
      </w:r>
      <w:r w:rsidR="002A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dodaje se novi stavak 4</w:t>
      </w:r>
      <w:r w:rsidR="00A34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koji glasi: </w:t>
      </w:r>
    </w:p>
    <w:p w14:paraId="4C706825" w14:textId="77777777" w:rsidR="00A34E2B" w:rsidRDefault="00A34E2B" w:rsidP="005F575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582E7C" w14:textId="77777777" w:rsidR="00A34E2B" w:rsidRDefault="00A34E2B" w:rsidP="00A34E2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34E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Stalni dio koncesijske naknade usklađivat će se svake tri godine na dan 1. siječnja četvrte godine i primjenjivati od 1. siječnja iste godine. Naknada će se usklađivati prema formuli:</w:t>
      </w:r>
    </w:p>
    <w:p w14:paraId="44FBF2C2" w14:textId="77777777" w:rsidR="00204EA5" w:rsidRPr="00A34E2B" w:rsidRDefault="00204EA5" w:rsidP="00A34E2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09CE0A9" w14:textId="77777777" w:rsidR="00A34E2B" w:rsidRPr="00A34E2B" w:rsidRDefault="00A34E2B" w:rsidP="00A34E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34E2B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354547AB" wp14:editId="3DDB32AE">
            <wp:extent cx="1900555" cy="572770"/>
            <wp:effectExtent l="0" t="0" r="4445" b="0"/>
            <wp:docPr id="2" name="Picture 2" descr="https://narodne-novine.nn.hr/files/_web/sluzbeni-dio/2017/129985/images/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rodne-novine.nn.hr/files/_web/sluzbeni-dio/2017/129985/images/2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6140" w14:textId="77777777" w:rsidR="00A34E2B" w:rsidRPr="00A34E2B" w:rsidRDefault="00A34E2B" w:rsidP="00A34E2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96B463" w14:textId="77777777" w:rsidR="00A34E2B" w:rsidRPr="00A34E2B" w:rsidRDefault="00A34E2B" w:rsidP="00026998">
      <w:pPr>
        <w:spacing w:after="48" w:line="240" w:lineRule="auto"/>
        <w:ind w:left="426" w:hanging="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 = faktor za usklađivanje stalnog i promjenjivog dijela koncesijske naknade za svaki trogodišnji period koji slijedi nakon zaključenja ugovora o koncesiji</w:t>
      </w:r>
    </w:p>
    <w:p w14:paraId="6892EF3D" w14:textId="77777777" w:rsidR="00A34E2B" w:rsidRPr="00A34E2B" w:rsidRDefault="00A34E2B" w:rsidP="00A34E2B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1</w:t>
      </w: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= stopa inflacije prve godine trogodišnjeg perioda</w:t>
      </w:r>
    </w:p>
    <w:p w14:paraId="67F0D69E" w14:textId="77777777" w:rsidR="00A34E2B" w:rsidRPr="00A34E2B" w:rsidRDefault="00A34E2B" w:rsidP="00A34E2B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</w:t>
      </w: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2</w:t>
      </w: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= stopa inflacije druge godine trogodišnjeg perioda</w:t>
      </w:r>
    </w:p>
    <w:p w14:paraId="1D6654FA" w14:textId="77777777" w:rsidR="00A34E2B" w:rsidRPr="00A34E2B" w:rsidRDefault="00A34E2B" w:rsidP="00A34E2B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</w:t>
      </w: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vertAlign w:val="subscript"/>
          <w:lang w:eastAsia="hr-HR"/>
        </w:rPr>
        <w:t>3</w:t>
      </w:r>
      <w:r w:rsidRPr="00A34E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= stopa inflacije treće godine trogodišnjeg perioda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02699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9D6ABAC" w14:textId="77777777" w:rsidR="00A34E2B" w:rsidRPr="00A34E2B" w:rsidRDefault="00A34E2B" w:rsidP="005F575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84CFCF" w14:textId="77777777" w:rsidR="005B326C" w:rsidRDefault="005B326C" w:rsidP="00306AE9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B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 w:rsidR="00A34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5B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1250872" w14:textId="77777777" w:rsidR="008A1318" w:rsidRDefault="008A1318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C1EBDC" w14:textId="77777777" w:rsidR="008426A6" w:rsidRDefault="00204EA5" w:rsidP="00204E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8A1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Prava i obveze iz koncesije u svrhu izgradnje i gospodarskog korištenja pomorsko</w:t>
      </w:r>
      <w:r w:rsidR="00DF16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 dobra  iz točke II. stavka 2. </w:t>
      </w:r>
      <w:r w:rsidR="000F66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r w:rsidR="000F6670" w:rsidRPr="000F6670">
        <w:t xml:space="preserve"> </w:t>
      </w:r>
      <w:r w:rsidR="000F6670" w:rsidRPr="000F66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koncesiji </w:t>
      </w:r>
      <w:r w:rsidR="008A13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miruju</w:t>
      </w:r>
      <w:r w:rsidR="00DF16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dana stupanja Ovlaštenika koncesije u posjed</w:t>
      </w:r>
      <w:r w:rsid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E8226E0" w14:textId="77777777" w:rsidR="008426A6" w:rsidRDefault="008426A6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1A0B95" w14:textId="77777777" w:rsidR="008426A6" w:rsidRDefault="00204EA5" w:rsidP="00204E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 stupanja Ovlaštenika koncesije u posjed utvrdit će Ovlaštenik koncesije i Davatelj koncesije Primopredajnim zapisnikom.</w:t>
      </w:r>
    </w:p>
    <w:p w14:paraId="2C3B336A" w14:textId="77777777" w:rsidR="008426A6" w:rsidRDefault="008426A6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302CA4" w14:textId="77777777" w:rsidR="00417C09" w:rsidRDefault="00204EA5" w:rsidP="00204E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8426A6" w:rsidRP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ove Odluke ovlašćuje se ministar </w:t>
      </w:r>
      <w:r w:rsid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</w:t>
      </w:r>
      <w:r w:rsidR="008426A6" w:rsidRP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prometa i infrastrukture da sklopi </w:t>
      </w:r>
      <w:r w:rsid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dodatak </w:t>
      </w:r>
      <w:r w:rsidR="008426A6" w:rsidRP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</w:t>
      </w:r>
      <w:r w:rsidR="00417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8426A6" w:rsidRP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koncesiji </w:t>
      </w:r>
      <w:r w:rsidR="00417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8426A6" w:rsidRP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pomorsko dobr</w:t>
      </w:r>
      <w:r w:rsidR="00417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426A6" w:rsidRP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točke II. </w:t>
      </w:r>
      <w:r w:rsidR="008426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 w:rsidR="000F6670" w:rsidRPr="000F66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Odluke o koncesiji </w:t>
      </w:r>
      <w:r w:rsidR="00417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od 90 dana od dana potpisa Primopredajnog zapisnika.</w:t>
      </w:r>
    </w:p>
    <w:p w14:paraId="312D8631" w14:textId="77777777" w:rsidR="00417C09" w:rsidRDefault="00417C09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81CDF5" w14:textId="77777777" w:rsidR="003F1173" w:rsidRDefault="00204EA5" w:rsidP="00204E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F11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Ovlaštenik koncesije je dužan u roku od 24 mje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seca od dana sklapanja dodatka u</w:t>
      </w:r>
      <w:r w:rsidR="003F11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govoru o koncesiji iz stavka 3. ove točke dovršiti izgradnju i predati uporabnu dozvolu za </w:t>
      </w:r>
      <w:r w:rsidR="003F1173" w:rsidRPr="003B2A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pomorsko dobro iz točke II. stavka 2. Odluke o koncesiji</w:t>
      </w:r>
      <w:r w:rsidR="003F11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0C706C6" w14:textId="77777777" w:rsidR="003F1173" w:rsidRDefault="003F1173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5B9A72" w14:textId="77777777" w:rsidR="00417C09" w:rsidRDefault="00417C09" w:rsidP="00204EA5">
      <w:pPr>
        <w:pStyle w:val="box459805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>
        <w:rPr>
          <w:color w:val="231F20"/>
        </w:rPr>
        <w:t>Ovlaštenik koncesije dužan je prije sklapanja dodatka</w:t>
      </w:r>
      <w:r w:rsidR="00026998">
        <w:rPr>
          <w:color w:val="231F20"/>
        </w:rPr>
        <w:t xml:space="preserve"> U</w:t>
      </w:r>
      <w:r w:rsidR="00747671">
        <w:rPr>
          <w:color w:val="231F20"/>
        </w:rPr>
        <w:t>govoru o koncesiji iz stavka 3</w:t>
      </w:r>
      <w:r>
        <w:rPr>
          <w:color w:val="231F20"/>
        </w:rPr>
        <w:t xml:space="preserve">. ove točke Davatelju koncesije dostaviti garanciju banke radi dobrog izvršenja posla u korist </w:t>
      </w:r>
      <w:r w:rsidRPr="00BF6774">
        <w:t xml:space="preserve">Republike Hrvatske – Ministarstva mora, prometa i infrastrukture, na iznos od </w:t>
      </w:r>
      <w:r w:rsidR="00A557B1" w:rsidRPr="00A557B1">
        <w:t xml:space="preserve">4.117.112,90 </w:t>
      </w:r>
      <w:r w:rsidRPr="00BF6774">
        <w:t xml:space="preserve">kuna, a što je 5 % od ukupne vrijednosti investicije u pomorsko dobro iz točke II. stavka 2. ove Odluke, a koja iznosi </w:t>
      </w:r>
      <w:r w:rsidR="00CB5738">
        <w:t xml:space="preserve">82.342.258,00 </w:t>
      </w:r>
      <w:r w:rsidRPr="00BF6774">
        <w:t xml:space="preserve">kuna, s rokom važenja garancije do šest mjeseci od završetka planiranog investicijskog ciklusa, a koja garancija je bezuvjetna, bez prigovora i </w:t>
      </w:r>
      <w:r>
        <w:rPr>
          <w:color w:val="231F20"/>
        </w:rPr>
        <w:t>naplativa na prvi poziv.</w:t>
      </w:r>
    </w:p>
    <w:p w14:paraId="6B40C9F3" w14:textId="77777777" w:rsidR="00417C09" w:rsidRDefault="00417C09" w:rsidP="00306AE9">
      <w:pPr>
        <w:pStyle w:val="box45980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F905482" w14:textId="77777777" w:rsidR="00417C09" w:rsidRDefault="00417C09" w:rsidP="00204EA5">
      <w:pPr>
        <w:pStyle w:val="box459805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>
        <w:rPr>
          <w:color w:val="231F20"/>
        </w:rPr>
        <w:t xml:space="preserve">Ovlaštenik koncesije dužan je prije sklapanja </w:t>
      </w:r>
      <w:r w:rsidRPr="00417C09">
        <w:rPr>
          <w:color w:val="231F20"/>
        </w:rPr>
        <w:t>dodatka</w:t>
      </w:r>
      <w:r w:rsidR="00026998">
        <w:rPr>
          <w:color w:val="231F20"/>
        </w:rPr>
        <w:t xml:space="preserve"> U</w:t>
      </w:r>
      <w:r w:rsidR="00747671">
        <w:rPr>
          <w:color w:val="231F20"/>
        </w:rPr>
        <w:t>govoru o koncesiji iz stavka 3</w:t>
      </w:r>
      <w:r w:rsidRPr="00417C09">
        <w:rPr>
          <w:color w:val="231F20"/>
        </w:rPr>
        <w:t>. ove točke</w:t>
      </w:r>
      <w:r>
        <w:rPr>
          <w:color w:val="231F20"/>
        </w:rPr>
        <w:t xml:space="preserve"> Davatelju koncesije dostaviti ovjerene zadužnice na iznos od dvije godišnje naknade za stalni dio koncesijske naknade za pomorsko dobro iz točke II. stavka 2. </w:t>
      </w:r>
      <w:r w:rsidR="000F6670" w:rsidRPr="000F6670">
        <w:rPr>
          <w:color w:val="231F20"/>
        </w:rPr>
        <w:t>Odluke o koncesiji</w:t>
      </w:r>
      <w:r w:rsidR="00747671">
        <w:rPr>
          <w:color w:val="231F20"/>
        </w:rPr>
        <w:t>,</w:t>
      </w:r>
      <w:r>
        <w:rPr>
          <w:color w:val="231F20"/>
        </w:rPr>
        <w:t xml:space="preserve"> kao instrumente osiguranja naplate naknade za koncesiju, te za naknadu štete koja može nasta</w:t>
      </w:r>
      <w:r w:rsidR="00026998">
        <w:rPr>
          <w:color w:val="231F20"/>
        </w:rPr>
        <w:t>ti zbog neispunjenja obveza iz U</w:t>
      </w:r>
      <w:r>
        <w:rPr>
          <w:color w:val="231F20"/>
        </w:rPr>
        <w:t>govora</w:t>
      </w:r>
      <w:r w:rsidR="00026998">
        <w:rPr>
          <w:color w:val="231F20"/>
        </w:rPr>
        <w:t xml:space="preserve"> o koncesiji</w:t>
      </w:r>
      <w:r>
        <w:rPr>
          <w:color w:val="231F20"/>
        </w:rPr>
        <w:t>.</w:t>
      </w:r>
    </w:p>
    <w:p w14:paraId="4F06C1FD" w14:textId="77777777" w:rsidR="00747671" w:rsidRDefault="00747671" w:rsidP="00306AE9">
      <w:pPr>
        <w:pStyle w:val="box45980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14CDAAE" w14:textId="77777777" w:rsidR="00417C09" w:rsidRDefault="00417C09" w:rsidP="002E5AA1">
      <w:pPr>
        <w:pStyle w:val="box459805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>
        <w:rPr>
          <w:color w:val="231F20"/>
        </w:rPr>
        <w:t>Ako Ovlaštenik koncesije ne dos</w:t>
      </w:r>
      <w:r w:rsidR="003F1173">
        <w:rPr>
          <w:color w:val="231F20"/>
        </w:rPr>
        <w:t>tavi garanciju banke iz stavka 5</w:t>
      </w:r>
      <w:r>
        <w:rPr>
          <w:color w:val="231F20"/>
        </w:rPr>
        <w:t xml:space="preserve">. ove točke </w:t>
      </w:r>
      <w:r w:rsidR="003F1173">
        <w:rPr>
          <w:color w:val="231F20"/>
        </w:rPr>
        <w:t>i ovjerene zadužnice iz stavka 6</w:t>
      </w:r>
      <w:r>
        <w:rPr>
          <w:color w:val="231F20"/>
        </w:rPr>
        <w:t xml:space="preserve">. ove točke neće se </w:t>
      </w:r>
      <w:r w:rsidR="00E95D92">
        <w:rPr>
          <w:color w:val="231F20"/>
        </w:rPr>
        <w:t>sklopiti dodatak</w:t>
      </w:r>
      <w:r w:rsidR="00026998">
        <w:rPr>
          <w:color w:val="231F20"/>
        </w:rPr>
        <w:t xml:space="preserve"> U</w:t>
      </w:r>
      <w:r w:rsidR="00747671" w:rsidRPr="00747671">
        <w:rPr>
          <w:color w:val="231F20"/>
        </w:rPr>
        <w:t>govoru o koncesiji iz stavka 3. ove točke</w:t>
      </w:r>
      <w:r>
        <w:rPr>
          <w:color w:val="231F20"/>
        </w:rPr>
        <w:t xml:space="preserve">, te Ovlaštenik koncesije </w:t>
      </w:r>
      <w:r w:rsidRPr="00E95D92">
        <w:t xml:space="preserve">gubi sva prava </w:t>
      </w:r>
      <w:r w:rsidR="00E95D92">
        <w:t>na pomorsko dobro iz točke II. stavka 2</w:t>
      </w:r>
      <w:r w:rsidR="000F6670">
        <w:t xml:space="preserve">. </w:t>
      </w:r>
      <w:r w:rsidR="000F6670">
        <w:rPr>
          <w:color w:val="000000"/>
        </w:rPr>
        <w:t>Odluke</w:t>
      </w:r>
      <w:r w:rsidR="000F6670" w:rsidRPr="000F6670">
        <w:t xml:space="preserve"> </w:t>
      </w:r>
      <w:r w:rsidR="000F6670" w:rsidRPr="000F6670">
        <w:rPr>
          <w:color w:val="000000"/>
        </w:rPr>
        <w:t xml:space="preserve">o koncesiji </w:t>
      </w:r>
      <w:r w:rsidRPr="00E95D92">
        <w:t>utvrđena ovom Odlukom</w:t>
      </w:r>
      <w:r>
        <w:rPr>
          <w:color w:val="231F20"/>
        </w:rPr>
        <w:t>.</w:t>
      </w:r>
    </w:p>
    <w:p w14:paraId="0C6E21E7" w14:textId="77777777" w:rsidR="00EB559F" w:rsidRDefault="00EB559F" w:rsidP="00204EA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817427A" w14:textId="77777777" w:rsidR="00DF16B6" w:rsidRPr="00747671" w:rsidRDefault="00A34E2B" w:rsidP="00204EA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</w:t>
      </w:r>
      <w:r w:rsidR="00747671" w:rsidRPr="00747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2F5E3EED" w14:textId="77777777" w:rsidR="004747A1" w:rsidRDefault="004747A1" w:rsidP="00204EA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0E6A2" w14:textId="77777777" w:rsidR="00747671" w:rsidRDefault="00747671" w:rsidP="002E5AA1">
      <w:pPr>
        <w:pStyle w:val="box459805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>
        <w:rPr>
          <w:color w:val="231F20"/>
        </w:rPr>
        <w:t xml:space="preserve">Zadužuje se Ovlaštenik koncesije Davatelju koncesije dostaviti garanciju banke radi dobrog izvršenja posla u korist Republike Hrvatske – Ministarstva mora, prometa i infrastrukture, na iznos od </w:t>
      </w:r>
      <w:r w:rsidR="00BF6774" w:rsidRPr="00BF6774">
        <w:rPr>
          <w:color w:val="000000" w:themeColor="text1"/>
        </w:rPr>
        <w:t xml:space="preserve">6.956.348,36 </w:t>
      </w:r>
      <w:r w:rsidRPr="00BF6774">
        <w:rPr>
          <w:color w:val="000000" w:themeColor="text1"/>
        </w:rPr>
        <w:t>kuna</w:t>
      </w:r>
      <w:r>
        <w:rPr>
          <w:color w:val="231F20"/>
        </w:rPr>
        <w:t>, a što je 5 % od ukupne vrijednosti investicije u pomorsko dobro iz točke II. stav</w:t>
      </w:r>
      <w:r w:rsidR="002E5AA1">
        <w:rPr>
          <w:color w:val="231F20"/>
        </w:rPr>
        <w:t>a</w:t>
      </w:r>
      <w:r>
        <w:rPr>
          <w:color w:val="231F20"/>
        </w:rPr>
        <w:t xml:space="preserve">ka 1. i 3. </w:t>
      </w:r>
      <w:r w:rsidR="000F6670" w:rsidRPr="000F6670">
        <w:rPr>
          <w:color w:val="231F20"/>
        </w:rPr>
        <w:t>Odluke o koncesiji</w:t>
      </w:r>
      <w:r>
        <w:rPr>
          <w:color w:val="231F20"/>
        </w:rPr>
        <w:t xml:space="preserve">, a koja </w:t>
      </w:r>
      <w:r w:rsidRPr="00CB5738">
        <w:t xml:space="preserve">iznosi </w:t>
      </w:r>
      <w:r w:rsidR="00CB5738" w:rsidRPr="00CB5738">
        <w:t xml:space="preserve">139.126.967,20 </w:t>
      </w:r>
      <w:r w:rsidRPr="00CB5738">
        <w:t xml:space="preserve">kuna, s rokom važenja garancije do 30. lipnja 2022. godine, a koja garancija je bezuvjetna, bez prigovora </w:t>
      </w:r>
      <w:r>
        <w:rPr>
          <w:color w:val="231F20"/>
        </w:rPr>
        <w:t>i naplativa na prvi poziv.</w:t>
      </w:r>
    </w:p>
    <w:p w14:paraId="30BCBB34" w14:textId="77777777" w:rsidR="00747671" w:rsidRDefault="00747671" w:rsidP="00306AE9">
      <w:pPr>
        <w:pStyle w:val="box45980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3669860" w14:textId="77777777" w:rsidR="00747671" w:rsidRDefault="00747671" w:rsidP="002E5AA1">
      <w:pPr>
        <w:pStyle w:val="box459805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>
        <w:rPr>
          <w:color w:val="231F20"/>
        </w:rPr>
        <w:t xml:space="preserve">Zadužuje se Ovlaštenik koncesije Davatelju koncesije dostaviti ovjerene zadužnice na iznos od dvije godišnje naknade za stalni dio koncesijske naknade za pomorsko </w:t>
      </w:r>
      <w:r>
        <w:rPr>
          <w:color w:val="231F20"/>
        </w:rPr>
        <w:lastRenderedPageBreak/>
        <w:t>dobro iz točke II. stav</w:t>
      </w:r>
      <w:r w:rsidR="002E5AA1">
        <w:rPr>
          <w:color w:val="231F20"/>
        </w:rPr>
        <w:t>a</w:t>
      </w:r>
      <w:r>
        <w:rPr>
          <w:color w:val="231F20"/>
        </w:rPr>
        <w:t xml:space="preserve">ka 1. i 3. </w:t>
      </w:r>
      <w:r w:rsidR="000F6670" w:rsidRPr="000F6670">
        <w:rPr>
          <w:color w:val="231F20"/>
        </w:rPr>
        <w:t>Odluke o koncesiji</w:t>
      </w:r>
      <w:r>
        <w:rPr>
          <w:color w:val="231F20"/>
        </w:rPr>
        <w:t>, kao instrumente osiguranja naplate naknade za koncesiju, te za naknadu štete koja može nasta</w:t>
      </w:r>
      <w:r w:rsidR="00026998">
        <w:rPr>
          <w:color w:val="231F20"/>
        </w:rPr>
        <w:t>ti zbog neispunjenja obveza iz U</w:t>
      </w:r>
      <w:r>
        <w:rPr>
          <w:color w:val="231F20"/>
        </w:rPr>
        <w:t>govora</w:t>
      </w:r>
      <w:r w:rsidR="00026998">
        <w:rPr>
          <w:color w:val="231F20"/>
        </w:rPr>
        <w:t xml:space="preserve"> o koncesiji</w:t>
      </w:r>
      <w:r>
        <w:rPr>
          <w:color w:val="231F20"/>
        </w:rPr>
        <w:t>.</w:t>
      </w:r>
    </w:p>
    <w:p w14:paraId="21F07697" w14:textId="77777777" w:rsidR="00747671" w:rsidRDefault="00747671" w:rsidP="00306AE9">
      <w:pPr>
        <w:pStyle w:val="box45980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1023EEC" w14:textId="77777777" w:rsidR="00747671" w:rsidRDefault="00747671" w:rsidP="002E5AA1">
      <w:pPr>
        <w:pStyle w:val="box459805"/>
        <w:shd w:val="clear" w:color="auto" w:fill="FFFFFF"/>
        <w:spacing w:before="0" w:beforeAutospacing="0" w:after="0" w:afterAutospacing="0"/>
        <w:ind w:firstLine="1416"/>
        <w:jc w:val="both"/>
        <w:textAlignment w:val="baseline"/>
      </w:pPr>
      <w:r>
        <w:rPr>
          <w:color w:val="231F20"/>
        </w:rPr>
        <w:t>Ako Ovlaštenik koncesije ne dostavi garanciju banke iz stavka 1. ove točke i ovjerene zadužnice iz stavka 2. ove točke neće se</w:t>
      </w:r>
      <w:r w:rsidR="00E95D92">
        <w:rPr>
          <w:color w:val="231F20"/>
        </w:rPr>
        <w:t xml:space="preserve"> sklopiti</w:t>
      </w:r>
      <w:r>
        <w:rPr>
          <w:color w:val="231F20"/>
        </w:rPr>
        <w:t xml:space="preserve"> </w:t>
      </w:r>
      <w:r w:rsidR="00E95D92">
        <w:rPr>
          <w:color w:val="231F20"/>
        </w:rPr>
        <w:t>dodat</w:t>
      </w:r>
      <w:r w:rsidRPr="00747671">
        <w:rPr>
          <w:color w:val="231F20"/>
        </w:rPr>
        <w:t>a</w:t>
      </w:r>
      <w:r w:rsidR="00E95D92">
        <w:rPr>
          <w:color w:val="231F20"/>
        </w:rPr>
        <w:t>k</w:t>
      </w:r>
      <w:r w:rsidR="003F1173">
        <w:rPr>
          <w:color w:val="231F20"/>
        </w:rPr>
        <w:t xml:space="preserve"> </w:t>
      </w:r>
      <w:r w:rsidR="00026998">
        <w:rPr>
          <w:color w:val="231F20"/>
        </w:rPr>
        <w:t>U</w:t>
      </w:r>
      <w:r w:rsidR="004F0DCB">
        <w:rPr>
          <w:color w:val="231F20"/>
        </w:rPr>
        <w:t xml:space="preserve">govoru o koncesiji iz stavka </w:t>
      </w:r>
      <w:r w:rsidR="002E5AA1">
        <w:rPr>
          <w:color w:val="231F20"/>
        </w:rPr>
        <w:t>4</w:t>
      </w:r>
      <w:r w:rsidR="004F0DCB">
        <w:rPr>
          <w:color w:val="231F20"/>
        </w:rPr>
        <w:t>. ove točke</w:t>
      </w:r>
      <w:r>
        <w:rPr>
          <w:color w:val="231F20"/>
        </w:rPr>
        <w:t xml:space="preserve">, te Ovlaštenik koncesije </w:t>
      </w:r>
      <w:r w:rsidRPr="00747671">
        <w:t>gubi sva prava utvrđena</w:t>
      </w:r>
      <w:r w:rsidR="004F0DCB">
        <w:t xml:space="preserve"> ovom</w:t>
      </w:r>
      <w:r w:rsidRPr="00747671">
        <w:t xml:space="preserve"> Odlukom.</w:t>
      </w:r>
    </w:p>
    <w:p w14:paraId="6E34A2D2" w14:textId="77777777" w:rsidR="00306AE9" w:rsidRDefault="00306AE9" w:rsidP="00306AE9">
      <w:pPr>
        <w:pStyle w:val="box45980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457503E" w14:textId="77777777" w:rsidR="00747671" w:rsidRDefault="00747671" w:rsidP="002E5AA1">
      <w:pPr>
        <w:pStyle w:val="box459907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>
        <w:rPr>
          <w:color w:val="231F20"/>
        </w:rPr>
        <w:t>Na temelju ove Odluke ovlašćuje se ministar mora, prometa i in</w:t>
      </w:r>
      <w:r w:rsidR="00026998">
        <w:rPr>
          <w:color w:val="231F20"/>
        </w:rPr>
        <w:t>frastrukture da sklopi dodatak U</w:t>
      </w:r>
      <w:r>
        <w:rPr>
          <w:color w:val="231F20"/>
        </w:rPr>
        <w:t xml:space="preserve">govoru o koncesiji </w:t>
      </w:r>
      <w:r w:rsidR="006156D5" w:rsidRPr="006156D5">
        <w:rPr>
          <w:color w:val="231F20"/>
        </w:rPr>
        <w:t>za pomorsko dobro iz točke II. stav</w:t>
      </w:r>
      <w:r w:rsidR="002E5AA1">
        <w:rPr>
          <w:color w:val="231F20"/>
        </w:rPr>
        <w:t>a</w:t>
      </w:r>
      <w:r w:rsidR="006156D5" w:rsidRPr="006156D5">
        <w:rPr>
          <w:color w:val="231F20"/>
        </w:rPr>
        <w:t xml:space="preserve">ka 1. i 3. Odluke o koncesiji u roku </w:t>
      </w:r>
      <w:r>
        <w:rPr>
          <w:color w:val="231F20"/>
        </w:rPr>
        <w:t>od 90 da</w:t>
      </w:r>
      <w:r w:rsidR="002E5AA1">
        <w:rPr>
          <w:color w:val="231F20"/>
        </w:rPr>
        <w:t xml:space="preserve">na od dana objave ove Odluke u </w:t>
      </w:r>
      <w:r w:rsidR="007835B8">
        <w:rPr>
          <w:color w:val="231F20"/>
        </w:rPr>
        <w:t>Narodnim novinama</w:t>
      </w:r>
      <w:r>
        <w:rPr>
          <w:color w:val="231F20"/>
        </w:rPr>
        <w:t>.</w:t>
      </w:r>
    </w:p>
    <w:p w14:paraId="54AE4166" w14:textId="77777777" w:rsidR="004747A1" w:rsidRDefault="004747A1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0FCF08" w14:textId="77777777" w:rsidR="007835B8" w:rsidRPr="00306AE9" w:rsidRDefault="007835B8" w:rsidP="00306AE9">
      <w:pPr>
        <w:pStyle w:val="box45990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306AE9">
        <w:rPr>
          <w:b/>
          <w:color w:val="231F20"/>
        </w:rPr>
        <w:t>V.</w:t>
      </w:r>
    </w:p>
    <w:p w14:paraId="45862BBD" w14:textId="77777777" w:rsidR="007835B8" w:rsidRDefault="007835B8" w:rsidP="00306AE9">
      <w:pPr>
        <w:pStyle w:val="box45990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748D697" w14:textId="77777777" w:rsidR="007835B8" w:rsidRDefault="007835B8" w:rsidP="002E5AA1">
      <w:pPr>
        <w:pStyle w:val="box459907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>
        <w:rPr>
          <w:color w:val="231F20"/>
        </w:rPr>
        <w:t>Ova Odluka stupa na snagu dano</w:t>
      </w:r>
      <w:r w:rsidR="002E5AA1">
        <w:rPr>
          <w:color w:val="231F20"/>
        </w:rPr>
        <w:t>m donošenja, a objavit će se u Narodnim novinama</w:t>
      </w:r>
      <w:r>
        <w:rPr>
          <w:color w:val="231F20"/>
        </w:rPr>
        <w:t>.</w:t>
      </w:r>
    </w:p>
    <w:p w14:paraId="505D2C08" w14:textId="77777777" w:rsidR="007835B8" w:rsidRDefault="007835B8" w:rsidP="00306AE9">
      <w:pPr>
        <w:pStyle w:val="box45990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16F0C32" w14:textId="77777777" w:rsidR="007835B8" w:rsidRDefault="007835B8" w:rsidP="00306AE9">
      <w:pPr>
        <w:pStyle w:val="box45990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C33931C" w14:textId="77777777" w:rsidR="007835B8" w:rsidRDefault="007835B8" w:rsidP="00306AE9">
      <w:pPr>
        <w:pStyle w:val="box45990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219F74D0" w14:textId="77777777" w:rsidR="007835B8" w:rsidRDefault="007835B8" w:rsidP="00306AE9">
      <w:pPr>
        <w:pStyle w:val="box45990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7D5108A8" w14:textId="77777777" w:rsidR="007835B8" w:rsidRDefault="007835B8" w:rsidP="00306AE9">
      <w:pPr>
        <w:pStyle w:val="box45990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Zagreb,</w:t>
      </w:r>
    </w:p>
    <w:p w14:paraId="28C5FE9B" w14:textId="77777777" w:rsidR="00026998" w:rsidRDefault="00026998" w:rsidP="00306AE9">
      <w:pPr>
        <w:pStyle w:val="box45990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EC55799" w14:textId="77777777" w:rsidR="00026998" w:rsidRDefault="00026998" w:rsidP="00306AE9">
      <w:pPr>
        <w:pStyle w:val="box45990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03BE79E1" w14:textId="77777777" w:rsidR="00026998" w:rsidRDefault="00026998" w:rsidP="00306AE9">
      <w:pPr>
        <w:pStyle w:val="box45990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3D56526D" w14:textId="77777777" w:rsidR="007835B8" w:rsidRPr="00026998" w:rsidRDefault="00026998" w:rsidP="00026998">
      <w:pPr>
        <w:pStyle w:val="box459907"/>
        <w:shd w:val="clear" w:color="auto" w:fill="FFFFFF"/>
        <w:spacing w:before="0" w:beforeAutospacing="0" w:after="0" w:afterAutospacing="0"/>
        <w:ind w:left="5664"/>
        <w:jc w:val="center"/>
        <w:textAlignment w:val="baseline"/>
        <w:rPr>
          <w:rStyle w:val="bold"/>
          <w:bCs/>
          <w:bdr w:val="none" w:sz="0" w:space="0" w:color="auto" w:frame="1"/>
        </w:rPr>
      </w:pPr>
      <w:r w:rsidRPr="00026998">
        <w:rPr>
          <w:color w:val="231F20"/>
        </w:rPr>
        <w:t>PREDSJEDNIK</w:t>
      </w:r>
    </w:p>
    <w:p w14:paraId="33A50773" w14:textId="77777777" w:rsidR="007835B8" w:rsidRPr="00026998" w:rsidRDefault="007835B8" w:rsidP="00026998">
      <w:pPr>
        <w:pStyle w:val="box459907"/>
        <w:shd w:val="clear" w:color="auto" w:fill="FFFFFF"/>
        <w:spacing w:before="0" w:beforeAutospacing="0" w:after="0" w:afterAutospacing="0"/>
        <w:ind w:left="5664"/>
        <w:jc w:val="center"/>
        <w:textAlignment w:val="baseline"/>
        <w:rPr>
          <w:rStyle w:val="bold"/>
          <w:rFonts w:ascii="Minion Pro" w:hAnsi="Minion Pro"/>
          <w:bCs/>
          <w:color w:val="231F20"/>
          <w:bdr w:val="none" w:sz="0" w:space="0" w:color="auto" w:frame="1"/>
        </w:rPr>
      </w:pPr>
      <w:r w:rsidRPr="00026998">
        <w:rPr>
          <w:rStyle w:val="bold"/>
          <w:bCs/>
          <w:bdr w:val="none" w:sz="0" w:space="0" w:color="auto" w:frame="1"/>
        </w:rPr>
        <w:br/>
      </w:r>
    </w:p>
    <w:p w14:paraId="5D1B972D" w14:textId="77777777" w:rsidR="007835B8" w:rsidRPr="00026998" w:rsidRDefault="007835B8" w:rsidP="00026998">
      <w:pPr>
        <w:pStyle w:val="box459907"/>
        <w:shd w:val="clear" w:color="auto" w:fill="FFFFFF"/>
        <w:spacing w:before="0" w:beforeAutospacing="0" w:after="0" w:afterAutospacing="0"/>
        <w:ind w:left="5664"/>
        <w:jc w:val="center"/>
        <w:textAlignment w:val="baseline"/>
        <w:rPr>
          <w:rStyle w:val="bold"/>
          <w:rFonts w:ascii="Minion Pro" w:hAnsi="Minion Pro"/>
          <w:bCs/>
          <w:color w:val="231F20"/>
          <w:bdr w:val="none" w:sz="0" w:space="0" w:color="auto" w:frame="1"/>
        </w:rPr>
      </w:pPr>
      <w:r w:rsidRPr="00026998">
        <w:rPr>
          <w:rStyle w:val="bold"/>
          <w:rFonts w:ascii="Minion Pro" w:hAnsi="Minion Pro"/>
          <w:bCs/>
          <w:color w:val="231F20"/>
          <w:bdr w:val="none" w:sz="0" w:space="0" w:color="auto" w:frame="1"/>
        </w:rPr>
        <w:t>mr. sc. Andrej Plenković</w:t>
      </w:r>
    </w:p>
    <w:p w14:paraId="06836F5F" w14:textId="77777777" w:rsidR="007835B8" w:rsidRDefault="007835B8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B5430B4" w14:textId="77777777" w:rsidR="00026998" w:rsidRDefault="00026998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7DD5523" w14:textId="77777777" w:rsidR="00306AE9" w:rsidRDefault="00306AE9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80159" w14:textId="77777777" w:rsidR="002A6E47" w:rsidRDefault="002A6E47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F880D0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7257FE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6A077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66B777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993FF4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72073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E4A715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A9929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28D24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D7059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BF11C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5D6C80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186696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4342E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27837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FAB5F7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3925B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28DCB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F66B53" w14:textId="77777777" w:rsidR="00EB559F" w:rsidRDefault="00EB559F" w:rsidP="00306A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805366" w14:textId="77777777" w:rsidR="00ED6138" w:rsidRDefault="00437511" w:rsidP="0030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650C60D2" w14:textId="77777777" w:rsidR="00437511" w:rsidRDefault="00437511" w:rsidP="0030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EB404B" w14:textId="77777777" w:rsidR="00026998" w:rsidRDefault="00026998" w:rsidP="0030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0E3538" w14:textId="77777777" w:rsidR="00196FC5" w:rsidRDefault="00196FC5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</w:t>
      </w:r>
      <w:r w:rsidR="007D01F0">
        <w:rPr>
          <w:rFonts w:ascii="Times New Roman" w:hAnsi="Times New Roman" w:cs="Times New Roman"/>
          <w:sz w:val="24"/>
          <w:szCs w:val="24"/>
        </w:rPr>
        <w:t>o mora, prometa i infrastrukture zaprimilo je</w:t>
      </w:r>
      <w:r>
        <w:rPr>
          <w:rFonts w:ascii="Times New Roman" w:hAnsi="Times New Roman" w:cs="Times New Roman"/>
          <w:sz w:val="24"/>
          <w:szCs w:val="24"/>
        </w:rPr>
        <w:t xml:space="preserve"> zahtjev za produženjem roka za izgradnju i gospodarsko korištenje </w:t>
      </w:r>
      <w:r w:rsidRPr="00196FC5">
        <w:rPr>
          <w:rFonts w:ascii="Times New Roman" w:hAnsi="Times New Roman" w:cs="Times New Roman"/>
          <w:sz w:val="24"/>
          <w:szCs w:val="24"/>
        </w:rPr>
        <w:t>luka posebne namjene: 1) „Luka nautičkog turizma – Sveta Katarina“ na dijelu k.o. Pula i dijelu k.o. Štinjan; i 2) „Luka 2“ na dijelu k.o. Štinjan, na lokaciji razvojnog programa Brijuni Rivijera – „Otok Sv. Katarina – Monumenti“ i u svrhu izgradnje i gospodarskog korištenja pomorskog dobra izvan lučkog područja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C731E" w14:textId="77777777" w:rsidR="00026998" w:rsidRDefault="00026998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93492" w14:textId="77777777" w:rsidR="00196FC5" w:rsidRDefault="00196FC5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>Razlozi za ovakav prijedlog vezani su prvenstveno uz realizaciju izgradnje luke posebne namjene – luke nautičkog turizma Luka 2. Naime, dok je za luku sv. Katarina već ishođena građevinska dozvola od strane Ministarstva graditeljstva i prostornoga uređenja (KLASA: UP/I-361-03/17-01/000072, UR.BROJ: 53</w:t>
      </w:r>
      <w:r>
        <w:rPr>
          <w:rFonts w:ascii="Times New Roman" w:hAnsi="Times New Roman" w:cs="Times New Roman"/>
          <w:sz w:val="24"/>
          <w:szCs w:val="24"/>
        </w:rPr>
        <w:t>1-06-2-1-1467-17-0009, od 8. ruj</w:t>
      </w:r>
      <w:r w:rsidRPr="00196F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6FC5">
        <w:rPr>
          <w:rFonts w:ascii="Times New Roman" w:hAnsi="Times New Roman" w:cs="Times New Roman"/>
          <w:sz w:val="24"/>
          <w:szCs w:val="24"/>
        </w:rPr>
        <w:t xml:space="preserve"> 2017. godine) te započeta izgradnja iste, ovlašteniku koncesije je zbog postupka koji se vodi pred općinskim sudom u Puli između Republike Hrvatske i tuženika Anđele Moras, Roberte Moras i Deana Šafaradina onemogućen ula</w:t>
      </w:r>
      <w:r>
        <w:rPr>
          <w:rFonts w:ascii="Times New Roman" w:hAnsi="Times New Roman" w:cs="Times New Roman"/>
          <w:sz w:val="24"/>
          <w:szCs w:val="24"/>
        </w:rPr>
        <w:t>zak u posjed dijela luke Luka 2.</w:t>
      </w:r>
    </w:p>
    <w:p w14:paraId="58E28374" w14:textId="77777777" w:rsidR="00026998" w:rsidRDefault="00026998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9DEBF" w14:textId="77777777" w:rsidR="004F00C4" w:rsidRDefault="00196FC5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5">
        <w:rPr>
          <w:rFonts w:ascii="Times New Roman" w:hAnsi="Times New Roman" w:cs="Times New Roman"/>
          <w:sz w:val="24"/>
          <w:szCs w:val="24"/>
        </w:rPr>
        <w:t xml:space="preserve">Upravo zbog navedenih prepreka s </w:t>
      </w:r>
      <w:r w:rsidR="00BB263F">
        <w:rPr>
          <w:rFonts w:ascii="Times New Roman" w:hAnsi="Times New Roman" w:cs="Times New Roman"/>
          <w:sz w:val="24"/>
          <w:szCs w:val="24"/>
        </w:rPr>
        <w:t>početkom radova</w:t>
      </w:r>
      <w:r w:rsidRPr="00196FC5">
        <w:rPr>
          <w:rFonts w:ascii="Times New Roman" w:hAnsi="Times New Roman" w:cs="Times New Roman"/>
          <w:sz w:val="24"/>
          <w:szCs w:val="24"/>
        </w:rPr>
        <w:t xml:space="preserve"> za luku Luka 2, ovlaštenik koncesije neće moći u propisanim rokovima izgraditi cjelokupno pomorsko dobro koje mu je dano u koncesiju. </w:t>
      </w:r>
    </w:p>
    <w:p w14:paraId="3543048D" w14:textId="77777777" w:rsidR="00026998" w:rsidRPr="004F00C4" w:rsidRDefault="00026998" w:rsidP="00306A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1273C8" w14:textId="77777777" w:rsidR="00196FC5" w:rsidRDefault="00196FC5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po pravomoćnom okončanju sudskog postupka, Davatelj će biti u mogućnosti predati Ovlašteniku koncesije pomorsko dobro radi izgradnje i gospodarskog korištenja luku posebne namjene – Luku 2, stoga će tek od tog trenutka početi teći rokovi za izgradnju, ishođenje dokumenata prostornog uređenja i predaju sredstava osiguranja za dio investicije koji se odnosi na Luku 2.</w:t>
      </w:r>
    </w:p>
    <w:p w14:paraId="49F0A256" w14:textId="77777777" w:rsidR="00026998" w:rsidRPr="00196FC5" w:rsidRDefault="00026998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09F8D" w14:textId="77777777" w:rsidR="007B19AA" w:rsidRDefault="00196FC5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0E00">
        <w:rPr>
          <w:rFonts w:ascii="Times New Roman" w:hAnsi="Times New Roman" w:cs="Times New Roman"/>
          <w:sz w:val="24"/>
          <w:szCs w:val="24"/>
        </w:rPr>
        <w:t xml:space="preserve"> obzirom na odredbu iz članka 62</w:t>
      </w:r>
      <w:r>
        <w:rPr>
          <w:rFonts w:ascii="Times New Roman" w:hAnsi="Times New Roman" w:cs="Times New Roman"/>
          <w:sz w:val="24"/>
          <w:szCs w:val="24"/>
        </w:rPr>
        <w:t>., stavka 5., točke 3., u</w:t>
      </w:r>
      <w:r w:rsidRPr="00196FC5">
        <w:rPr>
          <w:rFonts w:ascii="Times New Roman" w:hAnsi="Times New Roman" w:cs="Times New Roman"/>
          <w:sz w:val="24"/>
          <w:szCs w:val="24"/>
        </w:rPr>
        <w:t>govor o koncesiji moguće je izmijeniti bez provedbe novog postupka davanja koncesije</w:t>
      </w:r>
      <w:r>
        <w:rPr>
          <w:rFonts w:ascii="Times New Roman" w:hAnsi="Times New Roman" w:cs="Times New Roman"/>
          <w:sz w:val="24"/>
          <w:szCs w:val="24"/>
        </w:rPr>
        <w:t xml:space="preserve">, s obzirom da su kumulativno ispunjeni sljedeći uvjeti: </w:t>
      </w:r>
      <w:r w:rsidRPr="00196FC5">
        <w:rPr>
          <w:rFonts w:ascii="Times New Roman" w:hAnsi="Times New Roman" w:cs="Times New Roman"/>
          <w:sz w:val="24"/>
          <w:szCs w:val="24"/>
        </w:rPr>
        <w:t xml:space="preserve">izmjena ne mijenja vrstu </w:t>
      </w:r>
      <w:r>
        <w:rPr>
          <w:rFonts w:ascii="Times New Roman" w:hAnsi="Times New Roman" w:cs="Times New Roman"/>
          <w:sz w:val="24"/>
          <w:szCs w:val="24"/>
        </w:rPr>
        <w:t xml:space="preserve">niti predmet ugovora o koncesiji, </w:t>
      </w:r>
      <w:r w:rsidRPr="00196FC5">
        <w:rPr>
          <w:rFonts w:ascii="Times New Roman" w:hAnsi="Times New Roman" w:cs="Times New Roman"/>
          <w:sz w:val="24"/>
          <w:szCs w:val="24"/>
        </w:rPr>
        <w:t>potreba za izmjenom nastala je nakon sklapanja ugovora o koncesiji kao posljedica okolnosti koje, postupajući s dužnom pažnjom, davatelj koncesije u trenutku sklapanja ugovora o koncesiji nije mogao predvidjeti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196FC5">
        <w:rPr>
          <w:rFonts w:ascii="Times New Roman" w:hAnsi="Times New Roman" w:cs="Times New Roman"/>
          <w:sz w:val="24"/>
          <w:szCs w:val="24"/>
        </w:rPr>
        <w:t xml:space="preserve">povećanje vrijednosti </w:t>
      </w:r>
      <w:r>
        <w:rPr>
          <w:rFonts w:ascii="Times New Roman" w:hAnsi="Times New Roman" w:cs="Times New Roman"/>
          <w:sz w:val="24"/>
          <w:szCs w:val="24"/>
        </w:rPr>
        <w:t>koncesije ne prelazi</w:t>
      </w:r>
      <w:r w:rsidRPr="00196FC5">
        <w:rPr>
          <w:rFonts w:ascii="Times New Roman" w:hAnsi="Times New Roman" w:cs="Times New Roman"/>
          <w:sz w:val="24"/>
          <w:szCs w:val="24"/>
        </w:rPr>
        <w:t xml:space="preserve"> 50 %</w:t>
      </w:r>
      <w:r>
        <w:rPr>
          <w:rFonts w:ascii="Times New Roman" w:hAnsi="Times New Roman" w:cs="Times New Roman"/>
          <w:sz w:val="24"/>
          <w:szCs w:val="24"/>
        </w:rPr>
        <w:t xml:space="preserve"> vrijednosti prvotne koncesije.</w:t>
      </w:r>
    </w:p>
    <w:p w14:paraId="5A45A3B0" w14:textId="77777777" w:rsidR="007B19AA" w:rsidRDefault="007B19A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56B02" w14:textId="77777777" w:rsidR="007B19AA" w:rsidRDefault="007B19A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kašnjenja s dovršetkom izgradnje luke Sv. Katarina, navodimo kako je radove na izgradnji usporilo vađenje potopljenih brodova u akvatoriju od strane Ministarstva mora, prometa i infrastrukture, razminiravanje lokacije od strane Ministarstva unutarnjih poslova te vađenje i presađivanje periski od strane Prirodoslovno matematičkog fakulteta.</w:t>
      </w:r>
    </w:p>
    <w:p w14:paraId="3106FDED" w14:textId="77777777" w:rsidR="007B19AA" w:rsidRDefault="007B19A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82A89" w14:textId="77777777" w:rsidR="007B19AA" w:rsidRDefault="007B19A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7D01F0">
        <w:rPr>
          <w:rFonts w:ascii="Times New Roman" w:hAnsi="Times New Roman" w:cs="Times New Roman"/>
          <w:sz w:val="24"/>
          <w:szCs w:val="24"/>
        </w:rPr>
        <w:t>kašnjenja</w:t>
      </w:r>
      <w:r>
        <w:rPr>
          <w:rFonts w:ascii="Times New Roman" w:hAnsi="Times New Roman" w:cs="Times New Roman"/>
          <w:sz w:val="24"/>
          <w:szCs w:val="24"/>
        </w:rPr>
        <w:t xml:space="preserve"> na realizaciji izgradnje izvanlučkog područja navodimo kako su ista prvenstveno posljedica činjenice da su objekti zaštićena kulturna dobra, te su bile potrebne izmjene i dopune lokacijske dozvole.</w:t>
      </w:r>
    </w:p>
    <w:p w14:paraId="0F94C7E1" w14:textId="77777777" w:rsidR="007835B8" w:rsidRDefault="007835B8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4AAD3" w14:textId="77777777" w:rsidR="007D01F0" w:rsidRDefault="007D01F0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BE">
        <w:rPr>
          <w:rFonts w:ascii="Times New Roman" w:hAnsi="Times New Roman" w:cs="Times New Roman"/>
          <w:sz w:val="24"/>
          <w:szCs w:val="24"/>
        </w:rPr>
        <w:t xml:space="preserve">Predmetna koncesija dodijeljena je temeljem javnog prikupljanja </w:t>
      </w:r>
      <w:r w:rsidR="00DE1FBE" w:rsidRPr="00DE1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davanje koncesije na pomorskom dobru s izborom investitora za prijenos prava građenja i osnivanje prava služnosti na nekretninama</w:t>
      </w:r>
      <w:r w:rsidRPr="00DE1FBE">
        <w:rPr>
          <w:rFonts w:ascii="Times New Roman" w:hAnsi="Times New Roman" w:cs="Times New Roman"/>
          <w:sz w:val="24"/>
          <w:szCs w:val="24"/>
        </w:rPr>
        <w:t xml:space="preserve"> </w:t>
      </w:r>
      <w:r w:rsidR="00DE1FBE">
        <w:rPr>
          <w:rFonts w:ascii="Times New Roman" w:hAnsi="Times New Roman" w:cs="Times New Roman"/>
          <w:sz w:val="24"/>
          <w:szCs w:val="24"/>
        </w:rPr>
        <w:t>u vlasništvu Republike Hrvatske, a radi realizacije razvojnog programa Brijuni Rivijera – „otok sv. Katarina-M</w:t>
      </w:r>
      <w:r w:rsidR="00DE1FBE" w:rsidRPr="00DE1FBE">
        <w:rPr>
          <w:rFonts w:ascii="Times New Roman" w:hAnsi="Times New Roman" w:cs="Times New Roman"/>
          <w:sz w:val="24"/>
          <w:szCs w:val="24"/>
        </w:rPr>
        <w:t>onumenti</w:t>
      </w:r>
      <w:r w:rsidR="00DE1FBE">
        <w:rPr>
          <w:rFonts w:ascii="Times New Roman" w:hAnsi="Times New Roman" w:cs="Times New Roman"/>
          <w:sz w:val="24"/>
          <w:szCs w:val="24"/>
        </w:rPr>
        <w:t>“.</w:t>
      </w:r>
    </w:p>
    <w:p w14:paraId="68DA414F" w14:textId="77777777" w:rsidR="00DE1FBE" w:rsidRDefault="00DE1FBE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859AE" w14:textId="77777777" w:rsidR="00DE1FBE" w:rsidRDefault="00DE1FBE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Razvojni program „Brijuni Rivijera“ Odlukom Vlade Republike Hrvatske („Narodne novine“, broj: 103/11) utvrđen je kao</w:t>
      </w:r>
      <w:r w:rsidRPr="00DE1FBE">
        <w:rPr>
          <w:rFonts w:ascii="Times New Roman" w:hAnsi="Times New Roman" w:cs="Times New Roman"/>
          <w:sz w:val="24"/>
          <w:szCs w:val="24"/>
        </w:rPr>
        <w:t xml:space="preserve"> cjeloviti razvojni projekt od posebnog interesa za Republiku Hrvatsku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523DB" w14:textId="77777777" w:rsidR="00DE1FBE" w:rsidRDefault="00DE1FBE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5284" w14:textId="77777777" w:rsidR="00DE1FBE" w:rsidRDefault="00DE1FBE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Koncesija je dana na rok od 50 godina, računajući od dana zaključenja Ugovora o koncesiji, koji je zaključen </w:t>
      </w:r>
      <w:r w:rsidR="00F7315A">
        <w:rPr>
          <w:rFonts w:ascii="Times New Roman" w:hAnsi="Times New Roman" w:cs="Times New Roman"/>
          <w:sz w:val="24"/>
          <w:szCs w:val="24"/>
        </w:rPr>
        <w:t xml:space="preserve">dana 28. travnja 2017. godine, a obuhvaća </w:t>
      </w:r>
      <w:r>
        <w:rPr>
          <w:rFonts w:ascii="Times New Roman" w:hAnsi="Times New Roman" w:cs="Times New Roman"/>
          <w:sz w:val="24"/>
          <w:szCs w:val="24"/>
        </w:rPr>
        <w:t>izgradnju dviju luka nautičkog turizma, dok je izvanlučko područje predviđeno za hotelski smještaj.</w:t>
      </w:r>
    </w:p>
    <w:p w14:paraId="41F35025" w14:textId="77777777" w:rsidR="00F7315A" w:rsidRDefault="00F7315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66C24" w14:textId="77777777" w:rsidR="00F7315A" w:rsidRDefault="00F7315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7315A">
        <w:rPr>
          <w:rFonts w:ascii="Times New Roman" w:hAnsi="Times New Roman" w:cs="Times New Roman"/>
          <w:sz w:val="24"/>
          <w:szCs w:val="24"/>
        </w:rPr>
        <w:t xml:space="preserve">kupna površina </w:t>
      </w:r>
      <w:r>
        <w:rPr>
          <w:rFonts w:ascii="Times New Roman" w:hAnsi="Times New Roman" w:cs="Times New Roman"/>
          <w:sz w:val="24"/>
          <w:szCs w:val="24"/>
        </w:rPr>
        <w:t xml:space="preserve">zauzetog pomorskog dobra iznosi </w:t>
      </w:r>
      <w:r w:rsidRPr="00F7315A">
        <w:rPr>
          <w:rFonts w:ascii="Times New Roman" w:hAnsi="Times New Roman" w:cs="Times New Roman"/>
          <w:sz w:val="24"/>
          <w:szCs w:val="24"/>
        </w:rPr>
        <w:t>454.572 m2, što za ponuđeni iznos stalnog dijela koncesijske naknade od 2,20 kuna za metar kvadratni zauzetog pomorskog dobra iznosi 1.000.058,40 kuna godišnje. Promjenjivi dio koncesijske naknade iznosi 2,10% od ukupnog godišnjeg prihoda luke i prihoda ostvarenog na pomorskom dobru izvan lučkog područja.</w:t>
      </w:r>
    </w:p>
    <w:p w14:paraId="447F6C9B" w14:textId="77777777" w:rsidR="00F7315A" w:rsidRDefault="00F7315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653BE" w14:textId="77777777" w:rsidR="00F7315A" w:rsidRDefault="00F7315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8D45" w14:textId="77777777" w:rsidR="00F7315A" w:rsidRDefault="00F7315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36377" w14:textId="77777777" w:rsidR="00F7315A" w:rsidRPr="00DE1FBE" w:rsidRDefault="00F7315A" w:rsidP="0030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15A" w:rsidRPr="00DE1FBE" w:rsidSect="002E5AA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5E0D" w14:textId="77777777" w:rsidR="00784418" w:rsidRDefault="00784418">
      <w:pPr>
        <w:spacing w:after="0" w:line="240" w:lineRule="auto"/>
      </w:pPr>
      <w:r>
        <w:separator/>
      </w:r>
    </w:p>
  </w:endnote>
  <w:endnote w:type="continuationSeparator" w:id="0">
    <w:p w14:paraId="346EECB8" w14:textId="77777777" w:rsidR="00784418" w:rsidRDefault="0078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009E" w14:textId="77777777" w:rsidR="008343B0" w:rsidRPr="00CE78D1" w:rsidRDefault="008343B0" w:rsidP="008343B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BA971BB" w14:textId="77777777" w:rsidR="008343B0" w:rsidRDefault="0083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C35E" w14:textId="77777777" w:rsidR="00E95D92" w:rsidRPr="000D4440" w:rsidRDefault="00E95D92" w:rsidP="000D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E6D6" w14:textId="77777777" w:rsidR="00784418" w:rsidRDefault="00784418">
      <w:pPr>
        <w:spacing w:after="0" w:line="240" w:lineRule="auto"/>
      </w:pPr>
      <w:r>
        <w:separator/>
      </w:r>
    </w:p>
  </w:footnote>
  <w:footnote w:type="continuationSeparator" w:id="0">
    <w:p w14:paraId="5BB4529E" w14:textId="77777777" w:rsidR="00784418" w:rsidRDefault="0078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6970" w14:textId="77777777" w:rsidR="00E95D92" w:rsidRPr="000D4440" w:rsidRDefault="00E95D92" w:rsidP="000D4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38"/>
    <w:rsid w:val="00026998"/>
    <w:rsid w:val="00080221"/>
    <w:rsid w:val="000A1F82"/>
    <w:rsid w:val="000D4440"/>
    <w:rsid w:val="000F6670"/>
    <w:rsid w:val="00151A78"/>
    <w:rsid w:val="00153160"/>
    <w:rsid w:val="001939A9"/>
    <w:rsid w:val="00196FC5"/>
    <w:rsid w:val="001F72BB"/>
    <w:rsid w:val="00204EA5"/>
    <w:rsid w:val="002A341A"/>
    <w:rsid w:val="002A6E47"/>
    <w:rsid w:val="002E5AA1"/>
    <w:rsid w:val="00306AE9"/>
    <w:rsid w:val="00332229"/>
    <w:rsid w:val="003F1173"/>
    <w:rsid w:val="0040563F"/>
    <w:rsid w:val="004115FC"/>
    <w:rsid w:val="00417C09"/>
    <w:rsid w:val="00437511"/>
    <w:rsid w:val="00455FC6"/>
    <w:rsid w:val="00460576"/>
    <w:rsid w:val="004747A1"/>
    <w:rsid w:val="004D7821"/>
    <w:rsid w:val="004F00C4"/>
    <w:rsid w:val="004F0DCB"/>
    <w:rsid w:val="005B326C"/>
    <w:rsid w:val="005C4ED7"/>
    <w:rsid w:val="005F575A"/>
    <w:rsid w:val="006156D5"/>
    <w:rsid w:val="0064345B"/>
    <w:rsid w:val="006F7495"/>
    <w:rsid w:val="007264CF"/>
    <w:rsid w:val="00747671"/>
    <w:rsid w:val="00772BEB"/>
    <w:rsid w:val="007835B8"/>
    <w:rsid w:val="00784418"/>
    <w:rsid w:val="007B19AA"/>
    <w:rsid w:val="007B1A00"/>
    <w:rsid w:val="007D01F0"/>
    <w:rsid w:val="007E32A8"/>
    <w:rsid w:val="008343B0"/>
    <w:rsid w:val="008426A6"/>
    <w:rsid w:val="00851F5D"/>
    <w:rsid w:val="008A1318"/>
    <w:rsid w:val="008E1899"/>
    <w:rsid w:val="008F17D7"/>
    <w:rsid w:val="00904A89"/>
    <w:rsid w:val="0092688D"/>
    <w:rsid w:val="009B44FA"/>
    <w:rsid w:val="009E21A7"/>
    <w:rsid w:val="00A00E00"/>
    <w:rsid w:val="00A34E2B"/>
    <w:rsid w:val="00A557B1"/>
    <w:rsid w:val="00A80631"/>
    <w:rsid w:val="00AE66FD"/>
    <w:rsid w:val="00B0638B"/>
    <w:rsid w:val="00B36CDC"/>
    <w:rsid w:val="00B41391"/>
    <w:rsid w:val="00BB263F"/>
    <w:rsid w:val="00BF6774"/>
    <w:rsid w:val="00C16435"/>
    <w:rsid w:val="00CB5738"/>
    <w:rsid w:val="00CC693F"/>
    <w:rsid w:val="00D12C77"/>
    <w:rsid w:val="00D76EC2"/>
    <w:rsid w:val="00DE1FBE"/>
    <w:rsid w:val="00DF16B6"/>
    <w:rsid w:val="00E25966"/>
    <w:rsid w:val="00E62EE3"/>
    <w:rsid w:val="00E8555B"/>
    <w:rsid w:val="00E95D92"/>
    <w:rsid w:val="00EA316A"/>
    <w:rsid w:val="00EB559F"/>
    <w:rsid w:val="00ED6138"/>
    <w:rsid w:val="00F7315A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8780"/>
  <w15:docId w15:val="{2F797927-C5FA-4A1C-9CB7-672F7AE2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D61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E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38"/>
    <w:rPr>
      <w:rFonts w:ascii="Tahoma" w:hAnsi="Tahoma" w:cs="Tahoma"/>
      <w:sz w:val="16"/>
      <w:szCs w:val="16"/>
    </w:rPr>
  </w:style>
  <w:style w:type="paragraph" w:customStyle="1" w:styleId="box459907">
    <w:name w:val="box_459907"/>
    <w:basedOn w:val="Normal"/>
    <w:rsid w:val="0041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805">
    <w:name w:val="box_459805"/>
    <w:basedOn w:val="Normal"/>
    <w:rsid w:val="0041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835B8"/>
  </w:style>
  <w:style w:type="paragraph" w:styleId="Header">
    <w:name w:val="header"/>
    <w:basedOn w:val="Normal"/>
    <w:link w:val="HeaderChar"/>
    <w:uiPriority w:val="99"/>
    <w:unhideWhenUsed/>
    <w:rsid w:val="006F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8995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2019-09-24T06:34:00Z</cp:lastPrinted>
  <dcterms:created xsi:type="dcterms:W3CDTF">2019-10-03T07:21:00Z</dcterms:created>
  <dcterms:modified xsi:type="dcterms:W3CDTF">2019-10-03T07:21:00Z</dcterms:modified>
</cp:coreProperties>
</file>