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4" w:rsidRDefault="00907054" w:rsidP="00700BE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both"/>
        <w:rPr>
          <w:color w:val="000000"/>
          <w:sz w:val="24"/>
          <w:szCs w:val="24"/>
          <w:lang w:eastAsia="hr-HR" w:bidi="hr-HR"/>
        </w:rPr>
      </w:pPr>
      <w:bookmarkStart w:id="0" w:name="_GoBack"/>
      <w:bookmarkEnd w:id="0"/>
    </w:p>
    <w:p w:rsidR="00907054" w:rsidRPr="00800462" w:rsidRDefault="00907054" w:rsidP="00907054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3ED230D0" wp14:editId="20A76C3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907054" w:rsidRPr="00800462" w:rsidRDefault="00907054" w:rsidP="0090705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 xml:space="preserve">16. listopada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:rsidR="00907054" w:rsidRPr="00800462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6843"/>
      </w:tblGrid>
      <w:tr w:rsidR="00907054" w:rsidRPr="00800462" w:rsidTr="00416E5D">
        <w:tc>
          <w:tcPr>
            <w:tcW w:w="1951" w:type="dxa"/>
          </w:tcPr>
          <w:p w:rsidR="00907054" w:rsidRPr="008972F8" w:rsidRDefault="00907054" w:rsidP="00416E5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07054" w:rsidRPr="008972F8" w:rsidRDefault="00907054" w:rsidP="00907054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državne imovine </w:t>
            </w:r>
          </w:p>
        </w:tc>
      </w:tr>
    </w:tbl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6878"/>
      </w:tblGrid>
      <w:tr w:rsidR="00907054" w:rsidRPr="00800462" w:rsidTr="00416E5D">
        <w:tc>
          <w:tcPr>
            <w:tcW w:w="1951" w:type="dxa"/>
          </w:tcPr>
          <w:p w:rsidR="00907054" w:rsidRPr="008972F8" w:rsidRDefault="00907054" w:rsidP="00416E5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07054" w:rsidRPr="00247AAF" w:rsidRDefault="00907054" w:rsidP="00416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Pr="00247AA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dluke</w:t>
            </w:r>
            <w:r w:rsidRPr="00247AAF">
              <w:rPr>
                <w:sz w:val="24"/>
                <w:szCs w:val="24"/>
              </w:rPr>
              <w:t xml:space="preserve"> </w:t>
            </w:r>
            <w:r w:rsidRPr="00907054">
              <w:rPr>
                <w:sz w:val="24"/>
                <w:szCs w:val="24"/>
              </w:rPr>
              <w:t>o obvezi uvođenja funkcije praćenja usklađenosti poslovanja u pravnim osobama u većinskom državnom vlasništvu</w:t>
            </w:r>
          </w:p>
          <w:p w:rsidR="00907054" w:rsidRPr="006B7991" w:rsidRDefault="00907054" w:rsidP="00416E5D">
            <w:pPr>
              <w:jc w:val="both"/>
              <w:rPr>
                <w:sz w:val="24"/>
                <w:szCs w:val="24"/>
              </w:rPr>
            </w:pPr>
          </w:p>
          <w:p w:rsidR="00907054" w:rsidRPr="008972F8" w:rsidRDefault="00907054" w:rsidP="00416E5D">
            <w:pPr>
              <w:jc w:val="both"/>
              <w:rPr>
                <w:sz w:val="24"/>
                <w:szCs w:val="24"/>
              </w:rPr>
            </w:pPr>
          </w:p>
        </w:tc>
      </w:tr>
    </w:tbl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Pr="00800462" w:rsidRDefault="00907054" w:rsidP="009070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054" w:rsidRDefault="00907054" w:rsidP="00907054">
      <w:pPr>
        <w:pStyle w:val="Header"/>
      </w:pPr>
    </w:p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Default="00907054" w:rsidP="00907054"/>
    <w:p w:rsidR="00907054" w:rsidRPr="005222AE" w:rsidRDefault="00907054" w:rsidP="0090705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907054" w:rsidRDefault="00907054" w:rsidP="00907054"/>
    <w:p w:rsidR="00907054" w:rsidRDefault="00907054" w:rsidP="00700BE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both"/>
        <w:rPr>
          <w:color w:val="000000"/>
          <w:sz w:val="24"/>
          <w:szCs w:val="24"/>
          <w:lang w:eastAsia="hr-HR" w:bidi="hr-HR"/>
        </w:rPr>
      </w:pPr>
    </w:p>
    <w:p w:rsidR="00907054" w:rsidRDefault="00907054" w:rsidP="00700BE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both"/>
        <w:rPr>
          <w:color w:val="000000"/>
          <w:sz w:val="24"/>
          <w:szCs w:val="24"/>
          <w:lang w:eastAsia="hr-HR" w:bidi="hr-HR"/>
        </w:rPr>
      </w:pPr>
    </w:p>
    <w:p w:rsidR="00907054" w:rsidRDefault="00907054" w:rsidP="0090705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right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PRIJEDLOG</w:t>
      </w:r>
    </w:p>
    <w:p w:rsidR="00907054" w:rsidRDefault="00907054" w:rsidP="00700BE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both"/>
        <w:rPr>
          <w:color w:val="000000"/>
          <w:sz w:val="24"/>
          <w:szCs w:val="24"/>
          <w:lang w:eastAsia="hr-HR" w:bidi="hr-HR"/>
        </w:rPr>
      </w:pPr>
    </w:p>
    <w:p w:rsidR="0056103D" w:rsidRDefault="0056103D" w:rsidP="00700BE4">
      <w:pPr>
        <w:pStyle w:val="BodyText"/>
        <w:shd w:val="clear" w:color="auto" w:fill="auto"/>
        <w:tabs>
          <w:tab w:val="left" w:leader="underscore" w:pos="9072"/>
        </w:tabs>
        <w:spacing w:before="60" w:after="60" w:line="276" w:lineRule="auto"/>
        <w:ind w:firstLine="1440"/>
        <w:jc w:val="both"/>
      </w:pPr>
      <w:r>
        <w:rPr>
          <w:color w:val="000000"/>
          <w:sz w:val="24"/>
          <w:szCs w:val="24"/>
          <w:lang w:eastAsia="hr-HR" w:bidi="hr-HR"/>
        </w:rPr>
        <w:t xml:space="preserve">Na temelju članka </w:t>
      </w:r>
      <w:r w:rsidR="008B6E2F">
        <w:rPr>
          <w:color w:val="000000"/>
          <w:sz w:val="24"/>
          <w:szCs w:val="24"/>
          <w:lang w:eastAsia="hr-HR" w:bidi="hr-HR"/>
        </w:rPr>
        <w:t>31. stavka 2</w:t>
      </w:r>
      <w:r w:rsidRPr="00292C98">
        <w:rPr>
          <w:color w:val="000000"/>
          <w:sz w:val="24"/>
          <w:szCs w:val="24"/>
          <w:lang w:eastAsia="hr-HR" w:bidi="hr-HR"/>
        </w:rPr>
        <w:t>. Zakona o Vladi Republike Hrvatske (</w:t>
      </w:r>
      <w:r w:rsidRPr="00292C98">
        <w:t>„</w:t>
      </w:r>
      <w:r w:rsidRPr="00292C98">
        <w:rPr>
          <w:color w:val="000000"/>
          <w:sz w:val="24"/>
          <w:szCs w:val="24"/>
          <w:lang w:eastAsia="hr-HR" w:bidi="hr-HR"/>
        </w:rPr>
        <w:t>Narodne novine</w:t>
      </w:r>
      <w:r w:rsidRPr="00292C98">
        <w:t>“</w:t>
      </w:r>
      <w:r w:rsidR="00292C98" w:rsidRPr="00292C98">
        <w:rPr>
          <w:color w:val="000000"/>
          <w:sz w:val="24"/>
          <w:szCs w:val="24"/>
          <w:lang w:eastAsia="hr-HR" w:bidi="hr-HR"/>
        </w:rPr>
        <w:t xml:space="preserve">, br. 150/11, 119/14, </w:t>
      </w:r>
      <w:r w:rsidRPr="00292C98">
        <w:rPr>
          <w:color w:val="000000"/>
          <w:sz w:val="24"/>
          <w:szCs w:val="24"/>
          <w:lang w:eastAsia="hr-HR" w:bidi="hr-HR"/>
        </w:rPr>
        <w:t>93/16</w:t>
      </w:r>
      <w:r w:rsidR="00292C98" w:rsidRPr="00292C98">
        <w:rPr>
          <w:color w:val="000000"/>
          <w:sz w:val="24"/>
          <w:szCs w:val="24"/>
          <w:lang w:eastAsia="hr-HR" w:bidi="hr-HR"/>
        </w:rPr>
        <w:t xml:space="preserve"> i 116/18</w:t>
      </w:r>
      <w:r w:rsidRPr="00292C98">
        <w:rPr>
          <w:color w:val="000000"/>
          <w:sz w:val="24"/>
          <w:szCs w:val="24"/>
          <w:lang w:eastAsia="hr-HR" w:bidi="hr-HR"/>
        </w:rPr>
        <w:t>),</w:t>
      </w:r>
      <w:r>
        <w:rPr>
          <w:color w:val="000000"/>
          <w:sz w:val="24"/>
          <w:szCs w:val="24"/>
          <w:lang w:eastAsia="hr-HR" w:bidi="hr-HR"/>
        </w:rPr>
        <w:t xml:space="preserve"> a u vezi s </w:t>
      </w:r>
      <w:r w:rsidR="00E60DFC">
        <w:t>aktivnosti 1.3.1.3</w:t>
      </w:r>
      <w:r>
        <w:t>. Nacionalnog programa reformi za 2019. godinu</w:t>
      </w:r>
      <w:r>
        <w:rPr>
          <w:color w:val="000000"/>
          <w:sz w:val="24"/>
          <w:szCs w:val="24"/>
          <w:lang w:eastAsia="hr-HR" w:bidi="hr-HR"/>
        </w:rPr>
        <w:t>, Vlada Republike Hr</w:t>
      </w:r>
      <w:r w:rsidR="00506CEA">
        <w:rPr>
          <w:color w:val="000000"/>
          <w:sz w:val="24"/>
          <w:szCs w:val="24"/>
          <w:lang w:eastAsia="hr-HR" w:bidi="hr-HR"/>
        </w:rPr>
        <w:t xml:space="preserve">vatske je na sjednici održanoj ___________ </w:t>
      </w:r>
      <w:r>
        <w:t>2019</w:t>
      </w:r>
      <w:r>
        <w:rPr>
          <w:color w:val="000000"/>
          <w:sz w:val="24"/>
          <w:szCs w:val="24"/>
          <w:lang w:eastAsia="hr-HR" w:bidi="hr-HR"/>
        </w:rPr>
        <w:t>. godine donijela</w:t>
      </w:r>
    </w:p>
    <w:p w:rsidR="0056103D" w:rsidRDefault="0056103D" w:rsidP="00700BE4">
      <w:pPr>
        <w:pStyle w:val="BodyText"/>
        <w:shd w:val="clear" w:color="auto" w:fill="auto"/>
        <w:spacing w:before="60" w:after="60" w:line="276" w:lineRule="auto"/>
      </w:pPr>
    </w:p>
    <w:p w:rsidR="0056103D" w:rsidRPr="00EC2C78" w:rsidRDefault="008B6E2F" w:rsidP="00700BE4">
      <w:pPr>
        <w:pStyle w:val="BodyText"/>
        <w:shd w:val="clear" w:color="auto" w:fill="auto"/>
        <w:spacing w:before="60" w:after="60" w:line="276" w:lineRule="auto"/>
        <w:jc w:val="center"/>
        <w:rPr>
          <w:b/>
        </w:rPr>
      </w:pPr>
      <w:r>
        <w:rPr>
          <w:b/>
        </w:rPr>
        <w:t>ODLUKU</w:t>
      </w:r>
    </w:p>
    <w:p w:rsidR="0056103D" w:rsidRPr="00EC2C78" w:rsidRDefault="0056103D" w:rsidP="00700BE4">
      <w:pPr>
        <w:pStyle w:val="BodyText"/>
        <w:shd w:val="clear" w:color="auto" w:fill="auto"/>
        <w:spacing w:before="60" w:after="60" w:line="276" w:lineRule="auto"/>
        <w:jc w:val="center"/>
        <w:rPr>
          <w:b/>
        </w:rPr>
      </w:pPr>
      <w:r w:rsidRPr="00EC2C78">
        <w:rPr>
          <w:b/>
        </w:rPr>
        <w:t xml:space="preserve">o </w:t>
      </w:r>
      <w:r w:rsidR="00E60DFC">
        <w:rPr>
          <w:b/>
        </w:rPr>
        <w:t>obvezi uvođenja funkcije</w:t>
      </w:r>
      <w:r w:rsidR="00E60DFC" w:rsidRPr="00E60DFC">
        <w:rPr>
          <w:b/>
        </w:rPr>
        <w:t xml:space="preserve"> </w:t>
      </w:r>
      <w:r w:rsidR="00F76ADD">
        <w:rPr>
          <w:b/>
        </w:rPr>
        <w:t xml:space="preserve">praćenja </w:t>
      </w:r>
      <w:r w:rsidR="00E60DFC" w:rsidRPr="00E60DFC">
        <w:rPr>
          <w:b/>
        </w:rPr>
        <w:t xml:space="preserve">usklađenosti poslovanja u pravnim osobama </w:t>
      </w:r>
      <w:r w:rsidR="008B6E2F">
        <w:rPr>
          <w:b/>
        </w:rPr>
        <w:t>u većinskom državnom vlasništvu</w:t>
      </w:r>
    </w:p>
    <w:p w:rsidR="0056103D" w:rsidRDefault="0056103D" w:rsidP="00700BE4">
      <w:pPr>
        <w:pStyle w:val="BodyText"/>
        <w:shd w:val="clear" w:color="auto" w:fill="auto"/>
        <w:spacing w:before="60" w:after="60" w:line="276" w:lineRule="auto"/>
      </w:pPr>
    </w:p>
    <w:p w:rsidR="005A0FE6" w:rsidRDefault="005A0FE6" w:rsidP="00700BE4">
      <w:pPr>
        <w:pStyle w:val="BodyText"/>
        <w:shd w:val="clear" w:color="auto" w:fill="auto"/>
        <w:tabs>
          <w:tab w:val="left" w:pos="993"/>
        </w:tabs>
        <w:spacing w:before="60" w:after="60" w:line="276" w:lineRule="auto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I.</w:t>
      </w:r>
    </w:p>
    <w:p w:rsidR="005A0FE6" w:rsidRDefault="00975BBF" w:rsidP="00700BE4">
      <w:pPr>
        <w:pStyle w:val="BodyText"/>
        <w:shd w:val="clear" w:color="auto" w:fill="auto"/>
        <w:tabs>
          <w:tab w:val="left" w:pos="993"/>
        </w:tabs>
        <w:spacing w:before="60" w:after="60" w:line="276" w:lineRule="auto"/>
        <w:jc w:val="both"/>
        <w:rPr>
          <w:color w:val="000000"/>
          <w:sz w:val="24"/>
          <w:szCs w:val="24"/>
          <w:lang w:eastAsia="hr-HR" w:bidi="hr-HR"/>
        </w:rPr>
      </w:pPr>
      <w:r w:rsidRPr="00975BBF">
        <w:rPr>
          <w:color w:val="000000"/>
          <w:sz w:val="24"/>
          <w:szCs w:val="24"/>
          <w:lang w:eastAsia="hr-HR" w:bidi="hr-HR"/>
        </w:rPr>
        <w:t>O</w:t>
      </w:r>
      <w:r w:rsidR="00506CEA" w:rsidRPr="00975BBF">
        <w:rPr>
          <w:color w:val="000000"/>
          <w:sz w:val="24"/>
          <w:szCs w:val="24"/>
          <w:lang w:eastAsia="hr-HR" w:bidi="hr-HR"/>
        </w:rPr>
        <w:t>v</w:t>
      </w:r>
      <w:r w:rsidR="005A0FE6">
        <w:rPr>
          <w:color w:val="000000"/>
          <w:sz w:val="24"/>
          <w:szCs w:val="24"/>
          <w:lang w:eastAsia="hr-HR" w:bidi="hr-HR"/>
        </w:rPr>
        <w:t>om Odlukom</w:t>
      </w:r>
      <w:r w:rsidR="00506CEA" w:rsidRPr="00975BBF">
        <w:rPr>
          <w:color w:val="000000"/>
          <w:sz w:val="24"/>
          <w:szCs w:val="24"/>
          <w:lang w:eastAsia="hr-HR" w:bidi="hr-HR"/>
        </w:rPr>
        <w:t xml:space="preserve"> </w:t>
      </w:r>
      <w:r w:rsidR="00CB5034" w:rsidRPr="00975BBF">
        <w:rPr>
          <w:color w:val="000000"/>
          <w:sz w:val="24"/>
          <w:szCs w:val="24"/>
          <w:lang w:eastAsia="hr-HR" w:bidi="hr-HR"/>
        </w:rPr>
        <w:t>utvrđuj</w:t>
      </w:r>
      <w:r w:rsidR="00E60DFC" w:rsidRPr="00975BBF">
        <w:rPr>
          <w:color w:val="000000"/>
          <w:sz w:val="24"/>
          <w:szCs w:val="24"/>
          <w:lang w:eastAsia="hr-HR" w:bidi="hr-HR"/>
        </w:rPr>
        <w:t>e</w:t>
      </w:r>
      <w:r w:rsidR="00CB5034" w:rsidRPr="00975BBF">
        <w:rPr>
          <w:color w:val="000000"/>
          <w:sz w:val="24"/>
          <w:szCs w:val="24"/>
          <w:lang w:eastAsia="hr-HR" w:bidi="hr-HR"/>
        </w:rPr>
        <w:t xml:space="preserve"> </w:t>
      </w:r>
      <w:r w:rsidR="00506CEA" w:rsidRPr="00975BBF">
        <w:rPr>
          <w:color w:val="000000"/>
          <w:sz w:val="24"/>
          <w:szCs w:val="24"/>
          <w:lang w:eastAsia="hr-HR" w:bidi="hr-HR"/>
        </w:rPr>
        <w:t xml:space="preserve">se </w:t>
      </w:r>
      <w:r w:rsidR="00E60DFC" w:rsidRPr="00975BBF">
        <w:rPr>
          <w:color w:val="000000"/>
          <w:sz w:val="24"/>
          <w:szCs w:val="24"/>
          <w:lang w:eastAsia="hr-HR" w:bidi="hr-HR"/>
        </w:rPr>
        <w:t>obveza uvođenja funkcije</w:t>
      </w:r>
      <w:r w:rsidR="00F90D58">
        <w:rPr>
          <w:color w:val="000000"/>
          <w:sz w:val="24"/>
          <w:szCs w:val="24"/>
          <w:lang w:eastAsia="hr-HR" w:bidi="hr-HR"/>
        </w:rPr>
        <w:t xml:space="preserve"> praćenja</w:t>
      </w:r>
      <w:r w:rsidR="00E60DFC" w:rsidRPr="00975BBF">
        <w:rPr>
          <w:color w:val="000000"/>
          <w:sz w:val="24"/>
          <w:szCs w:val="24"/>
          <w:lang w:eastAsia="hr-HR" w:bidi="hr-HR"/>
        </w:rPr>
        <w:t xml:space="preserve"> usklađenosti poslovanja </w:t>
      </w:r>
      <w:r w:rsidRPr="00975BBF">
        <w:rPr>
          <w:color w:val="000000"/>
          <w:sz w:val="24"/>
          <w:szCs w:val="24"/>
          <w:lang w:eastAsia="hr-HR" w:bidi="hr-HR"/>
        </w:rPr>
        <w:t>u pravnim osobama</w:t>
      </w:r>
      <w:r w:rsidR="00335722">
        <w:rPr>
          <w:color w:val="000000"/>
          <w:sz w:val="24"/>
          <w:szCs w:val="24"/>
          <w:lang w:eastAsia="hr-HR" w:bidi="hr-HR"/>
        </w:rPr>
        <w:t xml:space="preserve"> od posebnog interesa za Republiku Hrvatsku, </w:t>
      </w:r>
      <w:r w:rsidR="006F1DB3">
        <w:rPr>
          <w:color w:val="000000"/>
          <w:sz w:val="24"/>
          <w:szCs w:val="24"/>
          <w:lang w:eastAsia="hr-HR" w:bidi="hr-HR"/>
        </w:rPr>
        <w:t xml:space="preserve">a </w:t>
      </w:r>
      <w:r w:rsidR="00335722">
        <w:rPr>
          <w:color w:val="000000"/>
          <w:sz w:val="24"/>
          <w:szCs w:val="24"/>
          <w:lang w:eastAsia="hr-HR" w:bidi="hr-HR"/>
        </w:rPr>
        <w:t>koje su u većinskom državnom vlasništ</w:t>
      </w:r>
      <w:r w:rsidR="006F1DB3">
        <w:rPr>
          <w:color w:val="000000"/>
          <w:sz w:val="24"/>
          <w:szCs w:val="24"/>
          <w:lang w:eastAsia="hr-HR" w:bidi="hr-HR"/>
        </w:rPr>
        <w:t>vu, kao i u svim drugim pravnim oso</w:t>
      </w:r>
      <w:r w:rsidR="00335722">
        <w:rPr>
          <w:color w:val="000000"/>
          <w:sz w:val="24"/>
          <w:szCs w:val="24"/>
          <w:lang w:eastAsia="hr-HR" w:bidi="hr-HR"/>
        </w:rPr>
        <w:t xml:space="preserve">bama </w:t>
      </w:r>
      <w:r w:rsidR="006F1DB3">
        <w:rPr>
          <w:color w:val="000000"/>
          <w:sz w:val="24"/>
          <w:szCs w:val="24"/>
          <w:lang w:eastAsia="hr-HR" w:bidi="hr-HR"/>
        </w:rPr>
        <w:t>k</w:t>
      </w:r>
      <w:r w:rsidR="00335722">
        <w:rPr>
          <w:color w:val="000000"/>
          <w:sz w:val="24"/>
          <w:szCs w:val="24"/>
          <w:lang w:eastAsia="hr-HR" w:bidi="hr-HR"/>
        </w:rPr>
        <w:t>oje su</w:t>
      </w:r>
      <w:r w:rsidR="00F76ADD">
        <w:rPr>
          <w:color w:val="000000"/>
          <w:sz w:val="24"/>
          <w:szCs w:val="24"/>
          <w:lang w:eastAsia="hr-HR" w:bidi="hr-HR"/>
        </w:rPr>
        <w:t xml:space="preserve"> u</w:t>
      </w:r>
      <w:r w:rsidR="00335722">
        <w:rPr>
          <w:color w:val="000000"/>
          <w:sz w:val="24"/>
          <w:szCs w:val="24"/>
          <w:lang w:eastAsia="hr-HR" w:bidi="hr-HR"/>
        </w:rPr>
        <w:t xml:space="preserve"> većinskom državnom vlasništvu</w:t>
      </w:r>
      <w:r w:rsidR="006F5B8A">
        <w:rPr>
          <w:color w:val="000000"/>
          <w:sz w:val="24"/>
          <w:szCs w:val="24"/>
          <w:lang w:eastAsia="hr-HR" w:bidi="hr-HR"/>
        </w:rPr>
        <w:t>,</w:t>
      </w:r>
      <w:r w:rsidR="006F1DB3">
        <w:rPr>
          <w:color w:val="000000"/>
          <w:sz w:val="24"/>
          <w:szCs w:val="24"/>
          <w:lang w:eastAsia="hr-HR" w:bidi="hr-HR"/>
        </w:rPr>
        <w:t xml:space="preserve"> </w:t>
      </w:r>
      <w:r w:rsidR="00630791">
        <w:rPr>
          <w:color w:val="000000"/>
          <w:sz w:val="24"/>
          <w:szCs w:val="24"/>
          <w:lang w:eastAsia="hr-HR" w:bidi="hr-HR"/>
        </w:rPr>
        <w:t xml:space="preserve">kojima sukladno Zakonu o upravljanju državnom imovinom </w:t>
      </w:r>
      <w:r w:rsidR="00630791" w:rsidRPr="005A0FE6">
        <w:rPr>
          <w:color w:val="000000"/>
          <w:sz w:val="24"/>
          <w:szCs w:val="24"/>
          <w:lang w:eastAsia="hr-HR" w:bidi="hr-HR"/>
        </w:rPr>
        <w:t>(</w:t>
      </w:r>
      <w:r w:rsidR="005A0FE6" w:rsidRPr="005A0FE6">
        <w:rPr>
          <w:color w:val="000000"/>
          <w:sz w:val="24"/>
          <w:szCs w:val="24"/>
          <w:lang w:eastAsia="hr-HR" w:bidi="hr-HR"/>
        </w:rPr>
        <w:t>„Narodne novine“, br. 52/18</w:t>
      </w:r>
      <w:r w:rsidR="00630791" w:rsidRPr="005A0FE6">
        <w:rPr>
          <w:color w:val="000000"/>
          <w:sz w:val="24"/>
          <w:szCs w:val="24"/>
          <w:lang w:eastAsia="hr-HR" w:bidi="hr-HR"/>
        </w:rPr>
        <w:t>)</w:t>
      </w:r>
      <w:r w:rsidR="00630791">
        <w:rPr>
          <w:color w:val="000000"/>
          <w:sz w:val="24"/>
          <w:szCs w:val="24"/>
          <w:lang w:eastAsia="hr-HR" w:bidi="hr-HR"/>
        </w:rPr>
        <w:t xml:space="preserve"> upravlja</w:t>
      </w:r>
      <w:r w:rsidR="000E2A6B">
        <w:rPr>
          <w:color w:val="000000"/>
          <w:sz w:val="24"/>
          <w:szCs w:val="24"/>
          <w:lang w:eastAsia="hr-HR" w:bidi="hr-HR"/>
        </w:rPr>
        <w:t>ju</w:t>
      </w:r>
      <w:r w:rsidR="00630791">
        <w:rPr>
          <w:color w:val="000000"/>
          <w:sz w:val="24"/>
          <w:szCs w:val="24"/>
          <w:lang w:eastAsia="hr-HR" w:bidi="hr-HR"/>
        </w:rPr>
        <w:t xml:space="preserve"> Ministarstvo državne imovine i Centar za restrukturiranje i prodaju</w:t>
      </w:r>
      <w:r w:rsidR="006F5B8A">
        <w:rPr>
          <w:color w:val="000000"/>
          <w:sz w:val="24"/>
          <w:szCs w:val="24"/>
          <w:lang w:eastAsia="hr-HR" w:bidi="hr-HR"/>
        </w:rPr>
        <w:t xml:space="preserve"> (dalje u tekstu: Pravne osobe)</w:t>
      </w:r>
      <w:r w:rsidR="00F90D58">
        <w:rPr>
          <w:color w:val="000000"/>
          <w:sz w:val="24"/>
          <w:szCs w:val="24"/>
          <w:lang w:eastAsia="hr-HR" w:bidi="hr-HR"/>
        </w:rPr>
        <w:t>.</w:t>
      </w:r>
      <w:r w:rsidR="00814A17">
        <w:rPr>
          <w:color w:val="000000"/>
          <w:sz w:val="24"/>
          <w:szCs w:val="24"/>
          <w:lang w:eastAsia="hr-HR" w:bidi="hr-HR"/>
        </w:rPr>
        <w:t xml:space="preserve"> </w:t>
      </w:r>
    </w:p>
    <w:p w:rsidR="005A0FE6" w:rsidRPr="00BC3002" w:rsidRDefault="005A0FE6" w:rsidP="00700BE4">
      <w:pPr>
        <w:pStyle w:val="BodyText"/>
        <w:shd w:val="clear" w:color="auto" w:fill="auto"/>
        <w:tabs>
          <w:tab w:val="left" w:pos="993"/>
        </w:tabs>
        <w:spacing w:before="60" w:after="60" w:line="276" w:lineRule="auto"/>
        <w:jc w:val="center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II.</w:t>
      </w:r>
    </w:p>
    <w:p w:rsidR="00763A65" w:rsidRDefault="00763A65" w:rsidP="00763A65">
      <w:pPr>
        <w:pStyle w:val="BodyText"/>
        <w:shd w:val="clear" w:color="auto" w:fill="auto"/>
        <w:tabs>
          <w:tab w:val="left" w:pos="993"/>
        </w:tabs>
        <w:spacing w:before="60" w:after="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Funkcija praćenja usklađenosti poslovanja, u smislu ove Odluke, podrazumijeva sve poslove koji se odnose na </w:t>
      </w:r>
      <w:r w:rsidR="0037068C">
        <w:rPr>
          <w:sz w:val="24"/>
          <w:szCs w:val="24"/>
        </w:rPr>
        <w:t>usklađivanje funkcioniranja i poslovanja Pravne osobe s pravnom regulativom</w:t>
      </w:r>
      <w:r w:rsidR="006F5B8A">
        <w:rPr>
          <w:sz w:val="24"/>
          <w:szCs w:val="24"/>
        </w:rPr>
        <w:t xml:space="preserve"> i internim aktima</w:t>
      </w:r>
      <w:r w:rsidR="0037068C">
        <w:rPr>
          <w:sz w:val="24"/>
          <w:szCs w:val="24"/>
        </w:rPr>
        <w:t>, procjene rizika u funkcioniranju i poslovanju Pravne osobe, brigu o provođenju dobre poslovne prakse, te sprječavanje sukoba interesa i koruptivnih radnji.</w:t>
      </w:r>
    </w:p>
    <w:p w:rsidR="00492A44" w:rsidRPr="00492A44" w:rsidRDefault="00DF61FE" w:rsidP="00492A44">
      <w:pPr>
        <w:widowControl w:val="0"/>
        <w:tabs>
          <w:tab w:val="left" w:pos="0"/>
        </w:tabs>
        <w:autoSpaceDN/>
        <w:spacing w:before="60" w:after="60" w:line="276" w:lineRule="auto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92A44" w:rsidRPr="00492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BDC" w:rsidRDefault="00297813" w:rsidP="00990BDC">
      <w:pPr>
        <w:widowControl w:val="0"/>
        <w:shd w:val="clear" w:color="auto" w:fill="FFFFFF"/>
        <w:tabs>
          <w:tab w:val="left" w:pos="0"/>
        </w:tabs>
        <w:autoSpaceDN/>
        <w:spacing w:before="60" w:after="60" w:line="276" w:lineRule="auto"/>
        <w:ind w:right="-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Utvrđuje se obveza </w:t>
      </w:r>
      <w:r w:rsidR="00AB3A9E"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90BDC"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ravn</w:t>
      </w:r>
      <w:r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</w:t>
      </w:r>
      <w:r w:rsidR="00990BDC"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</w:t>
      </w:r>
      <w:r w:rsidR="00990BDC" w:rsidRPr="00FD4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>organizirati funkciju</w:t>
      </w:r>
      <w:r w:rsidR="00F90D58">
        <w:rPr>
          <w:rFonts w:ascii="Times New Roman" w:eastAsia="Times New Roman" w:hAnsi="Times New Roman" w:cs="Times New Roman"/>
          <w:sz w:val="24"/>
          <w:szCs w:val="24"/>
        </w:rPr>
        <w:t xml:space="preserve"> praćenja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DC" w:rsidRPr="00492A44">
        <w:rPr>
          <w:rFonts w:ascii="Times New Roman" w:eastAsia="Times New Roman" w:hAnsi="Times New Roman" w:cs="Times New Roman"/>
          <w:sz w:val="24"/>
          <w:szCs w:val="24"/>
        </w:rPr>
        <w:t>usklađenosti poslovanja</w:t>
      </w:r>
      <w:r w:rsidR="00990BDC" w:rsidRPr="00990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 xml:space="preserve">na optimalan način uvažavajući </w:t>
      </w:r>
      <w:r w:rsidR="00990BDC" w:rsidRPr="00492A44">
        <w:rPr>
          <w:rFonts w:ascii="Times New Roman" w:eastAsia="Times New Roman" w:hAnsi="Times New Roman" w:cs="Times New Roman"/>
          <w:sz w:val="24"/>
          <w:szCs w:val="24"/>
        </w:rPr>
        <w:t>veličin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90BDC" w:rsidRPr="00492A44">
        <w:rPr>
          <w:rFonts w:ascii="Times New Roman" w:eastAsia="Times New Roman" w:hAnsi="Times New Roman" w:cs="Times New Roman"/>
          <w:sz w:val="24"/>
          <w:szCs w:val="24"/>
        </w:rPr>
        <w:t>, organizacijsk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90BDC" w:rsidRPr="00492A44">
        <w:rPr>
          <w:rFonts w:ascii="Times New Roman" w:eastAsia="Times New Roman" w:hAnsi="Times New Roman" w:cs="Times New Roman"/>
          <w:sz w:val="24"/>
          <w:szCs w:val="24"/>
        </w:rPr>
        <w:t xml:space="preserve"> struktur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 xml:space="preserve">u, </w:t>
      </w:r>
      <w:r w:rsidR="00990BDC">
        <w:rPr>
          <w:rFonts w:ascii="Times New Roman" w:eastAsia="Times New Roman" w:hAnsi="Times New Roman" w:cs="Times New Roman"/>
          <w:sz w:val="24"/>
          <w:szCs w:val="24"/>
        </w:rPr>
        <w:t>složenost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 xml:space="preserve"> i ostale aspekte poslovanja</w:t>
      </w:r>
      <w:r w:rsidR="00990BDC" w:rsidRPr="00492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D58" w:rsidRDefault="0037068C" w:rsidP="00990BDC">
      <w:pPr>
        <w:widowControl w:val="0"/>
        <w:shd w:val="clear" w:color="auto" w:fill="FFFFFF"/>
        <w:tabs>
          <w:tab w:val="left" w:pos="0"/>
        </w:tabs>
        <w:autoSpaceDN/>
        <w:spacing w:before="60" w:after="60" w:line="276" w:lineRule="auto"/>
        <w:ind w:right="-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Preporuča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 xml:space="preserve"> se Pravnim osobama da se primjena</w:t>
      </w:r>
      <w:r w:rsidR="00F90D58">
        <w:rPr>
          <w:rFonts w:ascii="Times New Roman" w:eastAsia="Times New Roman" w:hAnsi="Times New Roman" w:cs="Times New Roman"/>
          <w:sz w:val="24"/>
          <w:szCs w:val="24"/>
        </w:rPr>
        <w:t xml:space="preserve"> praćenja usklađenosti poslovanja 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>osigura</w:t>
      </w:r>
      <w:r w:rsidR="00F9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>i za druge</w:t>
      </w:r>
      <w:r w:rsidR="00767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>pravne osobe</w:t>
      </w:r>
      <w:r w:rsidR="00F9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17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6730D">
        <w:rPr>
          <w:rFonts w:ascii="Times New Roman" w:eastAsia="Times New Roman" w:hAnsi="Times New Roman" w:cs="Times New Roman"/>
          <w:sz w:val="24"/>
          <w:szCs w:val="24"/>
        </w:rPr>
        <w:t xml:space="preserve">vlasništvu (društva kćeri), </w:t>
      </w:r>
      <w:r w:rsidR="0076730D" w:rsidRPr="0076730D">
        <w:rPr>
          <w:rFonts w:ascii="Times New Roman" w:eastAsia="Times New Roman" w:hAnsi="Times New Roman" w:cs="Times New Roman"/>
          <w:sz w:val="24"/>
          <w:szCs w:val="24"/>
        </w:rPr>
        <w:t>uvažavajući velič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 xml:space="preserve">inu, organizacijsku strukturu, </w:t>
      </w:r>
      <w:r w:rsidR="0076730D" w:rsidRPr="0076730D">
        <w:rPr>
          <w:rFonts w:ascii="Times New Roman" w:eastAsia="Times New Roman" w:hAnsi="Times New Roman" w:cs="Times New Roman"/>
          <w:sz w:val="24"/>
          <w:szCs w:val="24"/>
        </w:rPr>
        <w:t>složenost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 xml:space="preserve"> i ostale aspekte</w:t>
      </w:r>
      <w:r w:rsidR="0076730D" w:rsidRPr="0076730D">
        <w:rPr>
          <w:rFonts w:ascii="Times New Roman" w:eastAsia="Times New Roman" w:hAnsi="Times New Roman" w:cs="Times New Roman"/>
          <w:sz w:val="24"/>
          <w:szCs w:val="24"/>
        </w:rPr>
        <w:t xml:space="preserve"> poslovanja </w:t>
      </w:r>
      <w:r w:rsidR="0076730D">
        <w:rPr>
          <w:rFonts w:ascii="Times New Roman" w:eastAsia="Times New Roman" w:hAnsi="Times New Roman" w:cs="Times New Roman"/>
          <w:sz w:val="24"/>
          <w:szCs w:val="24"/>
        </w:rPr>
        <w:t xml:space="preserve">matične pravne osobe i pravnih osoba </w:t>
      </w:r>
      <w:r w:rsidR="00B753D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6730D">
        <w:rPr>
          <w:rFonts w:ascii="Times New Roman" w:eastAsia="Times New Roman" w:hAnsi="Times New Roman" w:cs="Times New Roman"/>
          <w:sz w:val="24"/>
          <w:szCs w:val="24"/>
        </w:rPr>
        <w:t>vlasništvu.</w:t>
      </w:r>
    </w:p>
    <w:p w:rsidR="00B01782" w:rsidRDefault="00492A44" w:rsidP="00DF61FE">
      <w:pPr>
        <w:widowControl w:val="0"/>
        <w:shd w:val="clear" w:color="auto" w:fill="FFFFFF"/>
        <w:tabs>
          <w:tab w:val="left" w:pos="0"/>
        </w:tabs>
        <w:autoSpaceDN/>
        <w:spacing w:before="60" w:after="60" w:line="276" w:lineRule="auto"/>
        <w:ind w:right="-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492A44">
        <w:rPr>
          <w:rFonts w:ascii="Times New Roman" w:eastAsia="Times New Roman" w:hAnsi="Times New Roman" w:cs="Times New Roman"/>
          <w:sz w:val="24"/>
          <w:szCs w:val="24"/>
        </w:rPr>
        <w:t xml:space="preserve">Osobe zadužene za funkciju </w:t>
      </w:r>
      <w:r w:rsidR="00D960B2">
        <w:rPr>
          <w:rFonts w:ascii="Times New Roman" w:eastAsia="Times New Roman" w:hAnsi="Times New Roman" w:cs="Times New Roman"/>
          <w:sz w:val="24"/>
          <w:szCs w:val="24"/>
        </w:rPr>
        <w:t xml:space="preserve">praćenja </w:t>
      </w:r>
      <w:r w:rsidRPr="00492A44">
        <w:rPr>
          <w:rFonts w:ascii="Times New Roman" w:eastAsia="Times New Roman" w:hAnsi="Times New Roman" w:cs="Times New Roman"/>
          <w:sz w:val="24"/>
          <w:szCs w:val="24"/>
        </w:rPr>
        <w:t>usklađenosti poslovanja</w:t>
      </w:r>
      <w:r w:rsidR="006F5B8A">
        <w:rPr>
          <w:rFonts w:ascii="Times New Roman" w:eastAsia="Times New Roman" w:hAnsi="Times New Roman" w:cs="Times New Roman"/>
          <w:sz w:val="24"/>
          <w:szCs w:val="24"/>
        </w:rPr>
        <w:t xml:space="preserve"> u Pravnim osobama</w:t>
      </w:r>
      <w:r w:rsidRPr="00492A44">
        <w:rPr>
          <w:rFonts w:ascii="Times New Roman" w:eastAsia="Times New Roman" w:hAnsi="Times New Roman" w:cs="Times New Roman"/>
          <w:sz w:val="24"/>
          <w:szCs w:val="24"/>
        </w:rPr>
        <w:t>, bilo da tu funkciju obavljaju samostalno ili u sklopu</w:t>
      </w:r>
      <w:r w:rsidR="00D960B2">
        <w:rPr>
          <w:rFonts w:ascii="Times New Roman" w:eastAsia="Times New Roman" w:hAnsi="Times New Roman" w:cs="Times New Roman"/>
          <w:sz w:val="24"/>
          <w:szCs w:val="24"/>
        </w:rPr>
        <w:t xml:space="preserve"> zasebne</w:t>
      </w:r>
      <w:r w:rsidRPr="00492A44">
        <w:rPr>
          <w:rFonts w:ascii="Times New Roman" w:eastAsia="Times New Roman" w:hAnsi="Times New Roman" w:cs="Times New Roman"/>
          <w:sz w:val="24"/>
          <w:szCs w:val="24"/>
        </w:rPr>
        <w:t xml:space="preserve"> ustrojstvene jedinice, </w:t>
      </w:r>
      <w:r w:rsidR="00B01782">
        <w:rPr>
          <w:rFonts w:ascii="Times New Roman" w:eastAsia="Times New Roman" w:hAnsi="Times New Roman" w:cs="Times New Roman"/>
          <w:sz w:val="24"/>
          <w:szCs w:val="24"/>
        </w:rPr>
        <w:t>trebaju</w:t>
      </w:r>
      <w:r w:rsidR="008665CE">
        <w:rPr>
          <w:rFonts w:ascii="Times New Roman" w:eastAsia="Times New Roman" w:hAnsi="Times New Roman" w:cs="Times New Roman"/>
          <w:sz w:val="24"/>
          <w:szCs w:val="24"/>
        </w:rPr>
        <w:t xml:space="preserve"> imati osiguranu samostalnost i neovisnost u radu, imati potreban pristup informacijama i osoblju kako bi mogle obavljati zadatke</w:t>
      </w:r>
      <w:r w:rsidR="00B017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057E">
        <w:rPr>
          <w:rFonts w:ascii="Times New Roman" w:eastAsia="Times New Roman" w:hAnsi="Times New Roman" w:cs="Times New Roman"/>
          <w:sz w:val="24"/>
          <w:szCs w:val="24"/>
        </w:rPr>
        <w:t xml:space="preserve">mogućnost </w:t>
      </w:r>
      <w:r w:rsidR="00B01782" w:rsidRPr="00B01782">
        <w:rPr>
          <w:rFonts w:ascii="Times New Roman" w:eastAsia="Times New Roman" w:hAnsi="Times New Roman" w:cs="Times New Roman"/>
          <w:sz w:val="24"/>
          <w:szCs w:val="24"/>
        </w:rPr>
        <w:t>zatražiti pomoć str</w:t>
      </w:r>
      <w:r w:rsidR="00B01782">
        <w:rPr>
          <w:rFonts w:ascii="Times New Roman" w:eastAsia="Times New Roman" w:hAnsi="Times New Roman" w:cs="Times New Roman"/>
          <w:sz w:val="24"/>
          <w:szCs w:val="24"/>
        </w:rPr>
        <w:t xml:space="preserve">učnjaka unutar društva (pravne </w:t>
      </w:r>
      <w:r w:rsidR="00B01782" w:rsidRPr="00B01782">
        <w:rPr>
          <w:rFonts w:ascii="Times New Roman" w:eastAsia="Times New Roman" w:hAnsi="Times New Roman" w:cs="Times New Roman"/>
          <w:sz w:val="24"/>
          <w:szCs w:val="24"/>
        </w:rPr>
        <w:t xml:space="preserve">službe ili unutarnje revizije) </w:t>
      </w:r>
      <w:r w:rsidR="008665C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8665CE" w:rsidRPr="008665CE">
        <w:rPr>
          <w:rFonts w:ascii="Times New Roman" w:eastAsia="Times New Roman" w:hAnsi="Times New Roman" w:cs="Times New Roman"/>
          <w:sz w:val="24"/>
          <w:szCs w:val="24"/>
        </w:rPr>
        <w:t>ne smiju biti u sukob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65CE" w:rsidRPr="008665CE">
        <w:rPr>
          <w:rFonts w:ascii="Times New Roman" w:eastAsia="Times New Roman" w:hAnsi="Times New Roman" w:cs="Times New Roman"/>
          <w:sz w:val="24"/>
          <w:szCs w:val="24"/>
        </w:rPr>
        <w:t xml:space="preserve"> interesa između svoje odgovornosti koja se odnosi na obavljanje funkcije</w:t>
      </w:r>
      <w:r w:rsidR="008665CE">
        <w:rPr>
          <w:rFonts w:ascii="Times New Roman" w:eastAsia="Times New Roman" w:hAnsi="Times New Roman" w:cs="Times New Roman"/>
          <w:sz w:val="24"/>
          <w:szCs w:val="24"/>
        </w:rPr>
        <w:t xml:space="preserve"> praćenja</w:t>
      </w:r>
      <w:r w:rsidR="008665CE" w:rsidRPr="008665CE">
        <w:rPr>
          <w:rFonts w:ascii="Times New Roman" w:eastAsia="Times New Roman" w:hAnsi="Times New Roman" w:cs="Times New Roman"/>
          <w:sz w:val="24"/>
          <w:szCs w:val="24"/>
        </w:rPr>
        <w:t xml:space="preserve"> usklađenost </w:t>
      </w:r>
      <w:r w:rsidR="00BD21F4">
        <w:rPr>
          <w:rFonts w:ascii="Times New Roman" w:eastAsia="Times New Roman" w:hAnsi="Times New Roman" w:cs="Times New Roman"/>
          <w:sz w:val="24"/>
          <w:szCs w:val="24"/>
        </w:rPr>
        <w:t>poslovanja</w:t>
      </w:r>
      <w:r w:rsidR="00866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5CE" w:rsidRPr="008665CE">
        <w:rPr>
          <w:rFonts w:ascii="Times New Roman" w:eastAsia="Times New Roman" w:hAnsi="Times New Roman" w:cs="Times New Roman"/>
          <w:sz w:val="24"/>
          <w:szCs w:val="24"/>
        </w:rPr>
        <w:t>i svojih drugih odgovornosti</w:t>
      </w:r>
      <w:r w:rsidR="00866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054" w:rsidRDefault="00907054" w:rsidP="00DF61FE">
      <w:pPr>
        <w:widowControl w:val="0"/>
        <w:shd w:val="clear" w:color="auto" w:fill="FFFFFF"/>
        <w:tabs>
          <w:tab w:val="left" w:pos="0"/>
        </w:tabs>
        <w:autoSpaceDN/>
        <w:spacing w:before="60" w:after="60" w:line="276" w:lineRule="auto"/>
        <w:ind w:right="-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907054" w:rsidRPr="00DF61FE" w:rsidRDefault="00907054" w:rsidP="00DF61FE">
      <w:pPr>
        <w:widowControl w:val="0"/>
        <w:shd w:val="clear" w:color="auto" w:fill="FFFFFF"/>
        <w:tabs>
          <w:tab w:val="left" w:pos="0"/>
        </w:tabs>
        <w:autoSpaceDN/>
        <w:spacing w:before="60" w:after="60" w:line="276" w:lineRule="auto"/>
        <w:ind w:right="-1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492A44" w:rsidRDefault="00DF61FE" w:rsidP="00492A44">
      <w:pPr>
        <w:pStyle w:val="BodyText"/>
        <w:tabs>
          <w:tab w:val="left" w:pos="0"/>
        </w:tabs>
        <w:spacing w:before="60"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492A44">
        <w:rPr>
          <w:sz w:val="24"/>
          <w:szCs w:val="24"/>
        </w:rPr>
        <w:t>V.</w:t>
      </w:r>
    </w:p>
    <w:p w:rsidR="00994B30" w:rsidRDefault="00492A44" w:rsidP="005D3981">
      <w:pPr>
        <w:pStyle w:val="BodyText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 w:rsidRPr="00E936CE">
        <w:rPr>
          <w:sz w:val="24"/>
          <w:szCs w:val="24"/>
        </w:rPr>
        <w:t xml:space="preserve">Osoba </w:t>
      </w:r>
      <w:r>
        <w:rPr>
          <w:sz w:val="24"/>
          <w:szCs w:val="24"/>
        </w:rPr>
        <w:t xml:space="preserve">ili ustrojstvena jedinica </w:t>
      </w:r>
      <w:r w:rsidRPr="00E936CE">
        <w:rPr>
          <w:sz w:val="24"/>
          <w:szCs w:val="24"/>
        </w:rPr>
        <w:t xml:space="preserve">zadužena za funkciju </w:t>
      </w:r>
      <w:r w:rsidR="00994B30">
        <w:rPr>
          <w:sz w:val="24"/>
          <w:szCs w:val="24"/>
        </w:rPr>
        <w:t xml:space="preserve">praćenja </w:t>
      </w:r>
      <w:r w:rsidRPr="00E936CE">
        <w:rPr>
          <w:sz w:val="24"/>
          <w:szCs w:val="24"/>
        </w:rPr>
        <w:t xml:space="preserve">usklađenosti poslovanja </w:t>
      </w:r>
      <w:r w:rsidR="00994B30" w:rsidRPr="00994B30">
        <w:rPr>
          <w:sz w:val="24"/>
          <w:szCs w:val="24"/>
        </w:rPr>
        <w:t xml:space="preserve">treba savjetovati </w:t>
      </w:r>
      <w:r w:rsidR="00994B30">
        <w:rPr>
          <w:sz w:val="24"/>
          <w:szCs w:val="24"/>
        </w:rPr>
        <w:t xml:space="preserve">i izvještavati </w:t>
      </w:r>
      <w:r w:rsidR="0044401D">
        <w:rPr>
          <w:sz w:val="24"/>
          <w:szCs w:val="24"/>
        </w:rPr>
        <w:t>sva tijela P</w:t>
      </w:r>
      <w:r w:rsidR="00994B30">
        <w:rPr>
          <w:sz w:val="24"/>
          <w:szCs w:val="24"/>
        </w:rPr>
        <w:t>ravne osobe</w:t>
      </w:r>
      <w:r w:rsidR="00994B30" w:rsidRPr="00994B30">
        <w:rPr>
          <w:sz w:val="24"/>
          <w:szCs w:val="24"/>
        </w:rPr>
        <w:t xml:space="preserve"> o svim nepravilnostima ili mogućim kršenjima propisa koja su o</w:t>
      </w:r>
      <w:r w:rsidR="00994B30">
        <w:rPr>
          <w:sz w:val="24"/>
          <w:szCs w:val="24"/>
        </w:rPr>
        <w:t>tkrivena njezinim ispitivanjima</w:t>
      </w:r>
      <w:r w:rsidR="00994B30" w:rsidRPr="00994B30">
        <w:rPr>
          <w:sz w:val="24"/>
          <w:szCs w:val="24"/>
        </w:rPr>
        <w:t>.</w:t>
      </w:r>
    </w:p>
    <w:p w:rsidR="00E22FAE" w:rsidRDefault="00E22FAE" w:rsidP="005D3981">
      <w:pPr>
        <w:pStyle w:val="BodyText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 w:rsidRPr="00E22FAE">
        <w:rPr>
          <w:sz w:val="24"/>
          <w:szCs w:val="24"/>
        </w:rPr>
        <w:t>Uprava ili drugo tijelo upravljanja Pravne osobe</w:t>
      </w:r>
      <w:r w:rsidR="009D0895">
        <w:rPr>
          <w:sz w:val="24"/>
          <w:szCs w:val="24"/>
        </w:rPr>
        <w:t xml:space="preserve"> odgovorno je </w:t>
      </w:r>
      <w:r w:rsidR="006F5B8A">
        <w:rPr>
          <w:sz w:val="24"/>
          <w:szCs w:val="24"/>
        </w:rPr>
        <w:t>za funkciju p</w:t>
      </w:r>
      <w:r w:rsidR="009D0895">
        <w:rPr>
          <w:sz w:val="24"/>
          <w:szCs w:val="24"/>
        </w:rPr>
        <w:t>raćenja usklađenosti poslovanja i</w:t>
      </w:r>
      <w:r w:rsidRPr="00E22FAE">
        <w:rPr>
          <w:sz w:val="24"/>
          <w:szCs w:val="24"/>
        </w:rPr>
        <w:t xml:space="preserve"> treba najmanje jednom godišnje identificirati i procijeniti glavne rizike usk</w:t>
      </w:r>
      <w:r w:rsidR="00171748">
        <w:rPr>
          <w:sz w:val="24"/>
          <w:szCs w:val="24"/>
        </w:rPr>
        <w:t>lađenosti poslovanja kojima je P</w:t>
      </w:r>
      <w:r w:rsidRPr="00E22FAE">
        <w:rPr>
          <w:sz w:val="24"/>
          <w:szCs w:val="24"/>
        </w:rPr>
        <w:t>ravna osoba izložena te donijeti planove za upravljanje tim rizicima.</w:t>
      </w:r>
    </w:p>
    <w:p w:rsidR="00BC3002" w:rsidRDefault="00492A44" w:rsidP="00700BE4">
      <w:pPr>
        <w:pStyle w:val="BodyText"/>
        <w:tabs>
          <w:tab w:val="left" w:pos="993"/>
        </w:tabs>
        <w:spacing w:before="60" w:after="6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BC3002">
        <w:rPr>
          <w:sz w:val="24"/>
          <w:szCs w:val="24"/>
        </w:rPr>
        <w:t>.</w:t>
      </w:r>
    </w:p>
    <w:p w:rsidR="00814A17" w:rsidRDefault="006A7F2E" w:rsidP="001F4E84">
      <w:pPr>
        <w:pStyle w:val="BodyText"/>
        <w:tabs>
          <w:tab w:val="left" w:pos="993"/>
        </w:tabs>
        <w:spacing w:before="60" w:after="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Preporuča</w:t>
      </w:r>
      <w:r w:rsidR="000E2A6B">
        <w:rPr>
          <w:sz w:val="24"/>
          <w:szCs w:val="24"/>
        </w:rPr>
        <w:t xml:space="preserve"> se da funkcija</w:t>
      </w:r>
      <w:r w:rsidR="00994B30">
        <w:rPr>
          <w:sz w:val="24"/>
          <w:szCs w:val="24"/>
        </w:rPr>
        <w:t xml:space="preserve"> praćenja</w:t>
      </w:r>
      <w:r w:rsidR="000E2A6B">
        <w:rPr>
          <w:sz w:val="24"/>
          <w:szCs w:val="24"/>
        </w:rPr>
        <w:t xml:space="preserve"> usklađenosti poslovanja ima</w:t>
      </w:r>
      <w:r w:rsidR="00543995" w:rsidRPr="00814A17">
        <w:rPr>
          <w:sz w:val="24"/>
          <w:szCs w:val="24"/>
        </w:rPr>
        <w:t>:</w:t>
      </w:r>
      <w:r w:rsidR="00814A17" w:rsidRPr="00814A17">
        <w:rPr>
          <w:sz w:val="24"/>
          <w:szCs w:val="24"/>
        </w:rPr>
        <w:t xml:space="preserve"> </w:t>
      </w:r>
    </w:p>
    <w:p w:rsidR="00814A17" w:rsidRDefault="00543995" w:rsidP="001F4E84">
      <w:pPr>
        <w:pStyle w:val="BodyText"/>
        <w:numPr>
          <w:ilvl w:val="0"/>
          <w:numId w:val="9"/>
        </w:numPr>
        <w:tabs>
          <w:tab w:val="left" w:pos="0"/>
        </w:tabs>
        <w:spacing w:before="60" w:after="60" w:line="276" w:lineRule="auto"/>
        <w:ind w:left="0" w:firstLine="0"/>
        <w:contextualSpacing/>
        <w:jc w:val="both"/>
        <w:rPr>
          <w:sz w:val="24"/>
          <w:szCs w:val="24"/>
        </w:rPr>
      </w:pPr>
      <w:r w:rsidRPr="00814A17">
        <w:rPr>
          <w:sz w:val="24"/>
          <w:szCs w:val="24"/>
        </w:rPr>
        <w:t xml:space="preserve">formalni status unutar </w:t>
      </w:r>
      <w:r w:rsidR="00814A17">
        <w:rPr>
          <w:sz w:val="24"/>
          <w:szCs w:val="24"/>
        </w:rPr>
        <w:t>P</w:t>
      </w:r>
      <w:r w:rsidRPr="00814A17">
        <w:rPr>
          <w:sz w:val="24"/>
          <w:szCs w:val="24"/>
        </w:rPr>
        <w:t xml:space="preserve">ravne osobe kako bi ostvarila odgovarajući položaj, </w:t>
      </w:r>
      <w:r w:rsidR="000E2A6B">
        <w:rPr>
          <w:sz w:val="24"/>
          <w:szCs w:val="24"/>
        </w:rPr>
        <w:tab/>
      </w:r>
      <w:r w:rsidRPr="00814A17">
        <w:rPr>
          <w:sz w:val="24"/>
          <w:szCs w:val="24"/>
        </w:rPr>
        <w:t xml:space="preserve">autoritet i neovisnost, </w:t>
      </w:r>
    </w:p>
    <w:p w:rsidR="00D155F2" w:rsidRDefault="000E2A6B" w:rsidP="00492A44">
      <w:pPr>
        <w:pStyle w:val="BodyText"/>
        <w:numPr>
          <w:ilvl w:val="0"/>
          <w:numId w:val="9"/>
        </w:numPr>
        <w:shd w:val="clear" w:color="auto" w:fill="auto"/>
        <w:tabs>
          <w:tab w:val="left" w:pos="0"/>
        </w:tabs>
        <w:spacing w:before="60" w:after="6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definiran</w:t>
      </w:r>
      <w:r w:rsidR="00492A44">
        <w:rPr>
          <w:sz w:val="24"/>
          <w:szCs w:val="24"/>
        </w:rPr>
        <w:t>u funkciju</w:t>
      </w:r>
      <w:r w:rsidR="003D3AF5">
        <w:rPr>
          <w:sz w:val="24"/>
          <w:szCs w:val="24"/>
        </w:rPr>
        <w:t xml:space="preserve"> praćenja</w:t>
      </w:r>
      <w:r w:rsidR="00492A44">
        <w:rPr>
          <w:sz w:val="24"/>
          <w:szCs w:val="24"/>
        </w:rPr>
        <w:t xml:space="preserve"> </w:t>
      </w:r>
      <w:r w:rsidR="00DF61FE">
        <w:rPr>
          <w:sz w:val="24"/>
          <w:szCs w:val="24"/>
        </w:rPr>
        <w:t>usklađenosti</w:t>
      </w:r>
      <w:r w:rsidR="00492A44">
        <w:rPr>
          <w:sz w:val="24"/>
          <w:szCs w:val="24"/>
        </w:rPr>
        <w:t xml:space="preserve"> </w:t>
      </w:r>
      <w:r w:rsidR="00D155F2">
        <w:rPr>
          <w:sz w:val="24"/>
          <w:szCs w:val="24"/>
        </w:rPr>
        <w:t xml:space="preserve">odgovarajućim pravilnikom unutar </w:t>
      </w:r>
      <w:r w:rsidR="003D3AF5">
        <w:rPr>
          <w:sz w:val="24"/>
          <w:szCs w:val="24"/>
        </w:rPr>
        <w:tab/>
      </w:r>
      <w:r w:rsidR="00DF61FE">
        <w:rPr>
          <w:sz w:val="24"/>
          <w:szCs w:val="24"/>
        </w:rPr>
        <w:t>Pravne osobe,</w:t>
      </w:r>
    </w:p>
    <w:p w:rsidR="00DF61FE" w:rsidRDefault="00DF61FE" w:rsidP="00492A44">
      <w:pPr>
        <w:pStyle w:val="BodyText"/>
        <w:numPr>
          <w:ilvl w:val="0"/>
          <w:numId w:val="9"/>
        </w:numPr>
        <w:shd w:val="clear" w:color="auto" w:fill="auto"/>
        <w:tabs>
          <w:tab w:val="left" w:pos="0"/>
        </w:tabs>
        <w:spacing w:before="60" w:after="6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mogućnost izravne komunikacije između osoba zaduženih za obavljanje funkcije </w:t>
      </w:r>
      <w:r>
        <w:rPr>
          <w:sz w:val="24"/>
          <w:szCs w:val="24"/>
        </w:rPr>
        <w:tab/>
        <w:t xml:space="preserve">praćenja usklađenosti poslovanja i nadzornog odbora ili drugog nadzornog </w:t>
      </w:r>
      <w:r>
        <w:rPr>
          <w:sz w:val="24"/>
          <w:szCs w:val="24"/>
        </w:rPr>
        <w:tab/>
        <w:t>tijela Pravne  osobe.</w:t>
      </w:r>
    </w:p>
    <w:p w:rsidR="00DF61FE" w:rsidRDefault="00DF61FE" w:rsidP="00DF61FE">
      <w:pPr>
        <w:pStyle w:val="BodyText"/>
        <w:shd w:val="clear" w:color="auto" w:fill="auto"/>
        <w:tabs>
          <w:tab w:val="left" w:pos="0"/>
        </w:tabs>
        <w:spacing w:before="60"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C5120E" w:rsidRPr="00492A44" w:rsidRDefault="00C5120E" w:rsidP="00C5120E">
      <w:pPr>
        <w:pStyle w:val="BodyText"/>
        <w:shd w:val="clear" w:color="auto" w:fill="auto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Obvezuju se Pravne osobe</w:t>
      </w:r>
      <w:r w:rsidRPr="00DF61FE">
        <w:rPr>
          <w:sz w:val="24"/>
          <w:szCs w:val="24"/>
        </w:rPr>
        <w:t xml:space="preserve"> da u roku od šest mjeseci od dana stupanja na snagu </w:t>
      </w:r>
      <w:r>
        <w:rPr>
          <w:sz w:val="24"/>
          <w:szCs w:val="24"/>
        </w:rPr>
        <w:t>ove Odluke</w:t>
      </w:r>
      <w:r w:rsidRPr="00DF61FE">
        <w:rPr>
          <w:sz w:val="24"/>
          <w:szCs w:val="24"/>
        </w:rPr>
        <w:t xml:space="preserve"> u svoju organizacijsku strukturu uvedu funkciju praćenja usklađenosti poslovanja.</w:t>
      </w:r>
    </w:p>
    <w:p w:rsidR="00C5120E" w:rsidRDefault="00BA2740" w:rsidP="00FD4F66">
      <w:pPr>
        <w:pStyle w:val="BodyText"/>
        <w:shd w:val="clear" w:color="auto" w:fill="auto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Pravne osobe</w:t>
      </w:r>
      <w:r w:rsidR="007B5DB5" w:rsidRPr="00E76887">
        <w:rPr>
          <w:color w:val="000000" w:themeColor="text1"/>
          <w:sz w:val="24"/>
          <w:szCs w:val="24"/>
        </w:rPr>
        <w:t xml:space="preserve"> iz točke I. ove Odluke dostavit će</w:t>
      </w:r>
      <w:r w:rsidR="00C5120E">
        <w:rPr>
          <w:color w:val="000000" w:themeColor="text1"/>
          <w:sz w:val="24"/>
          <w:szCs w:val="24"/>
        </w:rPr>
        <w:t xml:space="preserve"> Ministarstvu državne imovine i Centru za restrukturiranje i prodaju,</w:t>
      </w:r>
      <w:r w:rsidR="007B5DB5" w:rsidRPr="00E76887">
        <w:rPr>
          <w:color w:val="000000" w:themeColor="text1"/>
          <w:sz w:val="24"/>
          <w:szCs w:val="24"/>
        </w:rPr>
        <w:t xml:space="preserve"> najkasnije </w:t>
      </w:r>
      <w:r w:rsidR="00FD4F66" w:rsidRPr="00E76887">
        <w:rPr>
          <w:color w:val="000000" w:themeColor="text1"/>
          <w:sz w:val="24"/>
          <w:szCs w:val="24"/>
        </w:rPr>
        <w:t xml:space="preserve">u roku </w:t>
      </w:r>
      <w:r w:rsidR="00C5120E">
        <w:rPr>
          <w:color w:val="000000" w:themeColor="text1"/>
          <w:sz w:val="24"/>
          <w:szCs w:val="24"/>
        </w:rPr>
        <w:t xml:space="preserve">od 60 dana od dana uvođenja </w:t>
      </w:r>
      <w:r w:rsidR="00C5120E">
        <w:rPr>
          <w:sz w:val="24"/>
          <w:szCs w:val="24"/>
        </w:rPr>
        <w:t>funkcije</w:t>
      </w:r>
      <w:r w:rsidR="00C5120E" w:rsidRPr="00DF61FE">
        <w:rPr>
          <w:sz w:val="24"/>
          <w:szCs w:val="24"/>
        </w:rPr>
        <w:t xml:space="preserve"> praćenja usklađenosti poslovanja</w:t>
      </w:r>
      <w:r w:rsidR="00C5120E">
        <w:rPr>
          <w:sz w:val="24"/>
          <w:szCs w:val="24"/>
        </w:rPr>
        <w:t>, izvještaj o načinu uvođenja funkcije</w:t>
      </w:r>
      <w:r w:rsidR="00C5120E" w:rsidRPr="00DF61FE">
        <w:rPr>
          <w:sz w:val="24"/>
          <w:szCs w:val="24"/>
        </w:rPr>
        <w:t xml:space="preserve"> praćenja usklađenosti poslovanja</w:t>
      </w:r>
      <w:r w:rsidR="00D14F37">
        <w:rPr>
          <w:sz w:val="24"/>
          <w:szCs w:val="24"/>
        </w:rPr>
        <w:t>, kao i drugim radnjama poduzetim u svrhu provedbe ove Odluke</w:t>
      </w:r>
      <w:r w:rsidR="00C5120E">
        <w:rPr>
          <w:sz w:val="24"/>
          <w:szCs w:val="24"/>
        </w:rPr>
        <w:t xml:space="preserve">. </w:t>
      </w:r>
    </w:p>
    <w:p w:rsidR="00907054" w:rsidRDefault="00907054" w:rsidP="00FD4F66">
      <w:pPr>
        <w:pStyle w:val="BodyText"/>
        <w:shd w:val="clear" w:color="auto" w:fill="auto"/>
        <w:tabs>
          <w:tab w:val="left" w:pos="0"/>
        </w:tabs>
        <w:spacing w:before="60" w:after="60" w:line="276" w:lineRule="auto"/>
        <w:jc w:val="both"/>
        <w:rPr>
          <w:color w:val="000000" w:themeColor="text1"/>
          <w:sz w:val="24"/>
          <w:szCs w:val="24"/>
        </w:rPr>
      </w:pPr>
    </w:p>
    <w:p w:rsidR="006161E3" w:rsidRDefault="00E22FAE" w:rsidP="003B7C7E">
      <w:pPr>
        <w:pStyle w:val="BodyText"/>
        <w:tabs>
          <w:tab w:val="left" w:pos="0"/>
        </w:tabs>
        <w:spacing w:before="60"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  <w:r w:rsidR="006A7F2E">
        <w:rPr>
          <w:sz w:val="24"/>
          <w:szCs w:val="24"/>
        </w:rPr>
        <w:t>I</w:t>
      </w:r>
      <w:r w:rsidR="006161E3">
        <w:rPr>
          <w:sz w:val="24"/>
          <w:szCs w:val="24"/>
        </w:rPr>
        <w:t>.</w:t>
      </w:r>
    </w:p>
    <w:p w:rsidR="003B737E" w:rsidRDefault="006161E3" w:rsidP="00E936CE">
      <w:pPr>
        <w:pStyle w:val="BodyText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Zadužuju se Ministarstvo državne imovine i Centar za restrukturiranje i prodaju da o donošenju ove Odluke izvijeste pravne osobe</w:t>
      </w:r>
      <w:r w:rsidR="003B7C7E">
        <w:rPr>
          <w:sz w:val="24"/>
          <w:szCs w:val="24"/>
        </w:rPr>
        <w:t xml:space="preserve"> iz svoje nadležnosti na koje se odnosi ova Odluka.</w:t>
      </w:r>
      <w:r>
        <w:rPr>
          <w:sz w:val="24"/>
          <w:szCs w:val="24"/>
        </w:rPr>
        <w:t xml:space="preserve"> </w:t>
      </w:r>
    </w:p>
    <w:p w:rsidR="003B737E" w:rsidRDefault="00E22FAE" w:rsidP="003B737E">
      <w:pPr>
        <w:pStyle w:val="BodyText"/>
        <w:tabs>
          <w:tab w:val="left" w:pos="0"/>
        </w:tabs>
        <w:spacing w:before="60" w:after="6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  <w:r w:rsidR="003B737E">
        <w:rPr>
          <w:sz w:val="24"/>
          <w:szCs w:val="24"/>
        </w:rPr>
        <w:t>.</w:t>
      </w:r>
    </w:p>
    <w:p w:rsidR="003B737E" w:rsidRPr="002E2204" w:rsidRDefault="003B737E" w:rsidP="00E936CE">
      <w:pPr>
        <w:pStyle w:val="BodyText"/>
        <w:tabs>
          <w:tab w:val="left" w:pos="0"/>
        </w:tabs>
        <w:spacing w:before="60"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„Narodnim novinama“.</w:t>
      </w:r>
    </w:p>
    <w:p w:rsidR="006E1DF2" w:rsidRDefault="006E1DF2" w:rsidP="00700BE4">
      <w:pPr>
        <w:pStyle w:val="BodyText"/>
        <w:shd w:val="clear" w:color="auto" w:fill="auto"/>
        <w:tabs>
          <w:tab w:val="left" w:pos="1416"/>
        </w:tabs>
        <w:spacing w:before="60" w:after="60" w:line="276" w:lineRule="auto"/>
        <w:ind w:left="720"/>
        <w:jc w:val="both"/>
      </w:pPr>
    </w:p>
    <w:p w:rsidR="0056103D" w:rsidRDefault="0056103D" w:rsidP="00907054">
      <w:pPr>
        <w:pStyle w:val="BodyText"/>
        <w:shd w:val="clear" w:color="auto" w:fill="auto"/>
        <w:spacing w:after="0"/>
      </w:pPr>
      <w:r>
        <w:rPr>
          <w:color w:val="000000"/>
          <w:sz w:val="24"/>
          <w:szCs w:val="24"/>
          <w:lang w:eastAsia="hr-HR" w:bidi="hr-HR"/>
        </w:rPr>
        <w:t>Klasa:</w:t>
      </w:r>
    </w:p>
    <w:p w:rsidR="006F3215" w:rsidRPr="00907054" w:rsidRDefault="0056103D" w:rsidP="00907054">
      <w:pPr>
        <w:pStyle w:val="BodyText"/>
        <w:shd w:val="clear" w:color="auto" w:fill="auto"/>
        <w:spacing w:after="0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>Urbroj:</w:t>
      </w:r>
    </w:p>
    <w:p w:rsidR="0056103D" w:rsidRDefault="0056103D" w:rsidP="00907054">
      <w:pPr>
        <w:pStyle w:val="BodyText"/>
        <w:shd w:val="clear" w:color="auto" w:fill="auto"/>
        <w:spacing w:after="0"/>
      </w:pPr>
      <w:r>
        <w:rPr>
          <w:color w:val="000000"/>
          <w:sz w:val="24"/>
          <w:szCs w:val="24"/>
          <w:lang w:eastAsia="hr-HR" w:bidi="hr-HR"/>
        </w:rPr>
        <w:t>Zagreb,</w:t>
      </w:r>
    </w:p>
    <w:p w:rsidR="0056103D" w:rsidRDefault="0056103D" w:rsidP="00700BE4">
      <w:pPr>
        <w:pStyle w:val="BodyText"/>
        <w:shd w:val="clear" w:color="auto" w:fill="auto"/>
        <w:spacing w:before="60" w:after="60" w:line="276" w:lineRule="auto"/>
      </w:pPr>
    </w:p>
    <w:p w:rsidR="0056103D" w:rsidRPr="00506CEA" w:rsidRDefault="0056103D" w:rsidP="00700BE4">
      <w:pPr>
        <w:pStyle w:val="BodyText"/>
        <w:shd w:val="clear" w:color="auto" w:fill="auto"/>
        <w:spacing w:before="60" w:after="60" w:line="276" w:lineRule="auto"/>
        <w:ind w:left="6380"/>
        <w:rPr>
          <w:b/>
        </w:rPr>
      </w:pPr>
      <w:r w:rsidRPr="00506CEA">
        <w:rPr>
          <w:b/>
          <w:color w:val="000000"/>
          <w:sz w:val="24"/>
          <w:szCs w:val="24"/>
          <w:lang w:eastAsia="hr-HR" w:bidi="hr-HR"/>
        </w:rPr>
        <w:t>PREDSJEDNIK</w:t>
      </w:r>
    </w:p>
    <w:p w:rsidR="0056103D" w:rsidRPr="00506CEA" w:rsidRDefault="0056103D" w:rsidP="00700BE4">
      <w:pPr>
        <w:pStyle w:val="BodyText"/>
        <w:shd w:val="clear" w:color="auto" w:fill="auto"/>
        <w:spacing w:before="60" w:after="60" w:line="276" w:lineRule="auto"/>
        <w:ind w:left="6380"/>
        <w:rPr>
          <w:b/>
        </w:rPr>
      </w:pPr>
    </w:p>
    <w:p w:rsidR="0056103D" w:rsidRPr="00506CEA" w:rsidRDefault="0056103D" w:rsidP="00700BE4">
      <w:pPr>
        <w:pStyle w:val="BodyText"/>
        <w:shd w:val="clear" w:color="auto" w:fill="auto"/>
        <w:spacing w:before="60" w:after="60" w:line="276" w:lineRule="auto"/>
        <w:ind w:left="6380"/>
        <w:rPr>
          <w:b/>
        </w:rPr>
      </w:pPr>
    </w:p>
    <w:p w:rsidR="0056103D" w:rsidRPr="00506CEA" w:rsidRDefault="0056103D" w:rsidP="00700BE4">
      <w:pPr>
        <w:pStyle w:val="BodyText"/>
        <w:shd w:val="clear" w:color="auto" w:fill="auto"/>
        <w:spacing w:before="60" w:after="60" w:line="276" w:lineRule="auto"/>
        <w:ind w:left="5980"/>
        <w:rPr>
          <w:b/>
        </w:rPr>
      </w:pPr>
      <w:r w:rsidRPr="00506CEA">
        <w:rPr>
          <w:b/>
          <w:color w:val="000000"/>
          <w:sz w:val="24"/>
          <w:szCs w:val="24"/>
          <w:lang w:eastAsia="hr-HR" w:bidi="hr-HR"/>
        </w:rPr>
        <w:t>mr. sc. Andrej Plenković</w:t>
      </w:r>
    </w:p>
    <w:p w:rsidR="00E936CE" w:rsidRDefault="00E936CE" w:rsidP="00700BE4">
      <w:pPr>
        <w:spacing w:before="60" w:after="60" w:line="276" w:lineRule="auto"/>
      </w:pPr>
    </w:p>
    <w:p w:rsidR="00171748" w:rsidRDefault="00171748" w:rsidP="00322FA9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Pr="00907054" w:rsidRDefault="00322FA9" w:rsidP="00322FA9">
      <w:pPr>
        <w:widowControl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9070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 w:bidi="hr-HR"/>
        </w:rPr>
        <w:t>OBRAZLOŽENJE</w:t>
      </w: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Nacionalnim programom reformi za 2019. godinu, koji je Vlada Republike Hrvatske usvojila na sjednici 18. travnja 2019. godine, propisana je aktivnost 1.3.1.3. koja za cilj ima o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sigurati pretpostavke koje će doprinijeti usklađenosti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oslovanja s pravnom regulativom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pravnim osobama u većinskom državnom vlasništvu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 u sklopu reformske mjere 1.3. Poboljšanje upravljanja i raspolaganja upravljanja državnom imovinom.</w:t>
      </w: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Pravne osobe na koje se odnosi ova Odluka su pravne osobe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od posebnog interesa za Republiku Hrvatsku, određene Odlukom Vlade Republike Hrvatske o pravnim osobama od posebnog interesa za Republiku Hrvatsku (“Narodne novine“, br. 71/18), a koje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u 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većinskom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vlasništvu države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kao i ostale pravne osobe u većinskom vlasništvu države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kojima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Zakonu o upravljanju državnom imovinom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„Narodne novine“, br. 52/18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upravlja Ministarstvo državne imovine i Centar za restrukturiranje i prodaju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Ovom Odlukom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39555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pravnim osobama u većinskom državnom vla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sništvu</w:t>
      </w:r>
      <w:r w:rsidRPr="0039555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nalaže se uvođenje fun</w:t>
      </w:r>
      <w:r w:rsidR="00C45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cije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koja se odnosi na praćenje usklađenosti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poslovanja</w:t>
      </w:r>
      <w:r w:rsidRPr="00595F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F5D5A">
        <w:t xml:space="preserve"> 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što će doprinijeti ovladavanju nad rizikom (ne)usklađenosti, rizikom od nastanka značajnog financijskog gubitka, jačanju korporativne kulture i ugleda društva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zaštiti od nezakonitog poslovanja, prevenciji sukoba interesa, smanjenju koruptivnih i drugih rizika koje društvo može pretrpjeti zbog neusklađenosti s propisima, standardima i kodeksima te internim aktima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Pr="000F5D5A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Pojam rizik usklađenosti 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definira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kao rizik izlaganja pravnim ili regulatornim sankcijama, nastanku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načajnih financijskih gubitaka 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ili gubitka reputacije koje pojedin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pravne osobe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gu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pretrpjeti kao rezultat neusklađenosti sa zakonima, pravilima, propisima i s njima povezani</w:t>
      </w:r>
      <w:r w:rsidR="00132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organizacijski</w:t>
      </w:r>
      <w:r w:rsidR="00132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standard</w:t>
      </w:r>
      <w:r w:rsidR="00132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ima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 kodeks</w:t>
      </w:r>
      <w:r w:rsidR="00132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ima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ponašanja, koji se primjenjuju na njezino poslovanje (usklađenost sa zakonima, propisima i standardima).</w:t>
      </w: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C45477" w:rsidRDefault="00C45477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Svrha uvođenja funkcije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praćenja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</w:t>
      </w:r>
      <w:r w:rsidR="00322FA9" w:rsidRPr="00543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sklađenost</w:t>
      </w:r>
      <w:r w:rsidR="00322FA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poslovanja</w:t>
      </w:r>
      <w:r w:rsidR="00322FA9" w:rsidRPr="00543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treba postati d</w:t>
      </w:r>
      <w:r w:rsidR="00132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322FA9" w:rsidRPr="00543995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jelom organizacijske kulture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 kojoj svaka</w:t>
      </w:r>
      <w:r w:rsidR="00322FA9"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322FA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pravna osoba</w:t>
      </w:r>
      <w:r w:rsidR="00322FA9"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treba organizirati funkciju praćenja usklađenosti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poslovanja</w:t>
      </w:r>
      <w:r w:rsidR="00322FA9"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 postaviti prioritete pri upravljanju rizikom usklađenosti tako da ona bude u skladu s njezinom upravljačkom strategijom i strukturom.</w:t>
      </w:r>
      <w:r w:rsidR="00322FA9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:rsidR="00C45477" w:rsidRDefault="00C45477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Default="00322FA9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Bez obzira na to kako je organizirana funkcija praćenja usklađenosti</w:t>
      </w:r>
      <w:r w:rsidR="0017174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poslovanja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unutar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pojedine pravne osobe</w:t>
      </w:r>
      <w:r w:rsidRPr="000F5D5A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 ona bi trebala biti neovisna te raspolagati dostatnim resursima, njezine odgovornosti trebale bi biti jasno definirane, a njezine aktivnosti podložne redovitom i neovisnom pregledu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:rsidR="00CB3B1C" w:rsidRDefault="00CB3B1C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322FA9" w:rsidRDefault="00CB3B1C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Donošenje predložene Odluke u skladu je sa</w:t>
      </w:r>
      <w:r w:rsidRPr="00CB3B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smjernicama  OECD-a o upravljanju trgovačkim društvima u većinskom vlasništvu države </w:t>
      </w:r>
      <w:r w:rsidRPr="00CB3B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 w:bidi="hr-HR"/>
        </w:rPr>
        <w:t>(Guidelines on Corporate Governance of State-Owned Enterprises)</w:t>
      </w:r>
      <w:r w:rsidRPr="00CB3B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te </w:t>
      </w:r>
      <w:r w:rsidR="009E570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Antikorupcijskog</w:t>
      </w:r>
      <w:r w:rsidRPr="00CB3B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program</w:t>
      </w:r>
      <w:r w:rsidR="009E570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CB3B1C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 xml:space="preserve"> za trgovačka društva u većinskom državnom vlasništvu 2019.-2020</w:t>
      </w:r>
      <w:r w:rsidR="009E5708"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. („Narodne novine“, br. 48/19).</w:t>
      </w:r>
    </w:p>
    <w:p w:rsidR="005D73C6" w:rsidRDefault="005D73C6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</w:p>
    <w:p w:rsidR="005D73C6" w:rsidRDefault="005D73C6" w:rsidP="00322FA9">
      <w:pPr>
        <w:widowControl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 w:bidi="hr-HR"/>
        </w:rPr>
        <w:t>Ministarstvo državne imovine će, putem predstavnika Republike Hrvatske u nadzornim odborima Pravnih osoba, tražiti dostavu godišnjih izvještaja o provedbi ove Odluke, te po potrebi koordinirati radnje nužne za provedbu odluke sa drugim nadležnim tijelima.</w:t>
      </w:r>
    </w:p>
    <w:p w:rsidR="00BC3002" w:rsidRDefault="00BC3002" w:rsidP="00BC3002"/>
    <w:sectPr w:rsidR="00BC3002" w:rsidSect="003C4013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D9" w:rsidRDefault="00513FD9" w:rsidP="0056103D">
      <w:r>
        <w:separator/>
      </w:r>
    </w:p>
  </w:endnote>
  <w:endnote w:type="continuationSeparator" w:id="0">
    <w:p w:rsidR="00513FD9" w:rsidRDefault="00513FD9" w:rsidP="005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D9" w:rsidRDefault="00513FD9" w:rsidP="0056103D">
      <w:r>
        <w:separator/>
      </w:r>
    </w:p>
  </w:footnote>
  <w:footnote w:type="continuationSeparator" w:id="0">
    <w:p w:rsidR="00513FD9" w:rsidRDefault="00513FD9" w:rsidP="0056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03"/>
    <w:multiLevelType w:val="hybridMultilevel"/>
    <w:tmpl w:val="7BF85B6C"/>
    <w:lvl w:ilvl="0" w:tplc="756C4D2C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5C4C"/>
    <w:multiLevelType w:val="hybridMultilevel"/>
    <w:tmpl w:val="1728CDAA"/>
    <w:lvl w:ilvl="0" w:tplc="4042A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F2FB4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F4601"/>
    <w:multiLevelType w:val="hybridMultilevel"/>
    <w:tmpl w:val="DB6A01DC"/>
    <w:lvl w:ilvl="0" w:tplc="C504C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3B8"/>
    <w:multiLevelType w:val="hybridMultilevel"/>
    <w:tmpl w:val="612C4D78"/>
    <w:lvl w:ilvl="0" w:tplc="018A7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0A7C"/>
    <w:multiLevelType w:val="hybridMultilevel"/>
    <w:tmpl w:val="F1028450"/>
    <w:lvl w:ilvl="0" w:tplc="756C4D2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03B00"/>
    <w:multiLevelType w:val="hybridMultilevel"/>
    <w:tmpl w:val="62E8EDEE"/>
    <w:lvl w:ilvl="0" w:tplc="756C4D2C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27444D"/>
    <w:multiLevelType w:val="hybridMultilevel"/>
    <w:tmpl w:val="1A688DC4"/>
    <w:lvl w:ilvl="0" w:tplc="DB062E8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F65D5"/>
    <w:multiLevelType w:val="multilevel"/>
    <w:tmpl w:val="9C8C1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0C0A8F"/>
    <w:multiLevelType w:val="hybridMultilevel"/>
    <w:tmpl w:val="6D700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D"/>
    <w:rsid w:val="0001428B"/>
    <w:rsid w:val="00027B16"/>
    <w:rsid w:val="0003194B"/>
    <w:rsid w:val="00065289"/>
    <w:rsid w:val="000C36B3"/>
    <w:rsid w:val="000C3960"/>
    <w:rsid w:val="000D1289"/>
    <w:rsid w:val="000D4B16"/>
    <w:rsid w:val="000E2A6B"/>
    <w:rsid w:val="000F32B5"/>
    <w:rsid w:val="000F38E3"/>
    <w:rsid w:val="00104A20"/>
    <w:rsid w:val="0013226A"/>
    <w:rsid w:val="00171748"/>
    <w:rsid w:val="0017194A"/>
    <w:rsid w:val="00171CC7"/>
    <w:rsid w:val="001941E5"/>
    <w:rsid w:val="001D720E"/>
    <w:rsid w:val="001E17C8"/>
    <w:rsid w:val="001E457F"/>
    <w:rsid w:val="001F4E84"/>
    <w:rsid w:val="0020105C"/>
    <w:rsid w:val="00206BFF"/>
    <w:rsid w:val="00230A2B"/>
    <w:rsid w:val="002522E7"/>
    <w:rsid w:val="0025404E"/>
    <w:rsid w:val="00266DC1"/>
    <w:rsid w:val="00281FDC"/>
    <w:rsid w:val="0028789D"/>
    <w:rsid w:val="00292C98"/>
    <w:rsid w:val="00297813"/>
    <w:rsid w:val="002A2441"/>
    <w:rsid w:val="002C1902"/>
    <w:rsid w:val="002C5525"/>
    <w:rsid w:val="002E2204"/>
    <w:rsid w:val="002E5074"/>
    <w:rsid w:val="00322FA9"/>
    <w:rsid w:val="00335722"/>
    <w:rsid w:val="00353F46"/>
    <w:rsid w:val="0037068C"/>
    <w:rsid w:val="00393B26"/>
    <w:rsid w:val="003A3A50"/>
    <w:rsid w:val="003B737E"/>
    <w:rsid w:val="003B7C7E"/>
    <w:rsid w:val="003C3E79"/>
    <w:rsid w:val="003C4013"/>
    <w:rsid w:val="003D3AF5"/>
    <w:rsid w:val="003D6BFF"/>
    <w:rsid w:val="00405FEE"/>
    <w:rsid w:val="004406C6"/>
    <w:rsid w:val="0044401D"/>
    <w:rsid w:val="0047494E"/>
    <w:rsid w:val="00492A44"/>
    <w:rsid w:val="004C5FC0"/>
    <w:rsid w:val="004C646D"/>
    <w:rsid w:val="004D605E"/>
    <w:rsid w:val="00506CEA"/>
    <w:rsid w:val="005106F9"/>
    <w:rsid w:val="005129EA"/>
    <w:rsid w:val="00513FD9"/>
    <w:rsid w:val="005320D7"/>
    <w:rsid w:val="00543995"/>
    <w:rsid w:val="00552C17"/>
    <w:rsid w:val="0056103D"/>
    <w:rsid w:val="00571EC1"/>
    <w:rsid w:val="00577853"/>
    <w:rsid w:val="0059110F"/>
    <w:rsid w:val="00595F1C"/>
    <w:rsid w:val="005A0FE6"/>
    <w:rsid w:val="005C0397"/>
    <w:rsid w:val="005D3981"/>
    <w:rsid w:val="005D73C6"/>
    <w:rsid w:val="0061057E"/>
    <w:rsid w:val="006161E3"/>
    <w:rsid w:val="00630791"/>
    <w:rsid w:val="006823B6"/>
    <w:rsid w:val="00693359"/>
    <w:rsid w:val="006A7F2E"/>
    <w:rsid w:val="006D555C"/>
    <w:rsid w:val="006E1DF2"/>
    <w:rsid w:val="006F1DB3"/>
    <w:rsid w:val="006F3215"/>
    <w:rsid w:val="006F43F0"/>
    <w:rsid w:val="006F4C9B"/>
    <w:rsid w:val="006F5B8A"/>
    <w:rsid w:val="006F7564"/>
    <w:rsid w:val="00700BE4"/>
    <w:rsid w:val="00702AFA"/>
    <w:rsid w:val="00716D82"/>
    <w:rsid w:val="00720739"/>
    <w:rsid w:val="00747A8C"/>
    <w:rsid w:val="00763A65"/>
    <w:rsid w:val="00766057"/>
    <w:rsid w:val="0076730D"/>
    <w:rsid w:val="00772C91"/>
    <w:rsid w:val="00777AAF"/>
    <w:rsid w:val="007902BA"/>
    <w:rsid w:val="007A71EC"/>
    <w:rsid w:val="007B554F"/>
    <w:rsid w:val="007B5DB5"/>
    <w:rsid w:val="007B5EBE"/>
    <w:rsid w:val="007C6789"/>
    <w:rsid w:val="007D3092"/>
    <w:rsid w:val="007F5F17"/>
    <w:rsid w:val="00813FB1"/>
    <w:rsid w:val="00814A17"/>
    <w:rsid w:val="00821150"/>
    <w:rsid w:val="008665CE"/>
    <w:rsid w:val="0087017A"/>
    <w:rsid w:val="00872051"/>
    <w:rsid w:val="00885C28"/>
    <w:rsid w:val="00892D9A"/>
    <w:rsid w:val="008B6E2F"/>
    <w:rsid w:val="00902F04"/>
    <w:rsid w:val="00907054"/>
    <w:rsid w:val="00962376"/>
    <w:rsid w:val="00971E62"/>
    <w:rsid w:val="009736AC"/>
    <w:rsid w:val="00975BBF"/>
    <w:rsid w:val="009833FD"/>
    <w:rsid w:val="00990BDC"/>
    <w:rsid w:val="00994B30"/>
    <w:rsid w:val="009A37C8"/>
    <w:rsid w:val="009B051B"/>
    <w:rsid w:val="009B35B0"/>
    <w:rsid w:val="009C6EEB"/>
    <w:rsid w:val="009D0895"/>
    <w:rsid w:val="009D7F45"/>
    <w:rsid w:val="009E5708"/>
    <w:rsid w:val="00A27BAD"/>
    <w:rsid w:val="00A3114C"/>
    <w:rsid w:val="00A34037"/>
    <w:rsid w:val="00A40503"/>
    <w:rsid w:val="00A53FAE"/>
    <w:rsid w:val="00A57492"/>
    <w:rsid w:val="00A80D35"/>
    <w:rsid w:val="00AB3A9E"/>
    <w:rsid w:val="00AD6D94"/>
    <w:rsid w:val="00B00934"/>
    <w:rsid w:val="00B01782"/>
    <w:rsid w:val="00B04B4C"/>
    <w:rsid w:val="00B21F4A"/>
    <w:rsid w:val="00B30463"/>
    <w:rsid w:val="00B66552"/>
    <w:rsid w:val="00B753D4"/>
    <w:rsid w:val="00B76262"/>
    <w:rsid w:val="00BA2740"/>
    <w:rsid w:val="00BC3002"/>
    <w:rsid w:val="00BC3DFF"/>
    <w:rsid w:val="00BD21F4"/>
    <w:rsid w:val="00C0743C"/>
    <w:rsid w:val="00C311BA"/>
    <w:rsid w:val="00C40C06"/>
    <w:rsid w:val="00C435B8"/>
    <w:rsid w:val="00C45477"/>
    <w:rsid w:val="00C5120E"/>
    <w:rsid w:val="00CA3FFB"/>
    <w:rsid w:val="00CB3B1C"/>
    <w:rsid w:val="00CB5034"/>
    <w:rsid w:val="00CE1C25"/>
    <w:rsid w:val="00CF00AF"/>
    <w:rsid w:val="00D14F37"/>
    <w:rsid w:val="00D155F2"/>
    <w:rsid w:val="00D25676"/>
    <w:rsid w:val="00D476F2"/>
    <w:rsid w:val="00D53C3D"/>
    <w:rsid w:val="00D840C6"/>
    <w:rsid w:val="00D958EA"/>
    <w:rsid w:val="00D960B2"/>
    <w:rsid w:val="00DA6CEC"/>
    <w:rsid w:val="00DC552F"/>
    <w:rsid w:val="00DC6321"/>
    <w:rsid w:val="00DD6DD6"/>
    <w:rsid w:val="00DF61FE"/>
    <w:rsid w:val="00E06219"/>
    <w:rsid w:val="00E10C3E"/>
    <w:rsid w:val="00E22FAE"/>
    <w:rsid w:val="00E44C32"/>
    <w:rsid w:val="00E60DFC"/>
    <w:rsid w:val="00E76887"/>
    <w:rsid w:val="00E936CE"/>
    <w:rsid w:val="00EA347B"/>
    <w:rsid w:val="00ED43C2"/>
    <w:rsid w:val="00ED7F2E"/>
    <w:rsid w:val="00EE194A"/>
    <w:rsid w:val="00EF3C1C"/>
    <w:rsid w:val="00EF7659"/>
    <w:rsid w:val="00EF7E1B"/>
    <w:rsid w:val="00F0779F"/>
    <w:rsid w:val="00F24844"/>
    <w:rsid w:val="00F3417C"/>
    <w:rsid w:val="00F35CD0"/>
    <w:rsid w:val="00F44352"/>
    <w:rsid w:val="00F452B9"/>
    <w:rsid w:val="00F76ADD"/>
    <w:rsid w:val="00F90D58"/>
    <w:rsid w:val="00F93A86"/>
    <w:rsid w:val="00FB0123"/>
    <w:rsid w:val="00FC0090"/>
    <w:rsid w:val="00FC1A2C"/>
    <w:rsid w:val="00FD4F66"/>
    <w:rsid w:val="00FF0C80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0410-DFC1-4371-B1B1-927980D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6103D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qFormat/>
    <w:rsid w:val="0056103D"/>
    <w:pPr>
      <w:widowControl w:val="0"/>
      <w:shd w:val="clear" w:color="auto" w:fill="FFFFFF"/>
      <w:autoSpaceDN/>
      <w:spacing w:after="260"/>
      <w:textAlignment w:val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56103D"/>
  </w:style>
  <w:style w:type="paragraph" w:styleId="Header">
    <w:name w:val="header"/>
    <w:basedOn w:val="Normal"/>
    <w:link w:val="HeaderChar"/>
    <w:unhideWhenUsed/>
    <w:rsid w:val="00561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103D"/>
  </w:style>
  <w:style w:type="paragraph" w:styleId="Footer">
    <w:name w:val="footer"/>
    <w:basedOn w:val="Normal"/>
    <w:link w:val="FooterChar"/>
    <w:uiPriority w:val="99"/>
    <w:unhideWhenUsed/>
    <w:rsid w:val="00561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3D"/>
  </w:style>
  <w:style w:type="paragraph" w:styleId="ListParagraph">
    <w:name w:val="List Paragraph"/>
    <w:basedOn w:val="Normal"/>
    <w:uiPriority w:val="34"/>
    <w:rsid w:val="00F93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DC"/>
    <w:rPr>
      <w:b/>
      <w:bCs/>
      <w:sz w:val="20"/>
      <w:szCs w:val="20"/>
    </w:rPr>
  </w:style>
  <w:style w:type="paragraph" w:customStyle="1" w:styleId="t-9-8">
    <w:name w:val="t-9-8"/>
    <w:basedOn w:val="Normal"/>
    <w:rsid w:val="007B5DB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907054"/>
    <w:pPr>
      <w:autoSpaceDN/>
      <w:textAlignment w:val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3BF25-1861-43B5-80B0-C52369E02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8773CD-2484-4CB1-B3AB-350DF53F9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8AC0F-C9AB-4B33-A7E7-2CD976E4CD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EC801-3E80-401F-A7B1-02CBBCC47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Vučina</dc:creator>
  <cp:lastModifiedBy>Vlatka Šelimber</cp:lastModifiedBy>
  <cp:revision>2</cp:revision>
  <cp:lastPrinted>2019-09-26T09:44:00Z</cp:lastPrinted>
  <dcterms:created xsi:type="dcterms:W3CDTF">2019-10-16T14:46:00Z</dcterms:created>
  <dcterms:modified xsi:type="dcterms:W3CDTF">2019-10-16T14:46:00Z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