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A916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315A975" wp14:editId="1315A976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1315A917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1315A918" w14:textId="77777777" w:rsidR="00CD3EFA" w:rsidRDefault="00CD3EFA"/>
    <w:p w14:paraId="1315A919" w14:textId="6B1785D6" w:rsidR="00C337A4" w:rsidRPr="003A2F05" w:rsidRDefault="00C337A4" w:rsidP="0023763F">
      <w:pPr>
        <w:spacing w:after="2400"/>
        <w:jc w:val="right"/>
      </w:pPr>
      <w:r w:rsidRPr="00644824">
        <w:t xml:space="preserve">Zagreb, </w:t>
      </w:r>
      <w:r w:rsidR="00A8483D">
        <w:t>24</w:t>
      </w:r>
      <w:r w:rsidR="00644824" w:rsidRPr="00644824">
        <w:t xml:space="preserve">. </w:t>
      </w:r>
      <w:r w:rsidR="00014BE5">
        <w:t xml:space="preserve">listopada </w:t>
      </w:r>
      <w:r w:rsidRPr="00644824">
        <w:t>201</w:t>
      </w:r>
      <w:r w:rsidR="002179F8" w:rsidRPr="00644824">
        <w:t>9</w:t>
      </w:r>
      <w:r w:rsidRPr="00644824">
        <w:t>.</w:t>
      </w:r>
    </w:p>
    <w:p w14:paraId="1315A91A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1315A91B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footerReference w:type="default" r:id="rId9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1315A91E" w14:textId="77777777" w:rsidTr="000350D9">
        <w:tc>
          <w:tcPr>
            <w:tcW w:w="1951" w:type="dxa"/>
          </w:tcPr>
          <w:p w14:paraId="1315A91C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315A91D" w14:textId="77777777" w:rsidR="000350D9" w:rsidRDefault="00644824" w:rsidP="000350D9">
            <w:pPr>
              <w:spacing w:line="360" w:lineRule="auto"/>
            </w:pPr>
            <w:r>
              <w:t>Ministarstvo vanjskih i europskih poslova</w:t>
            </w:r>
          </w:p>
        </w:tc>
      </w:tr>
    </w:tbl>
    <w:p w14:paraId="1315A91F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1315A920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1315A923" w14:textId="77777777" w:rsidTr="000350D9">
        <w:tc>
          <w:tcPr>
            <w:tcW w:w="1951" w:type="dxa"/>
          </w:tcPr>
          <w:p w14:paraId="1315A921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315A922" w14:textId="342C7F20" w:rsidR="000350D9" w:rsidRDefault="00644824" w:rsidP="000350D9">
            <w:pPr>
              <w:spacing w:line="360" w:lineRule="auto"/>
            </w:pPr>
            <w:r>
              <w:t xml:space="preserve">Prijedlog odluke </w:t>
            </w:r>
            <w:r w:rsidR="00014BE5">
              <w:t xml:space="preserve">o izmjeni Odluke </w:t>
            </w:r>
            <w:r>
              <w:t>o određivanju koordinatora i pripremi prijedloga Programa Predsjedanja Republike Hrvatske Vijećem Europske unije</w:t>
            </w:r>
            <w:r w:rsidR="0067769D">
              <w:t xml:space="preserve"> 2020</w:t>
            </w:r>
          </w:p>
        </w:tc>
      </w:tr>
    </w:tbl>
    <w:p w14:paraId="1315A924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1315A925" w14:textId="77777777" w:rsidR="00CE78D1" w:rsidRDefault="00CE78D1" w:rsidP="008F0DD4"/>
    <w:p w14:paraId="1315A926" w14:textId="77777777" w:rsidR="00CE78D1" w:rsidRPr="00CE78D1" w:rsidRDefault="00CE78D1" w:rsidP="00CE78D1"/>
    <w:p w14:paraId="1315A927" w14:textId="77777777" w:rsidR="00CE78D1" w:rsidRPr="00CE78D1" w:rsidRDefault="00CE78D1" w:rsidP="00CE78D1"/>
    <w:p w14:paraId="1315A928" w14:textId="77777777" w:rsidR="00CE78D1" w:rsidRPr="00CE78D1" w:rsidRDefault="00CE78D1" w:rsidP="00CE78D1"/>
    <w:p w14:paraId="1315A929" w14:textId="77777777" w:rsidR="00CE78D1" w:rsidRPr="00CE78D1" w:rsidRDefault="00CE78D1" w:rsidP="00CE78D1"/>
    <w:p w14:paraId="1315A92A" w14:textId="77777777" w:rsidR="00CE78D1" w:rsidRPr="00CE78D1" w:rsidRDefault="00CE78D1" w:rsidP="00CE78D1"/>
    <w:p w14:paraId="1315A92B" w14:textId="77777777" w:rsidR="00CE78D1" w:rsidRPr="00CE78D1" w:rsidRDefault="00CE78D1" w:rsidP="00CE78D1"/>
    <w:p w14:paraId="1315A92C" w14:textId="77777777" w:rsidR="00CE78D1" w:rsidRPr="00CE78D1" w:rsidRDefault="00CE78D1" w:rsidP="00CE78D1"/>
    <w:p w14:paraId="1315A92D" w14:textId="77777777" w:rsidR="00CE78D1" w:rsidRPr="00CE78D1" w:rsidRDefault="00CE78D1" w:rsidP="00CE78D1"/>
    <w:p w14:paraId="1315A92E" w14:textId="77777777" w:rsidR="00CE78D1" w:rsidRPr="00CE78D1" w:rsidRDefault="00CE78D1" w:rsidP="00CE78D1"/>
    <w:p w14:paraId="1315A92F" w14:textId="77777777" w:rsidR="00CE78D1" w:rsidRPr="00CE78D1" w:rsidRDefault="00CE78D1" w:rsidP="00CE78D1"/>
    <w:p w14:paraId="1315A930" w14:textId="77777777" w:rsidR="00CE78D1" w:rsidRPr="00CE78D1" w:rsidRDefault="00CE78D1" w:rsidP="00CE78D1"/>
    <w:p w14:paraId="1315A931" w14:textId="77777777" w:rsidR="00CE78D1" w:rsidRPr="00CE78D1" w:rsidRDefault="00CE78D1" w:rsidP="00CE78D1"/>
    <w:p w14:paraId="1315A932" w14:textId="77777777" w:rsidR="00CE78D1" w:rsidRDefault="00CE78D1" w:rsidP="00CE78D1"/>
    <w:p w14:paraId="1315A933" w14:textId="77777777" w:rsidR="00CE78D1" w:rsidRDefault="00CE78D1" w:rsidP="00CE78D1"/>
    <w:p w14:paraId="1315A934" w14:textId="77777777" w:rsidR="00B4679E" w:rsidRDefault="00B4679E" w:rsidP="00CE78D1">
      <w:pPr>
        <w:sectPr w:rsidR="00B4679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1315A935" w14:textId="7E842111" w:rsidR="008F0DD4" w:rsidRPr="00014BE5" w:rsidRDefault="00AA522D" w:rsidP="00AA522D">
      <w:pPr>
        <w:jc w:val="right"/>
        <w:rPr>
          <w:i/>
        </w:rPr>
      </w:pPr>
      <w:r w:rsidRPr="00014BE5">
        <w:rPr>
          <w:i/>
        </w:rPr>
        <w:lastRenderedPageBreak/>
        <w:t>PRIJEDLOG</w:t>
      </w:r>
    </w:p>
    <w:p w14:paraId="1315A936" w14:textId="77777777" w:rsidR="00B4679E" w:rsidRPr="00014BE5" w:rsidRDefault="00B4679E" w:rsidP="00B4679E">
      <w:pPr>
        <w:jc w:val="both"/>
      </w:pPr>
    </w:p>
    <w:p w14:paraId="1315A937" w14:textId="77777777" w:rsidR="00B4679E" w:rsidRPr="00014BE5" w:rsidRDefault="00B4679E" w:rsidP="00B4679E">
      <w:pPr>
        <w:jc w:val="both"/>
      </w:pPr>
    </w:p>
    <w:p w14:paraId="1315A938" w14:textId="0BB2A26B" w:rsidR="00B4679E" w:rsidRPr="00014BE5" w:rsidRDefault="00B4679E" w:rsidP="00E7331A">
      <w:pPr>
        <w:ind w:firstLine="708"/>
        <w:jc w:val="both"/>
      </w:pPr>
      <w:r w:rsidRPr="00014BE5">
        <w:t xml:space="preserve">Na temelju članka </w:t>
      </w:r>
      <w:r w:rsidR="00110B09" w:rsidRPr="00014BE5">
        <w:t>31</w:t>
      </w:r>
      <w:r w:rsidRPr="00014BE5">
        <w:t>. stav</w:t>
      </w:r>
      <w:r w:rsidR="00110B09" w:rsidRPr="00014BE5">
        <w:t>ka 2</w:t>
      </w:r>
      <w:r w:rsidRPr="00014BE5">
        <w:t>. Zako</w:t>
      </w:r>
      <w:r w:rsidR="00014BE5" w:rsidRPr="00014BE5">
        <w:t>na o Vladi Republike Hrvatske (Narodne novine</w:t>
      </w:r>
      <w:r w:rsidRPr="00014BE5">
        <w:t xml:space="preserve">, br. 150/11, 119/14, 93/16 i 116/18), Vlada Republike Hrvatske je na sjednici održanoj </w:t>
      </w:r>
      <w:r w:rsidR="00A8483D">
        <w:t>______________</w:t>
      </w:r>
      <w:r w:rsidRPr="00014BE5">
        <w:t xml:space="preserve"> 2019. godine donijela</w:t>
      </w:r>
    </w:p>
    <w:p w14:paraId="3E1BDE8F" w14:textId="77777777" w:rsidR="00014BE5" w:rsidRPr="00014BE5" w:rsidRDefault="00014BE5" w:rsidP="00014BE5">
      <w:pPr>
        <w:pStyle w:val="Heading1"/>
        <w:spacing w:after="60"/>
        <w:jc w:val="left"/>
        <w:rPr>
          <w:rFonts w:eastAsia="Times New Roman"/>
          <w:b w:val="0"/>
          <w:lang w:eastAsia="hr-HR"/>
        </w:rPr>
      </w:pPr>
    </w:p>
    <w:p w14:paraId="07E85AD5" w14:textId="4E35D669" w:rsidR="00AA522D" w:rsidRPr="00014BE5" w:rsidRDefault="00B4679E" w:rsidP="00014BE5">
      <w:pPr>
        <w:pStyle w:val="Heading1"/>
        <w:spacing w:after="60"/>
      </w:pPr>
      <w:r w:rsidRPr="00014BE5">
        <w:t>ODLUKU</w:t>
      </w:r>
    </w:p>
    <w:p w14:paraId="026F5869" w14:textId="77777777" w:rsidR="00014BE5" w:rsidRPr="00014BE5" w:rsidRDefault="00014BE5" w:rsidP="00014BE5">
      <w:pPr>
        <w:rPr>
          <w:lang w:eastAsia="en-US"/>
        </w:rPr>
      </w:pPr>
    </w:p>
    <w:p w14:paraId="4881855C" w14:textId="467DFC62" w:rsidR="00AA522D" w:rsidRPr="00014BE5" w:rsidRDefault="00014BE5" w:rsidP="00B4679E">
      <w:pPr>
        <w:pStyle w:val="Heading1"/>
        <w:spacing w:after="60"/>
      </w:pPr>
      <w:r w:rsidRPr="00014BE5">
        <w:t xml:space="preserve">o izmjeni Odluke </w:t>
      </w:r>
      <w:r w:rsidR="00AA522D" w:rsidRPr="00014BE5">
        <w:t xml:space="preserve">o </w:t>
      </w:r>
      <w:r w:rsidR="00B4679E" w:rsidRPr="00014BE5">
        <w:t xml:space="preserve">određivanju koordinatora i pripremi prijedloga </w:t>
      </w:r>
    </w:p>
    <w:p w14:paraId="1315A93A" w14:textId="6A48173D" w:rsidR="00B4679E" w:rsidRPr="00014BE5" w:rsidRDefault="00B4679E" w:rsidP="00B4679E">
      <w:pPr>
        <w:pStyle w:val="Heading1"/>
        <w:spacing w:after="60"/>
      </w:pPr>
      <w:r w:rsidRPr="00014BE5">
        <w:t>Programa</w:t>
      </w:r>
      <w:r w:rsidR="00AA522D" w:rsidRPr="00014BE5">
        <w:t xml:space="preserve"> </w:t>
      </w:r>
      <w:r w:rsidRPr="00014BE5">
        <w:t>Predsjedanja</w:t>
      </w:r>
      <w:r w:rsidR="00AA522D" w:rsidRPr="00014BE5">
        <w:t xml:space="preserve"> </w:t>
      </w:r>
      <w:r w:rsidRPr="00014BE5">
        <w:t>Republike</w:t>
      </w:r>
      <w:r w:rsidR="00AA522D" w:rsidRPr="00014BE5">
        <w:t xml:space="preserve"> </w:t>
      </w:r>
      <w:r w:rsidRPr="00014BE5">
        <w:t>Hrvatske Vijećem Europske unije</w:t>
      </w:r>
      <w:r w:rsidR="0067769D" w:rsidRPr="00014BE5">
        <w:t xml:space="preserve"> 2020</w:t>
      </w:r>
    </w:p>
    <w:p w14:paraId="6AB05E9E" w14:textId="77777777" w:rsidR="00014BE5" w:rsidRPr="00014BE5" w:rsidRDefault="00014BE5" w:rsidP="00014BE5">
      <w:pPr>
        <w:rPr>
          <w:lang w:eastAsia="en-US"/>
        </w:rPr>
      </w:pPr>
    </w:p>
    <w:p w14:paraId="0B2ABCFA" w14:textId="77777777" w:rsidR="00014BE5" w:rsidRPr="00014BE5" w:rsidRDefault="00014BE5" w:rsidP="00014BE5">
      <w:pPr>
        <w:keepNext/>
        <w:spacing w:before="240" w:after="240"/>
        <w:ind w:firstLine="4"/>
        <w:jc w:val="center"/>
      </w:pPr>
      <w:r w:rsidRPr="00014BE5">
        <w:t>I.</w:t>
      </w:r>
    </w:p>
    <w:p w14:paraId="01A073AD" w14:textId="1F252D8F" w:rsidR="00014BE5" w:rsidRPr="00014BE5" w:rsidRDefault="00014BE5" w:rsidP="00014BE5">
      <w:pPr>
        <w:keepNext/>
        <w:spacing w:before="240" w:after="240"/>
        <w:ind w:firstLine="4"/>
        <w:jc w:val="both"/>
      </w:pPr>
      <w:r>
        <w:tab/>
      </w:r>
      <w:r w:rsidRPr="00014BE5">
        <w:t>U Odluci o određivanju koordinatora i pripremi prijedloga Programa Predsjedanja Republike Hrvatske Vijećem Europske unije 2020 (klasa: 022-03/19-04/132, urbroj: 50301-23/21-19/2 od 4. travnja 2019.) točka II. mijenja se i glasi:</w:t>
      </w:r>
    </w:p>
    <w:p w14:paraId="038277D0" w14:textId="77777777" w:rsidR="00014BE5" w:rsidRPr="00014BE5" w:rsidRDefault="00014BE5" w:rsidP="00014BE5">
      <w:pPr>
        <w:keepNext/>
        <w:spacing w:before="240" w:after="120"/>
        <w:ind w:firstLine="708"/>
        <w:jc w:val="both"/>
      </w:pPr>
      <w:r w:rsidRPr="00014BE5">
        <w:t xml:space="preserve">„Koordinatorima iz točke I. ove Odluke određuju se sljedeći ministri u Vladi Republike Hrvatske: </w:t>
      </w:r>
    </w:p>
    <w:p w14:paraId="3F3B1060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poljoprivredu i ribarstvo</w:t>
      </w:r>
      <w:r w:rsidRPr="00014BE5">
        <w:rPr>
          <w:rFonts w:ascii="Times New Roman" w:hAnsi="Times New Roman" w:cs="Times New Roman"/>
          <w:sz w:val="24"/>
          <w:szCs w:val="24"/>
        </w:rPr>
        <w:t>: ministrica poljoprivrede;</w:t>
      </w:r>
    </w:p>
    <w:p w14:paraId="57EFFF7C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konkurentnost</w:t>
      </w:r>
      <w:r w:rsidRPr="00014BE5">
        <w:rPr>
          <w:rFonts w:ascii="Times New Roman" w:hAnsi="Times New Roman" w:cs="Times New Roman"/>
          <w:sz w:val="24"/>
          <w:szCs w:val="24"/>
        </w:rPr>
        <w:t xml:space="preserve">: ministar gospodarstva, poduzetništva i obrta u suradnji s Ministarstvom znanosti i obrazovanja, Ministarstvom turizma, Ministarstvom financija, Državnim zavodom za intelektualno vlasništvo, Državnim zavodom za mjeriteljstvo i Središnjim državnim uredom za razvoj digitalnog društva; </w:t>
      </w:r>
    </w:p>
    <w:p w14:paraId="2D291303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ekonomske i financijske poslove</w:t>
      </w:r>
      <w:r w:rsidRPr="00014BE5">
        <w:rPr>
          <w:rFonts w:ascii="Times New Roman" w:hAnsi="Times New Roman" w:cs="Times New Roman"/>
          <w:sz w:val="24"/>
          <w:szCs w:val="24"/>
        </w:rPr>
        <w:t>: potpredsjednik Vlade i ministar financija;</w:t>
      </w:r>
    </w:p>
    <w:p w14:paraId="1BCB2133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okoliš:</w:t>
      </w:r>
      <w:r w:rsidRPr="00014BE5">
        <w:rPr>
          <w:rFonts w:ascii="Times New Roman" w:hAnsi="Times New Roman" w:cs="Times New Roman"/>
          <w:sz w:val="24"/>
          <w:szCs w:val="24"/>
        </w:rPr>
        <w:t xml:space="preserve"> ministar zaštite okoliša i energetike;  </w:t>
      </w:r>
    </w:p>
    <w:p w14:paraId="5AC56377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zapošljavanje, socijalnu politiku, zdravstvo i pitanja potrošača</w:t>
      </w:r>
      <w:r w:rsidRPr="00014BE5">
        <w:rPr>
          <w:rFonts w:ascii="Times New Roman" w:hAnsi="Times New Roman" w:cs="Times New Roman"/>
          <w:sz w:val="24"/>
          <w:szCs w:val="24"/>
        </w:rPr>
        <w:t xml:space="preserve">; ministar rada i mirovinskoga sustava, u suradnji s Ministarstvom za demografiju, obitelj, mlade i socijalnu politiku i Ministarstvom zdravstva; </w:t>
      </w:r>
    </w:p>
    <w:p w14:paraId="6185A013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obrazovanje, mlade, kulturu i sport:</w:t>
      </w:r>
      <w:r w:rsidRPr="00014BE5">
        <w:rPr>
          <w:rFonts w:ascii="Times New Roman" w:hAnsi="Times New Roman" w:cs="Times New Roman"/>
          <w:sz w:val="24"/>
          <w:szCs w:val="24"/>
        </w:rPr>
        <w:t xml:space="preserve"> ministrica znanosti i obrazovanja i ministrica kulture u suradnji s Ministarstvom za  demografiju, obitelj, mlade i socijalnu politiku i Središnjim državnim uredom za šport;</w:t>
      </w:r>
    </w:p>
    <w:p w14:paraId="5E5ADC8E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vanjske poslove</w:t>
      </w:r>
      <w:r w:rsidRPr="00014BE5">
        <w:rPr>
          <w:rFonts w:ascii="Times New Roman" w:hAnsi="Times New Roman" w:cs="Times New Roman"/>
          <w:sz w:val="24"/>
          <w:szCs w:val="24"/>
        </w:rPr>
        <w:t>: ministar vanjskih i europskih poslova, u suradnji s Ministarstvom obrane;</w:t>
      </w:r>
    </w:p>
    <w:p w14:paraId="5ECC23C1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opće poslove</w:t>
      </w:r>
      <w:r w:rsidRPr="00014BE5">
        <w:rPr>
          <w:rFonts w:ascii="Times New Roman" w:hAnsi="Times New Roman" w:cs="Times New Roman"/>
          <w:sz w:val="24"/>
          <w:szCs w:val="24"/>
        </w:rPr>
        <w:t>: ministar vanjskih i europskih poslova, u suradnji s Ministarstvom regionalnog razvoja i fondova Europske unije i Ministarstvom financija (Višegodišnji financijski okvir);</w:t>
      </w:r>
    </w:p>
    <w:p w14:paraId="588479BB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pravosuđe i unutarnje poslove</w:t>
      </w:r>
      <w:r w:rsidRPr="00014BE5">
        <w:rPr>
          <w:rFonts w:ascii="Times New Roman" w:hAnsi="Times New Roman" w:cs="Times New Roman"/>
          <w:sz w:val="24"/>
          <w:szCs w:val="24"/>
        </w:rPr>
        <w:t>: potpredsjednik Vlade i ministar unutarnjih poslova i ministar pravosuđa;</w:t>
      </w:r>
    </w:p>
    <w:p w14:paraId="6D3ED3DF" w14:textId="77777777" w:rsidR="00014BE5" w:rsidRPr="00014BE5" w:rsidRDefault="00014BE5" w:rsidP="00014BE5">
      <w:pPr>
        <w:pStyle w:val="ListParagraph"/>
        <w:numPr>
          <w:ilvl w:val="0"/>
          <w:numId w:val="1"/>
        </w:numPr>
        <w:spacing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BE5">
        <w:rPr>
          <w:rFonts w:ascii="Times New Roman" w:hAnsi="Times New Roman" w:cs="Times New Roman"/>
          <w:sz w:val="24"/>
          <w:szCs w:val="24"/>
        </w:rPr>
        <w:t xml:space="preserve">za </w:t>
      </w:r>
      <w:r w:rsidRPr="00014BE5">
        <w:rPr>
          <w:rFonts w:ascii="Times New Roman" w:hAnsi="Times New Roman" w:cs="Times New Roman"/>
          <w:b/>
          <w:sz w:val="24"/>
          <w:szCs w:val="24"/>
        </w:rPr>
        <w:t>Vijeće za promet, telekomunikacije i energetiku</w:t>
      </w:r>
      <w:r w:rsidRPr="00014BE5">
        <w:rPr>
          <w:rFonts w:ascii="Times New Roman" w:hAnsi="Times New Roman" w:cs="Times New Roman"/>
          <w:sz w:val="24"/>
          <w:szCs w:val="24"/>
        </w:rPr>
        <w:t>: ministar mora, prometa i infrastrukture i ministar zaštite okoliša i energetike, u suradnji s Ministarstvom gospodarstva, poduzetništva i obrta, Ministarstvom  graditeljstva i prostornoga uređenja i Središnjim državnim uredom za razvoj digitalnog društva.„</w:t>
      </w:r>
    </w:p>
    <w:p w14:paraId="1E530328" w14:textId="77777777" w:rsidR="00014BE5" w:rsidRPr="00014BE5" w:rsidRDefault="00014BE5" w:rsidP="00014BE5">
      <w:pPr>
        <w:keepNext/>
        <w:spacing w:before="240" w:after="240"/>
        <w:jc w:val="center"/>
      </w:pPr>
      <w:r w:rsidRPr="00014BE5">
        <w:lastRenderedPageBreak/>
        <w:t>II.</w:t>
      </w:r>
    </w:p>
    <w:p w14:paraId="71ACD3CB" w14:textId="77777777" w:rsidR="00014BE5" w:rsidRPr="00014BE5" w:rsidRDefault="00014BE5" w:rsidP="00014BE5">
      <w:pPr>
        <w:keepNext/>
        <w:spacing w:before="240" w:after="240"/>
        <w:ind w:firstLine="708"/>
        <w:jc w:val="both"/>
      </w:pPr>
      <w:r w:rsidRPr="00014BE5">
        <w:t>Zadužuje se Ministarstvo vanjskih i europskih poslova da o donošenju ove Odluke na odgovarajući način izvijesti sva tijela državne uprave.</w:t>
      </w:r>
    </w:p>
    <w:p w14:paraId="0E4610C7" w14:textId="77777777" w:rsidR="00014BE5" w:rsidRPr="00014BE5" w:rsidRDefault="00014BE5" w:rsidP="00014BE5">
      <w:pPr>
        <w:keepNext/>
        <w:spacing w:before="240" w:after="240"/>
        <w:jc w:val="center"/>
      </w:pPr>
    </w:p>
    <w:p w14:paraId="30FE69DA" w14:textId="77777777" w:rsidR="00014BE5" w:rsidRPr="00014BE5" w:rsidRDefault="00014BE5" w:rsidP="00014BE5">
      <w:pPr>
        <w:keepNext/>
        <w:spacing w:before="240" w:after="240"/>
        <w:jc w:val="center"/>
      </w:pPr>
      <w:r w:rsidRPr="00014BE5">
        <w:t>III.</w:t>
      </w:r>
    </w:p>
    <w:p w14:paraId="2B2F9595" w14:textId="4042BB88" w:rsidR="00014BE5" w:rsidRDefault="00014BE5" w:rsidP="00014BE5">
      <w:pPr>
        <w:keepNext/>
        <w:spacing w:before="240" w:after="240"/>
        <w:ind w:firstLine="708"/>
      </w:pPr>
      <w:r w:rsidRPr="00014BE5">
        <w:t xml:space="preserve">Ova Odluka </w:t>
      </w:r>
      <w:r>
        <w:t>stupa na snagu danom donošenja.</w:t>
      </w:r>
    </w:p>
    <w:p w14:paraId="5B21309D" w14:textId="77777777" w:rsidR="00014BE5" w:rsidRPr="00014BE5" w:rsidRDefault="00014BE5" w:rsidP="00014BE5">
      <w:pPr>
        <w:keepNext/>
        <w:spacing w:before="240" w:after="240"/>
      </w:pPr>
    </w:p>
    <w:p w14:paraId="5B8A303F" w14:textId="77777777" w:rsidR="00014BE5" w:rsidRPr="00014BE5" w:rsidRDefault="00014BE5" w:rsidP="00014BE5">
      <w:pPr>
        <w:spacing w:before="360" w:line="276" w:lineRule="auto"/>
        <w:jc w:val="both"/>
      </w:pPr>
      <w:r w:rsidRPr="00014BE5">
        <w:t>KLASA:</w:t>
      </w:r>
      <w:r w:rsidRPr="00014BE5">
        <w:tab/>
      </w:r>
    </w:p>
    <w:p w14:paraId="5F69C6CA" w14:textId="77777777" w:rsidR="00014BE5" w:rsidRPr="00014BE5" w:rsidRDefault="00014BE5" w:rsidP="00014BE5">
      <w:pPr>
        <w:spacing w:after="180" w:line="276" w:lineRule="auto"/>
      </w:pPr>
      <w:r w:rsidRPr="00014BE5">
        <w:t>URBROJ:</w:t>
      </w:r>
      <w:r w:rsidRPr="00014BE5">
        <w:tab/>
      </w:r>
    </w:p>
    <w:p w14:paraId="77FC0E6B" w14:textId="55DC8C60" w:rsidR="00014BE5" w:rsidRPr="00014BE5" w:rsidRDefault="00014BE5" w:rsidP="00014BE5">
      <w:pPr>
        <w:spacing w:line="276" w:lineRule="auto"/>
      </w:pPr>
      <w:r w:rsidRPr="00014BE5">
        <w:t>Zagreb, ___</w:t>
      </w:r>
      <w:r>
        <w:t>____</w:t>
      </w:r>
      <w:r w:rsidRPr="00014BE5">
        <w:t xml:space="preserve"> 2019. godine.</w:t>
      </w:r>
    </w:p>
    <w:p w14:paraId="1BC21350" w14:textId="4D5541D9" w:rsidR="00014BE5" w:rsidRDefault="00014BE5" w:rsidP="00014BE5">
      <w:pPr>
        <w:spacing w:line="276" w:lineRule="auto"/>
      </w:pPr>
    </w:p>
    <w:p w14:paraId="5ACBF932" w14:textId="77777777" w:rsidR="00014BE5" w:rsidRPr="00014BE5" w:rsidRDefault="00014BE5" w:rsidP="00014BE5">
      <w:pPr>
        <w:spacing w:line="276" w:lineRule="auto"/>
      </w:pPr>
    </w:p>
    <w:p w14:paraId="7F6BA206" w14:textId="3266800A" w:rsidR="00014BE5" w:rsidRDefault="00014BE5" w:rsidP="00014BE5">
      <w:pPr>
        <w:tabs>
          <w:tab w:val="center" w:pos="6521"/>
        </w:tabs>
        <w:spacing w:line="276" w:lineRule="auto"/>
      </w:pPr>
      <w:r w:rsidRPr="00014BE5">
        <w:tab/>
        <w:t xml:space="preserve">PREDSJEDNIK </w:t>
      </w:r>
    </w:p>
    <w:p w14:paraId="214ACADD" w14:textId="77777777" w:rsidR="00014BE5" w:rsidRPr="00014BE5" w:rsidRDefault="00014BE5" w:rsidP="00014BE5">
      <w:pPr>
        <w:tabs>
          <w:tab w:val="center" w:pos="6521"/>
        </w:tabs>
        <w:spacing w:line="276" w:lineRule="auto"/>
      </w:pPr>
    </w:p>
    <w:p w14:paraId="60A75311" w14:textId="77777777" w:rsidR="00014BE5" w:rsidRPr="00014BE5" w:rsidRDefault="00014BE5" w:rsidP="00014BE5">
      <w:pPr>
        <w:tabs>
          <w:tab w:val="center" w:pos="6521"/>
        </w:tabs>
        <w:spacing w:line="276" w:lineRule="auto"/>
      </w:pPr>
      <w:r w:rsidRPr="00014BE5">
        <w:tab/>
        <w:t>mr. sc. Andrej Plenković</w:t>
      </w:r>
    </w:p>
    <w:p w14:paraId="0E2A9D6D" w14:textId="77777777" w:rsidR="00014BE5" w:rsidRPr="00014BE5" w:rsidRDefault="00014BE5" w:rsidP="00014BE5">
      <w:pPr>
        <w:ind w:left="1416" w:firstLine="708"/>
      </w:pPr>
    </w:p>
    <w:p w14:paraId="13E627CE" w14:textId="77777777" w:rsidR="00014BE5" w:rsidRPr="00014BE5" w:rsidRDefault="00014BE5" w:rsidP="00014BE5">
      <w:pPr>
        <w:ind w:left="1416" w:firstLine="708"/>
      </w:pPr>
    </w:p>
    <w:p w14:paraId="7F91CF11" w14:textId="77777777" w:rsidR="00014BE5" w:rsidRPr="00014BE5" w:rsidRDefault="00014BE5" w:rsidP="00014BE5">
      <w:pPr>
        <w:ind w:left="1416" w:firstLine="708"/>
      </w:pPr>
    </w:p>
    <w:p w14:paraId="17C1B916" w14:textId="77777777" w:rsidR="00014BE5" w:rsidRPr="00014BE5" w:rsidRDefault="00014BE5" w:rsidP="00014BE5">
      <w:pPr>
        <w:spacing w:after="160" w:line="259" w:lineRule="auto"/>
        <w:ind w:left="2832" w:firstLine="708"/>
      </w:pPr>
    </w:p>
    <w:p w14:paraId="7DE648D8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06858E18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4CA8D981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04ACF8D7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7AD314D0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0ED25F0F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379580B7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7D77C425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76ACAD35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597DCE80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4A67F544" w14:textId="7777777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</w:p>
    <w:p w14:paraId="3B6EAE02" w14:textId="77777777" w:rsidR="00014BE5" w:rsidRPr="00014BE5" w:rsidRDefault="00014BE5">
      <w:pPr>
        <w:rPr>
          <w:b/>
        </w:rPr>
      </w:pPr>
      <w:r w:rsidRPr="00014BE5">
        <w:rPr>
          <w:b/>
        </w:rPr>
        <w:br w:type="page"/>
      </w:r>
    </w:p>
    <w:p w14:paraId="472AA8EB" w14:textId="09527567" w:rsidR="00014BE5" w:rsidRPr="00014BE5" w:rsidRDefault="00014BE5" w:rsidP="00014BE5">
      <w:pPr>
        <w:spacing w:after="160" w:line="259" w:lineRule="auto"/>
        <w:ind w:left="2832" w:firstLine="708"/>
        <w:rPr>
          <w:b/>
        </w:rPr>
      </w:pPr>
      <w:r w:rsidRPr="00014BE5">
        <w:rPr>
          <w:b/>
        </w:rPr>
        <w:lastRenderedPageBreak/>
        <w:t xml:space="preserve">OBRAZLOŽENJE </w:t>
      </w:r>
    </w:p>
    <w:p w14:paraId="4A9F1E01" w14:textId="77777777" w:rsidR="00014BE5" w:rsidRPr="00014BE5" w:rsidRDefault="00014BE5" w:rsidP="00014BE5">
      <w:pPr>
        <w:ind w:left="1416" w:firstLine="708"/>
      </w:pPr>
    </w:p>
    <w:p w14:paraId="554EF603" w14:textId="1DB3CC9C" w:rsidR="00014BE5" w:rsidRPr="00014BE5" w:rsidRDefault="00014BE5" w:rsidP="00014BE5">
      <w:pPr>
        <w:keepNext/>
        <w:spacing w:before="240" w:after="240"/>
        <w:jc w:val="both"/>
      </w:pPr>
      <w:r w:rsidRPr="00014BE5">
        <w:t>Vlada Republike Hrvatske je na sjednici održanoj 4. travnja 2019. godine donijela Odluku o određivanju koordinatora</w:t>
      </w:r>
      <w:r>
        <w:t xml:space="preserve"> i pripremi prijedloga Programa Predsjedanja Republike </w:t>
      </w:r>
      <w:r w:rsidRPr="00014BE5">
        <w:t>Hrvat</w:t>
      </w:r>
      <w:r>
        <w:t>ske Vijećem Europske unije 2020</w:t>
      </w:r>
      <w:r w:rsidRPr="00014BE5">
        <w:t xml:space="preserve"> </w:t>
      </w:r>
      <w:r>
        <w:t>(Klasa: 022-03/19-04/132, Ur</w:t>
      </w:r>
      <w:r w:rsidRPr="00014BE5">
        <w:t xml:space="preserve">broj 50301-23/21-19/2). </w:t>
      </w:r>
    </w:p>
    <w:p w14:paraId="5140AF46" w14:textId="77777777" w:rsidR="00014BE5" w:rsidRPr="00014BE5" w:rsidRDefault="00014BE5" w:rsidP="00014BE5">
      <w:pPr>
        <w:keepNext/>
        <w:spacing w:before="240" w:after="240"/>
        <w:jc w:val="both"/>
      </w:pPr>
      <w:r w:rsidRPr="00014BE5">
        <w:t xml:space="preserve">Slijedom izmjena u sastavu Vlade Republike Hrvatske, donose se izmjene navedene Odluke kako je predloženo ovom Odlukom. </w:t>
      </w:r>
    </w:p>
    <w:p w14:paraId="3990F6A2" w14:textId="77777777" w:rsidR="00014BE5" w:rsidRPr="00014BE5" w:rsidRDefault="00014BE5" w:rsidP="00014BE5">
      <w:pPr>
        <w:keepNext/>
        <w:spacing w:before="240" w:after="240"/>
        <w:jc w:val="both"/>
      </w:pPr>
      <w:r w:rsidRPr="00014BE5">
        <w:t xml:space="preserve">Donošenje ove Odluke nema financijske učinke na Državni proračun Republike Hrvatske. </w:t>
      </w:r>
    </w:p>
    <w:p w14:paraId="1315A964" w14:textId="77777777" w:rsidR="00B4679E" w:rsidRPr="00014BE5" w:rsidRDefault="00B4679E" w:rsidP="00B4679E">
      <w:pPr>
        <w:tabs>
          <w:tab w:val="center" w:pos="6521"/>
        </w:tabs>
        <w:jc w:val="center"/>
      </w:pPr>
    </w:p>
    <w:sectPr w:rsidR="00B4679E" w:rsidRPr="00014BE5" w:rsidSect="00B4679E"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1423" w14:textId="77777777" w:rsidR="00744FCC" w:rsidRDefault="00744FCC" w:rsidP="0011560A">
      <w:r>
        <w:separator/>
      </w:r>
    </w:p>
  </w:endnote>
  <w:endnote w:type="continuationSeparator" w:id="0">
    <w:p w14:paraId="1033D1FE" w14:textId="77777777" w:rsidR="00744FCC" w:rsidRDefault="00744FCC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A97E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 w:rsidR="00351357"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351357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B60F" w14:textId="77777777" w:rsidR="00744FCC" w:rsidRDefault="00744FCC" w:rsidP="0011560A">
      <w:r>
        <w:separator/>
      </w:r>
    </w:p>
  </w:footnote>
  <w:footnote w:type="continuationSeparator" w:id="0">
    <w:p w14:paraId="6B5FBE23" w14:textId="77777777" w:rsidR="00744FCC" w:rsidRDefault="00744FCC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259"/>
    <w:multiLevelType w:val="hybridMultilevel"/>
    <w:tmpl w:val="7298B150"/>
    <w:lvl w:ilvl="0" w:tplc="A74A57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14BE5"/>
    <w:rsid w:val="000350D9"/>
    <w:rsid w:val="00057310"/>
    <w:rsid w:val="00063520"/>
    <w:rsid w:val="00086A6C"/>
    <w:rsid w:val="000A1D60"/>
    <w:rsid w:val="000A3A3B"/>
    <w:rsid w:val="000D1A50"/>
    <w:rsid w:val="001015C6"/>
    <w:rsid w:val="00110B09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5BFE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51357"/>
    <w:rsid w:val="00371EB2"/>
    <w:rsid w:val="00381F04"/>
    <w:rsid w:val="0038426B"/>
    <w:rsid w:val="003929F5"/>
    <w:rsid w:val="003A2F05"/>
    <w:rsid w:val="003C09D8"/>
    <w:rsid w:val="003D47D1"/>
    <w:rsid w:val="003F5623"/>
    <w:rsid w:val="004039BD"/>
    <w:rsid w:val="00440D6D"/>
    <w:rsid w:val="00442367"/>
    <w:rsid w:val="00461188"/>
    <w:rsid w:val="004A776B"/>
    <w:rsid w:val="004C1375"/>
    <w:rsid w:val="004C5354"/>
    <w:rsid w:val="004E1300"/>
    <w:rsid w:val="004E4E34"/>
    <w:rsid w:val="00504248"/>
    <w:rsid w:val="005146D6"/>
    <w:rsid w:val="00535E09"/>
    <w:rsid w:val="00551F30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44824"/>
    <w:rsid w:val="00652604"/>
    <w:rsid w:val="0066110E"/>
    <w:rsid w:val="00675B44"/>
    <w:rsid w:val="0067769D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26165"/>
    <w:rsid w:val="00731135"/>
    <w:rsid w:val="00731AC4"/>
    <w:rsid w:val="00744FCC"/>
    <w:rsid w:val="007638D8"/>
    <w:rsid w:val="007672F2"/>
    <w:rsid w:val="00777CAA"/>
    <w:rsid w:val="0078648A"/>
    <w:rsid w:val="007A1768"/>
    <w:rsid w:val="007A1881"/>
    <w:rsid w:val="007A725B"/>
    <w:rsid w:val="007B5CA3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8483D"/>
    <w:rsid w:val="00AA3EDC"/>
    <w:rsid w:val="00AA522D"/>
    <w:rsid w:val="00AD2F06"/>
    <w:rsid w:val="00AD4D7C"/>
    <w:rsid w:val="00AE59DF"/>
    <w:rsid w:val="00B42E00"/>
    <w:rsid w:val="00B462AB"/>
    <w:rsid w:val="00B4679E"/>
    <w:rsid w:val="00B57187"/>
    <w:rsid w:val="00B706F8"/>
    <w:rsid w:val="00B908C2"/>
    <w:rsid w:val="00BA28CD"/>
    <w:rsid w:val="00BA72BF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E25569"/>
    <w:rsid w:val="00E601A2"/>
    <w:rsid w:val="00E7331A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15A916"/>
  <w15:docId w15:val="{546447C5-8F28-430D-B4D9-31CCE829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79E"/>
    <w:pPr>
      <w:keepNext/>
      <w:spacing w:after="160" w:line="259" w:lineRule="auto"/>
      <w:jc w:val="center"/>
      <w:outlineLvl w:val="0"/>
    </w:pPr>
    <w:rPr>
      <w:rFonts w:eastAsiaTheme="minorHAns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679E"/>
    <w:rPr>
      <w:rFonts w:eastAsiaTheme="minorHAns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67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D19F-00E8-44B4-81F5-549E6CE9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564</Words>
  <Characters>3219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2019-01-21T11:06:00Z</cp:lastPrinted>
  <dcterms:created xsi:type="dcterms:W3CDTF">2019-10-24T08:01:00Z</dcterms:created>
  <dcterms:modified xsi:type="dcterms:W3CDTF">2019-10-24T08:01:00Z</dcterms:modified>
</cp:coreProperties>
</file>