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819573" w14:textId="77777777" w:rsidR="00EC0A0A" w:rsidRPr="00EC0A0A" w:rsidRDefault="00EC0A0A" w:rsidP="00EC0A0A">
      <w:pPr>
        <w:spacing w:after="0" w:line="240" w:lineRule="auto"/>
        <w:jc w:val="center"/>
        <w:rPr>
          <w:rFonts w:ascii="Times New Roman" w:eastAsia="Times New Roman" w:hAnsi="Times New Roman" w:cs="Times New Roman"/>
          <w:sz w:val="24"/>
          <w:szCs w:val="24"/>
          <w:lang w:eastAsia="hr-HR"/>
        </w:rPr>
      </w:pPr>
      <w:bookmarkStart w:id="0" w:name="_GoBack"/>
      <w:bookmarkEnd w:id="0"/>
      <w:r w:rsidRPr="00EC0A0A">
        <w:rPr>
          <w:rFonts w:ascii="Times New Roman" w:eastAsia="Times New Roman" w:hAnsi="Times New Roman" w:cs="Times New Roman"/>
          <w:noProof/>
          <w:sz w:val="24"/>
          <w:szCs w:val="24"/>
          <w:lang w:eastAsia="hr-HR"/>
        </w:rPr>
        <w:drawing>
          <wp:inline distT="0" distB="0" distL="0" distR="0" wp14:anchorId="748961E9" wp14:editId="557E1736">
            <wp:extent cx="502942" cy="684000"/>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42" cy="684000"/>
                    </a:xfrm>
                    <a:prstGeom prst="rect">
                      <a:avLst/>
                    </a:prstGeom>
                    <a:noFill/>
                    <a:ln>
                      <a:noFill/>
                    </a:ln>
                  </pic:spPr>
                </pic:pic>
              </a:graphicData>
            </a:graphic>
          </wp:inline>
        </w:drawing>
      </w:r>
      <w:r w:rsidRPr="00EC0A0A">
        <w:rPr>
          <w:rFonts w:ascii="Times New Roman" w:eastAsia="Times New Roman" w:hAnsi="Times New Roman" w:cs="Times New Roman"/>
          <w:sz w:val="24"/>
          <w:szCs w:val="24"/>
          <w:lang w:eastAsia="hr-HR"/>
        </w:rPr>
        <w:fldChar w:fldCharType="begin"/>
      </w:r>
      <w:r w:rsidRPr="00EC0A0A">
        <w:rPr>
          <w:rFonts w:ascii="Times New Roman" w:eastAsia="Times New Roman" w:hAnsi="Times New Roman" w:cs="Times New Roman"/>
          <w:sz w:val="24"/>
          <w:szCs w:val="24"/>
          <w:lang w:eastAsia="hr-HR"/>
        </w:rPr>
        <w:instrText xml:space="preserve"> INCLUDEPICTURE "http://www.inet.hr/~box/images/grb-rh.gif" \* MERGEFORMATINET </w:instrText>
      </w:r>
      <w:r w:rsidRPr="00EC0A0A">
        <w:rPr>
          <w:rFonts w:ascii="Times New Roman" w:eastAsia="Times New Roman" w:hAnsi="Times New Roman" w:cs="Times New Roman"/>
          <w:sz w:val="24"/>
          <w:szCs w:val="24"/>
          <w:lang w:eastAsia="hr-HR"/>
        </w:rPr>
        <w:fldChar w:fldCharType="end"/>
      </w:r>
    </w:p>
    <w:p w14:paraId="694F42FA" w14:textId="77777777" w:rsidR="00EC0A0A" w:rsidRPr="00EC0A0A" w:rsidRDefault="00EC0A0A" w:rsidP="00EC0A0A">
      <w:pPr>
        <w:spacing w:after="0" w:line="240" w:lineRule="auto"/>
        <w:jc w:val="center"/>
        <w:rPr>
          <w:rFonts w:ascii="Times New Roman" w:eastAsia="Times New Roman" w:hAnsi="Times New Roman" w:cs="Times New Roman"/>
          <w:sz w:val="28"/>
          <w:szCs w:val="24"/>
          <w:lang w:eastAsia="hr-HR"/>
        </w:rPr>
      </w:pPr>
      <w:r w:rsidRPr="00EC0A0A">
        <w:rPr>
          <w:rFonts w:ascii="Times New Roman" w:eastAsia="Times New Roman" w:hAnsi="Times New Roman" w:cs="Times New Roman"/>
          <w:sz w:val="28"/>
          <w:szCs w:val="24"/>
          <w:lang w:eastAsia="hr-HR"/>
        </w:rPr>
        <w:t>VLADA REPUBLIKE HRVATSKE</w:t>
      </w:r>
    </w:p>
    <w:p w14:paraId="20C967BC" w14:textId="77777777" w:rsidR="00EC0A0A" w:rsidRPr="00EC0A0A" w:rsidRDefault="00EC0A0A" w:rsidP="00EC0A0A">
      <w:pPr>
        <w:spacing w:after="0" w:line="240" w:lineRule="auto"/>
        <w:rPr>
          <w:rFonts w:ascii="Times New Roman" w:eastAsia="Times New Roman" w:hAnsi="Times New Roman" w:cs="Times New Roman"/>
          <w:sz w:val="24"/>
          <w:szCs w:val="24"/>
          <w:lang w:eastAsia="hr-HR"/>
        </w:rPr>
      </w:pPr>
    </w:p>
    <w:p w14:paraId="699D54E3" w14:textId="77777777" w:rsidR="00EC0A0A" w:rsidRPr="00EC0A0A" w:rsidRDefault="00EC0A0A" w:rsidP="00EC0A0A">
      <w:pPr>
        <w:spacing w:after="0" w:line="240" w:lineRule="auto"/>
        <w:rPr>
          <w:rFonts w:ascii="Times New Roman" w:eastAsia="Times New Roman" w:hAnsi="Times New Roman" w:cs="Times New Roman"/>
          <w:sz w:val="24"/>
          <w:szCs w:val="24"/>
          <w:lang w:eastAsia="hr-HR"/>
        </w:rPr>
      </w:pPr>
    </w:p>
    <w:p w14:paraId="53CE6E24" w14:textId="77777777" w:rsidR="00EC0A0A" w:rsidRPr="00EC0A0A" w:rsidRDefault="00EC0A0A" w:rsidP="00EC0A0A">
      <w:pPr>
        <w:spacing w:after="0" w:line="240" w:lineRule="auto"/>
        <w:rPr>
          <w:rFonts w:ascii="Times New Roman" w:eastAsia="Times New Roman" w:hAnsi="Times New Roman" w:cs="Times New Roman"/>
          <w:sz w:val="24"/>
          <w:szCs w:val="24"/>
          <w:lang w:eastAsia="hr-HR"/>
        </w:rPr>
      </w:pPr>
    </w:p>
    <w:p w14:paraId="31644793" w14:textId="77777777" w:rsidR="00EC0A0A" w:rsidRPr="00EC0A0A" w:rsidRDefault="00EC0A0A" w:rsidP="00EC0A0A">
      <w:pPr>
        <w:spacing w:after="0" w:line="240" w:lineRule="auto"/>
        <w:rPr>
          <w:rFonts w:ascii="Times New Roman" w:eastAsia="Times New Roman" w:hAnsi="Times New Roman" w:cs="Times New Roman"/>
          <w:sz w:val="24"/>
          <w:szCs w:val="24"/>
          <w:lang w:eastAsia="hr-HR"/>
        </w:rPr>
      </w:pPr>
    </w:p>
    <w:p w14:paraId="6F1AACD7" w14:textId="77777777" w:rsidR="00EC0A0A" w:rsidRPr="00EC0A0A" w:rsidRDefault="00EC0A0A" w:rsidP="00EC0A0A">
      <w:pPr>
        <w:spacing w:after="0" w:line="240" w:lineRule="auto"/>
        <w:rPr>
          <w:rFonts w:ascii="Times New Roman" w:eastAsia="Times New Roman" w:hAnsi="Times New Roman" w:cs="Times New Roman"/>
          <w:sz w:val="24"/>
          <w:szCs w:val="24"/>
          <w:lang w:eastAsia="hr-HR"/>
        </w:rPr>
      </w:pPr>
    </w:p>
    <w:p w14:paraId="6D659729" w14:textId="77777777" w:rsidR="00EC0A0A" w:rsidRPr="00EC0A0A" w:rsidRDefault="00EC0A0A" w:rsidP="00EC0A0A">
      <w:pPr>
        <w:spacing w:after="0" w:line="240" w:lineRule="auto"/>
        <w:rPr>
          <w:rFonts w:ascii="Times New Roman" w:eastAsia="Times New Roman" w:hAnsi="Times New Roman" w:cs="Times New Roman"/>
          <w:sz w:val="24"/>
          <w:szCs w:val="24"/>
          <w:lang w:eastAsia="hr-HR"/>
        </w:rPr>
      </w:pPr>
    </w:p>
    <w:p w14:paraId="6D64DED4" w14:textId="77777777" w:rsidR="00EC0A0A" w:rsidRPr="00EC0A0A" w:rsidRDefault="00EC0A0A" w:rsidP="00EC0A0A">
      <w:pPr>
        <w:spacing w:after="0" w:line="240" w:lineRule="auto"/>
        <w:rPr>
          <w:rFonts w:ascii="Times New Roman" w:eastAsia="Times New Roman" w:hAnsi="Times New Roman" w:cs="Times New Roman"/>
          <w:sz w:val="24"/>
          <w:szCs w:val="24"/>
          <w:lang w:eastAsia="hr-HR"/>
        </w:rPr>
      </w:pPr>
    </w:p>
    <w:p w14:paraId="51C54A40" w14:textId="77777777" w:rsidR="00EC0A0A" w:rsidRPr="00EC0A0A" w:rsidRDefault="00EC0A0A" w:rsidP="00EC0A0A">
      <w:pPr>
        <w:spacing w:after="0" w:line="240" w:lineRule="auto"/>
        <w:rPr>
          <w:rFonts w:ascii="Times New Roman" w:eastAsia="Times New Roman" w:hAnsi="Times New Roman" w:cs="Times New Roman"/>
          <w:sz w:val="24"/>
          <w:szCs w:val="24"/>
          <w:lang w:eastAsia="hr-HR"/>
        </w:rPr>
      </w:pPr>
    </w:p>
    <w:p w14:paraId="18BE4DFF" w14:textId="61DA4CA1" w:rsidR="00EC0A0A" w:rsidRPr="00EC0A0A" w:rsidRDefault="00EC0A0A" w:rsidP="00EC0A0A">
      <w:pPr>
        <w:spacing w:after="0" w:line="240" w:lineRule="auto"/>
        <w:jc w:val="right"/>
        <w:rPr>
          <w:rFonts w:ascii="Times New Roman" w:eastAsia="Times New Roman" w:hAnsi="Times New Roman" w:cs="Times New Roman"/>
          <w:sz w:val="24"/>
          <w:szCs w:val="24"/>
          <w:lang w:eastAsia="hr-HR"/>
        </w:rPr>
      </w:pPr>
      <w:r w:rsidRPr="00EC0A0A">
        <w:rPr>
          <w:rFonts w:ascii="Times New Roman" w:eastAsia="Times New Roman" w:hAnsi="Times New Roman" w:cs="Times New Roman"/>
          <w:sz w:val="24"/>
          <w:szCs w:val="24"/>
          <w:lang w:eastAsia="hr-HR"/>
        </w:rPr>
        <w:t xml:space="preserve">Zagreb, </w:t>
      </w:r>
      <w:r w:rsidR="00CB0B9A">
        <w:rPr>
          <w:rFonts w:ascii="Times New Roman" w:eastAsia="Times New Roman" w:hAnsi="Times New Roman" w:cs="Times New Roman"/>
          <w:sz w:val="24"/>
          <w:szCs w:val="24"/>
          <w:lang w:eastAsia="hr-HR"/>
        </w:rPr>
        <w:t>31</w:t>
      </w:r>
      <w:r w:rsidR="008F16D6">
        <w:rPr>
          <w:rFonts w:ascii="Times New Roman" w:eastAsia="Times New Roman" w:hAnsi="Times New Roman" w:cs="Times New Roman"/>
          <w:sz w:val="24"/>
          <w:szCs w:val="24"/>
          <w:lang w:eastAsia="hr-HR"/>
        </w:rPr>
        <w:t>. listopada</w:t>
      </w:r>
      <w:r w:rsidRPr="00EC0A0A">
        <w:rPr>
          <w:rFonts w:ascii="Times New Roman" w:eastAsia="Times New Roman" w:hAnsi="Times New Roman" w:cs="Times New Roman"/>
          <w:sz w:val="24"/>
          <w:szCs w:val="24"/>
          <w:lang w:eastAsia="hr-HR"/>
        </w:rPr>
        <w:t xml:space="preserve"> 2019.</w:t>
      </w:r>
    </w:p>
    <w:p w14:paraId="57C2F3D2" w14:textId="77777777" w:rsidR="00EC0A0A" w:rsidRPr="00EC0A0A" w:rsidRDefault="00EC0A0A" w:rsidP="00EC0A0A">
      <w:pPr>
        <w:spacing w:after="0" w:line="240" w:lineRule="auto"/>
        <w:jc w:val="right"/>
        <w:rPr>
          <w:rFonts w:ascii="Times New Roman" w:eastAsia="Times New Roman" w:hAnsi="Times New Roman" w:cs="Times New Roman"/>
          <w:sz w:val="24"/>
          <w:szCs w:val="24"/>
          <w:lang w:eastAsia="hr-HR"/>
        </w:rPr>
      </w:pPr>
    </w:p>
    <w:p w14:paraId="6D10A45D" w14:textId="77777777" w:rsidR="00EC0A0A" w:rsidRPr="00EC0A0A" w:rsidRDefault="00EC0A0A" w:rsidP="00EC0A0A">
      <w:pPr>
        <w:tabs>
          <w:tab w:val="left" w:pos="2940"/>
        </w:tabs>
        <w:spacing w:after="0" w:line="240" w:lineRule="auto"/>
        <w:rPr>
          <w:rFonts w:ascii="Times New Roman" w:eastAsia="Times New Roman" w:hAnsi="Times New Roman" w:cs="Times New Roman"/>
          <w:sz w:val="24"/>
          <w:szCs w:val="24"/>
          <w:lang w:eastAsia="hr-HR"/>
        </w:rPr>
      </w:pPr>
      <w:r w:rsidRPr="00EC0A0A">
        <w:rPr>
          <w:rFonts w:ascii="Times New Roman" w:eastAsia="Times New Roman" w:hAnsi="Times New Roman" w:cs="Times New Roman"/>
          <w:sz w:val="24"/>
          <w:szCs w:val="24"/>
          <w:lang w:eastAsia="hr-HR"/>
        </w:rPr>
        <w:tab/>
      </w:r>
    </w:p>
    <w:p w14:paraId="327E8543" w14:textId="77777777" w:rsidR="00EC0A0A" w:rsidRPr="00EC0A0A" w:rsidRDefault="00EC0A0A" w:rsidP="00EC0A0A">
      <w:pPr>
        <w:spacing w:after="0" w:line="240" w:lineRule="auto"/>
        <w:jc w:val="right"/>
        <w:rPr>
          <w:rFonts w:ascii="Times New Roman" w:eastAsia="Times New Roman" w:hAnsi="Times New Roman" w:cs="Times New Roman"/>
          <w:sz w:val="24"/>
          <w:szCs w:val="24"/>
          <w:lang w:eastAsia="hr-HR"/>
        </w:rPr>
      </w:pPr>
    </w:p>
    <w:p w14:paraId="3ACB3062" w14:textId="77777777" w:rsidR="00EC0A0A" w:rsidRPr="00EC0A0A" w:rsidRDefault="00EC0A0A" w:rsidP="00EC0A0A">
      <w:pPr>
        <w:spacing w:after="0" w:line="240" w:lineRule="auto"/>
        <w:jc w:val="right"/>
        <w:rPr>
          <w:rFonts w:ascii="Times New Roman" w:eastAsia="Times New Roman" w:hAnsi="Times New Roman" w:cs="Times New Roman"/>
          <w:sz w:val="24"/>
          <w:szCs w:val="24"/>
          <w:lang w:eastAsia="hr-HR"/>
        </w:rPr>
      </w:pPr>
    </w:p>
    <w:p w14:paraId="200BFFA9" w14:textId="77777777" w:rsidR="00EC0A0A" w:rsidRPr="00EC0A0A" w:rsidRDefault="00EC0A0A" w:rsidP="00EC0A0A">
      <w:pPr>
        <w:spacing w:after="0" w:line="240" w:lineRule="auto"/>
        <w:jc w:val="right"/>
        <w:rPr>
          <w:rFonts w:ascii="Times New Roman" w:eastAsia="Times New Roman" w:hAnsi="Times New Roman" w:cs="Times New Roman"/>
          <w:sz w:val="24"/>
          <w:szCs w:val="24"/>
          <w:lang w:eastAsia="hr-HR"/>
        </w:rPr>
      </w:pPr>
    </w:p>
    <w:p w14:paraId="075BCAFE" w14:textId="77777777" w:rsidR="00EC0A0A" w:rsidRPr="00EC0A0A" w:rsidRDefault="00EC0A0A" w:rsidP="00EC0A0A">
      <w:pPr>
        <w:spacing w:after="0" w:line="240" w:lineRule="auto"/>
        <w:jc w:val="right"/>
        <w:rPr>
          <w:rFonts w:ascii="Times New Roman" w:eastAsia="Times New Roman" w:hAnsi="Times New Roman" w:cs="Times New Roman"/>
          <w:sz w:val="24"/>
          <w:szCs w:val="24"/>
          <w:lang w:eastAsia="hr-HR"/>
        </w:rPr>
      </w:pPr>
    </w:p>
    <w:p w14:paraId="67872885" w14:textId="77777777" w:rsidR="00EC0A0A" w:rsidRPr="00EC0A0A" w:rsidRDefault="00EC0A0A" w:rsidP="00EC0A0A">
      <w:pPr>
        <w:spacing w:after="0" w:line="240" w:lineRule="auto"/>
        <w:jc w:val="right"/>
        <w:rPr>
          <w:rFonts w:ascii="Times New Roman" w:eastAsia="Times New Roman" w:hAnsi="Times New Roman" w:cs="Times New Roman"/>
          <w:sz w:val="24"/>
          <w:szCs w:val="24"/>
          <w:lang w:eastAsia="hr-HR"/>
        </w:rPr>
      </w:pPr>
    </w:p>
    <w:p w14:paraId="472A63A3" w14:textId="77777777" w:rsidR="00EC0A0A" w:rsidRPr="00EC0A0A" w:rsidRDefault="00EC0A0A" w:rsidP="00EC0A0A">
      <w:pPr>
        <w:spacing w:after="0" w:line="240" w:lineRule="auto"/>
        <w:rPr>
          <w:rFonts w:ascii="Times New Roman" w:eastAsia="Times New Roman" w:hAnsi="Times New Roman" w:cs="Times New Roman"/>
          <w:sz w:val="24"/>
          <w:szCs w:val="24"/>
          <w:lang w:eastAsia="hr-HR"/>
        </w:rPr>
      </w:pPr>
      <w:r w:rsidRPr="00EC0A0A">
        <w:rPr>
          <w:rFonts w:ascii="Times New Roman" w:eastAsia="Times New Roman" w:hAnsi="Times New Roman" w:cs="Times New Roman"/>
          <w:sz w:val="24"/>
          <w:szCs w:val="24"/>
          <w:lang w:eastAsia="hr-HR"/>
        </w:rPr>
        <w:t>__________________________________________________________________________</w:t>
      </w:r>
    </w:p>
    <w:p w14:paraId="403D3E94" w14:textId="77777777" w:rsidR="00EC0A0A" w:rsidRPr="00EC0A0A" w:rsidRDefault="00EC0A0A" w:rsidP="00EC0A0A">
      <w:pPr>
        <w:tabs>
          <w:tab w:val="right" w:pos="1701"/>
          <w:tab w:val="left" w:pos="1843"/>
        </w:tabs>
        <w:spacing w:after="0" w:line="240" w:lineRule="auto"/>
        <w:ind w:left="1843" w:hanging="1843"/>
        <w:rPr>
          <w:rFonts w:ascii="Times New Roman" w:eastAsia="Times New Roman" w:hAnsi="Times New Roman" w:cs="Times New Roman"/>
          <w:b/>
          <w:smallCaps/>
          <w:sz w:val="24"/>
          <w:szCs w:val="24"/>
          <w:lang w:eastAsia="hr-HR"/>
        </w:rPr>
        <w:sectPr w:rsidR="00EC0A0A" w:rsidRPr="00EC0A0A" w:rsidSect="00EC0A0A">
          <w:footerReference w:type="default" r:id="rId13"/>
          <w:pgSz w:w="11906" w:h="16838"/>
          <w:pgMar w:top="993" w:right="1417" w:bottom="1417" w:left="1417" w:header="709" w:footer="658" w:gutter="0"/>
          <w:cols w:space="708"/>
          <w:docGrid w:linePitch="360"/>
        </w:sect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229"/>
      </w:tblGrid>
      <w:tr w:rsidR="00EC0A0A" w:rsidRPr="00EC0A0A" w14:paraId="05F08451" w14:textId="77777777" w:rsidTr="00AF6B8C">
        <w:tc>
          <w:tcPr>
            <w:tcW w:w="1951" w:type="dxa"/>
          </w:tcPr>
          <w:p w14:paraId="08968FDB" w14:textId="77777777" w:rsidR="00EC0A0A" w:rsidRPr="00EC0A0A" w:rsidRDefault="00EC0A0A" w:rsidP="00EC0A0A">
            <w:pPr>
              <w:jc w:val="right"/>
              <w:rPr>
                <w:b/>
                <w:smallCaps/>
                <w:sz w:val="24"/>
                <w:szCs w:val="24"/>
              </w:rPr>
            </w:pPr>
          </w:p>
          <w:p w14:paraId="1319811B" w14:textId="77777777" w:rsidR="00EC0A0A" w:rsidRPr="00EC0A0A" w:rsidRDefault="00EC0A0A" w:rsidP="00EC0A0A">
            <w:pPr>
              <w:jc w:val="right"/>
              <w:rPr>
                <w:sz w:val="24"/>
                <w:szCs w:val="24"/>
              </w:rPr>
            </w:pPr>
            <w:r w:rsidRPr="00EC0A0A">
              <w:rPr>
                <w:b/>
                <w:smallCaps/>
                <w:sz w:val="24"/>
                <w:szCs w:val="24"/>
              </w:rPr>
              <w:t>Predlagatelj</w:t>
            </w:r>
            <w:r w:rsidRPr="00EC0A0A">
              <w:rPr>
                <w:b/>
                <w:sz w:val="24"/>
                <w:szCs w:val="24"/>
              </w:rPr>
              <w:t>:</w:t>
            </w:r>
          </w:p>
        </w:tc>
        <w:tc>
          <w:tcPr>
            <w:tcW w:w="7229" w:type="dxa"/>
          </w:tcPr>
          <w:p w14:paraId="547A934B" w14:textId="77777777" w:rsidR="00EC0A0A" w:rsidRPr="00EC0A0A" w:rsidRDefault="00EC0A0A" w:rsidP="00EC0A0A">
            <w:pPr>
              <w:jc w:val="both"/>
              <w:rPr>
                <w:sz w:val="24"/>
                <w:szCs w:val="24"/>
              </w:rPr>
            </w:pPr>
          </w:p>
          <w:p w14:paraId="7D717DB5" w14:textId="77777777" w:rsidR="00EC0A0A" w:rsidRPr="00EC0A0A" w:rsidRDefault="00EC0A0A" w:rsidP="008F16D6">
            <w:pPr>
              <w:jc w:val="both"/>
              <w:rPr>
                <w:sz w:val="24"/>
                <w:szCs w:val="24"/>
              </w:rPr>
            </w:pPr>
            <w:r>
              <w:rPr>
                <w:sz w:val="24"/>
                <w:szCs w:val="24"/>
              </w:rPr>
              <w:t xml:space="preserve">Ministarstvo </w:t>
            </w:r>
            <w:r w:rsidR="008F16D6">
              <w:rPr>
                <w:sz w:val="24"/>
                <w:szCs w:val="24"/>
              </w:rPr>
              <w:t>zaštite okoliša i energetike</w:t>
            </w:r>
            <w:r>
              <w:rPr>
                <w:sz w:val="24"/>
                <w:szCs w:val="24"/>
              </w:rPr>
              <w:t xml:space="preserve"> </w:t>
            </w:r>
          </w:p>
        </w:tc>
      </w:tr>
    </w:tbl>
    <w:p w14:paraId="7710B8C4" w14:textId="77777777" w:rsidR="00EC0A0A" w:rsidRPr="00EC0A0A" w:rsidRDefault="00EC0A0A" w:rsidP="00EC0A0A">
      <w:pPr>
        <w:spacing w:after="0" w:line="240" w:lineRule="auto"/>
        <w:rPr>
          <w:rFonts w:ascii="Times New Roman" w:eastAsia="Times New Roman" w:hAnsi="Times New Roman" w:cs="Times New Roman"/>
          <w:sz w:val="24"/>
          <w:szCs w:val="24"/>
          <w:lang w:eastAsia="hr-HR"/>
        </w:rPr>
      </w:pPr>
      <w:r w:rsidRPr="00EC0A0A">
        <w:rPr>
          <w:rFonts w:ascii="Times New Roman" w:eastAsia="Times New Roman" w:hAnsi="Times New Roman" w:cs="Times New Roman"/>
          <w:sz w:val="24"/>
          <w:szCs w:val="24"/>
          <w:lang w:eastAsia="hr-HR"/>
        </w:rPr>
        <w:t>__________________________________________________________________________</w:t>
      </w:r>
    </w:p>
    <w:p w14:paraId="578D30E3" w14:textId="77777777" w:rsidR="00EC0A0A" w:rsidRPr="00EC0A0A" w:rsidRDefault="00EC0A0A" w:rsidP="00EC0A0A">
      <w:pPr>
        <w:tabs>
          <w:tab w:val="right" w:pos="1701"/>
          <w:tab w:val="left" w:pos="1843"/>
        </w:tabs>
        <w:spacing w:after="0" w:line="240" w:lineRule="auto"/>
        <w:ind w:left="1843" w:hanging="1843"/>
        <w:rPr>
          <w:rFonts w:ascii="Times New Roman" w:eastAsia="Times New Roman" w:hAnsi="Times New Roman" w:cs="Times New Roman"/>
          <w:b/>
          <w:smallCaps/>
          <w:sz w:val="24"/>
          <w:szCs w:val="24"/>
          <w:lang w:eastAsia="hr-HR"/>
        </w:rPr>
        <w:sectPr w:rsidR="00EC0A0A" w:rsidRPr="00EC0A0A" w:rsidSect="00AF6B8C">
          <w:type w:val="continuous"/>
          <w:pgSz w:w="11906" w:h="16838"/>
          <w:pgMar w:top="993" w:right="1417" w:bottom="1417" w:left="1417" w:header="709" w:footer="658" w:gutter="0"/>
          <w:cols w:space="708"/>
          <w:docGrid w:linePitch="360"/>
        </w:sect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1"/>
        <w:gridCol w:w="7229"/>
      </w:tblGrid>
      <w:tr w:rsidR="00EC0A0A" w:rsidRPr="00EC0A0A" w14:paraId="764B0CA0" w14:textId="77777777" w:rsidTr="00AF6B8C">
        <w:tc>
          <w:tcPr>
            <w:tcW w:w="1951" w:type="dxa"/>
          </w:tcPr>
          <w:p w14:paraId="5E994DB4" w14:textId="77777777" w:rsidR="00EC0A0A" w:rsidRPr="00EC0A0A" w:rsidRDefault="00EC0A0A" w:rsidP="00EC0A0A">
            <w:pPr>
              <w:jc w:val="right"/>
              <w:rPr>
                <w:b/>
                <w:smallCaps/>
                <w:sz w:val="24"/>
                <w:szCs w:val="24"/>
              </w:rPr>
            </w:pPr>
          </w:p>
          <w:p w14:paraId="3A46D90B" w14:textId="77777777" w:rsidR="00EC0A0A" w:rsidRPr="00EC0A0A" w:rsidRDefault="00EC0A0A" w:rsidP="00EC0A0A">
            <w:pPr>
              <w:jc w:val="right"/>
              <w:rPr>
                <w:sz w:val="24"/>
                <w:szCs w:val="24"/>
              </w:rPr>
            </w:pPr>
            <w:r w:rsidRPr="00EC0A0A">
              <w:rPr>
                <w:b/>
                <w:smallCaps/>
                <w:sz w:val="24"/>
                <w:szCs w:val="24"/>
              </w:rPr>
              <w:t>Predmet</w:t>
            </w:r>
            <w:r w:rsidRPr="00EC0A0A">
              <w:rPr>
                <w:b/>
                <w:sz w:val="24"/>
                <w:szCs w:val="24"/>
              </w:rPr>
              <w:t>:</w:t>
            </w:r>
          </w:p>
        </w:tc>
        <w:tc>
          <w:tcPr>
            <w:tcW w:w="7229" w:type="dxa"/>
          </w:tcPr>
          <w:p w14:paraId="4B014EFE" w14:textId="77777777" w:rsidR="00EC0A0A" w:rsidRPr="00EC0A0A" w:rsidRDefault="00EC0A0A" w:rsidP="00EC0A0A">
            <w:pPr>
              <w:jc w:val="both"/>
              <w:rPr>
                <w:sz w:val="24"/>
                <w:szCs w:val="24"/>
              </w:rPr>
            </w:pPr>
          </w:p>
          <w:p w14:paraId="0C403181" w14:textId="337A3213" w:rsidR="008B348E" w:rsidRPr="00BB3B30" w:rsidRDefault="00A97A26" w:rsidP="008B348E">
            <w:pPr>
              <w:jc w:val="both"/>
              <w:rPr>
                <w:sz w:val="24"/>
                <w:szCs w:val="24"/>
              </w:rPr>
            </w:pPr>
            <w:r>
              <w:rPr>
                <w:sz w:val="24"/>
                <w:szCs w:val="24"/>
              </w:rPr>
              <w:t>Prijedlog s</w:t>
            </w:r>
            <w:r w:rsidR="00EC0A0A" w:rsidRPr="00EC0A0A">
              <w:rPr>
                <w:sz w:val="24"/>
                <w:szCs w:val="24"/>
              </w:rPr>
              <w:t xml:space="preserve">trategije </w:t>
            </w:r>
            <w:r w:rsidR="008B348E" w:rsidRPr="00BB3B30">
              <w:rPr>
                <w:sz w:val="24"/>
                <w:szCs w:val="24"/>
              </w:rPr>
              <w:t xml:space="preserve">energetskog razvoja Republike Hrvatske </w:t>
            </w:r>
          </w:p>
          <w:p w14:paraId="15B7E36E" w14:textId="77777777" w:rsidR="008B348E" w:rsidRPr="00BB3B30" w:rsidRDefault="008B348E" w:rsidP="008B348E">
            <w:pPr>
              <w:jc w:val="both"/>
              <w:rPr>
                <w:sz w:val="24"/>
                <w:szCs w:val="24"/>
              </w:rPr>
            </w:pPr>
            <w:r w:rsidRPr="00BB3B30">
              <w:rPr>
                <w:sz w:val="24"/>
                <w:szCs w:val="24"/>
              </w:rPr>
              <w:t>do 2030. s pogledom na 2050. godinu</w:t>
            </w:r>
          </w:p>
          <w:p w14:paraId="4A9CA3F7" w14:textId="77777777" w:rsidR="00EC0A0A" w:rsidRPr="00EC0A0A" w:rsidRDefault="00EC0A0A" w:rsidP="008F16D6">
            <w:pPr>
              <w:jc w:val="both"/>
              <w:rPr>
                <w:sz w:val="24"/>
                <w:szCs w:val="24"/>
              </w:rPr>
            </w:pPr>
          </w:p>
        </w:tc>
      </w:tr>
    </w:tbl>
    <w:p w14:paraId="3830446C" w14:textId="77777777" w:rsidR="00EC0A0A" w:rsidRPr="00EC0A0A" w:rsidRDefault="00EC0A0A" w:rsidP="00EC0A0A">
      <w:pPr>
        <w:tabs>
          <w:tab w:val="left" w:pos="1843"/>
        </w:tabs>
        <w:spacing w:after="0" w:line="240" w:lineRule="auto"/>
        <w:ind w:left="1843" w:hanging="1843"/>
        <w:rPr>
          <w:rFonts w:ascii="Times New Roman" w:eastAsia="Times New Roman" w:hAnsi="Times New Roman" w:cs="Times New Roman"/>
          <w:sz w:val="24"/>
          <w:szCs w:val="24"/>
          <w:lang w:eastAsia="hr-HR"/>
        </w:rPr>
      </w:pPr>
      <w:r w:rsidRPr="00EC0A0A">
        <w:rPr>
          <w:rFonts w:ascii="Times New Roman" w:eastAsia="Times New Roman" w:hAnsi="Times New Roman" w:cs="Times New Roman"/>
          <w:sz w:val="24"/>
          <w:szCs w:val="24"/>
          <w:lang w:eastAsia="hr-HR"/>
        </w:rPr>
        <w:t>__________________________________________________________________________</w:t>
      </w:r>
    </w:p>
    <w:p w14:paraId="2EBDA519" w14:textId="77777777" w:rsidR="00EC0A0A" w:rsidRPr="00EC0A0A" w:rsidRDefault="00EC0A0A" w:rsidP="00EC0A0A">
      <w:pPr>
        <w:spacing w:after="0" w:line="240" w:lineRule="auto"/>
        <w:rPr>
          <w:rFonts w:ascii="Times New Roman" w:eastAsia="Times New Roman" w:hAnsi="Times New Roman" w:cs="Times New Roman"/>
          <w:sz w:val="24"/>
          <w:szCs w:val="24"/>
          <w:lang w:eastAsia="hr-HR"/>
        </w:rPr>
      </w:pPr>
    </w:p>
    <w:p w14:paraId="3C737CF6" w14:textId="77777777" w:rsidR="00EC0A0A" w:rsidRPr="00EC0A0A" w:rsidRDefault="00EC0A0A" w:rsidP="00EC0A0A">
      <w:pPr>
        <w:spacing w:after="0" w:line="240" w:lineRule="auto"/>
        <w:rPr>
          <w:rFonts w:ascii="Times New Roman" w:eastAsia="Times New Roman" w:hAnsi="Times New Roman" w:cs="Times New Roman"/>
          <w:sz w:val="24"/>
          <w:szCs w:val="24"/>
          <w:lang w:eastAsia="hr-HR"/>
        </w:rPr>
      </w:pPr>
    </w:p>
    <w:p w14:paraId="358DAAC8" w14:textId="77777777" w:rsidR="00EC0A0A" w:rsidRPr="00EC0A0A" w:rsidRDefault="00EC0A0A" w:rsidP="00EC0A0A">
      <w:pPr>
        <w:spacing w:after="0" w:line="240" w:lineRule="auto"/>
        <w:rPr>
          <w:rFonts w:ascii="Times New Roman" w:eastAsia="Times New Roman" w:hAnsi="Times New Roman" w:cs="Times New Roman"/>
          <w:sz w:val="24"/>
          <w:szCs w:val="24"/>
          <w:lang w:eastAsia="hr-HR"/>
        </w:rPr>
      </w:pPr>
    </w:p>
    <w:p w14:paraId="16DD8417" w14:textId="77777777" w:rsidR="00EC0A0A" w:rsidRPr="00EC0A0A" w:rsidRDefault="00EC0A0A" w:rsidP="00EC0A0A">
      <w:pPr>
        <w:spacing w:after="0" w:line="240" w:lineRule="auto"/>
        <w:rPr>
          <w:rFonts w:ascii="Times New Roman" w:eastAsia="Times New Roman" w:hAnsi="Times New Roman" w:cs="Times New Roman"/>
          <w:sz w:val="24"/>
          <w:szCs w:val="24"/>
          <w:lang w:eastAsia="hr-HR"/>
        </w:rPr>
      </w:pPr>
    </w:p>
    <w:p w14:paraId="4B211A21" w14:textId="77777777" w:rsidR="00EC0A0A" w:rsidRPr="00EC0A0A" w:rsidRDefault="00EC0A0A" w:rsidP="00EC0A0A">
      <w:pPr>
        <w:spacing w:after="0" w:line="240" w:lineRule="auto"/>
        <w:rPr>
          <w:rFonts w:ascii="Times New Roman" w:eastAsia="Times New Roman" w:hAnsi="Times New Roman" w:cs="Times New Roman"/>
          <w:sz w:val="24"/>
          <w:szCs w:val="24"/>
          <w:lang w:eastAsia="hr-HR"/>
        </w:rPr>
      </w:pPr>
    </w:p>
    <w:p w14:paraId="4FF45188" w14:textId="77777777" w:rsidR="00EC0A0A" w:rsidRPr="00EC0A0A" w:rsidRDefault="00EC0A0A" w:rsidP="00EC0A0A">
      <w:pPr>
        <w:spacing w:after="0" w:line="240" w:lineRule="auto"/>
        <w:rPr>
          <w:rFonts w:ascii="Times New Roman" w:eastAsia="Times New Roman" w:hAnsi="Times New Roman" w:cs="Times New Roman"/>
          <w:sz w:val="24"/>
          <w:szCs w:val="24"/>
          <w:lang w:eastAsia="hr-HR"/>
        </w:rPr>
        <w:sectPr w:rsidR="00EC0A0A" w:rsidRPr="00EC0A0A" w:rsidSect="00AF6B8C">
          <w:type w:val="continuous"/>
          <w:pgSz w:w="11906" w:h="16838"/>
          <w:pgMar w:top="993" w:right="1417" w:bottom="1417" w:left="1417" w:header="709" w:footer="658" w:gutter="0"/>
          <w:cols w:space="708"/>
          <w:docGrid w:linePitch="360"/>
        </w:sectPr>
      </w:pPr>
    </w:p>
    <w:p w14:paraId="6AE8BDAC" w14:textId="21D56B3E" w:rsidR="008F16D6" w:rsidRPr="008F16D6" w:rsidRDefault="008F16D6" w:rsidP="008F16D6">
      <w:pPr>
        <w:suppressAutoHyphens/>
        <w:spacing w:after="0"/>
        <w:ind w:right="1418"/>
        <w:rPr>
          <w:rFonts w:ascii="Arial" w:eastAsia="Times New Roman" w:hAnsi="Arial" w:cs="Tahoma"/>
          <w:color w:val="808080"/>
          <w:lang w:eastAsia="hr-HR"/>
        </w:rPr>
      </w:pPr>
    </w:p>
    <w:p w14:paraId="7DC16591" w14:textId="77777777" w:rsidR="008F16D6" w:rsidRPr="008F16D6" w:rsidRDefault="008F16D6" w:rsidP="008F16D6">
      <w:pPr>
        <w:suppressAutoHyphens/>
        <w:spacing w:before="240" w:after="120" w:line="288" w:lineRule="auto"/>
        <w:jc w:val="both"/>
        <w:rPr>
          <w:rFonts w:ascii="Arial" w:eastAsia="Times New Roman" w:hAnsi="Arial" w:cs="Tahoma"/>
          <w:lang w:eastAsia="hr-HR"/>
        </w:rPr>
      </w:pPr>
    </w:p>
    <w:p w14:paraId="7F627611" w14:textId="77777777" w:rsidR="008F16D6" w:rsidRPr="008F16D6" w:rsidRDefault="008F16D6" w:rsidP="008F16D6">
      <w:pPr>
        <w:suppressAutoHyphens/>
        <w:spacing w:before="240" w:after="120" w:line="288" w:lineRule="auto"/>
        <w:jc w:val="both"/>
        <w:rPr>
          <w:rFonts w:ascii="Arial" w:eastAsia="Times New Roman" w:hAnsi="Arial" w:cs="Tahoma"/>
          <w:lang w:eastAsia="hr-HR"/>
        </w:rPr>
      </w:pPr>
    </w:p>
    <w:p w14:paraId="7F5856E5" w14:textId="77777777" w:rsidR="008F16D6" w:rsidRPr="008F16D6" w:rsidRDefault="008F16D6" w:rsidP="008F16D6">
      <w:pPr>
        <w:suppressAutoHyphens/>
        <w:spacing w:before="240" w:after="120" w:line="288" w:lineRule="auto"/>
        <w:jc w:val="both"/>
        <w:rPr>
          <w:rFonts w:ascii="Arial" w:eastAsia="Times New Roman" w:hAnsi="Arial" w:cs="Tahoma"/>
          <w:color w:val="808080"/>
          <w:lang w:eastAsia="hr-HR"/>
        </w:rPr>
      </w:pPr>
    </w:p>
    <w:p w14:paraId="01FF317B" w14:textId="77777777" w:rsidR="00E555AC" w:rsidRDefault="008F16D6" w:rsidP="008F16D6">
      <w:pPr>
        <w:tabs>
          <w:tab w:val="left" w:pos="4218"/>
        </w:tabs>
        <w:suppressAutoHyphens/>
        <w:spacing w:after="0" w:line="288" w:lineRule="auto"/>
        <w:jc w:val="center"/>
        <w:rPr>
          <w:rFonts w:ascii="Arial" w:eastAsia="Times New Roman" w:hAnsi="Arial" w:cs="Times New Roman"/>
          <w:b/>
          <w:sz w:val="40"/>
          <w:szCs w:val="40"/>
          <w:lang w:eastAsia="hr-HR"/>
        </w:rPr>
      </w:pPr>
      <w:bookmarkStart w:id="1" w:name="_Toc409005236"/>
      <w:r w:rsidRPr="008F16D6">
        <w:rPr>
          <w:rFonts w:ascii="Arial" w:eastAsia="Times New Roman" w:hAnsi="Arial" w:cs="Times New Roman"/>
          <w:b/>
          <w:sz w:val="40"/>
          <w:szCs w:val="40"/>
          <w:lang w:eastAsia="hr-HR"/>
        </w:rPr>
        <w:t xml:space="preserve">Prijedlog </w:t>
      </w:r>
    </w:p>
    <w:p w14:paraId="234BBA72" w14:textId="77777777" w:rsidR="00E555AC" w:rsidRDefault="00A97A26" w:rsidP="008F16D6">
      <w:pPr>
        <w:tabs>
          <w:tab w:val="left" w:pos="4218"/>
        </w:tabs>
        <w:suppressAutoHyphens/>
        <w:spacing w:after="0" w:line="288" w:lineRule="auto"/>
        <w:jc w:val="center"/>
        <w:rPr>
          <w:rFonts w:ascii="Arial" w:eastAsia="Times New Roman" w:hAnsi="Arial" w:cs="Times New Roman"/>
          <w:b/>
          <w:sz w:val="40"/>
          <w:szCs w:val="40"/>
          <w:lang w:eastAsia="hr-HR"/>
        </w:rPr>
      </w:pPr>
      <w:r>
        <w:rPr>
          <w:rFonts w:ascii="Arial" w:eastAsia="Times New Roman" w:hAnsi="Arial" w:cs="Times New Roman"/>
          <w:b/>
          <w:sz w:val="40"/>
          <w:szCs w:val="40"/>
          <w:lang w:eastAsia="hr-HR"/>
        </w:rPr>
        <w:t>s</w:t>
      </w:r>
      <w:r w:rsidR="008F16D6" w:rsidRPr="008F16D6">
        <w:rPr>
          <w:rFonts w:ascii="Arial" w:eastAsia="Times New Roman" w:hAnsi="Arial" w:cs="Times New Roman"/>
          <w:b/>
          <w:sz w:val="40"/>
          <w:szCs w:val="40"/>
          <w:lang w:eastAsia="hr-HR"/>
        </w:rPr>
        <w:t xml:space="preserve">trategije energetskog razvoja </w:t>
      </w:r>
    </w:p>
    <w:p w14:paraId="34BDEC9D" w14:textId="5C722D96" w:rsidR="008F16D6" w:rsidRPr="008F16D6" w:rsidRDefault="008F16D6" w:rsidP="008F16D6">
      <w:pPr>
        <w:tabs>
          <w:tab w:val="left" w:pos="4218"/>
        </w:tabs>
        <w:suppressAutoHyphens/>
        <w:spacing w:after="0" w:line="288" w:lineRule="auto"/>
        <w:jc w:val="center"/>
        <w:rPr>
          <w:rFonts w:ascii="Arial" w:eastAsia="Times New Roman" w:hAnsi="Arial" w:cs="Times New Roman"/>
          <w:b/>
          <w:sz w:val="40"/>
          <w:szCs w:val="40"/>
          <w:lang w:eastAsia="hr-HR"/>
        </w:rPr>
      </w:pPr>
      <w:r w:rsidRPr="008F16D6">
        <w:rPr>
          <w:rFonts w:ascii="Arial" w:eastAsia="Times New Roman" w:hAnsi="Arial" w:cs="Times New Roman"/>
          <w:b/>
          <w:sz w:val="40"/>
          <w:szCs w:val="40"/>
          <w:lang w:eastAsia="hr-HR"/>
        </w:rPr>
        <w:t xml:space="preserve">Republike Hrvatske </w:t>
      </w:r>
    </w:p>
    <w:p w14:paraId="752B0CE9" w14:textId="77777777" w:rsidR="008F16D6" w:rsidRPr="008F16D6" w:rsidRDefault="008F16D6" w:rsidP="008F16D6">
      <w:pPr>
        <w:tabs>
          <w:tab w:val="left" w:pos="4218"/>
        </w:tabs>
        <w:suppressAutoHyphens/>
        <w:spacing w:after="0" w:line="288" w:lineRule="auto"/>
        <w:jc w:val="center"/>
        <w:rPr>
          <w:rFonts w:ascii="Arial" w:eastAsia="Times New Roman" w:hAnsi="Arial" w:cs="Times New Roman"/>
          <w:b/>
          <w:sz w:val="40"/>
          <w:szCs w:val="40"/>
          <w:lang w:eastAsia="hr-HR"/>
        </w:rPr>
      </w:pPr>
      <w:r w:rsidRPr="008F16D6">
        <w:rPr>
          <w:rFonts w:ascii="Arial" w:eastAsia="Times New Roman" w:hAnsi="Arial" w:cs="Times New Roman"/>
          <w:b/>
          <w:sz w:val="40"/>
          <w:szCs w:val="40"/>
          <w:lang w:eastAsia="hr-HR"/>
        </w:rPr>
        <w:t>do 2030. s pogledom na 2050. godinu</w:t>
      </w:r>
    </w:p>
    <w:p w14:paraId="0F9B4A99" w14:textId="77777777" w:rsidR="008F16D6" w:rsidRPr="008F16D6" w:rsidRDefault="008F16D6" w:rsidP="008F16D6">
      <w:pPr>
        <w:tabs>
          <w:tab w:val="left" w:pos="10773"/>
          <w:tab w:val="left" w:pos="10915"/>
        </w:tabs>
        <w:suppressAutoHyphens/>
        <w:spacing w:before="240" w:after="240" w:line="288" w:lineRule="auto"/>
        <w:ind w:left="1134" w:right="851"/>
        <w:jc w:val="center"/>
        <w:rPr>
          <w:rFonts w:ascii="Arial" w:eastAsia="Times New Roman" w:hAnsi="Arial" w:cs="Arial"/>
          <w:b/>
          <w:color w:val="000000"/>
          <w:sz w:val="36"/>
          <w:szCs w:val="32"/>
          <w:lang w:eastAsia="hr-HR"/>
        </w:rPr>
      </w:pPr>
    </w:p>
    <w:p w14:paraId="53897E1D" w14:textId="77777777" w:rsidR="008F16D6" w:rsidRPr="008F16D6" w:rsidRDefault="008F16D6" w:rsidP="008F16D6">
      <w:pPr>
        <w:tabs>
          <w:tab w:val="left" w:pos="10773"/>
          <w:tab w:val="left" w:pos="10915"/>
        </w:tabs>
        <w:suppressAutoHyphens/>
        <w:spacing w:after="0" w:line="288" w:lineRule="auto"/>
        <w:ind w:left="1134" w:right="851"/>
        <w:jc w:val="center"/>
        <w:rPr>
          <w:rFonts w:ascii="Arial" w:eastAsia="Times New Roman" w:hAnsi="Arial" w:cs="Times New Roman"/>
          <w:sz w:val="24"/>
          <w:szCs w:val="24"/>
          <w:lang w:eastAsia="de-DE"/>
        </w:rPr>
      </w:pPr>
    </w:p>
    <w:p w14:paraId="5CB7F0A8" w14:textId="77777777" w:rsidR="008F16D6" w:rsidRPr="008F16D6" w:rsidRDefault="008F16D6" w:rsidP="008F16D6">
      <w:pPr>
        <w:tabs>
          <w:tab w:val="left" w:pos="10773"/>
          <w:tab w:val="left" w:pos="10915"/>
        </w:tabs>
        <w:suppressAutoHyphens/>
        <w:spacing w:after="0" w:line="288" w:lineRule="auto"/>
        <w:ind w:left="1134" w:right="851"/>
        <w:jc w:val="center"/>
        <w:rPr>
          <w:rFonts w:ascii="Arial" w:eastAsia="Times New Roman" w:hAnsi="Arial" w:cs="Times New Roman"/>
          <w:sz w:val="24"/>
          <w:szCs w:val="24"/>
          <w:lang w:eastAsia="de-DE"/>
        </w:rPr>
      </w:pPr>
    </w:p>
    <w:p w14:paraId="179839DF" w14:textId="77777777" w:rsidR="008F16D6" w:rsidRPr="008F16D6" w:rsidRDefault="008F16D6" w:rsidP="008F16D6">
      <w:pPr>
        <w:tabs>
          <w:tab w:val="left" w:pos="10773"/>
          <w:tab w:val="left" w:pos="10915"/>
        </w:tabs>
        <w:suppressAutoHyphens/>
        <w:spacing w:after="0" w:line="288" w:lineRule="auto"/>
        <w:ind w:left="1134" w:right="851"/>
        <w:jc w:val="center"/>
        <w:rPr>
          <w:rFonts w:ascii="Arial" w:eastAsia="Times New Roman" w:hAnsi="Arial" w:cs="Times New Roman"/>
          <w:sz w:val="24"/>
          <w:szCs w:val="24"/>
          <w:lang w:eastAsia="de-DE"/>
        </w:rPr>
      </w:pPr>
    </w:p>
    <w:p w14:paraId="45F0D583" w14:textId="77777777" w:rsidR="008F16D6" w:rsidRPr="008F16D6" w:rsidRDefault="008F16D6" w:rsidP="008F16D6">
      <w:pPr>
        <w:tabs>
          <w:tab w:val="left" w:pos="10773"/>
          <w:tab w:val="left" w:pos="10915"/>
        </w:tabs>
        <w:suppressAutoHyphens/>
        <w:spacing w:after="0" w:line="288" w:lineRule="auto"/>
        <w:ind w:left="1134" w:right="851"/>
        <w:jc w:val="center"/>
        <w:rPr>
          <w:rFonts w:ascii="Arial" w:eastAsia="Times New Roman" w:hAnsi="Arial" w:cs="Times New Roman"/>
          <w:sz w:val="24"/>
          <w:szCs w:val="24"/>
          <w:lang w:eastAsia="de-DE"/>
        </w:rPr>
      </w:pPr>
    </w:p>
    <w:p w14:paraId="433BD097" w14:textId="77777777" w:rsidR="008F16D6" w:rsidRPr="008F16D6" w:rsidRDefault="008F16D6" w:rsidP="008F16D6">
      <w:pPr>
        <w:tabs>
          <w:tab w:val="left" w:pos="10773"/>
          <w:tab w:val="left" w:pos="10915"/>
        </w:tabs>
        <w:suppressAutoHyphens/>
        <w:spacing w:after="0" w:line="288" w:lineRule="auto"/>
        <w:ind w:left="1134" w:right="851"/>
        <w:jc w:val="center"/>
        <w:rPr>
          <w:rFonts w:ascii="Arial" w:eastAsia="Times New Roman" w:hAnsi="Arial" w:cs="Times New Roman"/>
          <w:sz w:val="24"/>
          <w:szCs w:val="24"/>
          <w:lang w:eastAsia="de-DE"/>
        </w:rPr>
      </w:pPr>
    </w:p>
    <w:p w14:paraId="68BE0E10" w14:textId="77777777" w:rsidR="008F16D6" w:rsidRPr="008F16D6" w:rsidRDefault="008F16D6" w:rsidP="008F16D6">
      <w:pPr>
        <w:tabs>
          <w:tab w:val="left" w:pos="10773"/>
          <w:tab w:val="left" w:pos="10915"/>
        </w:tabs>
        <w:suppressAutoHyphens/>
        <w:spacing w:after="0" w:line="288" w:lineRule="auto"/>
        <w:ind w:left="1134" w:right="851"/>
        <w:jc w:val="center"/>
        <w:rPr>
          <w:rFonts w:ascii="Arial" w:eastAsia="Times New Roman" w:hAnsi="Arial" w:cs="Times New Roman"/>
          <w:sz w:val="24"/>
          <w:szCs w:val="24"/>
          <w:lang w:eastAsia="de-DE"/>
        </w:rPr>
      </w:pPr>
    </w:p>
    <w:p w14:paraId="5E2E7A84" w14:textId="77777777" w:rsidR="008F16D6" w:rsidRPr="008F16D6" w:rsidRDefault="008F16D6" w:rsidP="008F16D6">
      <w:pPr>
        <w:tabs>
          <w:tab w:val="left" w:pos="10773"/>
          <w:tab w:val="left" w:pos="10915"/>
        </w:tabs>
        <w:suppressAutoHyphens/>
        <w:spacing w:after="0" w:line="288" w:lineRule="auto"/>
        <w:ind w:left="1134" w:right="851"/>
        <w:jc w:val="center"/>
        <w:rPr>
          <w:rFonts w:ascii="Arial" w:eastAsia="Times New Roman" w:hAnsi="Arial" w:cs="Times New Roman"/>
          <w:sz w:val="24"/>
          <w:szCs w:val="24"/>
          <w:lang w:eastAsia="de-DE"/>
        </w:rPr>
      </w:pPr>
    </w:p>
    <w:p w14:paraId="381EF9B6" w14:textId="77777777" w:rsidR="008F16D6" w:rsidRPr="008F16D6" w:rsidRDefault="008F16D6" w:rsidP="008F16D6">
      <w:pPr>
        <w:tabs>
          <w:tab w:val="left" w:pos="10773"/>
          <w:tab w:val="left" w:pos="10915"/>
        </w:tabs>
        <w:suppressAutoHyphens/>
        <w:spacing w:after="0" w:line="288" w:lineRule="auto"/>
        <w:ind w:left="1134" w:right="851"/>
        <w:jc w:val="center"/>
        <w:rPr>
          <w:rFonts w:ascii="Arial" w:eastAsia="Times New Roman" w:hAnsi="Arial" w:cs="Times New Roman"/>
          <w:sz w:val="24"/>
          <w:szCs w:val="24"/>
          <w:lang w:eastAsia="de-DE"/>
        </w:rPr>
      </w:pPr>
    </w:p>
    <w:p w14:paraId="175E9A34" w14:textId="77777777" w:rsidR="008F16D6" w:rsidRPr="008F16D6" w:rsidRDefault="008F16D6" w:rsidP="008F16D6">
      <w:pPr>
        <w:tabs>
          <w:tab w:val="left" w:pos="3960"/>
          <w:tab w:val="left" w:pos="5400"/>
          <w:tab w:val="left" w:pos="10773"/>
          <w:tab w:val="left" w:pos="10915"/>
        </w:tabs>
        <w:suppressAutoHyphens/>
        <w:spacing w:after="120"/>
        <w:ind w:left="1134" w:right="851"/>
        <w:jc w:val="center"/>
        <w:rPr>
          <w:rFonts w:ascii="Arial" w:eastAsia="Times New Roman" w:hAnsi="Arial" w:cs="Arial"/>
          <w:b/>
          <w:sz w:val="24"/>
          <w:szCs w:val="24"/>
          <w:lang w:eastAsia="de-DE"/>
        </w:rPr>
      </w:pPr>
    </w:p>
    <w:p w14:paraId="234E83A0" w14:textId="77777777" w:rsidR="008F16D6" w:rsidRPr="008F16D6" w:rsidRDefault="008F16D6" w:rsidP="008F16D6">
      <w:pPr>
        <w:tabs>
          <w:tab w:val="left" w:pos="3960"/>
          <w:tab w:val="left" w:pos="5400"/>
          <w:tab w:val="left" w:pos="10773"/>
          <w:tab w:val="left" w:pos="10915"/>
        </w:tabs>
        <w:suppressAutoHyphens/>
        <w:spacing w:after="120"/>
        <w:ind w:left="1134" w:right="851"/>
        <w:jc w:val="center"/>
        <w:rPr>
          <w:rFonts w:ascii="Arial" w:eastAsia="Times New Roman" w:hAnsi="Arial" w:cs="Arial"/>
          <w:b/>
          <w:sz w:val="24"/>
          <w:szCs w:val="24"/>
          <w:lang w:eastAsia="de-DE"/>
        </w:rPr>
      </w:pPr>
    </w:p>
    <w:p w14:paraId="161C5696" w14:textId="77777777" w:rsidR="008F16D6" w:rsidRPr="008F16D6" w:rsidRDefault="008F16D6" w:rsidP="008F16D6">
      <w:pPr>
        <w:tabs>
          <w:tab w:val="left" w:pos="3960"/>
          <w:tab w:val="left" w:pos="5400"/>
          <w:tab w:val="left" w:pos="10773"/>
          <w:tab w:val="left" w:pos="10915"/>
        </w:tabs>
        <w:suppressAutoHyphens/>
        <w:spacing w:after="120"/>
        <w:ind w:left="1134" w:right="851"/>
        <w:jc w:val="center"/>
        <w:rPr>
          <w:rFonts w:ascii="Arial" w:eastAsia="Times New Roman" w:hAnsi="Arial" w:cs="Arial"/>
          <w:b/>
          <w:sz w:val="24"/>
          <w:szCs w:val="24"/>
          <w:lang w:eastAsia="de-DE"/>
        </w:rPr>
      </w:pPr>
    </w:p>
    <w:p w14:paraId="3993095F" w14:textId="77777777" w:rsidR="00A97A26" w:rsidRDefault="00A97A26" w:rsidP="008F16D6">
      <w:pPr>
        <w:tabs>
          <w:tab w:val="left" w:pos="3960"/>
          <w:tab w:val="left" w:pos="5400"/>
          <w:tab w:val="left" w:pos="10773"/>
          <w:tab w:val="left" w:pos="10915"/>
        </w:tabs>
        <w:suppressAutoHyphens/>
        <w:spacing w:after="120"/>
        <w:ind w:left="1134" w:right="851"/>
        <w:jc w:val="center"/>
        <w:rPr>
          <w:rFonts w:ascii="Arial" w:eastAsia="Times New Roman" w:hAnsi="Arial" w:cs="Arial"/>
          <w:b/>
          <w:sz w:val="24"/>
          <w:szCs w:val="24"/>
          <w:lang w:eastAsia="de-DE"/>
        </w:rPr>
      </w:pPr>
    </w:p>
    <w:p w14:paraId="72C517EF" w14:textId="77777777" w:rsidR="00A97A26" w:rsidRDefault="00A97A26" w:rsidP="008F16D6">
      <w:pPr>
        <w:tabs>
          <w:tab w:val="left" w:pos="3960"/>
          <w:tab w:val="left" w:pos="5400"/>
          <w:tab w:val="left" w:pos="10773"/>
          <w:tab w:val="left" w:pos="10915"/>
        </w:tabs>
        <w:suppressAutoHyphens/>
        <w:spacing w:after="120"/>
        <w:ind w:left="1134" w:right="851"/>
        <w:jc w:val="center"/>
        <w:rPr>
          <w:rFonts w:ascii="Arial" w:eastAsia="Times New Roman" w:hAnsi="Arial" w:cs="Arial"/>
          <w:b/>
          <w:sz w:val="24"/>
          <w:szCs w:val="24"/>
          <w:lang w:eastAsia="de-DE"/>
        </w:rPr>
      </w:pPr>
    </w:p>
    <w:p w14:paraId="7F877CF2" w14:textId="77777777" w:rsidR="00A97A26" w:rsidRDefault="00A97A26" w:rsidP="008F16D6">
      <w:pPr>
        <w:tabs>
          <w:tab w:val="left" w:pos="3960"/>
          <w:tab w:val="left" w:pos="5400"/>
          <w:tab w:val="left" w:pos="10773"/>
          <w:tab w:val="left" w:pos="10915"/>
        </w:tabs>
        <w:suppressAutoHyphens/>
        <w:spacing w:after="120"/>
        <w:ind w:left="1134" w:right="851"/>
        <w:jc w:val="center"/>
        <w:rPr>
          <w:rFonts w:ascii="Arial" w:eastAsia="Times New Roman" w:hAnsi="Arial" w:cs="Arial"/>
          <w:b/>
          <w:sz w:val="24"/>
          <w:szCs w:val="24"/>
          <w:lang w:eastAsia="de-DE"/>
        </w:rPr>
      </w:pPr>
    </w:p>
    <w:p w14:paraId="77BF036F" w14:textId="77777777" w:rsidR="00A97A26" w:rsidRDefault="00A97A26" w:rsidP="008F16D6">
      <w:pPr>
        <w:tabs>
          <w:tab w:val="left" w:pos="3960"/>
          <w:tab w:val="left" w:pos="5400"/>
          <w:tab w:val="left" w:pos="10773"/>
          <w:tab w:val="left" w:pos="10915"/>
        </w:tabs>
        <w:suppressAutoHyphens/>
        <w:spacing w:after="120"/>
        <w:ind w:left="1134" w:right="851"/>
        <w:jc w:val="center"/>
        <w:rPr>
          <w:rFonts w:ascii="Arial" w:eastAsia="Times New Roman" w:hAnsi="Arial" w:cs="Arial"/>
          <w:b/>
          <w:sz w:val="24"/>
          <w:szCs w:val="24"/>
          <w:lang w:eastAsia="de-DE"/>
        </w:rPr>
      </w:pPr>
    </w:p>
    <w:p w14:paraId="1FDF7BDD" w14:textId="77777777" w:rsidR="00A97A26" w:rsidRDefault="00A97A26" w:rsidP="008F16D6">
      <w:pPr>
        <w:tabs>
          <w:tab w:val="left" w:pos="3960"/>
          <w:tab w:val="left" w:pos="5400"/>
          <w:tab w:val="left" w:pos="10773"/>
          <w:tab w:val="left" w:pos="10915"/>
        </w:tabs>
        <w:suppressAutoHyphens/>
        <w:spacing w:after="120"/>
        <w:ind w:left="1134" w:right="851"/>
        <w:jc w:val="center"/>
        <w:rPr>
          <w:rFonts w:ascii="Arial" w:eastAsia="Times New Roman" w:hAnsi="Arial" w:cs="Arial"/>
          <w:b/>
          <w:sz w:val="24"/>
          <w:szCs w:val="24"/>
          <w:lang w:eastAsia="de-DE"/>
        </w:rPr>
      </w:pPr>
    </w:p>
    <w:p w14:paraId="10CB0E23" w14:textId="77777777" w:rsidR="00A97A26" w:rsidRDefault="00A97A26" w:rsidP="008F16D6">
      <w:pPr>
        <w:tabs>
          <w:tab w:val="left" w:pos="3960"/>
          <w:tab w:val="left" w:pos="5400"/>
          <w:tab w:val="left" w:pos="10773"/>
          <w:tab w:val="left" w:pos="10915"/>
        </w:tabs>
        <w:suppressAutoHyphens/>
        <w:spacing w:after="120"/>
        <w:ind w:left="1134" w:right="851"/>
        <w:jc w:val="center"/>
        <w:rPr>
          <w:rFonts w:ascii="Arial" w:eastAsia="Times New Roman" w:hAnsi="Arial" w:cs="Arial"/>
          <w:b/>
          <w:sz w:val="24"/>
          <w:szCs w:val="24"/>
          <w:lang w:eastAsia="de-DE"/>
        </w:rPr>
      </w:pPr>
    </w:p>
    <w:p w14:paraId="254351BC" w14:textId="77777777" w:rsidR="00A97A26" w:rsidRDefault="00A97A26" w:rsidP="008F16D6">
      <w:pPr>
        <w:tabs>
          <w:tab w:val="left" w:pos="3960"/>
          <w:tab w:val="left" w:pos="5400"/>
          <w:tab w:val="left" w:pos="10773"/>
          <w:tab w:val="left" w:pos="10915"/>
        </w:tabs>
        <w:suppressAutoHyphens/>
        <w:spacing w:after="120"/>
        <w:ind w:left="1134" w:right="851"/>
        <w:jc w:val="center"/>
        <w:rPr>
          <w:rFonts w:ascii="Arial" w:eastAsia="Times New Roman" w:hAnsi="Arial" w:cs="Arial"/>
          <w:b/>
          <w:sz w:val="24"/>
          <w:szCs w:val="24"/>
          <w:lang w:eastAsia="de-DE"/>
        </w:rPr>
      </w:pPr>
    </w:p>
    <w:p w14:paraId="6EF00C26" w14:textId="77777777" w:rsidR="00A97A26" w:rsidRDefault="00A97A26" w:rsidP="008F16D6">
      <w:pPr>
        <w:tabs>
          <w:tab w:val="left" w:pos="3960"/>
          <w:tab w:val="left" w:pos="5400"/>
          <w:tab w:val="left" w:pos="10773"/>
          <w:tab w:val="left" w:pos="10915"/>
        </w:tabs>
        <w:suppressAutoHyphens/>
        <w:spacing w:after="120"/>
        <w:ind w:left="1134" w:right="851"/>
        <w:jc w:val="center"/>
        <w:rPr>
          <w:rFonts w:ascii="Arial" w:eastAsia="Times New Roman" w:hAnsi="Arial" w:cs="Arial"/>
          <w:b/>
          <w:sz w:val="24"/>
          <w:szCs w:val="24"/>
          <w:lang w:eastAsia="de-DE"/>
        </w:rPr>
      </w:pPr>
    </w:p>
    <w:p w14:paraId="7D8B00A0" w14:textId="77777777" w:rsidR="00A97A26" w:rsidRDefault="00A97A26" w:rsidP="008F16D6">
      <w:pPr>
        <w:tabs>
          <w:tab w:val="left" w:pos="3960"/>
          <w:tab w:val="left" w:pos="5400"/>
          <w:tab w:val="left" w:pos="10773"/>
          <w:tab w:val="left" w:pos="10915"/>
        </w:tabs>
        <w:suppressAutoHyphens/>
        <w:spacing w:after="120"/>
        <w:ind w:left="1134" w:right="851"/>
        <w:jc w:val="center"/>
        <w:rPr>
          <w:rFonts w:ascii="Arial" w:eastAsia="Times New Roman" w:hAnsi="Arial" w:cs="Arial"/>
          <w:b/>
          <w:sz w:val="24"/>
          <w:szCs w:val="24"/>
          <w:lang w:eastAsia="de-DE"/>
        </w:rPr>
      </w:pPr>
    </w:p>
    <w:p w14:paraId="58327A94" w14:textId="0A0F06F8" w:rsidR="008F16D6" w:rsidRPr="008F16D6" w:rsidRDefault="008F16D6" w:rsidP="008F16D6">
      <w:pPr>
        <w:tabs>
          <w:tab w:val="left" w:pos="3960"/>
          <w:tab w:val="left" w:pos="5400"/>
          <w:tab w:val="left" w:pos="10773"/>
          <w:tab w:val="left" w:pos="10915"/>
        </w:tabs>
        <w:suppressAutoHyphens/>
        <w:spacing w:after="120"/>
        <w:ind w:left="1134" w:right="851"/>
        <w:jc w:val="center"/>
        <w:rPr>
          <w:rFonts w:ascii="Arial" w:eastAsia="Times New Roman" w:hAnsi="Arial" w:cs="Arial"/>
          <w:b/>
          <w:sz w:val="24"/>
          <w:szCs w:val="24"/>
          <w:lang w:eastAsia="de-DE"/>
        </w:rPr>
      </w:pPr>
      <w:r w:rsidRPr="008F16D6">
        <w:rPr>
          <w:rFonts w:ascii="Arial" w:eastAsia="Times New Roman" w:hAnsi="Arial" w:cs="Arial"/>
          <w:b/>
          <w:sz w:val="24"/>
          <w:szCs w:val="24"/>
          <w:lang w:eastAsia="de-DE"/>
        </w:rPr>
        <w:t xml:space="preserve">Zagreb, </w:t>
      </w:r>
      <w:r w:rsidR="00AC5EA0">
        <w:rPr>
          <w:rFonts w:ascii="Arial" w:eastAsia="Times New Roman" w:hAnsi="Arial" w:cs="Arial"/>
          <w:b/>
          <w:sz w:val="24"/>
          <w:szCs w:val="24"/>
          <w:lang w:eastAsia="de-DE"/>
        </w:rPr>
        <w:t>listopad</w:t>
      </w:r>
      <w:r w:rsidR="00AC5EA0" w:rsidRPr="008F16D6">
        <w:rPr>
          <w:rFonts w:ascii="Arial" w:eastAsia="Times New Roman" w:hAnsi="Arial" w:cs="Arial"/>
          <w:b/>
          <w:sz w:val="24"/>
          <w:szCs w:val="24"/>
          <w:lang w:eastAsia="de-DE"/>
        </w:rPr>
        <w:t xml:space="preserve"> </w:t>
      </w:r>
      <w:r w:rsidRPr="008F16D6">
        <w:rPr>
          <w:rFonts w:ascii="Arial" w:eastAsia="Times New Roman" w:hAnsi="Arial" w:cs="Arial"/>
          <w:b/>
          <w:sz w:val="24"/>
          <w:szCs w:val="24"/>
          <w:lang w:eastAsia="de-DE"/>
        </w:rPr>
        <w:t>2019. godine</w:t>
      </w:r>
    </w:p>
    <w:p w14:paraId="2395618D" w14:textId="77777777" w:rsidR="008F16D6" w:rsidRPr="008F16D6" w:rsidRDefault="008F16D6" w:rsidP="008F16D6">
      <w:pPr>
        <w:tabs>
          <w:tab w:val="left" w:pos="3960"/>
          <w:tab w:val="left" w:pos="5400"/>
        </w:tabs>
        <w:suppressAutoHyphens/>
        <w:spacing w:after="120"/>
        <w:ind w:left="4557"/>
        <w:rPr>
          <w:rFonts w:ascii="Arial" w:eastAsia="Times New Roman" w:hAnsi="Arial" w:cs="Arial"/>
          <w:b/>
          <w:sz w:val="24"/>
          <w:szCs w:val="24"/>
          <w:lang w:eastAsia="de-DE"/>
        </w:rPr>
        <w:sectPr w:rsidR="008F16D6" w:rsidRPr="008F16D6" w:rsidSect="008F16D6">
          <w:headerReference w:type="even" r:id="rId14"/>
          <w:headerReference w:type="default" r:id="rId15"/>
          <w:footerReference w:type="even" r:id="rId16"/>
          <w:footerReference w:type="default" r:id="rId17"/>
          <w:footerReference w:type="first" r:id="rId18"/>
          <w:pgSz w:w="11907" w:h="16840" w:code="9"/>
          <w:pgMar w:top="1418" w:right="1134" w:bottom="1418" w:left="1418" w:header="567" w:footer="709" w:gutter="0"/>
          <w:pgNumType w:start="1"/>
          <w:cols w:space="720"/>
          <w:noEndnote/>
          <w:titlePg/>
          <w:docGrid w:linePitch="299"/>
        </w:sectPr>
      </w:pPr>
    </w:p>
    <w:p w14:paraId="34CC1346" w14:textId="77777777" w:rsidR="008F16D6" w:rsidRPr="008F16D6" w:rsidRDefault="008F16D6" w:rsidP="008F16D6">
      <w:pPr>
        <w:pBdr>
          <w:top w:val="single" w:sz="48" w:space="5" w:color="F5C1C6"/>
        </w:pBdr>
        <w:suppressAutoHyphens/>
        <w:spacing w:before="120" w:after="320" w:line="240" w:lineRule="auto"/>
        <w:jc w:val="both"/>
        <w:rPr>
          <w:rFonts w:ascii="Arial" w:eastAsia="Times New Roman" w:hAnsi="Arial" w:cs="Times New Roman"/>
          <w:b/>
          <w:caps/>
          <w:color w:val="BE1D2D"/>
          <w:sz w:val="32"/>
          <w:lang w:eastAsia="hr-HR"/>
        </w:rPr>
      </w:pPr>
      <w:bookmarkStart w:id="2" w:name="_Toc451264688"/>
      <w:bookmarkStart w:id="3" w:name="_Toc451332669"/>
      <w:bookmarkStart w:id="4" w:name="_Toc451342523"/>
      <w:bookmarkStart w:id="5" w:name="_Toc451438620"/>
      <w:bookmarkStart w:id="6" w:name="_Toc451438830"/>
      <w:bookmarkStart w:id="7" w:name="_Hlk488739541"/>
      <w:r w:rsidRPr="008F16D6">
        <w:rPr>
          <w:rFonts w:ascii="Arial" w:eastAsia="Times New Roman" w:hAnsi="Arial" w:cs="Times New Roman"/>
          <w:b/>
          <w:caps/>
          <w:color w:val="BE1D2D"/>
          <w:sz w:val="32"/>
          <w:lang w:eastAsia="hr-HR"/>
        </w:rPr>
        <w:lastRenderedPageBreak/>
        <w:t>SADRŽAJ</w:t>
      </w:r>
      <w:bookmarkEnd w:id="1"/>
      <w:bookmarkEnd w:id="2"/>
      <w:bookmarkEnd w:id="3"/>
      <w:bookmarkEnd w:id="4"/>
      <w:bookmarkEnd w:id="5"/>
      <w:bookmarkEnd w:id="6"/>
    </w:p>
    <w:p w14:paraId="140C2EFD" w14:textId="6F1FCB54" w:rsidR="008F16D6" w:rsidRPr="008F16D6" w:rsidRDefault="008F16D6" w:rsidP="008F16D6">
      <w:pPr>
        <w:tabs>
          <w:tab w:val="left" w:pos="440"/>
          <w:tab w:val="right" w:leader="dot" w:pos="9061"/>
        </w:tabs>
        <w:suppressAutoHyphens/>
        <w:spacing w:before="240" w:after="0" w:line="240" w:lineRule="auto"/>
        <w:ind w:left="442" w:hanging="442"/>
        <w:jc w:val="both"/>
        <w:rPr>
          <w:rFonts w:ascii="Calibri" w:eastAsia="Yu Mincho" w:hAnsi="Calibri" w:cs="Arial"/>
          <w:noProof/>
          <w:lang w:eastAsia="hr-HR"/>
        </w:rPr>
      </w:pPr>
      <w:r w:rsidRPr="008F16D6">
        <w:rPr>
          <w:rFonts w:ascii="Arial" w:eastAsia="Times New Roman" w:hAnsi="Arial" w:cs="Times New Roman"/>
          <w:b/>
          <w:color w:val="BE1D2D"/>
          <w:sz w:val="28"/>
          <w:lang w:eastAsia="hr-HR"/>
        </w:rPr>
        <w:fldChar w:fldCharType="begin"/>
      </w:r>
      <w:r w:rsidRPr="008F16D6">
        <w:rPr>
          <w:rFonts w:ascii="Arial" w:eastAsia="Times New Roman" w:hAnsi="Arial" w:cs="Times New Roman"/>
          <w:b/>
          <w:color w:val="BE1D2D"/>
          <w:lang w:eastAsia="hr-HR"/>
        </w:rPr>
        <w:instrText xml:space="preserve"> TOC \o "1-3" \h \z \u </w:instrText>
      </w:r>
      <w:r w:rsidRPr="008F16D6">
        <w:rPr>
          <w:rFonts w:ascii="Arial" w:eastAsia="Times New Roman" w:hAnsi="Arial" w:cs="Times New Roman"/>
          <w:b/>
          <w:color w:val="BE1D2D"/>
          <w:lang w:eastAsia="hr-HR"/>
        </w:rPr>
        <w:fldChar w:fldCharType="separate"/>
      </w:r>
      <w:hyperlink w:anchor="_Toc17876354" w:history="1">
        <w:r w:rsidRPr="008F16D6">
          <w:rPr>
            <w:rFonts w:ascii="Arial" w:eastAsia="Times New Roman" w:hAnsi="Arial" w:cs="Times New Roman"/>
            <w:b/>
            <w:noProof/>
            <w:color w:val="0000FF"/>
            <w:sz w:val="28"/>
            <w:u w:val="single"/>
            <w:lang w:eastAsia="hr-HR"/>
          </w:rPr>
          <w:t>1.</w:t>
        </w:r>
        <w:r w:rsidRPr="008F16D6">
          <w:rPr>
            <w:rFonts w:ascii="Calibri" w:eastAsia="Yu Mincho" w:hAnsi="Calibri" w:cs="Arial"/>
            <w:noProof/>
            <w:lang w:eastAsia="hr-HR"/>
          </w:rPr>
          <w:tab/>
        </w:r>
        <w:r w:rsidRPr="008F16D6">
          <w:rPr>
            <w:rFonts w:ascii="Arial" w:eastAsia="Times New Roman" w:hAnsi="Arial" w:cs="Times New Roman"/>
            <w:b/>
            <w:noProof/>
            <w:color w:val="0000FF"/>
            <w:sz w:val="28"/>
            <w:u w:val="single"/>
            <w:lang w:eastAsia="hr-HR"/>
          </w:rPr>
          <w:t>Vizija razvoja - Na putu prema niskougljičnoj energiji</w:t>
        </w:r>
        <w:r w:rsidRPr="008F16D6">
          <w:rPr>
            <w:rFonts w:ascii="Arial" w:eastAsia="Times New Roman" w:hAnsi="Arial" w:cs="Times New Roman"/>
            <w:b/>
            <w:noProof/>
            <w:webHidden/>
            <w:color w:val="BE1D2D"/>
            <w:sz w:val="28"/>
            <w:lang w:eastAsia="hr-HR"/>
          </w:rPr>
          <w:tab/>
        </w:r>
        <w:r w:rsidRPr="008F16D6">
          <w:rPr>
            <w:rFonts w:ascii="Arial" w:eastAsia="Times New Roman" w:hAnsi="Arial" w:cs="Times New Roman"/>
            <w:b/>
            <w:noProof/>
            <w:webHidden/>
            <w:color w:val="BE1D2D"/>
            <w:sz w:val="28"/>
            <w:lang w:eastAsia="hr-HR"/>
          </w:rPr>
          <w:fldChar w:fldCharType="begin"/>
        </w:r>
        <w:r w:rsidRPr="008F16D6">
          <w:rPr>
            <w:rFonts w:ascii="Arial" w:eastAsia="Times New Roman" w:hAnsi="Arial" w:cs="Times New Roman"/>
            <w:b/>
            <w:noProof/>
            <w:webHidden/>
            <w:color w:val="BE1D2D"/>
            <w:sz w:val="28"/>
            <w:lang w:eastAsia="hr-HR"/>
          </w:rPr>
          <w:instrText xml:space="preserve"> PAGEREF _Toc17876354 \h </w:instrText>
        </w:r>
        <w:r w:rsidRPr="008F16D6">
          <w:rPr>
            <w:rFonts w:ascii="Arial" w:eastAsia="Times New Roman" w:hAnsi="Arial" w:cs="Times New Roman"/>
            <w:b/>
            <w:noProof/>
            <w:webHidden/>
            <w:color w:val="BE1D2D"/>
            <w:sz w:val="28"/>
            <w:lang w:eastAsia="hr-HR"/>
          </w:rPr>
        </w:r>
        <w:r w:rsidRPr="008F16D6">
          <w:rPr>
            <w:rFonts w:ascii="Arial" w:eastAsia="Times New Roman" w:hAnsi="Arial" w:cs="Times New Roman"/>
            <w:b/>
            <w:noProof/>
            <w:webHidden/>
            <w:color w:val="BE1D2D"/>
            <w:sz w:val="28"/>
            <w:lang w:eastAsia="hr-HR"/>
          </w:rPr>
          <w:fldChar w:fldCharType="separate"/>
        </w:r>
        <w:r w:rsidR="00E555AC">
          <w:rPr>
            <w:rFonts w:ascii="Arial" w:eastAsia="Times New Roman" w:hAnsi="Arial" w:cs="Times New Roman"/>
            <w:b/>
            <w:noProof/>
            <w:webHidden/>
            <w:color w:val="BE1D2D"/>
            <w:sz w:val="28"/>
            <w:lang w:eastAsia="hr-HR"/>
          </w:rPr>
          <w:t>3</w:t>
        </w:r>
        <w:r w:rsidRPr="008F16D6">
          <w:rPr>
            <w:rFonts w:ascii="Arial" w:eastAsia="Times New Roman" w:hAnsi="Arial" w:cs="Times New Roman"/>
            <w:b/>
            <w:noProof/>
            <w:webHidden/>
            <w:color w:val="BE1D2D"/>
            <w:sz w:val="28"/>
            <w:lang w:eastAsia="hr-HR"/>
          </w:rPr>
          <w:fldChar w:fldCharType="end"/>
        </w:r>
      </w:hyperlink>
    </w:p>
    <w:p w14:paraId="3273491F" w14:textId="14FF71A7"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355" w:history="1">
        <w:r w:rsidR="008F16D6" w:rsidRPr="008F16D6">
          <w:rPr>
            <w:rFonts w:ascii="Arial" w:eastAsia="Arial" w:hAnsi="Arial" w:cs="Times New Roman"/>
            <w:noProof/>
            <w:color w:val="0000FF"/>
            <w:u w:val="single"/>
            <w:lang w:eastAsia="hr-HR"/>
          </w:rPr>
          <w:t>1.1.</w:t>
        </w:r>
        <w:r w:rsidR="008F16D6" w:rsidRPr="008F16D6">
          <w:rPr>
            <w:rFonts w:ascii="Calibri" w:eastAsia="Yu Mincho" w:hAnsi="Calibri" w:cs="Arial"/>
            <w:noProof/>
            <w:lang w:eastAsia="hr-HR"/>
          </w:rPr>
          <w:tab/>
        </w:r>
        <w:r w:rsidR="008F16D6" w:rsidRPr="008F16D6">
          <w:rPr>
            <w:rFonts w:ascii="Arial" w:eastAsia="Arial" w:hAnsi="Arial" w:cs="Times New Roman"/>
            <w:noProof/>
            <w:color w:val="0000FF"/>
            <w:u w:val="single"/>
            <w:lang w:eastAsia="hr-HR"/>
          </w:rPr>
          <w:t>Vizija razvoja energetskog sektora</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_Toc17876355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4</w:t>
        </w:r>
        <w:r w:rsidR="008F16D6" w:rsidRPr="008F16D6">
          <w:rPr>
            <w:rFonts w:ascii="Arial" w:eastAsia="Times New Roman" w:hAnsi="Arial" w:cs="Times New Roman"/>
            <w:noProof/>
            <w:webHidden/>
            <w:lang w:eastAsia="hr-HR"/>
          </w:rPr>
          <w:fldChar w:fldCharType="end"/>
        </w:r>
      </w:hyperlink>
    </w:p>
    <w:p w14:paraId="0BC9005C" w14:textId="35DA55DD"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356" w:history="1">
        <w:r w:rsidR="008F16D6" w:rsidRPr="008F16D6">
          <w:rPr>
            <w:rFonts w:ascii="Arial" w:eastAsia="Arial" w:hAnsi="Arial" w:cs="Times New Roman"/>
            <w:noProof/>
            <w:color w:val="0000FF"/>
            <w:u w:val="single"/>
            <w:lang w:eastAsia="hr-HR"/>
          </w:rPr>
          <w:t>1.2.</w:t>
        </w:r>
        <w:r w:rsidR="008F16D6" w:rsidRPr="008F16D6">
          <w:rPr>
            <w:rFonts w:ascii="Calibri" w:eastAsia="Yu Mincho" w:hAnsi="Calibri" w:cs="Arial"/>
            <w:noProof/>
            <w:lang w:eastAsia="hr-HR"/>
          </w:rPr>
          <w:tab/>
        </w:r>
        <w:r w:rsidR="008F16D6" w:rsidRPr="008F16D6">
          <w:rPr>
            <w:rFonts w:ascii="Arial" w:eastAsia="Arial" w:hAnsi="Arial" w:cs="Times New Roman"/>
            <w:noProof/>
            <w:color w:val="0000FF"/>
            <w:u w:val="single"/>
            <w:lang w:eastAsia="hr-HR"/>
          </w:rPr>
          <w:t>Razmatrani scenariji</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_Toc17876356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6</w:t>
        </w:r>
        <w:r w:rsidR="008F16D6" w:rsidRPr="008F16D6">
          <w:rPr>
            <w:rFonts w:ascii="Arial" w:eastAsia="Times New Roman" w:hAnsi="Arial" w:cs="Times New Roman"/>
            <w:noProof/>
            <w:webHidden/>
            <w:lang w:eastAsia="hr-HR"/>
          </w:rPr>
          <w:fldChar w:fldCharType="end"/>
        </w:r>
      </w:hyperlink>
    </w:p>
    <w:p w14:paraId="391F7196" w14:textId="2BC97F85"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357" w:history="1">
        <w:r w:rsidR="008F16D6" w:rsidRPr="008F16D6">
          <w:rPr>
            <w:rFonts w:ascii="Arial" w:eastAsia="Times New Roman" w:hAnsi="Arial" w:cs="Times New Roman"/>
            <w:noProof/>
            <w:color w:val="0000FF"/>
            <w:u w:val="single"/>
            <w:lang w:eastAsia="hr-HR"/>
          </w:rPr>
          <w:t>1.3.</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Glavne odrednice razvoja energetskog sektora do 2030. godine</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_Toc17876357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8</w:t>
        </w:r>
        <w:r w:rsidR="008F16D6" w:rsidRPr="008F16D6">
          <w:rPr>
            <w:rFonts w:ascii="Arial" w:eastAsia="Times New Roman" w:hAnsi="Arial" w:cs="Times New Roman"/>
            <w:noProof/>
            <w:webHidden/>
            <w:lang w:eastAsia="hr-HR"/>
          </w:rPr>
          <w:fldChar w:fldCharType="end"/>
        </w:r>
      </w:hyperlink>
    </w:p>
    <w:p w14:paraId="065548C2" w14:textId="69D92CF3"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358" w:history="1">
        <w:r w:rsidR="008F16D6" w:rsidRPr="008F16D6">
          <w:rPr>
            <w:rFonts w:ascii="Arial" w:eastAsia="Times New Roman" w:hAnsi="Arial" w:cs="Times New Roman"/>
            <w:noProof/>
            <w:color w:val="0000FF"/>
            <w:u w:val="single"/>
            <w:lang w:eastAsia="hr-HR"/>
          </w:rPr>
          <w:t>1.4.</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Pogled na razvoj energetskog sektora do 2050. godine</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_Toc17876358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9</w:t>
        </w:r>
        <w:r w:rsidR="008F16D6" w:rsidRPr="008F16D6">
          <w:rPr>
            <w:rFonts w:ascii="Arial" w:eastAsia="Times New Roman" w:hAnsi="Arial" w:cs="Times New Roman"/>
            <w:noProof/>
            <w:webHidden/>
            <w:lang w:eastAsia="hr-HR"/>
          </w:rPr>
          <w:fldChar w:fldCharType="end"/>
        </w:r>
      </w:hyperlink>
    </w:p>
    <w:p w14:paraId="10D4F5F9" w14:textId="019AD148"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359" w:history="1">
        <w:r w:rsidR="008F16D6" w:rsidRPr="008F16D6">
          <w:rPr>
            <w:rFonts w:ascii="Arial" w:eastAsia="Times New Roman" w:hAnsi="Arial" w:cs="Times New Roman"/>
            <w:noProof/>
            <w:color w:val="0000FF"/>
            <w:u w:val="single"/>
            <w:lang w:eastAsia="hr-HR"/>
          </w:rPr>
          <w:t>1.5.</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Demografski razvoj</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_Toc17876359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12</w:t>
        </w:r>
        <w:r w:rsidR="008F16D6" w:rsidRPr="008F16D6">
          <w:rPr>
            <w:rFonts w:ascii="Arial" w:eastAsia="Times New Roman" w:hAnsi="Arial" w:cs="Times New Roman"/>
            <w:noProof/>
            <w:webHidden/>
            <w:lang w:eastAsia="hr-HR"/>
          </w:rPr>
          <w:fldChar w:fldCharType="end"/>
        </w:r>
      </w:hyperlink>
    </w:p>
    <w:p w14:paraId="54ED0D79" w14:textId="4872C8AA"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360" w:history="1">
        <w:r w:rsidR="008F16D6" w:rsidRPr="008F16D6">
          <w:rPr>
            <w:rFonts w:ascii="Arial" w:eastAsia="Times New Roman" w:hAnsi="Arial" w:cs="Times New Roman"/>
            <w:noProof/>
            <w:color w:val="0000FF"/>
            <w:u w:val="single"/>
            <w:lang w:eastAsia="hr-HR"/>
          </w:rPr>
          <w:t>1.6.</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Gospodarski razvoj</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_Toc17876360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12</w:t>
        </w:r>
        <w:r w:rsidR="008F16D6" w:rsidRPr="008F16D6">
          <w:rPr>
            <w:rFonts w:ascii="Arial" w:eastAsia="Times New Roman" w:hAnsi="Arial" w:cs="Times New Roman"/>
            <w:noProof/>
            <w:webHidden/>
            <w:lang w:eastAsia="hr-HR"/>
          </w:rPr>
          <w:fldChar w:fldCharType="end"/>
        </w:r>
      </w:hyperlink>
    </w:p>
    <w:p w14:paraId="252AC7C1" w14:textId="4B15BE07" w:rsidR="008F16D6" w:rsidRPr="008F16D6" w:rsidRDefault="00580E1C" w:rsidP="008F16D6">
      <w:pPr>
        <w:tabs>
          <w:tab w:val="left" w:pos="440"/>
          <w:tab w:val="right" w:leader="dot" w:pos="9061"/>
        </w:tabs>
        <w:suppressAutoHyphens/>
        <w:spacing w:before="240" w:after="0" w:line="240" w:lineRule="auto"/>
        <w:ind w:left="442" w:hanging="442"/>
        <w:jc w:val="both"/>
        <w:rPr>
          <w:rFonts w:ascii="Calibri" w:eastAsia="Yu Mincho" w:hAnsi="Calibri" w:cs="Arial"/>
          <w:noProof/>
          <w:lang w:eastAsia="hr-HR"/>
        </w:rPr>
      </w:pPr>
      <w:hyperlink w:anchor="_Toc17876361" w:history="1">
        <w:r w:rsidR="008F16D6" w:rsidRPr="008F16D6">
          <w:rPr>
            <w:rFonts w:ascii="Arial" w:eastAsia="Times New Roman" w:hAnsi="Arial" w:cs="Times New Roman"/>
            <w:b/>
            <w:noProof/>
            <w:color w:val="0000FF"/>
            <w:sz w:val="28"/>
            <w:u w:val="single"/>
            <w:lang w:eastAsia="hr-HR"/>
          </w:rPr>
          <w:t>2.</w:t>
        </w:r>
        <w:r w:rsidR="008F16D6" w:rsidRPr="008F16D6">
          <w:rPr>
            <w:rFonts w:ascii="Calibri" w:eastAsia="Yu Mincho" w:hAnsi="Calibri" w:cs="Arial"/>
            <w:noProof/>
            <w:lang w:eastAsia="hr-HR"/>
          </w:rPr>
          <w:tab/>
        </w:r>
        <w:r w:rsidR="008F16D6" w:rsidRPr="008F16D6">
          <w:rPr>
            <w:rFonts w:ascii="Arial" w:eastAsia="Times New Roman" w:hAnsi="Arial" w:cs="Times New Roman"/>
            <w:b/>
            <w:noProof/>
            <w:color w:val="0000FF"/>
            <w:sz w:val="28"/>
            <w:u w:val="single"/>
            <w:lang w:eastAsia="hr-HR"/>
          </w:rPr>
          <w:t>Izazovi, mogućnosti i potencijali energetskog razvoja</w:t>
        </w:r>
        <w:r w:rsidR="008F16D6" w:rsidRPr="008F16D6">
          <w:rPr>
            <w:rFonts w:ascii="Arial" w:eastAsia="Times New Roman" w:hAnsi="Arial" w:cs="Times New Roman"/>
            <w:b/>
            <w:noProof/>
            <w:webHidden/>
            <w:color w:val="BE1D2D"/>
            <w:sz w:val="28"/>
            <w:lang w:eastAsia="hr-HR"/>
          </w:rPr>
          <w:tab/>
        </w:r>
        <w:r w:rsidR="008F16D6" w:rsidRPr="008F16D6">
          <w:rPr>
            <w:rFonts w:ascii="Arial" w:eastAsia="Times New Roman" w:hAnsi="Arial" w:cs="Times New Roman"/>
            <w:b/>
            <w:noProof/>
            <w:webHidden/>
            <w:color w:val="BE1D2D"/>
            <w:sz w:val="28"/>
            <w:lang w:eastAsia="hr-HR"/>
          </w:rPr>
          <w:fldChar w:fldCharType="begin"/>
        </w:r>
        <w:r w:rsidR="008F16D6" w:rsidRPr="008F16D6">
          <w:rPr>
            <w:rFonts w:ascii="Arial" w:eastAsia="Times New Roman" w:hAnsi="Arial" w:cs="Times New Roman"/>
            <w:b/>
            <w:noProof/>
            <w:webHidden/>
            <w:color w:val="BE1D2D"/>
            <w:sz w:val="28"/>
            <w:lang w:eastAsia="hr-HR"/>
          </w:rPr>
          <w:instrText xml:space="preserve"> PAGEREF _Toc17876361 \h </w:instrText>
        </w:r>
        <w:r w:rsidR="008F16D6" w:rsidRPr="008F16D6">
          <w:rPr>
            <w:rFonts w:ascii="Arial" w:eastAsia="Times New Roman" w:hAnsi="Arial" w:cs="Times New Roman"/>
            <w:b/>
            <w:noProof/>
            <w:webHidden/>
            <w:color w:val="BE1D2D"/>
            <w:sz w:val="28"/>
            <w:lang w:eastAsia="hr-HR"/>
          </w:rPr>
        </w:r>
        <w:r w:rsidR="008F16D6" w:rsidRPr="008F16D6">
          <w:rPr>
            <w:rFonts w:ascii="Arial" w:eastAsia="Times New Roman" w:hAnsi="Arial" w:cs="Times New Roman"/>
            <w:b/>
            <w:noProof/>
            <w:webHidden/>
            <w:color w:val="BE1D2D"/>
            <w:sz w:val="28"/>
            <w:lang w:eastAsia="hr-HR"/>
          </w:rPr>
          <w:fldChar w:fldCharType="separate"/>
        </w:r>
        <w:r w:rsidR="00E555AC">
          <w:rPr>
            <w:rFonts w:ascii="Arial" w:eastAsia="Times New Roman" w:hAnsi="Arial" w:cs="Times New Roman"/>
            <w:b/>
            <w:noProof/>
            <w:webHidden/>
            <w:color w:val="BE1D2D"/>
            <w:sz w:val="28"/>
            <w:lang w:eastAsia="hr-HR"/>
          </w:rPr>
          <w:t>14</w:t>
        </w:r>
        <w:r w:rsidR="008F16D6" w:rsidRPr="008F16D6">
          <w:rPr>
            <w:rFonts w:ascii="Arial" w:eastAsia="Times New Roman" w:hAnsi="Arial" w:cs="Times New Roman"/>
            <w:b/>
            <w:noProof/>
            <w:webHidden/>
            <w:color w:val="BE1D2D"/>
            <w:sz w:val="28"/>
            <w:lang w:eastAsia="hr-HR"/>
          </w:rPr>
          <w:fldChar w:fldCharType="end"/>
        </w:r>
      </w:hyperlink>
    </w:p>
    <w:p w14:paraId="753E070F" w14:textId="5360EF44"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362" w:history="1">
        <w:r w:rsidR="008F16D6" w:rsidRPr="008F16D6">
          <w:rPr>
            <w:rFonts w:ascii="Arial" w:eastAsia="Times New Roman" w:hAnsi="Arial" w:cs="Times New Roman"/>
            <w:noProof/>
            <w:color w:val="0000FF"/>
            <w:u w:val="single"/>
            <w:lang w:eastAsia="hr-HR"/>
          </w:rPr>
          <w:t>2.1.</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Stanje energetskog sektora</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_Toc17876362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14</w:t>
        </w:r>
        <w:r w:rsidR="008F16D6" w:rsidRPr="008F16D6">
          <w:rPr>
            <w:rFonts w:ascii="Arial" w:eastAsia="Times New Roman" w:hAnsi="Arial" w:cs="Times New Roman"/>
            <w:noProof/>
            <w:webHidden/>
            <w:lang w:eastAsia="hr-HR"/>
          </w:rPr>
          <w:fldChar w:fldCharType="end"/>
        </w:r>
      </w:hyperlink>
    </w:p>
    <w:p w14:paraId="67A1C362" w14:textId="774686BA"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363" w:history="1">
        <w:r w:rsidR="008F16D6" w:rsidRPr="008F16D6">
          <w:rPr>
            <w:rFonts w:ascii="Arial" w:eastAsia="Times New Roman" w:hAnsi="Arial" w:cs="Times New Roman"/>
            <w:noProof/>
            <w:color w:val="0000FF"/>
            <w:u w:val="single"/>
            <w:lang w:eastAsia="hr-HR"/>
          </w:rPr>
          <w:t>2.2.</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Rezerve energije i potencijali</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_Toc17876363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15</w:t>
        </w:r>
        <w:r w:rsidR="008F16D6" w:rsidRPr="008F16D6">
          <w:rPr>
            <w:rFonts w:ascii="Arial" w:eastAsia="Times New Roman" w:hAnsi="Arial" w:cs="Times New Roman"/>
            <w:noProof/>
            <w:webHidden/>
            <w:lang w:eastAsia="hr-HR"/>
          </w:rPr>
          <w:fldChar w:fldCharType="end"/>
        </w:r>
      </w:hyperlink>
    </w:p>
    <w:p w14:paraId="43D16709" w14:textId="6091B99F"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364" w:history="1">
        <w:r w:rsidR="008F16D6" w:rsidRPr="008F16D6">
          <w:rPr>
            <w:rFonts w:ascii="Arial" w:eastAsia="Times New Roman" w:hAnsi="Arial" w:cs="Times New Roman"/>
            <w:noProof/>
            <w:color w:val="0000FF"/>
            <w:u w:val="single"/>
            <w:lang w:eastAsia="hr-HR"/>
          </w:rPr>
          <w:t>2.3.</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Održivo korištenje prirodnih dobara i integrirano prostorno planiranje</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_Toc17876364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17</w:t>
        </w:r>
        <w:r w:rsidR="008F16D6" w:rsidRPr="008F16D6">
          <w:rPr>
            <w:rFonts w:ascii="Arial" w:eastAsia="Times New Roman" w:hAnsi="Arial" w:cs="Times New Roman"/>
            <w:noProof/>
            <w:webHidden/>
            <w:lang w:eastAsia="hr-HR"/>
          </w:rPr>
          <w:fldChar w:fldCharType="end"/>
        </w:r>
      </w:hyperlink>
    </w:p>
    <w:p w14:paraId="536A9557" w14:textId="1921FD85"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365" w:history="1">
        <w:r w:rsidR="008F16D6" w:rsidRPr="008F16D6">
          <w:rPr>
            <w:rFonts w:ascii="Arial" w:eastAsia="Times New Roman" w:hAnsi="Arial" w:cs="Times New Roman"/>
            <w:noProof/>
            <w:color w:val="0000FF"/>
            <w:u w:val="single"/>
            <w:lang w:eastAsia="hr-HR"/>
          </w:rPr>
          <w:t>2.4.</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Procjene buduće potrošnje i opskrbe energijom</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_Toc17876365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18</w:t>
        </w:r>
        <w:r w:rsidR="008F16D6" w:rsidRPr="008F16D6">
          <w:rPr>
            <w:rFonts w:ascii="Arial" w:eastAsia="Times New Roman" w:hAnsi="Arial" w:cs="Times New Roman"/>
            <w:noProof/>
            <w:webHidden/>
            <w:lang w:eastAsia="hr-HR"/>
          </w:rPr>
          <w:fldChar w:fldCharType="end"/>
        </w:r>
      </w:hyperlink>
    </w:p>
    <w:p w14:paraId="3AF018FA" w14:textId="40B2DACE" w:rsidR="008F16D6" w:rsidRPr="008F16D6" w:rsidRDefault="00580E1C" w:rsidP="008F16D6">
      <w:pPr>
        <w:tabs>
          <w:tab w:val="left" w:pos="1871"/>
          <w:tab w:val="right" w:leader="dot" w:pos="9061"/>
        </w:tabs>
        <w:suppressAutoHyphens/>
        <w:spacing w:before="80" w:after="80" w:line="240" w:lineRule="auto"/>
        <w:ind w:left="1871" w:hanging="794"/>
        <w:jc w:val="both"/>
        <w:rPr>
          <w:rFonts w:ascii="Calibri" w:eastAsia="Yu Mincho" w:hAnsi="Calibri" w:cs="Arial"/>
          <w:noProof/>
          <w:lang w:eastAsia="hr-HR"/>
        </w:rPr>
      </w:pPr>
      <w:hyperlink w:anchor="_Toc17876366" w:history="1">
        <w:r w:rsidR="008F16D6" w:rsidRPr="008F16D6">
          <w:rPr>
            <w:rFonts w:ascii="Arial" w:eastAsia="Times New Roman" w:hAnsi="Arial" w:cs="Times New Roman"/>
            <w:noProof/>
            <w:color w:val="0000FF"/>
            <w:u w:val="single"/>
            <w:lang w:eastAsia="hr-HR"/>
          </w:rPr>
          <w:t>2.4.1.</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Ukupna potrošnja energije</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_Toc17876366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18</w:t>
        </w:r>
        <w:r w:rsidR="008F16D6" w:rsidRPr="008F16D6">
          <w:rPr>
            <w:rFonts w:ascii="Arial" w:eastAsia="Times New Roman" w:hAnsi="Arial" w:cs="Times New Roman"/>
            <w:noProof/>
            <w:webHidden/>
            <w:lang w:eastAsia="hr-HR"/>
          </w:rPr>
          <w:fldChar w:fldCharType="end"/>
        </w:r>
      </w:hyperlink>
    </w:p>
    <w:p w14:paraId="27FAF7A7" w14:textId="73AE7E64" w:rsidR="008F16D6" w:rsidRPr="008F16D6" w:rsidRDefault="00580E1C" w:rsidP="008F16D6">
      <w:pPr>
        <w:tabs>
          <w:tab w:val="left" w:pos="1871"/>
          <w:tab w:val="right" w:leader="dot" w:pos="9061"/>
        </w:tabs>
        <w:suppressAutoHyphens/>
        <w:spacing w:before="80" w:after="80" w:line="240" w:lineRule="auto"/>
        <w:ind w:left="1871" w:hanging="794"/>
        <w:jc w:val="both"/>
        <w:rPr>
          <w:rFonts w:ascii="Calibri" w:eastAsia="Yu Mincho" w:hAnsi="Calibri" w:cs="Arial"/>
          <w:noProof/>
          <w:lang w:eastAsia="hr-HR"/>
        </w:rPr>
      </w:pPr>
      <w:hyperlink w:anchor="_Toc17876367" w:history="1">
        <w:r w:rsidR="008F16D6" w:rsidRPr="008F16D6">
          <w:rPr>
            <w:rFonts w:ascii="Arial" w:eastAsia="Times New Roman" w:hAnsi="Arial" w:cs="Times New Roman"/>
            <w:noProof/>
            <w:color w:val="0000FF"/>
            <w:u w:val="single"/>
            <w:lang w:eastAsia="hr-HR"/>
          </w:rPr>
          <w:t>2.4.2.</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Neposredna potrošnja energije</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_Toc17876367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19</w:t>
        </w:r>
        <w:r w:rsidR="008F16D6" w:rsidRPr="008F16D6">
          <w:rPr>
            <w:rFonts w:ascii="Arial" w:eastAsia="Times New Roman" w:hAnsi="Arial" w:cs="Times New Roman"/>
            <w:noProof/>
            <w:webHidden/>
            <w:lang w:eastAsia="hr-HR"/>
          </w:rPr>
          <w:fldChar w:fldCharType="end"/>
        </w:r>
      </w:hyperlink>
    </w:p>
    <w:p w14:paraId="61FB8A6C" w14:textId="4AB6AFCE" w:rsidR="008F16D6" w:rsidRPr="008F16D6" w:rsidRDefault="00580E1C" w:rsidP="008F16D6">
      <w:pPr>
        <w:tabs>
          <w:tab w:val="left" w:pos="1871"/>
          <w:tab w:val="right" w:leader="dot" w:pos="9061"/>
        </w:tabs>
        <w:suppressAutoHyphens/>
        <w:spacing w:before="80" w:after="80" w:line="240" w:lineRule="auto"/>
        <w:ind w:left="1871" w:hanging="794"/>
        <w:jc w:val="both"/>
        <w:rPr>
          <w:rFonts w:ascii="Calibri" w:eastAsia="Yu Mincho" w:hAnsi="Calibri" w:cs="Arial"/>
          <w:noProof/>
          <w:lang w:eastAsia="hr-HR"/>
        </w:rPr>
      </w:pPr>
      <w:hyperlink w:anchor="_Toc17876368" w:history="1">
        <w:r w:rsidR="008F16D6" w:rsidRPr="008F16D6">
          <w:rPr>
            <w:rFonts w:ascii="Arial" w:eastAsia="Times New Roman" w:hAnsi="Arial" w:cs="Times New Roman"/>
            <w:noProof/>
            <w:color w:val="0000FF"/>
            <w:u w:val="single"/>
            <w:lang w:eastAsia="hr-HR"/>
          </w:rPr>
          <w:t>2.4.3.</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Bruto neposredna potrošnja energije</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_Toc17876368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21</w:t>
        </w:r>
        <w:r w:rsidR="008F16D6" w:rsidRPr="008F16D6">
          <w:rPr>
            <w:rFonts w:ascii="Arial" w:eastAsia="Times New Roman" w:hAnsi="Arial" w:cs="Times New Roman"/>
            <w:noProof/>
            <w:webHidden/>
            <w:lang w:eastAsia="hr-HR"/>
          </w:rPr>
          <w:fldChar w:fldCharType="end"/>
        </w:r>
      </w:hyperlink>
    </w:p>
    <w:p w14:paraId="09FA3963" w14:textId="29A73313" w:rsidR="008F16D6" w:rsidRPr="008F16D6" w:rsidRDefault="00580E1C" w:rsidP="008F16D6">
      <w:pPr>
        <w:tabs>
          <w:tab w:val="left" w:pos="1871"/>
          <w:tab w:val="right" w:leader="dot" w:pos="9061"/>
        </w:tabs>
        <w:suppressAutoHyphens/>
        <w:spacing w:before="80" w:after="80" w:line="240" w:lineRule="auto"/>
        <w:ind w:left="1871" w:hanging="794"/>
        <w:jc w:val="both"/>
        <w:rPr>
          <w:rFonts w:ascii="Calibri" w:eastAsia="Yu Mincho" w:hAnsi="Calibri" w:cs="Arial"/>
          <w:noProof/>
          <w:lang w:eastAsia="hr-HR"/>
        </w:rPr>
      </w:pPr>
      <w:hyperlink w:anchor="_Toc17876369" w:history="1">
        <w:r w:rsidR="008F16D6" w:rsidRPr="008F16D6">
          <w:rPr>
            <w:rFonts w:ascii="Arial" w:eastAsia="Times New Roman" w:hAnsi="Arial" w:cs="Times New Roman"/>
            <w:noProof/>
            <w:color w:val="0000FF"/>
            <w:u w:val="single"/>
            <w:lang w:eastAsia="hr-HR"/>
          </w:rPr>
          <w:t>2.4.4.</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Proizvodnja električne energije</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_Toc17876369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22</w:t>
        </w:r>
        <w:r w:rsidR="008F16D6" w:rsidRPr="008F16D6">
          <w:rPr>
            <w:rFonts w:ascii="Arial" w:eastAsia="Times New Roman" w:hAnsi="Arial" w:cs="Times New Roman"/>
            <w:noProof/>
            <w:webHidden/>
            <w:lang w:eastAsia="hr-HR"/>
          </w:rPr>
          <w:fldChar w:fldCharType="end"/>
        </w:r>
      </w:hyperlink>
    </w:p>
    <w:p w14:paraId="5F7850DF" w14:textId="34F627E2" w:rsidR="008F16D6" w:rsidRPr="008F16D6" w:rsidRDefault="00580E1C" w:rsidP="008F16D6">
      <w:pPr>
        <w:tabs>
          <w:tab w:val="left" w:pos="1871"/>
          <w:tab w:val="right" w:leader="dot" w:pos="9061"/>
        </w:tabs>
        <w:suppressAutoHyphens/>
        <w:spacing w:before="80" w:after="80" w:line="240" w:lineRule="auto"/>
        <w:ind w:left="1871" w:hanging="794"/>
        <w:jc w:val="both"/>
        <w:rPr>
          <w:rFonts w:ascii="Calibri" w:eastAsia="Yu Mincho" w:hAnsi="Calibri" w:cs="Arial"/>
          <w:noProof/>
          <w:lang w:eastAsia="hr-HR"/>
        </w:rPr>
      </w:pPr>
      <w:hyperlink w:anchor="_Toc17876370" w:history="1">
        <w:r w:rsidR="008F16D6" w:rsidRPr="008F16D6">
          <w:rPr>
            <w:rFonts w:ascii="Arial" w:eastAsia="Times New Roman" w:hAnsi="Arial" w:cs="Times New Roman"/>
            <w:noProof/>
            <w:color w:val="0000FF"/>
            <w:u w:val="single"/>
            <w:lang w:eastAsia="hr-HR"/>
          </w:rPr>
          <w:t>2.4.5.</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Obnovljivi izvori energije</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_Toc17876370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24</w:t>
        </w:r>
        <w:r w:rsidR="008F16D6" w:rsidRPr="008F16D6">
          <w:rPr>
            <w:rFonts w:ascii="Arial" w:eastAsia="Times New Roman" w:hAnsi="Arial" w:cs="Times New Roman"/>
            <w:noProof/>
            <w:webHidden/>
            <w:lang w:eastAsia="hr-HR"/>
          </w:rPr>
          <w:fldChar w:fldCharType="end"/>
        </w:r>
      </w:hyperlink>
    </w:p>
    <w:p w14:paraId="25C366E9" w14:textId="273259F9" w:rsidR="008F16D6" w:rsidRPr="008F16D6" w:rsidRDefault="00580E1C" w:rsidP="008F16D6">
      <w:pPr>
        <w:tabs>
          <w:tab w:val="left" w:pos="1871"/>
          <w:tab w:val="right" w:leader="dot" w:pos="9061"/>
        </w:tabs>
        <w:suppressAutoHyphens/>
        <w:spacing w:before="80" w:after="80" w:line="240" w:lineRule="auto"/>
        <w:ind w:left="1871" w:hanging="794"/>
        <w:jc w:val="both"/>
        <w:rPr>
          <w:rFonts w:ascii="Calibri" w:eastAsia="Yu Mincho" w:hAnsi="Calibri" w:cs="Arial"/>
          <w:noProof/>
          <w:lang w:eastAsia="hr-HR"/>
        </w:rPr>
      </w:pPr>
      <w:hyperlink w:anchor="_Toc17876371" w:history="1">
        <w:r w:rsidR="008F16D6" w:rsidRPr="008F16D6">
          <w:rPr>
            <w:rFonts w:ascii="Arial" w:eastAsia="Times New Roman" w:hAnsi="Arial" w:cs="Times New Roman"/>
            <w:noProof/>
            <w:color w:val="0000FF"/>
            <w:u w:val="single"/>
            <w:lang w:eastAsia="hr-HR"/>
          </w:rPr>
          <w:t>2.4.6.</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Proizvodnja i uvoz energije</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_Toc17876371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26</w:t>
        </w:r>
        <w:r w:rsidR="008F16D6" w:rsidRPr="008F16D6">
          <w:rPr>
            <w:rFonts w:ascii="Arial" w:eastAsia="Times New Roman" w:hAnsi="Arial" w:cs="Times New Roman"/>
            <w:noProof/>
            <w:webHidden/>
            <w:lang w:eastAsia="hr-HR"/>
          </w:rPr>
          <w:fldChar w:fldCharType="end"/>
        </w:r>
      </w:hyperlink>
    </w:p>
    <w:p w14:paraId="544FC1B3" w14:textId="3906F2DE" w:rsidR="008F16D6" w:rsidRPr="008F16D6" w:rsidRDefault="00580E1C" w:rsidP="008F16D6">
      <w:pPr>
        <w:tabs>
          <w:tab w:val="left" w:pos="1871"/>
          <w:tab w:val="right" w:leader="dot" w:pos="9061"/>
        </w:tabs>
        <w:suppressAutoHyphens/>
        <w:spacing w:before="80" w:after="80" w:line="240" w:lineRule="auto"/>
        <w:ind w:left="1871" w:hanging="794"/>
        <w:jc w:val="both"/>
        <w:rPr>
          <w:rFonts w:ascii="Calibri" w:eastAsia="Yu Mincho" w:hAnsi="Calibri" w:cs="Arial"/>
          <w:noProof/>
          <w:lang w:eastAsia="hr-HR"/>
        </w:rPr>
      </w:pPr>
      <w:hyperlink w:anchor="_Toc17876372" w:history="1">
        <w:r w:rsidR="008F16D6" w:rsidRPr="008F16D6">
          <w:rPr>
            <w:rFonts w:ascii="Arial" w:eastAsia="Times New Roman" w:hAnsi="Arial" w:cs="Times New Roman"/>
            <w:noProof/>
            <w:color w:val="0000FF"/>
            <w:u w:val="single"/>
            <w:lang w:eastAsia="hr-HR"/>
          </w:rPr>
          <w:t>2.4.7.</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Proizvodnja sirove nafte i prirodnog plina</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_Toc17876372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26</w:t>
        </w:r>
        <w:r w:rsidR="008F16D6" w:rsidRPr="008F16D6">
          <w:rPr>
            <w:rFonts w:ascii="Arial" w:eastAsia="Times New Roman" w:hAnsi="Arial" w:cs="Times New Roman"/>
            <w:noProof/>
            <w:webHidden/>
            <w:lang w:eastAsia="hr-HR"/>
          </w:rPr>
          <w:fldChar w:fldCharType="end"/>
        </w:r>
      </w:hyperlink>
    </w:p>
    <w:p w14:paraId="12C6CDB1" w14:textId="40DAA79C"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373" w:history="1">
        <w:r w:rsidR="008F16D6" w:rsidRPr="008F16D6">
          <w:rPr>
            <w:rFonts w:ascii="Arial" w:eastAsia="Times New Roman" w:hAnsi="Arial" w:cs="Times New Roman"/>
            <w:noProof/>
            <w:color w:val="0000FF"/>
            <w:u w:val="single"/>
            <w:lang w:eastAsia="hr-HR"/>
          </w:rPr>
          <w:t>2.5.</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Potrebe i izazovi razvoja</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_Toc17876373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26</w:t>
        </w:r>
        <w:r w:rsidR="008F16D6" w:rsidRPr="008F16D6">
          <w:rPr>
            <w:rFonts w:ascii="Arial" w:eastAsia="Times New Roman" w:hAnsi="Arial" w:cs="Times New Roman"/>
            <w:noProof/>
            <w:webHidden/>
            <w:lang w:eastAsia="hr-HR"/>
          </w:rPr>
          <w:fldChar w:fldCharType="end"/>
        </w:r>
      </w:hyperlink>
    </w:p>
    <w:p w14:paraId="6FCDB4B9" w14:textId="515DE8A5" w:rsidR="008F16D6" w:rsidRPr="008F16D6" w:rsidRDefault="00580E1C" w:rsidP="008F16D6">
      <w:pPr>
        <w:tabs>
          <w:tab w:val="left" w:pos="440"/>
          <w:tab w:val="right" w:leader="dot" w:pos="9061"/>
        </w:tabs>
        <w:suppressAutoHyphens/>
        <w:spacing w:before="240" w:after="0" w:line="240" w:lineRule="auto"/>
        <w:ind w:left="442" w:hanging="442"/>
        <w:jc w:val="both"/>
        <w:rPr>
          <w:rFonts w:ascii="Calibri" w:eastAsia="Yu Mincho" w:hAnsi="Calibri" w:cs="Arial"/>
          <w:noProof/>
          <w:lang w:eastAsia="hr-HR"/>
        </w:rPr>
      </w:pPr>
      <w:hyperlink w:anchor="_Toc17876374" w:history="1">
        <w:r w:rsidR="008F16D6" w:rsidRPr="008F16D6">
          <w:rPr>
            <w:rFonts w:ascii="Arial" w:eastAsia="Times New Roman" w:hAnsi="Arial" w:cs="Times New Roman"/>
            <w:b/>
            <w:noProof/>
            <w:color w:val="0000FF"/>
            <w:sz w:val="28"/>
            <w:u w:val="single"/>
            <w:lang w:eastAsia="hr-HR"/>
          </w:rPr>
          <w:t>3.</w:t>
        </w:r>
        <w:r w:rsidR="008F16D6" w:rsidRPr="008F16D6">
          <w:rPr>
            <w:rFonts w:ascii="Calibri" w:eastAsia="Yu Mincho" w:hAnsi="Calibri" w:cs="Arial"/>
            <w:noProof/>
            <w:lang w:eastAsia="hr-HR"/>
          </w:rPr>
          <w:tab/>
        </w:r>
        <w:r w:rsidR="008F16D6" w:rsidRPr="008F16D6">
          <w:rPr>
            <w:rFonts w:ascii="Arial" w:eastAsia="Times New Roman" w:hAnsi="Arial" w:cs="Times New Roman"/>
            <w:b/>
            <w:noProof/>
            <w:color w:val="0000FF"/>
            <w:sz w:val="28"/>
            <w:u w:val="single"/>
            <w:lang w:eastAsia="hr-HR"/>
          </w:rPr>
          <w:t>Strateški ciljevi energetskog razvoja Republike Hrvatske</w:t>
        </w:r>
        <w:r w:rsidR="008F16D6" w:rsidRPr="008F16D6">
          <w:rPr>
            <w:rFonts w:ascii="Arial" w:eastAsia="Times New Roman" w:hAnsi="Arial" w:cs="Times New Roman"/>
            <w:b/>
            <w:noProof/>
            <w:webHidden/>
            <w:color w:val="BE1D2D"/>
            <w:sz w:val="28"/>
            <w:lang w:eastAsia="hr-HR"/>
          </w:rPr>
          <w:tab/>
        </w:r>
        <w:r w:rsidR="008F16D6" w:rsidRPr="008F16D6">
          <w:rPr>
            <w:rFonts w:ascii="Arial" w:eastAsia="Times New Roman" w:hAnsi="Arial" w:cs="Times New Roman"/>
            <w:b/>
            <w:noProof/>
            <w:webHidden/>
            <w:color w:val="BE1D2D"/>
            <w:sz w:val="28"/>
            <w:lang w:eastAsia="hr-HR"/>
          </w:rPr>
          <w:fldChar w:fldCharType="begin"/>
        </w:r>
        <w:r w:rsidR="008F16D6" w:rsidRPr="008F16D6">
          <w:rPr>
            <w:rFonts w:ascii="Arial" w:eastAsia="Times New Roman" w:hAnsi="Arial" w:cs="Times New Roman"/>
            <w:b/>
            <w:noProof/>
            <w:webHidden/>
            <w:color w:val="BE1D2D"/>
            <w:sz w:val="28"/>
            <w:lang w:eastAsia="hr-HR"/>
          </w:rPr>
          <w:instrText xml:space="preserve"> PAGEREF _Toc17876374 \h </w:instrText>
        </w:r>
        <w:r w:rsidR="008F16D6" w:rsidRPr="008F16D6">
          <w:rPr>
            <w:rFonts w:ascii="Arial" w:eastAsia="Times New Roman" w:hAnsi="Arial" w:cs="Times New Roman"/>
            <w:b/>
            <w:noProof/>
            <w:webHidden/>
            <w:color w:val="BE1D2D"/>
            <w:sz w:val="28"/>
            <w:lang w:eastAsia="hr-HR"/>
          </w:rPr>
        </w:r>
        <w:r w:rsidR="008F16D6" w:rsidRPr="008F16D6">
          <w:rPr>
            <w:rFonts w:ascii="Arial" w:eastAsia="Times New Roman" w:hAnsi="Arial" w:cs="Times New Roman"/>
            <w:b/>
            <w:noProof/>
            <w:webHidden/>
            <w:color w:val="BE1D2D"/>
            <w:sz w:val="28"/>
            <w:lang w:eastAsia="hr-HR"/>
          </w:rPr>
          <w:fldChar w:fldCharType="separate"/>
        </w:r>
        <w:r w:rsidR="00E555AC">
          <w:rPr>
            <w:rFonts w:ascii="Arial" w:eastAsia="Times New Roman" w:hAnsi="Arial" w:cs="Times New Roman"/>
            <w:b/>
            <w:noProof/>
            <w:webHidden/>
            <w:color w:val="BE1D2D"/>
            <w:sz w:val="28"/>
            <w:lang w:eastAsia="hr-HR"/>
          </w:rPr>
          <w:t>28</w:t>
        </w:r>
        <w:r w:rsidR="008F16D6" w:rsidRPr="008F16D6">
          <w:rPr>
            <w:rFonts w:ascii="Arial" w:eastAsia="Times New Roman" w:hAnsi="Arial" w:cs="Times New Roman"/>
            <w:b/>
            <w:noProof/>
            <w:webHidden/>
            <w:color w:val="BE1D2D"/>
            <w:sz w:val="28"/>
            <w:lang w:eastAsia="hr-HR"/>
          </w:rPr>
          <w:fldChar w:fldCharType="end"/>
        </w:r>
      </w:hyperlink>
    </w:p>
    <w:p w14:paraId="419B0A9A" w14:textId="73D76C77"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375" w:history="1">
        <w:r w:rsidR="008F16D6" w:rsidRPr="008F16D6">
          <w:rPr>
            <w:rFonts w:ascii="Arial" w:eastAsia="Times New Roman" w:hAnsi="Arial" w:cs="Times New Roman"/>
            <w:noProof/>
            <w:color w:val="0000FF"/>
            <w:u w:val="single"/>
            <w:lang w:eastAsia="hr-HR"/>
          </w:rPr>
          <w:t>3.1.</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Rastuća, fleksibilna i održiva proizvodnja energije</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_Toc17876375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28</w:t>
        </w:r>
        <w:r w:rsidR="008F16D6" w:rsidRPr="008F16D6">
          <w:rPr>
            <w:rFonts w:ascii="Arial" w:eastAsia="Times New Roman" w:hAnsi="Arial" w:cs="Times New Roman"/>
            <w:noProof/>
            <w:webHidden/>
            <w:lang w:eastAsia="hr-HR"/>
          </w:rPr>
          <w:fldChar w:fldCharType="end"/>
        </w:r>
      </w:hyperlink>
    </w:p>
    <w:p w14:paraId="73F29746" w14:textId="39E158CA" w:rsidR="008F16D6" w:rsidRPr="008F16D6" w:rsidRDefault="00580E1C" w:rsidP="008F16D6">
      <w:pPr>
        <w:tabs>
          <w:tab w:val="left" w:pos="1871"/>
          <w:tab w:val="right" w:leader="dot" w:pos="9061"/>
        </w:tabs>
        <w:suppressAutoHyphens/>
        <w:spacing w:before="80" w:after="80" w:line="240" w:lineRule="auto"/>
        <w:ind w:left="1871" w:hanging="794"/>
        <w:jc w:val="both"/>
        <w:rPr>
          <w:rFonts w:ascii="Calibri" w:eastAsia="Yu Mincho" w:hAnsi="Calibri" w:cs="Arial"/>
          <w:noProof/>
          <w:lang w:eastAsia="hr-HR"/>
        </w:rPr>
      </w:pPr>
      <w:hyperlink w:anchor="_Toc17876376" w:history="1">
        <w:r w:rsidR="008F16D6" w:rsidRPr="008F16D6">
          <w:rPr>
            <w:rFonts w:ascii="Arial" w:eastAsia="Times New Roman" w:hAnsi="Arial" w:cs="Times New Roman"/>
            <w:noProof/>
            <w:color w:val="0000FF"/>
            <w:u w:val="single"/>
            <w:lang w:eastAsia="hr-HR"/>
          </w:rPr>
          <w:t>3.1.1.</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Proizvodnja električne energije</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_Toc17876376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28</w:t>
        </w:r>
        <w:r w:rsidR="008F16D6" w:rsidRPr="008F16D6">
          <w:rPr>
            <w:rFonts w:ascii="Arial" w:eastAsia="Times New Roman" w:hAnsi="Arial" w:cs="Times New Roman"/>
            <w:noProof/>
            <w:webHidden/>
            <w:lang w:eastAsia="hr-HR"/>
          </w:rPr>
          <w:fldChar w:fldCharType="end"/>
        </w:r>
      </w:hyperlink>
    </w:p>
    <w:p w14:paraId="3CA256C2" w14:textId="23F35466" w:rsidR="008F16D6" w:rsidRPr="008F16D6" w:rsidRDefault="00580E1C" w:rsidP="008F16D6">
      <w:pPr>
        <w:tabs>
          <w:tab w:val="left" w:pos="1871"/>
          <w:tab w:val="right" w:leader="dot" w:pos="9061"/>
        </w:tabs>
        <w:suppressAutoHyphens/>
        <w:spacing w:before="80" w:after="80" w:line="240" w:lineRule="auto"/>
        <w:ind w:left="1871" w:hanging="794"/>
        <w:jc w:val="both"/>
        <w:rPr>
          <w:rFonts w:ascii="Calibri" w:eastAsia="Yu Mincho" w:hAnsi="Calibri" w:cs="Arial"/>
          <w:noProof/>
          <w:lang w:eastAsia="hr-HR"/>
        </w:rPr>
      </w:pPr>
      <w:hyperlink w:anchor="_Toc17876377" w:history="1">
        <w:r w:rsidR="008F16D6" w:rsidRPr="008F16D6">
          <w:rPr>
            <w:rFonts w:ascii="Arial" w:eastAsia="Times New Roman" w:hAnsi="Arial" w:cs="Times New Roman"/>
            <w:noProof/>
            <w:color w:val="0000FF"/>
            <w:u w:val="single"/>
            <w:lang w:eastAsia="hr-HR"/>
          </w:rPr>
          <w:t>3.1.2.</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Toplinarstvo</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_Toc17876377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30</w:t>
        </w:r>
        <w:r w:rsidR="008F16D6" w:rsidRPr="008F16D6">
          <w:rPr>
            <w:rFonts w:ascii="Arial" w:eastAsia="Times New Roman" w:hAnsi="Arial" w:cs="Times New Roman"/>
            <w:noProof/>
            <w:webHidden/>
            <w:lang w:eastAsia="hr-HR"/>
          </w:rPr>
          <w:fldChar w:fldCharType="end"/>
        </w:r>
      </w:hyperlink>
    </w:p>
    <w:p w14:paraId="3AE733E8" w14:textId="686E3486" w:rsidR="008F16D6" w:rsidRPr="008F16D6" w:rsidRDefault="00580E1C" w:rsidP="008F16D6">
      <w:pPr>
        <w:tabs>
          <w:tab w:val="left" w:pos="1871"/>
          <w:tab w:val="right" w:leader="dot" w:pos="9061"/>
        </w:tabs>
        <w:suppressAutoHyphens/>
        <w:spacing w:before="80" w:after="80" w:line="240" w:lineRule="auto"/>
        <w:ind w:left="1871" w:hanging="794"/>
        <w:jc w:val="both"/>
        <w:rPr>
          <w:rFonts w:ascii="Calibri" w:eastAsia="Yu Mincho" w:hAnsi="Calibri" w:cs="Arial"/>
          <w:noProof/>
          <w:lang w:eastAsia="hr-HR"/>
        </w:rPr>
      </w:pPr>
      <w:hyperlink w:anchor="_Toc17876378" w:history="1">
        <w:r w:rsidR="008F16D6" w:rsidRPr="008F16D6">
          <w:rPr>
            <w:rFonts w:ascii="Arial" w:eastAsia="Times New Roman" w:hAnsi="Arial" w:cs="Times New Roman"/>
            <w:noProof/>
            <w:color w:val="0000FF"/>
            <w:u w:val="single"/>
            <w:lang w:eastAsia="hr-HR"/>
          </w:rPr>
          <w:t>3.1.3.</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Proizvodnja i prerada nafte i naftnih derivata</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_Toc17876378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31</w:t>
        </w:r>
        <w:r w:rsidR="008F16D6" w:rsidRPr="008F16D6">
          <w:rPr>
            <w:rFonts w:ascii="Arial" w:eastAsia="Times New Roman" w:hAnsi="Arial" w:cs="Times New Roman"/>
            <w:noProof/>
            <w:webHidden/>
            <w:lang w:eastAsia="hr-HR"/>
          </w:rPr>
          <w:fldChar w:fldCharType="end"/>
        </w:r>
      </w:hyperlink>
    </w:p>
    <w:p w14:paraId="52BF268B" w14:textId="3C350390" w:rsidR="008F16D6" w:rsidRPr="008F16D6" w:rsidRDefault="00580E1C" w:rsidP="008F16D6">
      <w:pPr>
        <w:tabs>
          <w:tab w:val="left" w:pos="1871"/>
          <w:tab w:val="right" w:leader="dot" w:pos="9061"/>
        </w:tabs>
        <w:suppressAutoHyphens/>
        <w:spacing w:before="80" w:after="80" w:line="240" w:lineRule="auto"/>
        <w:ind w:left="1871" w:hanging="794"/>
        <w:jc w:val="both"/>
        <w:rPr>
          <w:rFonts w:ascii="Calibri" w:eastAsia="Yu Mincho" w:hAnsi="Calibri" w:cs="Arial"/>
          <w:noProof/>
          <w:lang w:eastAsia="hr-HR"/>
        </w:rPr>
      </w:pPr>
      <w:hyperlink w:anchor="_Toc17876379" w:history="1">
        <w:r w:rsidR="008F16D6" w:rsidRPr="008F16D6">
          <w:rPr>
            <w:rFonts w:ascii="Arial" w:eastAsia="Times New Roman" w:hAnsi="Arial" w:cs="Times New Roman"/>
            <w:noProof/>
            <w:color w:val="0000FF"/>
            <w:u w:val="single"/>
            <w:lang w:eastAsia="hr-HR"/>
          </w:rPr>
          <w:t>3.1.4.</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Proizvodnja prirodnog plina</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_Toc17876379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31</w:t>
        </w:r>
        <w:r w:rsidR="008F16D6" w:rsidRPr="008F16D6">
          <w:rPr>
            <w:rFonts w:ascii="Arial" w:eastAsia="Times New Roman" w:hAnsi="Arial" w:cs="Times New Roman"/>
            <w:noProof/>
            <w:webHidden/>
            <w:lang w:eastAsia="hr-HR"/>
          </w:rPr>
          <w:fldChar w:fldCharType="end"/>
        </w:r>
      </w:hyperlink>
    </w:p>
    <w:p w14:paraId="0A36857B" w14:textId="54A356B2"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380" w:history="1">
        <w:r w:rsidR="008F16D6" w:rsidRPr="008F16D6">
          <w:rPr>
            <w:rFonts w:ascii="Arial" w:eastAsia="Times New Roman" w:hAnsi="Arial" w:cs="Times New Roman"/>
            <w:noProof/>
            <w:color w:val="0000FF"/>
            <w:u w:val="single"/>
            <w:lang w:eastAsia="hr-HR"/>
          </w:rPr>
          <w:t>3.2.</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Razvoj energetske infrastrukture</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_Toc17876380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31</w:t>
        </w:r>
        <w:r w:rsidR="008F16D6" w:rsidRPr="008F16D6">
          <w:rPr>
            <w:rFonts w:ascii="Arial" w:eastAsia="Times New Roman" w:hAnsi="Arial" w:cs="Times New Roman"/>
            <w:noProof/>
            <w:webHidden/>
            <w:lang w:eastAsia="hr-HR"/>
          </w:rPr>
          <w:fldChar w:fldCharType="end"/>
        </w:r>
      </w:hyperlink>
    </w:p>
    <w:p w14:paraId="68AB7122" w14:textId="70DAFE23" w:rsidR="008F16D6" w:rsidRPr="008F16D6" w:rsidRDefault="00580E1C" w:rsidP="008F16D6">
      <w:pPr>
        <w:tabs>
          <w:tab w:val="left" w:pos="1871"/>
          <w:tab w:val="right" w:leader="dot" w:pos="9061"/>
        </w:tabs>
        <w:suppressAutoHyphens/>
        <w:spacing w:before="80" w:after="80" w:line="240" w:lineRule="auto"/>
        <w:ind w:left="1871" w:hanging="794"/>
        <w:jc w:val="both"/>
        <w:rPr>
          <w:rFonts w:ascii="Calibri" w:eastAsia="Yu Mincho" w:hAnsi="Calibri" w:cs="Arial"/>
          <w:noProof/>
          <w:lang w:eastAsia="hr-HR"/>
        </w:rPr>
      </w:pPr>
      <w:hyperlink w:anchor="_Toc17876381" w:history="1">
        <w:r w:rsidR="008F16D6" w:rsidRPr="008F16D6">
          <w:rPr>
            <w:rFonts w:ascii="Arial" w:eastAsia="Times New Roman" w:hAnsi="Arial" w:cs="Times New Roman"/>
            <w:noProof/>
            <w:color w:val="0000FF"/>
            <w:u w:val="single"/>
            <w:lang w:eastAsia="hr-HR"/>
          </w:rPr>
          <w:t>3.2.1.</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Prijenos i distribucija električne energije</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_Toc17876381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31</w:t>
        </w:r>
        <w:r w:rsidR="008F16D6" w:rsidRPr="008F16D6">
          <w:rPr>
            <w:rFonts w:ascii="Arial" w:eastAsia="Times New Roman" w:hAnsi="Arial" w:cs="Times New Roman"/>
            <w:noProof/>
            <w:webHidden/>
            <w:lang w:eastAsia="hr-HR"/>
          </w:rPr>
          <w:fldChar w:fldCharType="end"/>
        </w:r>
      </w:hyperlink>
    </w:p>
    <w:p w14:paraId="14202110" w14:textId="44E449EB" w:rsidR="008F16D6" w:rsidRPr="008F16D6" w:rsidRDefault="00580E1C" w:rsidP="008F16D6">
      <w:pPr>
        <w:tabs>
          <w:tab w:val="left" w:pos="1871"/>
          <w:tab w:val="right" w:leader="dot" w:pos="9061"/>
        </w:tabs>
        <w:suppressAutoHyphens/>
        <w:spacing w:before="80" w:after="80" w:line="240" w:lineRule="auto"/>
        <w:ind w:left="1871" w:hanging="794"/>
        <w:jc w:val="both"/>
        <w:rPr>
          <w:rFonts w:ascii="Calibri" w:eastAsia="Yu Mincho" w:hAnsi="Calibri" w:cs="Arial"/>
          <w:noProof/>
          <w:lang w:eastAsia="hr-HR"/>
        </w:rPr>
      </w:pPr>
      <w:hyperlink w:anchor="_Toc17876382" w:history="1">
        <w:r w:rsidR="008F16D6" w:rsidRPr="008F16D6">
          <w:rPr>
            <w:rFonts w:ascii="Arial" w:eastAsia="Times New Roman" w:hAnsi="Arial" w:cs="Times New Roman"/>
            <w:noProof/>
            <w:color w:val="0000FF"/>
            <w:u w:val="single"/>
            <w:lang w:eastAsia="hr-HR"/>
          </w:rPr>
          <w:t>3.2.2.</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Transport i skladištenje nafte i naftnih derivata</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_Toc17876382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32</w:t>
        </w:r>
        <w:r w:rsidR="008F16D6" w:rsidRPr="008F16D6">
          <w:rPr>
            <w:rFonts w:ascii="Arial" w:eastAsia="Times New Roman" w:hAnsi="Arial" w:cs="Times New Roman"/>
            <w:noProof/>
            <w:webHidden/>
            <w:lang w:eastAsia="hr-HR"/>
          </w:rPr>
          <w:fldChar w:fldCharType="end"/>
        </w:r>
      </w:hyperlink>
    </w:p>
    <w:p w14:paraId="2FA11205" w14:textId="6572CB04" w:rsidR="008F16D6" w:rsidRPr="008F16D6" w:rsidRDefault="00580E1C" w:rsidP="008F16D6">
      <w:pPr>
        <w:tabs>
          <w:tab w:val="left" w:pos="1871"/>
          <w:tab w:val="right" w:leader="dot" w:pos="9061"/>
        </w:tabs>
        <w:suppressAutoHyphens/>
        <w:spacing w:before="80" w:after="80" w:line="240" w:lineRule="auto"/>
        <w:ind w:left="1871" w:hanging="794"/>
        <w:jc w:val="both"/>
        <w:rPr>
          <w:rFonts w:ascii="Calibri" w:eastAsia="Yu Mincho" w:hAnsi="Calibri" w:cs="Arial"/>
          <w:noProof/>
          <w:lang w:eastAsia="hr-HR"/>
        </w:rPr>
      </w:pPr>
      <w:hyperlink w:anchor="_Toc17876383" w:history="1">
        <w:r w:rsidR="008F16D6" w:rsidRPr="008F16D6">
          <w:rPr>
            <w:rFonts w:ascii="Arial" w:eastAsia="Times New Roman" w:hAnsi="Arial" w:cs="Times New Roman"/>
            <w:noProof/>
            <w:color w:val="0000FF"/>
            <w:u w:val="single"/>
            <w:lang w:eastAsia="hr-HR"/>
          </w:rPr>
          <w:t>3.2.3.</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Transport i skladištenje prirodnog plina</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_Toc17876383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32</w:t>
        </w:r>
        <w:r w:rsidR="008F16D6" w:rsidRPr="008F16D6">
          <w:rPr>
            <w:rFonts w:ascii="Arial" w:eastAsia="Times New Roman" w:hAnsi="Arial" w:cs="Times New Roman"/>
            <w:noProof/>
            <w:webHidden/>
            <w:lang w:eastAsia="hr-HR"/>
          </w:rPr>
          <w:fldChar w:fldCharType="end"/>
        </w:r>
      </w:hyperlink>
    </w:p>
    <w:p w14:paraId="513D0DED" w14:textId="27490A8C"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384" w:history="1">
        <w:r w:rsidR="008F16D6" w:rsidRPr="008F16D6">
          <w:rPr>
            <w:rFonts w:ascii="Arial" w:eastAsia="Times New Roman" w:hAnsi="Arial" w:cs="Times New Roman"/>
            <w:noProof/>
            <w:color w:val="0000FF"/>
            <w:u w:val="single"/>
            <w:lang w:eastAsia="hr-HR"/>
          </w:rPr>
          <w:t>3.3.</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Energetska učinkovitost</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_Toc17876384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33</w:t>
        </w:r>
        <w:r w:rsidR="008F16D6" w:rsidRPr="008F16D6">
          <w:rPr>
            <w:rFonts w:ascii="Arial" w:eastAsia="Times New Roman" w:hAnsi="Arial" w:cs="Times New Roman"/>
            <w:noProof/>
            <w:webHidden/>
            <w:lang w:eastAsia="hr-HR"/>
          </w:rPr>
          <w:fldChar w:fldCharType="end"/>
        </w:r>
      </w:hyperlink>
    </w:p>
    <w:p w14:paraId="2E4C1B36" w14:textId="7C6BD9B3" w:rsidR="008F16D6" w:rsidRPr="008F16D6" w:rsidRDefault="00580E1C" w:rsidP="008F16D6">
      <w:pPr>
        <w:tabs>
          <w:tab w:val="left" w:pos="440"/>
          <w:tab w:val="right" w:leader="dot" w:pos="9061"/>
        </w:tabs>
        <w:suppressAutoHyphens/>
        <w:spacing w:before="240" w:after="0" w:line="240" w:lineRule="auto"/>
        <w:ind w:left="442" w:hanging="442"/>
        <w:jc w:val="both"/>
        <w:rPr>
          <w:rFonts w:ascii="Calibri" w:eastAsia="Yu Mincho" w:hAnsi="Calibri" w:cs="Arial"/>
          <w:noProof/>
          <w:lang w:eastAsia="hr-HR"/>
        </w:rPr>
      </w:pPr>
      <w:hyperlink w:anchor="_Toc17876385" w:history="1">
        <w:r w:rsidR="008F16D6" w:rsidRPr="008F16D6">
          <w:rPr>
            <w:rFonts w:ascii="Arial" w:eastAsia="Times New Roman" w:hAnsi="Arial" w:cs="Times New Roman"/>
            <w:b/>
            <w:noProof/>
            <w:color w:val="0000FF"/>
            <w:sz w:val="28"/>
            <w:u w:val="single"/>
            <w:lang w:eastAsia="hr-HR"/>
          </w:rPr>
          <w:t>4.</w:t>
        </w:r>
        <w:r w:rsidR="008F16D6" w:rsidRPr="008F16D6">
          <w:rPr>
            <w:rFonts w:ascii="Calibri" w:eastAsia="Yu Mincho" w:hAnsi="Calibri" w:cs="Arial"/>
            <w:noProof/>
            <w:lang w:eastAsia="hr-HR"/>
          </w:rPr>
          <w:tab/>
        </w:r>
        <w:r w:rsidR="008F16D6" w:rsidRPr="008F16D6">
          <w:rPr>
            <w:rFonts w:ascii="Arial" w:eastAsia="Times New Roman" w:hAnsi="Arial" w:cs="Times New Roman"/>
            <w:b/>
            <w:noProof/>
            <w:color w:val="0000FF"/>
            <w:sz w:val="28"/>
            <w:u w:val="single"/>
            <w:lang w:eastAsia="hr-HR"/>
          </w:rPr>
          <w:t>Ključni pokazatelji i ciljane vrijednosti za provedbu strateških ciljeva</w:t>
        </w:r>
        <w:r w:rsidR="008F16D6" w:rsidRPr="008F16D6">
          <w:rPr>
            <w:rFonts w:ascii="Arial" w:eastAsia="Times New Roman" w:hAnsi="Arial" w:cs="Times New Roman"/>
            <w:b/>
            <w:noProof/>
            <w:webHidden/>
            <w:color w:val="BE1D2D"/>
            <w:sz w:val="28"/>
            <w:lang w:eastAsia="hr-HR"/>
          </w:rPr>
          <w:tab/>
        </w:r>
        <w:r w:rsidR="008F16D6" w:rsidRPr="008F16D6">
          <w:rPr>
            <w:rFonts w:ascii="Arial" w:eastAsia="Times New Roman" w:hAnsi="Arial" w:cs="Times New Roman"/>
            <w:b/>
            <w:noProof/>
            <w:webHidden/>
            <w:color w:val="BE1D2D"/>
            <w:sz w:val="28"/>
            <w:lang w:eastAsia="hr-HR"/>
          </w:rPr>
          <w:fldChar w:fldCharType="begin"/>
        </w:r>
        <w:r w:rsidR="008F16D6" w:rsidRPr="008F16D6">
          <w:rPr>
            <w:rFonts w:ascii="Arial" w:eastAsia="Times New Roman" w:hAnsi="Arial" w:cs="Times New Roman"/>
            <w:b/>
            <w:noProof/>
            <w:webHidden/>
            <w:color w:val="BE1D2D"/>
            <w:sz w:val="28"/>
            <w:lang w:eastAsia="hr-HR"/>
          </w:rPr>
          <w:instrText xml:space="preserve"> PAGEREF _Toc17876385 \h </w:instrText>
        </w:r>
        <w:r w:rsidR="008F16D6" w:rsidRPr="008F16D6">
          <w:rPr>
            <w:rFonts w:ascii="Arial" w:eastAsia="Times New Roman" w:hAnsi="Arial" w:cs="Times New Roman"/>
            <w:b/>
            <w:noProof/>
            <w:webHidden/>
            <w:color w:val="BE1D2D"/>
            <w:sz w:val="28"/>
            <w:lang w:eastAsia="hr-HR"/>
          </w:rPr>
        </w:r>
        <w:r w:rsidR="008F16D6" w:rsidRPr="008F16D6">
          <w:rPr>
            <w:rFonts w:ascii="Arial" w:eastAsia="Times New Roman" w:hAnsi="Arial" w:cs="Times New Roman"/>
            <w:b/>
            <w:noProof/>
            <w:webHidden/>
            <w:color w:val="BE1D2D"/>
            <w:sz w:val="28"/>
            <w:lang w:eastAsia="hr-HR"/>
          </w:rPr>
          <w:fldChar w:fldCharType="separate"/>
        </w:r>
        <w:r w:rsidR="00E555AC">
          <w:rPr>
            <w:rFonts w:ascii="Arial" w:eastAsia="Times New Roman" w:hAnsi="Arial" w:cs="Times New Roman"/>
            <w:b/>
            <w:noProof/>
            <w:webHidden/>
            <w:color w:val="BE1D2D"/>
            <w:sz w:val="28"/>
            <w:lang w:eastAsia="hr-HR"/>
          </w:rPr>
          <w:t>34</w:t>
        </w:r>
        <w:r w:rsidR="008F16D6" w:rsidRPr="008F16D6">
          <w:rPr>
            <w:rFonts w:ascii="Arial" w:eastAsia="Times New Roman" w:hAnsi="Arial" w:cs="Times New Roman"/>
            <w:b/>
            <w:noProof/>
            <w:webHidden/>
            <w:color w:val="BE1D2D"/>
            <w:sz w:val="28"/>
            <w:lang w:eastAsia="hr-HR"/>
          </w:rPr>
          <w:fldChar w:fldCharType="end"/>
        </w:r>
      </w:hyperlink>
    </w:p>
    <w:p w14:paraId="38BC9F7D" w14:textId="48990D7E"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386" w:history="1">
        <w:r w:rsidR="008F16D6" w:rsidRPr="008F16D6">
          <w:rPr>
            <w:rFonts w:ascii="Arial" w:eastAsia="Times New Roman" w:hAnsi="Arial" w:cs="Times New Roman"/>
            <w:noProof/>
            <w:color w:val="0000FF"/>
            <w:u w:val="single"/>
            <w:lang w:eastAsia="hr-HR"/>
          </w:rPr>
          <w:t>4.1.</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Emisije stakleničkih plinova</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_Toc17876386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34</w:t>
        </w:r>
        <w:r w:rsidR="008F16D6" w:rsidRPr="008F16D6">
          <w:rPr>
            <w:rFonts w:ascii="Arial" w:eastAsia="Times New Roman" w:hAnsi="Arial" w:cs="Times New Roman"/>
            <w:noProof/>
            <w:webHidden/>
            <w:lang w:eastAsia="hr-HR"/>
          </w:rPr>
          <w:fldChar w:fldCharType="end"/>
        </w:r>
      </w:hyperlink>
    </w:p>
    <w:p w14:paraId="373F5314" w14:textId="3680314F"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387" w:history="1">
        <w:r w:rsidR="008F16D6" w:rsidRPr="008F16D6">
          <w:rPr>
            <w:rFonts w:ascii="Arial" w:eastAsia="Times New Roman" w:hAnsi="Arial" w:cs="Times New Roman"/>
            <w:noProof/>
            <w:color w:val="0000FF"/>
            <w:u w:val="single"/>
            <w:lang w:eastAsia="hr-HR"/>
          </w:rPr>
          <w:t>4.2.</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Energetska učinkovitost</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_Toc17876387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36</w:t>
        </w:r>
        <w:r w:rsidR="008F16D6" w:rsidRPr="008F16D6">
          <w:rPr>
            <w:rFonts w:ascii="Arial" w:eastAsia="Times New Roman" w:hAnsi="Arial" w:cs="Times New Roman"/>
            <w:noProof/>
            <w:webHidden/>
            <w:lang w:eastAsia="hr-HR"/>
          </w:rPr>
          <w:fldChar w:fldCharType="end"/>
        </w:r>
      </w:hyperlink>
    </w:p>
    <w:p w14:paraId="136309D9" w14:textId="02D13009"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388" w:history="1">
        <w:r w:rsidR="008F16D6" w:rsidRPr="008F16D6">
          <w:rPr>
            <w:rFonts w:ascii="Arial" w:eastAsia="Times New Roman" w:hAnsi="Arial" w:cs="Times New Roman"/>
            <w:noProof/>
            <w:color w:val="0000FF"/>
            <w:u w:val="single"/>
            <w:lang w:eastAsia="hr-HR"/>
          </w:rPr>
          <w:t>4.3.</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Obnovljivi izvori energije</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_Toc17876388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37</w:t>
        </w:r>
        <w:r w:rsidR="008F16D6" w:rsidRPr="008F16D6">
          <w:rPr>
            <w:rFonts w:ascii="Arial" w:eastAsia="Times New Roman" w:hAnsi="Arial" w:cs="Times New Roman"/>
            <w:noProof/>
            <w:webHidden/>
            <w:lang w:eastAsia="hr-HR"/>
          </w:rPr>
          <w:fldChar w:fldCharType="end"/>
        </w:r>
      </w:hyperlink>
    </w:p>
    <w:p w14:paraId="597D8CAB" w14:textId="63BCAA4B"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389" w:history="1">
        <w:r w:rsidR="008F16D6" w:rsidRPr="008F16D6">
          <w:rPr>
            <w:rFonts w:ascii="Arial" w:eastAsia="Times New Roman" w:hAnsi="Arial" w:cs="Times New Roman"/>
            <w:noProof/>
            <w:color w:val="0000FF"/>
            <w:u w:val="single"/>
            <w:lang w:eastAsia="hr-HR"/>
          </w:rPr>
          <w:t>4.4.</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Vlastita opskrbljenost</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_Toc17876389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38</w:t>
        </w:r>
        <w:r w:rsidR="008F16D6" w:rsidRPr="008F16D6">
          <w:rPr>
            <w:rFonts w:ascii="Arial" w:eastAsia="Times New Roman" w:hAnsi="Arial" w:cs="Times New Roman"/>
            <w:noProof/>
            <w:webHidden/>
            <w:lang w:eastAsia="hr-HR"/>
          </w:rPr>
          <w:fldChar w:fldCharType="end"/>
        </w:r>
      </w:hyperlink>
    </w:p>
    <w:p w14:paraId="408A56DC" w14:textId="5DC39C80"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390" w:history="1">
        <w:r w:rsidR="008F16D6" w:rsidRPr="008F16D6">
          <w:rPr>
            <w:rFonts w:ascii="Arial" w:eastAsia="Times New Roman" w:hAnsi="Arial" w:cs="Times New Roman"/>
            <w:noProof/>
            <w:color w:val="0000FF"/>
            <w:u w:val="single"/>
            <w:lang w:eastAsia="hr-HR"/>
          </w:rPr>
          <w:t>4.5.</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Sigurnost opskrbe energijom</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_Toc17876390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39</w:t>
        </w:r>
        <w:r w:rsidR="008F16D6" w:rsidRPr="008F16D6">
          <w:rPr>
            <w:rFonts w:ascii="Arial" w:eastAsia="Times New Roman" w:hAnsi="Arial" w:cs="Times New Roman"/>
            <w:noProof/>
            <w:webHidden/>
            <w:lang w:eastAsia="hr-HR"/>
          </w:rPr>
          <w:fldChar w:fldCharType="end"/>
        </w:r>
      </w:hyperlink>
    </w:p>
    <w:p w14:paraId="16330E7D" w14:textId="4B0CF9C0" w:rsidR="008F16D6" w:rsidRPr="008F16D6" w:rsidRDefault="00580E1C" w:rsidP="008F16D6">
      <w:pPr>
        <w:tabs>
          <w:tab w:val="left" w:pos="440"/>
          <w:tab w:val="right" w:leader="dot" w:pos="9061"/>
        </w:tabs>
        <w:suppressAutoHyphens/>
        <w:spacing w:before="240" w:after="0" w:line="240" w:lineRule="auto"/>
        <w:ind w:left="442" w:hanging="442"/>
        <w:jc w:val="both"/>
        <w:rPr>
          <w:rFonts w:ascii="Calibri" w:eastAsia="Yu Mincho" w:hAnsi="Calibri" w:cs="Arial"/>
          <w:noProof/>
          <w:lang w:eastAsia="hr-HR"/>
        </w:rPr>
      </w:pPr>
      <w:hyperlink w:anchor="_Toc17876391" w:history="1">
        <w:r w:rsidR="008F16D6" w:rsidRPr="008F16D6">
          <w:rPr>
            <w:rFonts w:ascii="Arial" w:eastAsia="Times New Roman" w:hAnsi="Arial" w:cs="Times New Roman"/>
            <w:b/>
            <w:noProof/>
            <w:color w:val="0000FF"/>
            <w:sz w:val="28"/>
            <w:u w:val="single"/>
            <w:lang w:eastAsia="hr-HR"/>
          </w:rPr>
          <w:t>5.</w:t>
        </w:r>
        <w:r w:rsidR="008F16D6" w:rsidRPr="008F16D6">
          <w:rPr>
            <w:rFonts w:ascii="Calibri" w:eastAsia="Yu Mincho" w:hAnsi="Calibri" w:cs="Arial"/>
            <w:noProof/>
            <w:lang w:eastAsia="hr-HR"/>
          </w:rPr>
          <w:tab/>
        </w:r>
        <w:r w:rsidR="008F16D6" w:rsidRPr="008F16D6">
          <w:rPr>
            <w:rFonts w:ascii="Arial" w:eastAsia="Times New Roman" w:hAnsi="Arial" w:cs="Times New Roman"/>
            <w:b/>
            <w:noProof/>
            <w:color w:val="0000FF"/>
            <w:sz w:val="28"/>
            <w:u w:val="single"/>
            <w:lang w:eastAsia="hr-HR"/>
          </w:rPr>
          <w:t>Područja intervencije prilikom provedbe strateških ciljeva</w:t>
        </w:r>
        <w:r w:rsidR="008F16D6" w:rsidRPr="008F16D6">
          <w:rPr>
            <w:rFonts w:ascii="Arial" w:eastAsia="Times New Roman" w:hAnsi="Arial" w:cs="Times New Roman"/>
            <w:b/>
            <w:noProof/>
            <w:webHidden/>
            <w:color w:val="BE1D2D"/>
            <w:sz w:val="28"/>
            <w:lang w:eastAsia="hr-HR"/>
          </w:rPr>
          <w:tab/>
        </w:r>
        <w:r w:rsidR="008F16D6" w:rsidRPr="008F16D6">
          <w:rPr>
            <w:rFonts w:ascii="Arial" w:eastAsia="Times New Roman" w:hAnsi="Arial" w:cs="Times New Roman"/>
            <w:b/>
            <w:noProof/>
            <w:webHidden/>
            <w:color w:val="BE1D2D"/>
            <w:sz w:val="28"/>
            <w:lang w:eastAsia="hr-HR"/>
          </w:rPr>
          <w:fldChar w:fldCharType="begin"/>
        </w:r>
        <w:r w:rsidR="008F16D6" w:rsidRPr="008F16D6">
          <w:rPr>
            <w:rFonts w:ascii="Arial" w:eastAsia="Times New Roman" w:hAnsi="Arial" w:cs="Times New Roman"/>
            <w:b/>
            <w:noProof/>
            <w:webHidden/>
            <w:color w:val="BE1D2D"/>
            <w:sz w:val="28"/>
            <w:lang w:eastAsia="hr-HR"/>
          </w:rPr>
          <w:instrText xml:space="preserve"> PAGEREF _Toc17876391 \h </w:instrText>
        </w:r>
        <w:r w:rsidR="008F16D6" w:rsidRPr="008F16D6">
          <w:rPr>
            <w:rFonts w:ascii="Arial" w:eastAsia="Times New Roman" w:hAnsi="Arial" w:cs="Times New Roman"/>
            <w:b/>
            <w:noProof/>
            <w:webHidden/>
            <w:color w:val="BE1D2D"/>
            <w:sz w:val="28"/>
            <w:lang w:eastAsia="hr-HR"/>
          </w:rPr>
        </w:r>
        <w:r w:rsidR="008F16D6" w:rsidRPr="008F16D6">
          <w:rPr>
            <w:rFonts w:ascii="Arial" w:eastAsia="Times New Roman" w:hAnsi="Arial" w:cs="Times New Roman"/>
            <w:b/>
            <w:noProof/>
            <w:webHidden/>
            <w:color w:val="BE1D2D"/>
            <w:sz w:val="28"/>
            <w:lang w:eastAsia="hr-HR"/>
          </w:rPr>
          <w:fldChar w:fldCharType="separate"/>
        </w:r>
        <w:r w:rsidR="00E555AC">
          <w:rPr>
            <w:rFonts w:ascii="Arial" w:eastAsia="Times New Roman" w:hAnsi="Arial" w:cs="Times New Roman"/>
            <w:b/>
            <w:noProof/>
            <w:webHidden/>
            <w:color w:val="BE1D2D"/>
            <w:sz w:val="28"/>
            <w:lang w:eastAsia="hr-HR"/>
          </w:rPr>
          <w:t>42</w:t>
        </w:r>
        <w:r w:rsidR="008F16D6" w:rsidRPr="008F16D6">
          <w:rPr>
            <w:rFonts w:ascii="Arial" w:eastAsia="Times New Roman" w:hAnsi="Arial" w:cs="Times New Roman"/>
            <w:b/>
            <w:noProof/>
            <w:webHidden/>
            <w:color w:val="BE1D2D"/>
            <w:sz w:val="28"/>
            <w:lang w:eastAsia="hr-HR"/>
          </w:rPr>
          <w:fldChar w:fldCharType="end"/>
        </w:r>
      </w:hyperlink>
    </w:p>
    <w:p w14:paraId="3FBF9FB6" w14:textId="39DA4D33"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392" w:history="1">
        <w:r w:rsidR="008F16D6" w:rsidRPr="008F16D6">
          <w:rPr>
            <w:rFonts w:ascii="Arial" w:eastAsia="Times New Roman" w:hAnsi="Arial" w:cs="Times New Roman"/>
            <w:noProof/>
            <w:color w:val="0000FF"/>
            <w:u w:val="single"/>
            <w:lang w:eastAsia="hr-HR"/>
          </w:rPr>
          <w:t>5.1.</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Razvoj tržišta energije</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_Toc17876392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42</w:t>
        </w:r>
        <w:r w:rsidR="008F16D6" w:rsidRPr="008F16D6">
          <w:rPr>
            <w:rFonts w:ascii="Arial" w:eastAsia="Times New Roman" w:hAnsi="Arial" w:cs="Times New Roman"/>
            <w:noProof/>
            <w:webHidden/>
            <w:lang w:eastAsia="hr-HR"/>
          </w:rPr>
          <w:fldChar w:fldCharType="end"/>
        </w:r>
      </w:hyperlink>
    </w:p>
    <w:p w14:paraId="355EDBD7" w14:textId="010EE83D"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393" w:history="1">
        <w:r w:rsidR="008F16D6" w:rsidRPr="008F16D6">
          <w:rPr>
            <w:rFonts w:ascii="Arial" w:eastAsia="Times New Roman" w:hAnsi="Arial" w:cs="Times New Roman"/>
            <w:noProof/>
            <w:color w:val="0000FF"/>
            <w:u w:val="single"/>
            <w:lang w:eastAsia="hr-HR"/>
          </w:rPr>
          <w:t>5.2.</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Proizvodnja energije</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_Toc17876393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43</w:t>
        </w:r>
        <w:r w:rsidR="008F16D6" w:rsidRPr="008F16D6">
          <w:rPr>
            <w:rFonts w:ascii="Arial" w:eastAsia="Times New Roman" w:hAnsi="Arial" w:cs="Times New Roman"/>
            <w:noProof/>
            <w:webHidden/>
            <w:lang w:eastAsia="hr-HR"/>
          </w:rPr>
          <w:fldChar w:fldCharType="end"/>
        </w:r>
      </w:hyperlink>
    </w:p>
    <w:p w14:paraId="13248EF7" w14:textId="18CE681F"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394" w:history="1">
        <w:r w:rsidR="008F16D6" w:rsidRPr="008F16D6">
          <w:rPr>
            <w:rFonts w:ascii="Arial" w:eastAsia="Times New Roman" w:hAnsi="Arial" w:cs="Times New Roman"/>
            <w:noProof/>
            <w:color w:val="0000FF"/>
            <w:u w:val="single"/>
            <w:lang w:eastAsia="hr-HR"/>
          </w:rPr>
          <w:t>5.3.</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Energetska infrastruktura</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_Toc17876394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46</w:t>
        </w:r>
        <w:r w:rsidR="008F16D6" w:rsidRPr="008F16D6">
          <w:rPr>
            <w:rFonts w:ascii="Arial" w:eastAsia="Times New Roman" w:hAnsi="Arial" w:cs="Times New Roman"/>
            <w:noProof/>
            <w:webHidden/>
            <w:lang w:eastAsia="hr-HR"/>
          </w:rPr>
          <w:fldChar w:fldCharType="end"/>
        </w:r>
      </w:hyperlink>
    </w:p>
    <w:p w14:paraId="7C8D549F" w14:textId="53947BA3" w:rsidR="008F16D6" w:rsidRPr="008F16D6" w:rsidRDefault="00580E1C" w:rsidP="008F16D6">
      <w:pPr>
        <w:tabs>
          <w:tab w:val="left" w:pos="440"/>
          <w:tab w:val="right" w:leader="dot" w:pos="9061"/>
        </w:tabs>
        <w:suppressAutoHyphens/>
        <w:spacing w:before="240" w:after="0" w:line="240" w:lineRule="auto"/>
        <w:ind w:left="442" w:hanging="442"/>
        <w:jc w:val="both"/>
        <w:rPr>
          <w:rFonts w:ascii="Calibri" w:eastAsia="Yu Mincho" w:hAnsi="Calibri" w:cs="Arial"/>
          <w:noProof/>
          <w:lang w:eastAsia="hr-HR"/>
        </w:rPr>
      </w:pPr>
      <w:hyperlink w:anchor="_Toc17876395" w:history="1">
        <w:r w:rsidR="008F16D6" w:rsidRPr="008F16D6">
          <w:rPr>
            <w:rFonts w:ascii="Arial" w:eastAsia="Times New Roman" w:hAnsi="Arial" w:cs="Times New Roman"/>
            <w:b/>
            <w:noProof/>
            <w:color w:val="0000FF"/>
            <w:sz w:val="28"/>
            <w:u w:val="single"/>
            <w:lang w:eastAsia="hr-HR"/>
          </w:rPr>
          <w:t>6.</w:t>
        </w:r>
        <w:r w:rsidR="008F16D6" w:rsidRPr="008F16D6">
          <w:rPr>
            <w:rFonts w:ascii="Calibri" w:eastAsia="Yu Mincho" w:hAnsi="Calibri" w:cs="Arial"/>
            <w:noProof/>
            <w:lang w:eastAsia="hr-HR"/>
          </w:rPr>
          <w:tab/>
        </w:r>
        <w:r w:rsidR="008F16D6" w:rsidRPr="008F16D6">
          <w:rPr>
            <w:rFonts w:ascii="Arial" w:eastAsia="Times New Roman" w:hAnsi="Arial" w:cs="Times New Roman"/>
            <w:b/>
            <w:noProof/>
            <w:color w:val="0000FF"/>
            <w:sz w:val="28"/>
            <w:u w:val="single"/>
            <w:lang w:eastAsia="hr-HR"/>
          </w:rPr>
          <w:t>Financijski aspekti i pokazatelji energetske tranzicije</w:t>
        </w:r>
        <w:r w:rsidR="008F16D6" w:rsidRPr="008F16D6">
          <w:rPr>
            <w:rFonts w:ascii="Arial" w:eastAsia="Times New Roman" w:hAnsi="Arial" w:cs="Times New Roman"/>
            <w:b/>
            <w:noProof/>
            <w:webHidden/>
            <w:color w:val="BE1D2D"/>
            <w:sz w:val="28"/>
            <w:lang w:eastAsia="hr-HR"/>
          </w:rPr>
          <w:tab/>
        </w:r>
        <w:r w:rsidR="008F16D6" w:rsidRPr="008F16D6">
          <w:rPr>
            <w:rFonts w:ascii="Arial" w:eastAsia="Times New Roman" w:hAnsi="Arial" w:cs="Times New Roman"/>
            <w:b/>
            <w:noProof/>
            <w:webHidden/>
            <w:color w:val="BE1D2D"/>
            <w:sz w:val="28"/>
            <w:lang w:eastAsia="hr-HR"/>
          </w:rPr>
          <w:fldChar w:fldCharType="begin"/>
        </w:r>
        <w:r w:rsidR="008F16D6" w:rsidRPr="008F16D6">
          <w:rPr>
            <w:rFonts w:ascii="Arial" w:eastAsia="Times New Roman" w:hAnsi="Arial" w:cs="Times New Roman"/>
            <w:b/>
            <w:noProof/>
            <w:webHidden/>
            <w:color w:val="BE1D2D"/>
            <w:sz w:val="28"/>
            <w:lang w:eastAsia="hr-HR"/>
          </w:rPr>
          <w:instrText xml:space="preserve"> PAGEREF _Toc17876395 \h </w:instrText>
        </w:r>
        <w:r w:rsidR="008F16D6" w:rsidRPr="008F16D6">
          <w:rPr>
            <w:rFonts w:ascii="Arial" w:eastAsia="Times New Roman" w:hAnsi="Arial" w:cs="Times New Roman"/>
            <w:b/>
            <w:noProof/>
            <w:webHidden/>
            <w:color w:val="BE1D2D"/>
            <w:sz w:val="28"/>
            <w:lang w:eastAsia="hr-HR"/>
          </w:rPr>
        </w:r>
        <w:r w:rsidR="008F16D6" w:rsidRPr="008F16D6">
          <w:rPr>
            <w:rFonts w:ascii="Arial" w:eastAsia="Times New Roman" w:hAnsi="Arial" w:cs="Times New Roman"/>
            <w:b/>
            <w:noProof/>
            <w:webHidden/>
            <w:color w:val="BE1D2D"/>
            <w:sz w:val="28"/>
            <w:lang w:eastAsia="hr-HR"/>
          </w:rPr>
          <w:fldChar w:fldCharType="separate"/>
        </w:r>
        <w:r w:rsidR="00E555AC">
          <w:rPr>
            <w:rFonts w:ascii="Arial" w:eastAsia="Times New Roman" w:hAnsi="Arial" w:cs="Times New Roman"/>
            <w:b/>
            <w:noProof/>
            <w:webHidden/>
            <w:color w:val="BE1D2D"/>
            <w:sz w:val="28"/>
            <w:lang w:eastAsia="hr-HR"/>
          </w:rPr>
          <w:t>48</w:t>
        </w:r>
        <w:r w:rsidR="008F16D6" w:rsidRPr="008F16D6">
          <w:rPr>
            <w:rFonts w:ascii="Arial" w:eastAsia="Times New Roman" w:hAnsi="Arial" w:cs="Times New Roman"/>
            <w:b/>
            <w:noProof/>
            <w:webHidden/>
            <w:color w:val="BE1D2D"/>
            <w:sz w:val="28"/>
            <w:lang w:eastAsia="hr-HR"/>
          </w:rPr>
          <w:fldChar w:fldCharType="end"/>
        </w:r>
      </w:hyperlink>
    </w:p>
    <w:p w14:paraId="54F44F1F" w14:textId="157F59AF"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396" w:history="1">
        <w:r w:rsidR="008F16D6" w:rsidRPr="008F16D6">
          <w:rPr>
            <w:rFonts w:ascii="Arial" w:eastAsia="Times New Roman" w:hAnsi="Arial" w:cs="Times New Roman"/>
            <w:noProof/>
            <w:color w:val="0000FF"/>
            <w:u w:val="single"/>
            <w:lang w:eastAsia="hr-HR"/>
          </w:rPr>
          <w:t>6.1.</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Procjena ulaganja</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_Toc17876396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48</w:t>
        </w:r>
        <w:r w:rsidR="008F16D6" w:rsidRPr="008F16D6">
          <w:rPr>
            <w:rFonts w:ascii="Arial" w:eastAsia="Times New Roman" w:hAnsi="Arial" w:cs="Times New Roman"/>
            <w:noProof/>
            <w:webHidden/>
            <w:lang w:eastAsia="hr-HR"/>
          </w:rPr>
          <w:fldChar w:fldCharType="end"/>
        </w:r>
      </w:hyperlink>
    </w:p>
    <w:p w14:paraId="3B8C3FBD" w14:textId="45A6CD50"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397" w:history="1">
        <w:r w:rsidR="008F16D6" w:rsidRPr="008F16D6">
          <w:rPr>
            <w:rFonts w:ascii="Arial" w:eastAsia="Times New Roman" w:hAnsi="Arial" w:cs="Times New Roman"/>
            <w:noProof/>
            <w:color w:val="0000FF"/>
            <w:u w:val="single"/>
            <w:lang w:eastAsia="hr-HR"/>
          </w:rPr>
          <w:t>6.2.</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Izvori financiranja</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_Toc17876397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49</w:t>
        </w:r>
        <w:r w:rsidR="008F16D6" w:rsidRPr="008F16D6">
          <w:rPr>
            <w:rFonts w:ascii="Arial" w:eastAsia="Times New Roman" w:hAnsi="Arial" w:cs="Times New Roman"/>
            <w:noProof/>
            <w:webHidden/>
            <w:lang w:eastAsia="hr-HR"/>
          </w:rPr>
          <w:fldChar w:fldCharType="end"/>
        </w:r>
      </w:hyperlink>
    </w:p>
    <w:p w14:paraId="0E760995" w14:textId="0F27FE20"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398" w:history="1">
        <w:r w:rsidR="008F16D6" w:rsidRPr="008F16D6">
          <w:rPr>
            <w:rFonts w:ascii="Arial" w:eastAsia="Times New Roman" w:hAnsi="Arial" w:cs="Arial"/>
            <w:noProof/>
            <w:color w:val="0000FF"/>
            <w:u w:val="single"/>
            <w:lang w:eastAsia="hr-HR"/>
          </w:rPr>
          <w:t>6.3.</w:t>
        </w:r>
        <w:r w:rsidR="008F16D6" w:rsidRPr="008F16D6">
          <w:rPr>
            <w:rFonts w:ascii="Calibri" w:eastAsia="Yu Mincho" w:hAnsi="Calibri" w:cs="Arial"/>
            <w:noProof/>
            <w:lang w:eastAsia="hr-HR"/>
          </w:rPr>
          <w:tab/>
        </w:r>
        <w:r w:rsidR="008F16D6" w:rsidRPr="008F16D6">
          <w:rPr>
            <w:rFonts w:ascii="Arial" w:eastAsia="Times New Roman" w:hAnsi="Arial" w:cs="Arial"/>
            <w:noProof/>
            <w:color w:val="0000FF"/>
            <w:u w:val="single"/>
            <w:lang w:eastAsia="hr-HR"/>
          </w:rPr>
          <w:t>Procjena utjecaja OIE na gospodarstvo</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_Toc17876398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51</w:t>
        </w:r>
        <w:r w:rsidR="008F16D6" w:rsidRPr="008F16D6">
          <w:rPr>
            <w:rFonts w:ascii="Arial" w:eastAsia="Times New Roman" w:hAnsi="Arial" w:cs="Times New Roman"/>
            <w:noProof/>
            <w:webHidden/>
            <w:lang w:eastAsia="hr-HR"/>
          </w:rPr>
          <w:fldChar w:fldCharType="end"/>
        </w:r>
      </w:hyperlink>
    </w:p>
    <w:p w14:paraId="615A5D63" w14:textId="02AD9E84"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399" w:history="1">
        <w:r w:rsidR="008F16D6" w:rsidRPr="008F16D6">
          <w:rPr>
            <w:rFonts w:ascii="Arial" w:eastAsia="Times New Roman" w:hAnsi="Arial" w:cs="Times New Roman"/>
            <w:noProof/>
            <w:color w:val="0000FF"/>
            <w:u w:val="single"/>
            <w:lang w:eastAsia="hr-HR"/>
          </w:rPr>
          <w:t>6.4.</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Financiranje OIE i izazovi tržišta</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_Toc17876399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52</w:t>
        </w:r>
        <w:r w:rsidR="008F16D6" w:rsidRPr="008F16D6">
          <w:rPr>
            <w:rFonts w:ascii="Arial" w:eastAsia="Times New Roman" w:hAnsi="Arial" w:cs="Times New Roman"/>
            <w:noProof/>
            <w:webHidden/>
            <w:lang w:eastAsia="hr-HR"/>
          </w:rPr>
          <w:fldChar w:fldCharType="end"/>
        </w:r>
      </w:hyperlink>
    </w:p>
    <w:p w14:paraId="62BD8B02" w14:textId="4374F52E"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400" w:history="1">
        <w:r w:rsidR="008F16D6" w:rsidRPr="008F16D6">
          <w:rPr>
            <w:rFonts w:ascii="Arial" w:eastAsia="Times New Roman" w:hAnsi="Arial" w:cs="Times New Roman"/>
            <w:noProof/>
            <w:color w:val="0000FF"/>
            <w:u w:val="single"/>
            <w:lang w:eastAsia="hr-HR"/>
          </w:rPr>
          <w:t>6.5.</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Financijska potpora EU</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_Toc17876400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54</w:t>
        </w:r>
        <w:r w:rsidR="008F16D6" w:rsidRPr="008F16D6">
          <w:rPr>
            <w:rFonts w:ascii="Arial" w:eastAsia="Times New Roman" w:hAnsi="Arial" w:cs="Times New Roman"/>
            <w:noProof/>
            <w:webHidden/>
            <w:lang w:eastAsia="hr-HR"/>
          </w:rPr>
          <w:fldChar w:fldCharType="end"/>
        </w:r>
      </w:hyperlink>
    </w:p>
    <w:p w14:paraId="1C8AC916" w14:textId="574E359B" w:rsidR="008F16D6" w:rsidRPr="008F16D6" w:rsidRDefault="00580E1C" w:rsidP="008F16D6">
      <w:pPr>
        <w:tabs>
          <w:tab w:val="left" w:pos="440"/>
          <w:tab w:val="right" w:leader="dot" w:pos="9061"/>
        </w:tabs>
        <w:suppressAutoHyphens/>
        <w:spacing w:before="240" w:after="0" w:line="240" w:lineRule="auto"/>
        <w:ind w:left="442" w:hanging="442"/>
        <w:jc w:val="both"/>
        <w:rPr>
          <w:rFonts w:ascii="Calibri" w:eastAsia="Yu Mincho" w:hAnsi="Calibri" w:cs="Arial"/>
          <w:noProof/>
          <w:lang w:eastAsia="hr-HR"/>
        </w:rPr>
      </w:pPr>
      <w:hyperlink w:anchor="_Toc17876401" w:history="1">
        <w:r w:rsidR="008F16D6" w:rsidRPr="008F16D6">
          <w:rPr>
            <w:rFonts w:ascii="Arial" w:eastAsia="Times New Roman" w:hAnsi="Arial" w:cs="Times New Roman"/>
            <w:b/>
            <w:noProof/>
            <w:color w:val="0000FF"/>
            <w:sz w:val="28"/>
            <w:u w:val="single"/>
            <w:lang w:eastAsia="hr-HR"/>
          </w:rPr>
          <w:t>7.</w:t>
        </w:r>
        <w:r w:rsidR="008F16D6" w:rsidRPr="008F16D6">
          <w:rPr>
            <w:rFonts w:ascii="Calibri" w:eastAsia="Yu Mincho" w:hAnsi="Calibri" w:cs="Arial"/>
            <w:noProof/>
            <w:lang w:eastAsia="hr-HR"/>
          </w:rPr>
          <w:tab/>
        </w:r>
        <w:r w:rsidR="008F16D6" w:rsidRPr="008F16D6">
          <w:rPr>
            <w:rFonts w:ascii="Arial" w:eastAsia="Times New Roman" w:hAnsi="Arial" w:cs="Times New Roman"/>
            <w:b/>
            <w:noProof/>
            <w:color w:val="0000FF"/>
            <w:sz w:val="28"/>
            <w:u w:val="single"/>
            <w:lang w:eastAsia="hr-HR"/>
          </w:rPr>
          <w:t>Gospodarsko-društveni aspekti Strategije</w:t>
        </w:r>
        <w:r w:rsidR="008F16D6" w:rsidRPr="008F16D6">
          <w:rPr>
            <w:rFonts w:ascii="Arial" w:eastAsia="Times New Roman" w:hAnsi="Arial" w:cs="Times New Roman"/>
            <w:b/>
            <w:noProof/>
            <w:webHidden/>
            <w:color w:val="BE1D2D"/>
            <w:sz w:val="28"/>
            <w:lang w:eastAsia="hr-HR"/>
          </w:rPr>
          <w:tab/>
        </w:r>
        <w:r w:rsidR="008F16D6" w:rsidRPr="008F16D6">
          <w:rPr>
            <w:rFonts w:ascii="Arial" w:eastAsia="Times New Roman" w:hAnsi="Arial" w:cs="Times New Roman"/>
            <w:b/>
            <w:noProof/>
            <w:webHidden/>
            <w:color w:val="BE1D2D"/>
            <w:sz w:val="28"/>
            <w:lang w:eastAsia="hr-HR"/>
          </w:rPr>
          <w:fldChar w:fldCharType="begin"/>
        </w:r>
        <w:r w:rsidR="008F16D6" w:rsidRPr="008F16D6">
          <w:rPr>
            <w:rFonts w:ascii="Arial" w:eastAsia="Times New Roman" w:hAnsi="Arial" w:cs="Times New Roman"/>
            <w:b/>
            <w:noProof/>
            <w:webHidden/>
            <w:color w:val="BE1D2D"/>
            <w:sz w:val="28"/>
            <w:lang w:eastAsia="hr-HR"/>
          </w:rPr>
          <w:instrText xml:space="preserve"> PAGEREF _Toc17876401 \h </w:instrText>
        </w:r>
        <w:r w:rsidR="008F16D6" w:rsidRPr="008F16D6">
          <w:rPr>
            <w:rFonts w:ascii="Arial" w:eastAsia="Times New Roman" w:hAnsi="Arial" w:cs="Times New Roman"/>
            <w:b/>
            <w:noProof/>
            <w:webHidden/>
            <w:color w:val="BE1D2D"/>
            <w:sz w:val="28"/>
            <w:lang w:eastAsia="hr-HR"/>
          </w:rPr>
        </w:r>
        <w:r w:rsidR="008F16D6" w:rsidRPr="008F16D6">
          <w:rPr>
            <w:rFonts w:ascii="Arial" w:eastAsia="Times New Roman" w:hAnsi="Arial" w:cs="Times New Roman"/>
            <w:b/>
            <w:noProof/>
            <w:webHidden/>
            <w:color w:val="BE1D2D"/>
            <w:sz w:val="28"/>
            <w:lang w:eastAsia="hr-HR"/>
          </w:rPr>
          <w:fldChar w:fldCharType="separate"/>
        </w:r>
        <w:r w:rsidR="00E555AC">
          <w:rPr>
            <w:rFonts w:ascii="Arial" w:eastAsia="Times New Roman" w:hAnsi="Arial" w:cs="Times New Roman"/>
            <w:b/>
            <w:noProof/>
            <w:webHidden/>
            <w:color w:val="BE1D2D"/>
            <w:sz w:val="28"/>
            <w:lang w:eastAsia="hr-HR"/>
          </w:rPr>
          <w:t>56</w:t>
        </w:r>
        <w:r w:rsidR="008F16D6" w:rsidRPr="008F16D6">
          <w:rPr>
            <w:rFonts w:ascii="Arial" w:eastAsia="Times New Roman" w:hAnsi="Arial" w:cs="Times New Roman"/>
            <w:b/>
            <w:noProof/>
            <w:webHidden/>
            <w:color w:val="BE1D2D"/>
            <w:sz w:val="28"/>
            <w:lang w:eastAsia="hr-HR"/>
          </w:rPr>
          <w:fldChar w:fldCharType="end"/>
        </w:r>
      </w:hyperlink>
    </w:p>
    <w:p w14:paraId="1351000D" w14:textId="712283BE"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402" w:history="1">
        <w:r w:rsidR="008F16D6" w:rsidRPr="008F16D6">
          <w:rPr>
            <w:rFonts w:ascii="Arial" w:eastAsia="Times New Roman" w:hAnsi="Arial" w:cs="Times New Roman"/>
            <w:noProof/>
            <w:color w:val="0000FF"/>
            <w:u w:val="single"/>
            <w:lang w:eastAsia="hr-HR"/>
          </w:rPr>
          <w:t>7.1.</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Utjecaj na gospodarstvo</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_Toc17876402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56</w:t>
        </w:r>
        <w:r w:rsidR="008F16D6" w:rsidRPr="008F16D6">
          <w:rPr>
            <w:rFonts w:ascii="Arial" w:eastAsia="Times New Roman" w:hAnsi="Arial" w:cs="Times New Roman"/>
            <w:noProof/>
            <w:webHidden/>
            <w:lang w:eastAsia="hr-HR"/>
          </w:rPr>
          <w:fldChar w:fldCharType="end"/>
        </w:r>
      </w:hyperlink>
    </w:p>
    <w:p w14:paraId="257BA8E6" w14:textId="32559C24"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403" w:history="1">
        <w:r w:rsidR="008F16D6" w:rsidRPr="008F16D6">
          <w:rPr>
            <w:rFonts w:ascii="Arial" w:eastAsia="Times New Roman" w:hAnsi="Arial" w:cs="Times New Roman"/>
            <w:noProof/>
            <w:color w:val="0000FF"/>
            <w:u w:val="single"/>
            <w:lang w:eastAsia="hr-HR"/>
          </w:rPr>
          <w:t>7.2.</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Energetsko siromaštvo</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_Toc17876403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57</w:t>
        </w:r>
        <w:r w:rsidR="008F16D6" w:rsidRPr="008F16D6">
          <w:rPr>
            <w:rFonts w:ascii="Arial" w:eastAsia="Times New Roman" w:hAnsi="Arial" w:cs="Times New Roman"/>
            <w:noProof/>
            <w:webHidden/>
            <w:lang w:eastAsia="hr-HR"/>
          </w:rPr>
          <w:fldChar w:fldCharType="end"/>
        </w:r>
      </w:hyperlink>
    </w:p>
    <w:p w14:paraId="140B3F8C" w14:textId="583CA14B"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404" w:history="1">
        <w:r w:rsidR="008F16D6" w:rsidRPr="008F16D6">
          <w:rPr>
            <w:rFonts w:ascii="Arial" w:eastAsia="Times New Roman" w:hAnsi="Arial" w:cs="Times New Roman"/>
            <w:noProof/>
            <w:color w:val="0000FF"/>
            <w:u w:val="single"/>
            <w:lang w:eastAsia="hr-HR"/>
          </w:rPr>
          <w:t>7.3.</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Istraživanje, razvoj i konkurentnost</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_Toc17876404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57</w:t>
        </w:r>
        <w:r w:rsidR="008F16D6" w:rsidRPr="008F16D6">
          <w:rPr>
            <w:rFonts w:ascii="Arial" w:eastAsia="Times New Roman" w:hAnsi="Arial" w:cs="Times New Roman"/>
            <w:noProof/>
            <w:webHidden/>
            <w:lang w:eastAsia="hr-HR"/>
          </w:rPr>
          <w:fldChar w:fldCharType="end"/>
        </w:r>
      </w:hyperlink>
    </w:p>
    <w:p w14:paraId="0E9195FC" w14:textId="1B49A1A1"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405" w:history="1">
        <w:r w:rsidR="008F16D6" w:rsidRPr="008F16D6">
          <w:rPr>
            <w:rFonts w:ascii="Arial" w:eastAsia="Times New Roman" w:hAnsi="Arial" w:cs="Times New Roman"/>
            <w:noProof/>
            <w:color w:val="0000FF"/>
            <w:u w:val="single"/>
            <w:lang w:eastAsia="hr-HR"/>
          </w:rPr>
          <w:t>7.4.</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Uloga područne i lokalne samouprave u energetskoj tranziciji</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_Toc17876405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58</w:t>
        </w:r>
        <w:r w:rsidR="008F16D6" w:rsidRPr="008F16D6">
          <w:rPr>
            <w:rFonts w:ascii="Arial" w:eastAsia="Times New Roman" w:hAnsi="Arial" w:cs="Times New Roman"/>
            <w:noProof/>
            <w:webHidden/>
            <w:lang w:eastAsia="hr-HR"/>
          </w:rPr>
          <w:fldChar w:fldCharType="end"/>
        </w:r>
      </w:hyperlink>
    </w:p>
    <w:p w14:paraId="023399E6" w14:textId="3E5BC459"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406" w:history="1">
        <w:r w:rsidR="008F16D6" w:rsidRPr="008F16D6">
          <w:rPr>
            <w:rFonts w:ascii="Arial" w:eastAsia="Times New Roman" w:hAnsi="Arial" w:cs="Times New Roman"/>
            <w:noProof/>
            <w:color w:val="0000FF"/>
            <w:u w:val="single"/>
            <w:lang w:eastAsia="hr-HR"/>
          </w:rPr>
          <w:t>7.5.</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Energetska strategija i prostorni planovi</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_Toc17876406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59</w:t>
        </w:r>
        <w:r w:rsidR="008F16D6" w:rsidRPr="008F16D6">
          <w:rPr>
            <w:rFonts w:ascii="Arial" w:eastAsia="Times New Roman" w:hAnsi="Arial" w:cs="Times New Roman"/>
            <w:noProof/>
            <w:webHidden/>
            <w:lang w:eastAsia="hr-HR"/>
          </w:rPr>
          <w:fldChar w:fldCharType="end"/>
        </w:r>
      </w:hyperlink>
    </w:p>
    <w:p w14:paraId="10A3CC9F" w14:textId="4502D5E5"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407" w:history="1">
        <w:r w:rsidR="008F16D6" w:rsidRPr="008F16D6">
          <w:rPr>
            <w:rFonts w:ascii="Arial" w:eastAsia="Times New Roman" w:hAnsi="Arial" w:cs="Times New Roman"/>
            <w:noProof/>
            <w:color w:val="0000FF"/>
            <w:u w:val="single"/>
            <w:lang w:eastAsia="hr-HR"/>
          </w:rPr>
          <w:t>7.6.</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Biogospodarstvo</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_Toc17876407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59</w:t>
        </w:r>
        <w:r w:rsidR="008F16D6" w:rsidRPr="008F16D6">
          <w:rPr>
            <w:rFonts w:ascii="Arial" w:eastAsia="Times New Roman" w:hAnsi="Arial" w:cs="Times New Roman"/>
            <w:noProof/>
            <w:webHidden/>
            <w:lang w:eastAsia="hr-HR"/>
          </w:rPr>
          <w:fldChar w:fldCharType="end"/>
        </w:r>
      </w:hyperlink>
    </w:p>
    <w:p w14:paraId="76EDAEDA" w14:textId="15756287"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408" w:history="1">
        <w:r w:rsidR="008F16D6" w:rsidRPr="008F16D6">
          <w:rPr>
            <w:rFonts w:ascii="Arial" w:eastAsia="Times New Roman" w:hAnsi="Arial" w:cs="Times New Roman"/>
            <w:noProof/>
            <w:color w:val="0000FF"/>
            <w:u w:val="single"/>
            <w:lang w:eastAsia="hr-HR"/>
          </w:rPr>
          <w:t>7.7.</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Proizvodnja energije u održivom gospodarenju otpadom</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_Toc17876408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60</w:t>
        </w:r>
        <w:r w:rsidR="008F16D6" w:rsidRPr="008F16D6">
          <w:rPr>
            <w:rFonts w:ascii="Arial" w:eastAsia="Times New Roman" w:hAnsi="Arial" w:cs="Times New Roman"/>
            <w:noProof/>
            <w:webHidden/>
            <w:lang w:eastAsia="hr-HR"/>
          </w:rPr>
          <w:fldChar w:fldCharType="end"/>
        </w:r>
      </w:hyperlink>
    </w:p>
    <w:p w14:paraId="1759CFCB" w14:textId="3CDC4A24" w:rsidR="008F16D6" w:rsidRPr="008F16D6" w:rsidRDefault="00580E1C" w:rsidP="008F16D6">
      <w:pPr>
        <w:tabs>
          <w:tab w:val="left" w:pos="440"/>
          <w:tab w:val="right" w:leader="dot" w:pos="9061"/>
        </w:tabs>
        <w:suppressAutoHyphens/>
        <w:spacing w:before="240" w:after="0" w:line="240" w:lineRule="auto"/>
        <w:ind w:left="442" w:hanging="442"/>
        <w:jc w:val="both"/>
        <w:rPr>
          <w:rFonts w:ascii="Calibri" w:eastAsia="Yu Mincho" w:hAnsi="Calibri" w:cs="Arial"/>
          <w:noProof/>
          <w:lang w:eastAsia="hr-HR"/>
        </w:rPr>
      </w:pPr>
      <w:hyperlink w:anchor="_Toc17876409" w:history="1">
        <w:r w:rsidR="008F16D6" w:rsidRPr="008F16D6">
          <w:rPr>
            <w:rFonts w:ascii="Arial" w:eastAsia="Times New Roman" w:hAnsi="Arial" w:cs="Times New Roman"/>
            <w:b/>
            <w:noProof/>
            <w:color w:val="0000FF"/>
            <w:sz w:val="28"/>
            <w:u w:val="single"/>
            <w:lang w:eastAsia="hr-HR"/>
          </w:rPr>
          <w:t>8.</w:t>
        </w:r>
        <w:r w:rsidR="008F16D6" w:rsidRPr="008F16D6">
          <w:rPr>
            <w:rFonts w:ascii="Calibri" w:eastAsia="Yu Mincho" w:hAnsi="Calibri" w:cs="Arial"/>
            <w:noProof/>
            <w:lang w:eastAsia="hr-HR"/>
          </w:rPr>
          <w:tab/>
        </w:r>
        <w:r w:rsidR="008F16D6" w:rsidRPr="008F16D6">
          <w:rPr>
            <w:rFonts w:ascii="Arial" w:eastAsia="Times New Roman" w:hAnsi="Arial" w:cs="Times New Roman"/>
            <w:b/>
            <w:noProof/>
            <w:color w:val="0000FF"/>
            <w:sz w:val="28"/>
            <w:u w:val="single"/>
            <w:lang w:eastAsia="hr-HR"/>
          </w:rPr>
          <w:t>Strateško planiranje i praćenje tranzicije energetskog sektora</w:t>
        </w:r>
        <w:r w:rsidR="008F16D6" w:rsidRPr="008F16D6">
          <w:rPr>
            <w:rFonts w:ascii="Arial" w:eastAsia="Times New Roman" w:hAnsi="Arial" w:cs="Times New Roman"/>
            <w:b/>
            <w:noProof/>
            <w:webHidden/>
            <w:color w:val="BE1D2D"/>
            <w:sz w:val="28"/>
            <w:lang w:eastAsia="hr-HR"/>
          </w:rPr>
          <w:tab/>
        </w:r>
        <w:r w:rsidR="008F16D6" w:rsidRPr="008F16D6">
          <w:rPr>
            <w:rFonts w:ascii="Arial" w:eastAsia="Times New Roman" w:hAnsi="Arial" w:cs="Times New Roman"/>
            <w:b/>
            <w:noProof/>
            <w:webHidden/>
            <w:color w:val="BE1D2D"/>
            <w:sz w:val="28"/>
            <w:lang w:eastAsia="hr-HR"/>
          </w:rPr>
          <w:fldChar w:fldCharType="begin"/>
        </w:r>
        <w:r w:rsidR="008F16D6" w:rsidRPr="008F16D6">
          <w:rPr>
            <w:rFonts w:ascii="Arial" w:eastAsia="Times New Roman" w:hAnsi="Arial" w:cs="Times New Roman"/>
            <w:b/>
            <w:noProof/>
            <w:webHidden/>
            <w:color w:val="BE1D2D"/>
            <w:sz w:val="28"/>
            <w:lang w:eastAsia="hr-HR"/>
          </w:rPr>
          <w:instrText xml:space="preserve"> PAGEREF _Toc17876409 \h </w:instrText>
        </w:r>
        <w:r w:rsidR="008F16D6" w:rsidRPr="008F16D6">
          <w:rPr>
            <w:rFonts w:ascii="Arial" w:eastAsia="Times New Roman" w:hAnsi="Arial" w:cs="Times New Roman"/>
            <w:b/>
            <w:noProof/>
            <w:webHidden/>
            <w:color w:val="BE1D2D"/>
            <w:sz w:val="28"/>
            <w:lang w:eastAsia="hr-HR"/>
          </w:rPr>
        </w:r>
        <w:r w:rsidR="008F16D6" w:rsidRPr="008F16D6">
          <w:rPr>
            <w:rFonts w:ascii="Arial" w:eastAsia="Times New Roman" w:hAnsi="Arial" w:cs="Times New Roman"/>
            <w:b/>
            <w:noProof/>
            <w:webHidden/>
            <w:color w:val="BE1D2D"/>
            <w:sz w:val="28"/>
            <w:lang w:eastAsia="hr-HR"/>
          </w:rPr>
          <w:fldChar w:fldCharType="separate"/>
        </w:r>
        <w:r w:rsidR="00E555AC">
          <w:rPr>
            <w:rFonts w:ascii="Arial" w:eastAsia="Times New Roman" w:hAnsi="Arial" w:cs="Times New Roman"/>
            <w:b/>
            <w:noProof/>
            <w:webHidden/>
            <w:color w:val="BE1D2D"/>
            <w:sz w:val="28"/>
            <w:lang w:eastAsia="hr-HR"/>
          </w:rPr>
          <w:t>62</w:t>
        </w:r>
        <w:r w:rsidR="008F16D6" w:rsidRPr="008F16D6">
          <w:rPr>
            <w:rFonts w:ascii="Arial" w:eastAsia="Times New Roman" w:hAnsi="Arial" w:cs="Times New Roman"/>
            <w:b/>
            <w:noProof/>
            <w:webHidden/>
            <w:color w:val="BE1D2D"/>
            <w:sz w:val="28"/>
            <w:lang w:eastAsia="hr-HR"/>
          </w:rPr>
          <w:fldChar w:fldCharType="end"/>
        </w:r>
      </w:hyperlink>
    </w:p>
    <w:p w14:paraId="6B85561E" w14:textId="7F750E42"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410" w:history="1">
        <w:r w:rsidR="008F16D6" w:rsidRPr="008F16D6">
          <w:rPr>
            <w:rFonts w:ascii="Arial" w:eastAsia="Times New Roman" w:hAnsi="Arial" w:cs="Times New Roman"/>
            <w:noProof/>
            <w:color w:val="0000FF"/>
            <w:u w:val="single"/>
            <w:lang w:eastAsia="hr-HR"/>
          </w:rPr>
          <w:t>8.1.</w:t>
        </w:r>
        <w:r w:rsidR="008F16D6" w:rsidRPr="008F16D6">
          <w:rPr>
            <w:rFonts w:ascii="Calibri" w:eastAsia="Yu Mincho" w:hAnsi="Calibri" w:cs="Arial"/>
            <w:noProof/>
            <w:lang w:eastAsia="hr-HR"/>
          </w:rPr>
          <w:tab/>
        </w:r>
        <w:r w:rsidR="008F16D6" w:rsidRPr="008F16D6">
          <w:rPr>
            <w:rFonts w:ascii="Arial" w:eastAsia="Arial" w:hAnsi="Arial" w:cs="Times New Roman"/>
            <w:noProof/>
            <w:color w:val="0000FF"/>
            <w:u w:val="single"/>
            <w:lang w:eastAsia="hr-HR"/>
          </w:rPr>
          <w:t>Institucionalni okvir energetskog planiranja</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_Toc17876410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62</w:t>
        </w:r>
        <w:r w:rsidR="008F16D6" w:rsidRPr="008F16D6">
          <w:rPr>
            <w:rFonts w:ascii="Arial" w:eastAsia="Times New Roman" w:hAnsi="Arial" w:cs="Times New Roman"/>
            <w:noProof/>
            <w:webHidden/>
            <w:lang w:eastAsia="hr-HR"/>
          </w:rPr>
          <w:fldChar w:fldCharType="end"/>
        </w:r>
      </w:hyperlink>
    </w:p>
    <w:p w14:paraId="75459FA7" w14:textId="7830A552"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411" w:history="1">
        <w:r w:rsidR="008F16D6" w:rsidRPr="008F16D6">
          <w:rPr>
            <w:rFonts w:ascii="Arial" w:eastAsia="Times New Roman" w:hAnsi="Arial" w:cs="Times New Roman"/>
            <w:noProof/>
            <w:color w:val="0000FF"/>
            <w:u w:val="single"/>
            <w:lang w:eastAsia="hr-HR"/>
          </w:rPr>
          <w:t>8.2.</w:t>
        </w:r>
        <w:r w:rsidR="008F16D6" w:rsidRPr="008F16D6">
          <w:rPr>
            <w:rFonts w:ascii="Calibri" w:eastAsia="Yu Mincho" w:hAnsi="Calibri" w:cs="Arial"/>
            <w:noProof/>
            <w:lang w:eastAsia="hr-HR"/>
          </w:rPr>
          <w:tab/>
        </w:r>
        <w:r w:rsidR="008F16D6" w:rsidRPr="008F16D6">
          <w:rPr>
            <w:rFonts w:ascii="Arial" w:eastAsia="Arial" w:hAnsi="Arial" w:cs="Times New Roman"/>
            <w:noProof/>
            <w:color w:val="0000FF"/>
            <w:u w:val="single"/>
            <w:lang w:eastAsia="hr-HR"/>
          </w:rPr>
          <w:t>Razvoj energetskog planiranja</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_Toc17876411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63</w:t>
        </w:r>
        <w:r w:rsidR="008F16D6" w:rsidRPr="008F16D6">
          <w:rPr>
            <w:rFonts w:ascii="Arial" w:eastAsia="Times New Roman" w:hAnsi="Arial" w:cs="Times New Roman"/>
            <w:noProof/>
            <w:webHidden/>
            <w:lang w:eastAsia="hr-HR"/>
          </w:rPr>
          <w:fldChar w:fldCharType="end"/>
        </w:r>
      </w:hyperlink>
    </w:p>
    <w:p w14:paraId="0B0AB318" w14:textId="3422E4D8"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412" w:history="1">
        <w:r w:rsidR="008F16D6" w:rsidRPr="008F16D6">
          <w:rPr>
            <w:rFonts w:ascii="Arial" w:eastAsia="Times New Roman" w:hAnsi="Arial" w:cs="Times New Roman"/>
            <w:noProof/>
            <w:color w:val="0000FF"/>
            <w:u w:val="single"/>
            <w:lang w:eastAsia="hr-HR"/>
          </w:rPr>
          <w:t>8.3.</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Razvoj energetske statistike, metodologija i modela za energetsko planiranje</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_Toc17876412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63</w:t>
        </w:r>
        <w:r w:rsidR="008F16D6" w:rsidRPr="008F16D6">
          <w:rPr>
            <w:rFonts w:ascii="Arial" w:eastAsia="Times New Roman" w:hAnsi="Arial" w:cs="Times New Roman"/>
            <w:noProof/>
            <w:webHidden/>
            <w:lang w:eastAsia="hr-HR"/>
          </w:rPr>
          <w:fldChar w:fldCharType="end"/>
        </w:r>
      </w:hyperlink>
    </w:p>
    <w:p w14:paraId="34856913" w14:textId="73B647A7" w:rsidR="008F16D6" w:rsidRPr="008F16D6" w:rsidRDefault="00580E1C" w:rsidP="008F16D6">
      <w:pPr>
        <w:tabs>
          <w:tab w:val="left" w:pos="1077"/>
          <w:tab w:val="right" w:leader="dot" w:pos="9061"/>
        </w:tabs>
        <w:suppressAutoHyphens/>
        <w:spacing w:before="120" w:after="60" w:line="240" w:lineRule="auto"/>
        <w:ind w:left="1077" w:hanging="635"/>
        <w:jc w:val="both"/>
        <w:rPr>
          <w:rFonts w:ascii="Calibri" w:eastAsia="Yu Mincho" w:hAnsi="Calibri" w:cs="Arial"/>
          <w:noProof/>
          <w:lang w:eastAsia="hr-HR"/>
        </w:rPr>
      </w:pPr>
      <w:hyperlink w:anchor="_Toc17876413" w:history="1">
        <w:r w:rsidR="008F16D6" w:rsidRPr="008F16D6">
          <w:rPr>
            <w:rFonts w:ascii="Arial" w:eastAsia="Times New Roman" w:hAnsi="Arial" w:cs="Times New Roman"/>
            <w:noProof/>
            <w:color w:val="0000FF"/>
            <w:u w:val="single"/>
            <w:lang w:eastAsia="hr-HR"/>
          </w:rPr>
          <w:t>8.4.</w:t>
        </w:r>
        <w:r w:rsidR="008F16D6" w:rsidRPr="008F16D6">
          <w:rPr>
            <w:rFonts w:ascii="Calibri" w:eastAsia="Yu Mincho" w:hAnsi="Calibri" w:cs="Arial"/>
            <w:noProof/>
            <w:lang w:eastAsia="hr-HR"/>
          </w:rPr>
          <w:tab/>
        </w:r>
        <w:r w:rsidR="008F16D6" w:rsidRPr="008F16D6">
          <w:rPr>
            <w:rFonts w:ascii="Arial" w:eastAsia="Times New Roman" w:hAnsi="Arial" w:cs="Times New Roman"/>
            <w:noProof/>
            <w:color w:val="0000FF"/>
            <w:u w:val="single"/>
            <w:lang w:eastAsia="hr-HR"/>
          </w:rPr>
          <w:t>Praćenje ostvarenih ciljeva energetske strategije i provedbenih planova i politika</w:t>
        </w:r>
        <w:r w:rsidR="008F16D6" w:rsidRPr="008F16D6">
          <w:rPr>
            <w:rFonts w:ascii="Arial" w:eastAsia="Times New Roman" w:hAnsi="Arial" w:cs="Times New Roman"/>
            <w:noProof/>
            <w:webHidden/>
            <w:lang w:eastAsia="hr-HR"/>
          </w:rPr>
          <w:tab/>
        </w:r>
        <w:r w:rsidR="008F16D6" w:rsidRPr="008F16D6">
          <w:rPr>
            <w:rFonts w:ascii="Arial" w:eastAsia="Times New Roman" w:hAnsi="Arial" w:cs="Times New Roman"/>
            <w:noProof/>
            <w:webHidden/>
            <w:lang w:eastAsia="hr-HR"/>
          </w:rPr>
          <w:fldChar w:fldCharType="begin"/>
        </w:r>
        <w:r w:rsidR="008F16D6" w:rsidRPr="008F16D6">
          <w:rPr>
            <w:rFonts w:ascii="Arial" w:eastAsia="Times New Roman" w:hAnsi="Arial" w:cs="Times New Roman"/>
            <w:noProof/>
            <w:webHidden/>
            <w:lang w:eastAsia="hr-HR"/>
          </w:rPr>
          <w:instrText xml:space="preserve"> PAGEREF _Toc17876413 \h </w:instrText>
        </w:r>
        <w:r w:rsidR="008F16D6" w:rsidRPr="008F16D6">
          <w:rPr>
            <w:rFonts w:ascii="Arial" w:eastAsia="Times New Roman" w:hAnsi="Arial" w:cs="Times New Roman"/>
            <w:noProof/>
            <w:webHidden/>
            <w:lang w:eastAsia="hr-HR"/>
          </w:rPr>
        </w:r>
        <w:r w:rsidR="008F16D6" w:rsidRPr="008F16D6">
          <w:rPr>
            <w:rFonts w:ascii="Arial" w:eastAsia="Times New Roman" w:hAnsi="Arial" w:cs="Times New Roman"/>
            <w:noProof/>
            <w:webHidden/>
            <w:lang w:eastAsia="hr-HR"/>
          </w:rPr>
          <w:fldChar w:fldCharType="separate"/>
        </w:r>
        <w:r w:rsidR="00E555AC">
          <w:rPr>
            <w:rFonts w:ascii="Arial" w:eastAsia="Times New Roman" w:hAnsi="Arial" w:cs="Times New Roman"/>
            <w:noProof/>
            <w:webHidden/>
            <w:lang w:eastAsia="hr-HR"/>
          </w:rPr>
          <w:t>64</w:t>
        </w:r>
        <w:r w:rsidR="008F16D6" w:rsidRPr="008F16D6">
          <w:rPr>
            <w:rFonts w:ascii="Arial" w:eastAsia="Times New Roman" w:hAnsi="Arial" w:cs="Times New Roman"/>
            <w:noProof/>
            <w:webHidden/>
            <w:lang w:eastAsia="hr-HR"/>
          </w:rPr>
          <w:fldChar w:fldCharType="end"/>
        </w:r>
      </w:hyperlink>
    </w:p>
    <w:p w14:paraId="7D1CD112" w14:textId="56DD9B63" w:rsidR="008F16D6" w:rsidRPr="008F16D6" w:rsidRDefault="00580E1C" w:rsidP="008F16D6">
      <w:pPr>
        <w:tabs>
          <w:tab w:val="left" w:pos="440"/>
          <w:tab w:val="right" w:leader="dot" w:pos="9061"/>
        </w:tabs>
        <w:suppressAutoHyphens/>
        <w:spacing w:before="240" w:after="0" w:line="240" w:lineRule="auto"/>
        <w:ind w:left="442" w:hanging="442"/>
        <w:jc w:val="both"/>
        <w:rPr>
          <w:rFonts w:ascii="Calibri" w:eastAsia="Yu Mincho" w:hAnsi="Calibri" w:cs="Arial"/>
          <w:noProof/>
          <w:lang w:eastAsia="hr-HR"/>
        </w:rPr>
      </w:pPr>
      <w:hyperlink w:anchor="_Toc17876414" w:history="1">
        <w:r w:rsidR="008F16D6" w:rsidRPr="008F16D6">
          <w:rPr>
            <w:rFonts w:ascii="Arial" w:eastAsia="Times New Roman" w:hAnsi="Arial" w:cs="Times New Roman"/>
            <w:b/>
            <w:noProof/>
            <w:color w:val="0000FF"/>
            <w:sz w:val="28"/>
            <w:u w:val="single"/>
            <w:lang w:eastAsia="hr-HR"/>
          </w:rPr>
          <w:t>9.</w:t>
        </w:r>
        <w:r w:rsidR="008F16D6" w:rsidRPr="008F16D6">
          <w:rPr>
            <w:rFonts w:ascii="Calibri" w:eastAsia="Yu Mincho" w:hAnsi="Calibri" w:cs="Arial"/>
            <w:noProof/>
            <w:lang w:eastAsia="hr-HR"/>
          </w:rPr>
          <w:tab/>
        </w:r>
        <w:r w:rsidR="008F16D6" w:rsidRPr="008F16D6">
          <w:rPr>
            <w:rFonts w:ascii="Arial" w:eastAsia="Times New Roman" w:hAnsi="Arial" w:cs="Times New Roman"/>
            <w:b/>
            <w:noProof/>
            <w:color w:val="0000FF"/>
            <w:sz w:val="28"/>
            <w:u w:val="single"/>
            <w:lang w:eastAsia="hr-HR"/>
          </w:rPr>
          <w:t>Zaključna razmatranja</w:t>
        </w:r>
        <w:r w:rsidR="008F16D6" w:rsidRPr="008F16D6">
          <w:rPr>
            <w:rFonts w:ascii="Arial" w:eastAsia="Times New Roman" w:hAnsi="Arial" w:cs="Times New Roman"/>
            <w:b/>
            <w:noProof/>
            <w:webHidden/>
            <w:color w:val="BE1D2D"/>
            <w:sz w:val="28"/>
            <w:lang w:eastAsia="hr-HR"/>
          </w:rPr>
          <w:tab/>
        </w:r>
        <w:r w:rsidR="008F16D6" w:rsidRPr="008F16D6">
          <w:rPr>
            <w:rFonts w:ascii="Arial" w:eastAsia="Times New Roman" w:hAnsi="Arial" w:cs="Times New Roman"/>
            <w:b/>
            <w:noProof/>
            <w:webHidden/>
            <w:color w:val="BE1D2D"/>
            <w:sz w:val="28"/>
            <w:lang w:eastAsia="hr-HR"/>
          </w:rPr>
          <w:fldChar w:fldCharType="begin"/>
        </w:r>
        <w:r w:rsidR="008F16D6" w:rsidRPr="008F16D6">
          <w:rPr>
            <w:rFonts w:ascii="Arial" w:eastAsia="Times New Roman" w:hAnsi="Arial" w:cs="Times New Roman"/>
            <w:b/>
            <w:noProof/>
            <w:webHidden/>
            <w:color w:val="BE1D2D"/>
            <w:sz w:val="28"/>
            <w:lang w:eastAsia="hr-HR"/>
          </w:rPr>
          <w:instrText xml:space="preserve"> PAGEREF _Toc17876414 \h </w:instrText>
        </w:r>
        <w:r w:rsidR="008F16D6" w:rsidRPr="008F16D6">
          <w:rPr>
            <w:rFonts w:ascii="Arial" w:eastAsia="Times New Roman" w:hAnsi="Arial" w:cs="Times New Roman"/>
            <w:b/>
            <w:noProof/>
            <w:webHidden/>
            <w:color w:val="BE1D2D"/>
            <w:sz w:val="28"/>
            <w:lang w:eastAsia="hr-HR"/>
          </w:rPr>
        </w:r>
        <w:r w:rsidR="008F16D6" w:rsidRPr="008F16D6">
          <w:rPr>
            <w:rFonts w:ascii="Arial" w:eastAsia="Times New Roman" w:hAnsi="Arial" w:cs="Times New Roman"/>
            <w:b/>
            <w:noProof/>
            <w:webHidden/>
            <w:color w:val="BE1D2D"/>
            <w:sz w:val="28"/>
            <w:lang w:eastAsia="hr-HR"/>
          </w:rPr>
          <w:fldChar w:fldCharType="separate"/>
        </w:r>
        <w:r w:rsidR="00E555AC">
          <w:rPr>
            <w:rFonts w:ascii="Arial" w:eastAsia="Times New Roman" w:hAnsi="Arial" w:cs="Times New Roman"/>
            <w:b/>
            <w:noProof/>
            <w:webHidden/>
            <w:color w:val="BE1D2D"/>
            <w:sz w:val="28"/>
            <w:lang w:eastAsia="hr-HR"/>
          </w:rPr>
          <w:t>65</w:t>
        </w:r>
        <w:r w:rsidR="008F16D6" w:rsidRPr="008F16D6">
          <w:rPr>
            <w:rFonts w:ascii="Arial" w:eastAsia="Times New Roman" w:hAnsi="Arial" w:cs="Times New Roman"/>
            <w:b/>
            <w:noProof/>
            <w:webHidden/>
            <w:color w:val="BE1D2D"/>
            <w:sz w:val="28"/>
            <w:lang w:eastAsia="hr-HR"/>
          </w:rPr>
          <w:fldChar w:fldCharType="end"/>
        </w:r>
      </w:hyperlink>
    </w:p>
    <w:p w14:paraId="558D9134" w14:textId="1F2ED32F" w:rsidR="008F16D6" w:rsidRPr="008F16D6" w:rsidRDefault="00580E1C" w:rsidP="008F16D6">
      <w:pPr>
        <w:tabs>
          <w:tab w:val="left" w:pos="440"/>
          <w:tab w:val="right" w:leader="dot" w:pos="9061"/>
        </w:tabs>
        <w:suppressAutoHyphens/>
        <w:spacing w:before="240" w:after="0" w:line="240" w:lineRule="auto"/>
        <w:ind w:left="442" w:hanging="442"/>
        <w:jc w:val="both"/>
        <w:rPr>
          <w:rFonts w:ascii="Calibri" w:eastAsia="Yu Mincho" w:hAnsi="Calibri" w:cs="Arial"/>
          <w:noProof/>
          <w:lang w:eastAsia="hr-HR"/>
        </w:rPr>
      </w:pPr>
      <w:hyperlink w:anchor="_Toc17876415" w:history="1">
        <w:r w:rsidR="008F16D6" w:rsidRPr="008F16D6">
          <w:rPr>
            <w:rFonts w:ascii="Arial" w:eastAsia="Times New Roman" w:hAnsi="Arial" w:cs="Times New Roman"/>
            <w:b/>
            <w:noProof/>
            <w:color w:val="0000FF"/>
            <w:sz w:val="28"/>
            <w:u w:val="single"/>
            <w:lang w:eastAsia="hr-HR"/>
          </w:rPr>
          <w:t>10.</w:t>
        </w:r>
        <w:r w:rsidR="008F16D6" w:rsidRPr="008F16D6">
          <w:rPr>
            <w:rFonts w:ascii="Calibri" w:eastAsia="Yu Mincho" w:hAnsi="Calibri" w:cs="Arial"/>
            <w:noProof/>
            <w:lang w:eastAsia="hr-HR"/>
          </w:rPr>
          <w:tab/>
        </w:r>
        <w:r w:rsidR="008F16D6" w:rsidRPr="008F16D6">
          <w:rPr>
            <w:rFonts w:ascii="Arial" w:eastAsia="Times New Roman" w:hAnsi="Arial" w:cs="Times New Roman"/>
            <w:b/>
            <w:noProof/>
            <w:color w:val="0000FF"/>
            <w:sz w:val="28"/>
            <w:u w:val="single"/>
            <w:lang w:eastAsia="hr-HR"/>
          </w:rPr>
          <w:t>Mjere proizašle iz postupka strateške procjene utjecaja na okoliš</w:t>
        </w:r>
        <w:r w:rsidR="008F16D6" w:rsidRPr="008F16D6">
          <w:rPr>
            <w:rFonts w:ascii="Arial" w:eastAsia="Times New Roman" w:hAnsi="Arial" w:cs="Times New Roman"/>
            <w:b/>
            <w:noProof/>
            <w:webHidden/>
            <w:color w:val="BE1D2D"/>
            <w:sz w:val="28"/>
            <w:lang w:eastAsia="hr-HR"/>
          </w:rPr>
          <w:tab/>
        </w:r>
        <w:r w:rsidR="008F16D6" w:rsidRPr="008F16D6">
          <w:rPr>
            <w:rFonts w:ascii="Arial" w:eastAsia="Times New Roman" w:hAnsi="Arial" w:cs="Times New Roman"/>
            <w:b/>
            <w:noProof/>
            <w:webHidden/>
            <w:color w:val="BE1D2D"/>
            <w:sz w:val="28"/>
            <w:lang w:eastAsia="hr-HR"/>
          </w:rPr>
          <w:fldChar w:fldCharType="begin"/>
        </w:r>
        <w:r w:rsidR="008F16D6" w:rsidRPr="008F16D6">
          <w:rPr>
            <w:rFonts w:ascii="Arial" w:eastAsia="Times New Roman" w:hAnsi="Arial" w:cs="Times New Roman"/>
            <w:b/>
            <w:noProof/>
            <w:webHidden/>
            <w:color w:val="BE1D2D"/>
            <w:sz w:val="28"/>
            <w:lang w:eastAsia="hr-HR"/>
          </w:rPr>
          <w:instrText xml:space="preserve"> PAGEREF _Toc17876415 \h </w:instrText>
        </w:r>
        <w:r w:rsidR="008F16D6" w:rsidRPr="008F16D6">
          <w:rPr>
            <w:rFonts w:ascii="Arial" w:eastAsia="Times New Roman" w:hAnsi="Arial" w:cs="Times New Roman"/>
            <w:b/>
            <w:noProof/>
            <w:webHidden/>
            <w:color w:val="BE1D2D"/>
            <w:sz w:val="28"/>
            <w:lang w:eastAsia="hr-HR"/>
          </w:rPr>
        </w:r>
        <w:r w:rsidR="008F16D6" w:rsidRPr="008F16D6">
          <w:rPr>
            <w:rFonts w:ascii="Arial" w:eastAsia="Times New Roman" w:hAnsi="Arial" w:cs="Times New Roman"/>
            <w:b/>
            <w:noProof/>
            <w:webHidden/>
            <w:color w:val="BE1D2D"/>
            <w:sz w:val="28"/>
            <w:lang w:eastAsia="hr-HR"/>
          </w:rPr>
          <w:fldChar w:fldCharType="separate"/>
        </w:r>
        <w:r w:rsidR="00E555AC">
          <w:rPr>
            <w:rFonts w:ascii="Arial" w:eastAsia="Times New Roman" w:hAnsi="Arial" w:cs="Times New Roman"/>
            <w:b/>
            <w:noProof/>
            <w:webHidden/>
            <w:color w:val="BE1D2D"/>
            <w:sz w:val="28"/>
            <w:lang w:eastAsia="hr-HR"/>
          </w:rPr>
          <w:t>69</w:t>
        </w:r>
        <w:r w:rsidR="008F16D6" w:rsidRPr="008F16D6">
          <w:rPr>
            <w:rFonts w:ascii="Arial" w:eastAsia="Times New Roman" w:hAnsi="Arial" w:cs="Times New Roman"/>
            <w:b/>
            <w:noProof/>
            <w:webHidden/>
            <w:color w:val="BE1D2D"/>
            <w:sz w:val="28"/>
            <w:lang w:eastAsia="hr-HR"/>
          </w:rPr>
          <w:fldChar w:fldCharType="end"/>
        </w:r>
      </w:hyperlink>
    </w:p>
    <w:p w14:paraId="330866DC" w14:textId="62687369" w:rsidR="008F16D6" w:rsidRPr="008F16D6" w:rsidRDefault="00580E1C" w:rsidP="008F16D6">
      <w:pPr>
        <w:tabs>
          <w:tab w:val="left" w:pos="440"/>
          <w:tab w:val="right" w:leader="dot" w:pos="9061"/>
        </w:tabs>
        <w:suppressAutoHyphens/>
        <w:spacing w:before="240" w:after="0" w:line="240" w:lineRule="auto"/>
        <w:ind w:left="442" w:hanging="442"/>
        <w:jc w:val="both"/>
        <w:rPr>
          <w:rFonts w:ascii="Calibri" w:eastAsia="Yu Mincho" w:hAnsi="Calibri" w:cs="Arial"/>
          <w:noProof/>
          <w:lang w:eastAsia="hr-HR"/>
        </w:rPr>
      </w:pPr>
      <w:hyperlink w:anchor="_Toc17876416" w:history="1">
        <w:r w:rsidR="008F16D6" w:rsidRPr="008F16D6">
          <w:rPr>
            <w:rFonts w:ascii="Arial" w:eastAsia="Arial" w:hAnsi="Arial" w:cs="Times New Roman"/>
            <w:b/>
            <w:noProof/>
            <w:color w:val="0000FF"/>
            <w:sz w:val="28"/>
            <w:u w:val="single"/>
            <w:lang w:eastAsia="hr-HR"/>
          </w:rPr>
          <w:t>11.</w:t>
        </w:r>
        <w:r w:rsidR="008F16D6" w:rsidRPr="008F16D6">
          <w:rPr>
            <w:rFonts w:ascii="Calibri" w:eastAsia="Yu Mincho" w:hAnsi="Calibri" w:cs="Arial"/>
            <w:noProof/>
            <w:lang w:eastAsia="hr-HR"/>
          </w:rPr>
          <w:tab/>
        </w:r>
        <w:r w:rsidR="008F16D6" w:rsidRPr="008F16D6">
          <w:rPr>
            <w:rFonts w:ascii="Arial" w:eastAsia="Arial" w:hAnsi="Arial" w:cs="Times New Roman"/>
            <w:b/>
            <w:noProof/>
            <w:color w:val="0000FF"/>
            <w:sz w:val="28"/>
            <w:u w:val="single"/>
            <w:lang w:eastAsia="hr-HR"/>
          </w:rPr>
          <w:t>Popis kratica</w:t>
        </w:r>
        <w:r w:rsidR="008F16D6" w:rsidRPr="008F16D6">
          <w:rPr>
            <w:rFonts w:ascii="Arial" w:eastAsia="Times New Roman" w:hAnsi="Arial" w:cs="Times New Roman"/>
            <w:b/>
            <w:noProof/>
            <w:webHidden/>
            <w:color w:val="BE1D2D"/>
            <w:sz w:val="28"/>
            <w:lang w:eastAsia="hr-HR"/>
          </w:rPr>
          <w:tab/>
        </w:r>
        <w:r w:rsidR="00B060CF">
          <w:rPr>
            <w:rFonts w:ascii="Arial" w:eastAsia="Times New Roman" w:hAnsi="Arial" w:cs="Times New Roman"/>
            <w:b/>
            <w:noProof/>
            <w:webHidden/>
            <w:color w:val="BE1D2D"/>
            <w:sz w:val="28"/>
            <w:lang w:eastAsia="hr-HR"/>
          </w:rPr>
          <w:t>80</w:t>
        </w:r>
      </w:hyperlink>
    </w:p>
    <w:p w14:paraId="645EE022" w14:textId="77777777" w:rsidR="008F16D6" w:rsidRPr="008F16D6" w:rsidRDefault="008F16D6" w:rsidP="008F16D6">
      <w:pPr>
        <w:suppressAutoHyphens/>
        <w:spacing w:after="0" w:line="288" w:lineRule="auto"/>
        <w:jc w:val="both"/>
        <w:rPr>
          <w:rFonts w:ascii="Arial" w:eastAsia="Times New Roman" w:hAnsi="Arial" w:cs="Times New Roman"/>
          <w:lang w:eastAsia="hr-HR"/>
        </w:rPr>
      </w:pPr>
      <w:r w:rsidRPr="008F16D6">
        <w:rPr>
          <w:rFonts w:ascii="Arial" w:eastAsia="Times New Roman" w:hAnsi="Arial" w:cs="Times New Roman"/>
          <w:lang w:eastAsia="hr-HR"/>
        </w:rPr>
        <w:fldChar w:fldCharType="end"/>
      </w:r>
      <w:bookmarkEnd w:id="7"/>
    </w:p>
    <w:p w14:paraId="26C96CDE" w14:textId="77777777" w:rsidR="008F16D6" w:rsidRPr="008F16D6" w:rsidRDefault="008F16D6" w:rsidP="008F16D6">
      <w:pPr>
        <w:suppressAutoHyphens/>
        <w:spacing w:after="0" w:line="240" w:lineRule="auto"/>
        <w:jc w:val="both"/>
        <w:rPr>
          <w:rFonts w:ascii="Arial" w:eastAsia="Times New Roman" w:hAnsi="Arial" w:cs="Times New Roman"/>
          <w:lang w:eastAsia="hr-HR"/>
        </w:rPr>
        <w:sectPr w:rsidR="008F16D6" w:rsidRPr="008F16D6" w:rsidSect="00AF6B8C">
          <w:headerReference w:type="even" r:id="rId19"/>
          <w:headerReference w:type="default" r:id="rId20"/>
          <w:type w:val="oddPage"/>
          <w:pgSz w:w="11907" w:h="16840" w:code="9"/>
          <w:pgMar w:top="1418" w:right="1418" w:bottom="1418" w:left="1418" w:header="567" w:footer="709" w:gutter="0"/>
          <w:pgNumType w:start="1"/>
          <w:cols w:space="720"/>
          <w:noEndnote/>
          <w:docGrid w:linePitch="299"/>
        </w:sectPr>
      </w:pPr>
    </w:p>
    <w:p w14:paraId="1862456F" w14:textId="77777777" w:rsidR="008F16D6" w:rsidRPr="008F16D6" w:rsidRDefault="008F16D6" w:rsidP="008F16D6">
      <w:pPr>
        <w:keepNext/>
        <w:pageBreakBefore/>
        <w:pBdr>
          <w:top w:val="single" w:sz="48" w:space="5" w:color="F5C1C6"/>
        </w:pBdr>
        <w:tabs>
          <w:tab w:val="left" w:pos="567"/>
        </w:tabs>
        <w:suppressAutoHyphens/>
        <w:autoSpaceDE w:val="0"/>
        <w:autoSpaceDN w:val="0"/>
        <w:adjustRightInd w:val="0"/>
        <w:spacing w:before="240" w:after="320" w:line="240" w:lineRule="auto"/>
        <w:ind w:left="360" w:hanging="360"/>
        <w:textAlignment w:val="center"/>
        <w:outlineLvl w:val="0"/>
        <w:rPr>
          <w:rFonts w:ascii="Arial" w:eastAsia="Times New Roman" w:hAnsi="Arial" w:cs="Times New Roman"/>
          <w:b/>
          <w:iCs/>
          <w:caps/>
          <w:color w:val="BE1D2D"/>
          <w:position w:val="24"/>
          <w:sz w:val="32"/>
          <w:szCs w:val="48"/>
          <w:lang w:eastAsia="hr-HR"/>
        </w:rPr>
      </w:pPr>
      <w:bookmarkStart w:id="8" w:name="_Toc4573467"/>
      <w:bookmarkStart w:id="9" w:name="_Toc4574788"/>
      <w:bookmarkStart w:id="10" w:name="_Toc4574914"/>
      <w:bookmarkStart w:id="11" w:name="_Toc4573471"/>
      <w:bookmarkStart w:id="12" w:name="_Toc4574792"/>
      <w:bookmarkStart w:id="13" w:name="_Toc4574918"/>
      <w:bookmarkStart w:id="14" w:name="_Toc4573473"/>
      <w:bookmarkStart w:id="15" w:name="_Toc4574794"/>
      <w:bookmarkStart w:id="16" w:name="_Toc4574920"/>
      <w:bookmarkStart w:id="17" w:name="_Toc4573474"/>
      <w:bookmarkStart w:id="18" w:name="_Toc4574795"/>
      <w:bookmarkStart w:id="19" w:name="_Toc4574921"/>
      <w:bookmarkStart w:id="20" w:name="_Toc17876354"/>
      <w:bookmarkStart w:id="21" w:name="_Toc409005243"/>
      <w:bookmarkStart w:id="22" w:name="_Toc485980174"/>
      <w:bookmarkStart w:id="23" w:name="_Toc486934601"/>
      <w:bookmarkStart w:id="24" w:name="_Toc487457888"/>
      <w:bookmarkStart w:id="25" w:name="_Toc488414346"/>
      <w:bookmarkStart w:id="26" w:name="_Toc488745522"/>
      <w:bookmarkStart w:id="27" w:name="_Toc488909428"/>
      <w:bookmarkStart w:id="28" w:name="_Toc489004635"/>
      <w:bookmarkStart w:id="29" w:name="_Toc489450158"/>
      <w:bookmarkStart w:id="30" w:name="_Toc489520773"/>
      <w:bookmarkStart w:id="31" w:name="_Toc493753656"/>
      <w:bookmarkStart w:id="32" w:name="_Toc493755243"/>
      <w:bookmarkStart w:id="33" w:name="_Toc526847995"/>
      <w:bookmarkStart w:id="34" w:name="_Toc527048223"/>
      <w:bookmarkStart w:id="35" w:name="_Toc532468794"/>
      <w:bookmarkStart w:id="36" w:name="_Toc532547252"/>
      <w:bookmarkEnd w:id="8"/>
      <w:bookmarkEnd w:id="9"/>
      <w:bookmarkEnd w:id="10"/>
      <w:bookmarkEnd w:id="11"/>
      <w:bookmarkEnd w:id="12"/>
      <w:bookmarkEnd w:id="13"/>
      <w:bookmarkEnd w:id="14"/>
      <w:bookmarkEnd w:id="15"/>
      <w:bookmarkEnd w:id="16"/>
      <w:bookmarkEnd w:id="17"/>
      <w:bookmarkEnd w:id="18"/>
      <w:bookmarkEnd w:id="19"/>
      <w:r w:rsidRPr="008F16D6">
        <w:rPr>
          <w:rFonts w:ascii="Arial" w:eastAsia="Times New Roman" w:hAnsi="Arial" w:cs="Times New Roman"/>
          <w:b/>
          <w:iCs/>
          <w:color w:val="BE1D2D"/>
          <w:position w:val="24"/>
          <w:sz w:val="32"/>
          <w:szCs w:val="48"/>
          <w:lang w:eastAsia="hr-HR"/>
        </w:rPr>
        <w:t>Vizija razvoja - Na putu prema niskougljičnoj energiji</w:t>
      </w:r>
      <w:bookmarkEnd w:id="20"/>
    </w:p>
    <w:p w14:paraId="0D0E836D" w14:textId="77777777" w:rsidR="005B7F39" w:rsidRDefault="005B7F39" w:rsidP="008F16D6">
      <w:pPr>
        <w:suppressAutoHyphens/>
        <w:spacing w:before="240" w:after="120" w:line="288" w:lineRule="auto"/>
        <w:jc w:val="both"/>
        <w:rPr>
          <w:rFonts w:ascii="Arial" w:eastAsia="Times New Roman" w:hAnsi="Arial" w:cs="Times New Roman"/>
          <w:lang w:eastAsia="hr-HR"/>
        </w:rPr>
      </w:pPr>
      <w:r>
        <w:rPr>
          <w:rFonts w:ascii="Arial" w:eastAsia="Times New Roman" w:hAnsi="Arial" w:cs="Times New Roman"/>
          <w:lang w:eastAsia="hr-HR"/>
        </w:rPr>
        <w:t>S</w:t>
      </w:r>
      <w:r w:rsidRPr="005B7F39">
        <w:rPr>
          <w:rFonts w:ascii="Arial" w:eastAsia="Times New Roman" w:hAnsi="Arial" w:cs="Times New Roman"/>
          <w:lang w:eastAsia="hr-HR"/>
        </w:rPr>
        <w:t>ukladno članku 5.</w:t>
      </w:r>
      <w:r>
        <w:rPr>
          <w:rFonts w:ascii="Arial" w:eastAsia="Times New Roman" w:hAnsi="Arial" w:cs="Times New Roman"/>
          <w:lang w:eastAsia="hr-HR"/>
        </w:rPr>
        <w:t xml:space="preserve"> stavak 3.</w:t>
      </w:r>
      <w:r w:rsidRPr="005B7F39">
        <w:rPr>
          <w:rFonts w:ascii="Arial" w:eastAsia="Times New Roman" w:hAnsi="Arial" w:cs="Times New Roman"/>
          <w:lang w:eastAsia="hr-HR"/>
        </w:rPr>
        <w:t xml:space="preserve"> Zakona o energiji (NN 120/1</w:t>
      </w:r>
      <w:r>
        <w:rPr>
          <w:rFonts w:ascii="Arial" w:eastAsia="Times New Roman" w:hAnsi="Arial" w:cs="Times New Roman"/>
          <w:lang w:eastAsia="hr-HR"/>
        </w:rPr>
        <w:t xml:space="preserve">2, 14/14, 95/15, 102/15 i 68/18) </w:t>
      </w:r>
      <w:r w:rsidRPr="005B7F39">
        <w:rPr>
          <w:rFonts w:ascii="Arial" w:eastAsia="Times New Roman" w:hAnsi="Arial" w:cs="Times New Roman"/>
          <w:lang w:eastAsia="hr-HR"/>
        </w:rPr>
        <w:t>Strategij</w:t>
      </w:r>
      <w:r>
        <w:rPr>
          <w:rFonts w:ascii="Arial" w:eastAsia="Times New Roman" w:hAnsi="Arial" w:cs="Times New Roman"/>
          <w:lang w:eastAsia="hr-HR"/>
        </w:rPr>
        <w:t>u</w:t>
      </w:r>
      <w:r w:rsidRPr="005B7F39">
        <w:rPr>
          <w:rFonts w:ascii="Arial" w:eastAsia="Times New Roman" w:hAnsi="Arial" w:cs="Times New Roman"/>
          <w:lang w:eastAsia="hr-HR"/>
        </w:rPr>
        <w:t xml:space="preserve"> energetskog razvoja Republike Hrvatske do 2030. godine s pogledom na 2050. godinu donosi </w:t>
      </w:r>
      <w:r>
        <w:rPr>
          <w:rFonts w:ascii="Arial" w:eastAsia="Times New Roman" w:hAnsi="Arial" w:cs="Times New Roman"/>
          <w:lang w:eastAsia="hr-HR"/>
        </w:rPr>
        <w:t>Hrvatski sabor</w:t>
      </w:r>
      <w:r w:rsidRPr="005B7F39">
        <w:rPr>
          <w:rFonts w:ascii="Arial" w:eastAsia="Times New Roman" w:hAnsi="Arial" w:cs="Times New Roman"/>
          <w:lang w:eastAsia="hr-HR"/>
        </w:rPr>
        <w:t xml:space="preserve"> </w:t>
      </w:r>
      <w:r>
        <w:rPr>
          <w:rFonts w:ascii="Arial" w:eastAsia="Times New Roman" w:hAnsi="Arial" w:cs="Times New Roman"/>
          <w:lang w:eastAsia="hr-HR"/>
        </w:rPr>
        <w:t>na prijedlog Vlade Republike Hrvatske.</w:t>
      </w:r>
    </w:p>
    <w:p w14:paraId="00D4A6BF" w14:textId="241E7B43" w:rsidR="00101205" w:rsidRPr="003B32DF" w:rsidRDefault="008F16D6" w:rsidP="00DD5B7E">
      <w:pPr>
        <w:jc w:val="both"/>
        <w:rPr>
          <w:rFonts w:ascii="Arial" w:eastAsia="Times New Roman" w:hAnsi="Arial" w:cs="Times New Roman"/>
          <w:lang w:eastAsia="hr-HR"/>
        </w:rPr>
      </w:pPr>
      <w:r w:rsidRPr="008F16D6">
        <w:rPr>
          <w:rFonts w:ascii="Arial" w:eastAsia="Times New Roman" w:hAnsi="Arial" w:cs="Times New Roman"/>
          <w:lang w:eastAsia="hr-HR"/>
        </w:rPr>
        <w:t>Strategija energetskog razvoja Republike Hrvatske do 2030. godine, s pogledom na 2050. godinu (</w:t>
      </w:r>
      <w:r w:rsidR="00E869A9">
        <w:rPr>
          <w:rFonts w:ascii="Arial" w:eastAsia="Times New Roman" w:hAnsi="Arial" w:cs="Times New Roman"/>
          <w:lang w:eastAsia="hr-HR"/>
        </w:rPr>
        <w:t>u daljnjem</w:t>
      </w:r>
      <w:r w:rsidRPr="008F16D6">
        <w:rPr>
          <w:rFonts w:ascii="Arial" w:eastAsia="Times New Roman" w:hAnsi="Arial" w:cs="Times New Roman"/>
          <w:lang w:eastAsia="hr-HR"/>
        </w:rPr>
        <w:t xml:space="preserve"> tekstu: Strategija), predstavlja korak prema ostvarenju vizije niskougljične energije te osigurava prijelaz na novo razdoblje energetske politike kojom se osigurava pristupačna, sigurna i kvalitetna opskrba energijom bez dodatnog opterećenja državnog proračuna u okviru državnih potpora i poticaja. </w:t>
      </w:r>
      <w:r w:rsidR="00101205" w:rsidRPr="00DD5B7E">
        <w:rPr>
          <w:rFonts w:ascii="Arial" w:eastAsia="Times New Roman" w:hAnsi="Arial" w:cs="Times New Roman"/>
          <w:lang w:eastAsia="hr-HR"/>
        </w:rPr>
        <w:t xml:space="preserve">Predviđeni proces energetske tranzicije biti će kapitalno intenzivan, bez poticajnih mjera u smislu državnih potpora, ali uz očekivani veći angažman privatnog sektora/ kapitala u financiranju projekata OIE. Financiranje energetske tranzicije prvenstveno se očekuje sredstvima zainteresiranih tvrtki koje će prepoznati priliku za ulaganje, sredstvima financijskih institucija i fondova (uključujući mirovinske fondove) koji će pratiti poduzetnički sektor i koji će svoje proizvode prilagoditi tranziciji energetskog sektora, sredstvima EU iz programa kohezijske politike i drugih programa gdje će učešća u projektima osigurati privatni sektor, sredstvima fondova sukladno odredbama EU-ETS direktive – Fond za modernizaciju i Inovacijski fond, kao i sredstvima prikupljenim od dražbe emisijskih jedinica i naknade na emisiju </w:t>
      </w:r>
      <w:r w:rsidR="003B32DF" w:rsidRPr="008F16D6">
        <w:rPr>
          <w:rFonts w:ascii="Arial" w:eastAsia="Times New Roman" w:hAnsi="Arial" w:cs="Times New Roman"/>
          <w:lang w:eastAsia="hr-HR"/>
        </w:rPr>
        <w:t>CO</w:t>
      </w:r>
      <w:r w:rsidR="003B32DF" w:rsidRPr="008F16D6">
        <w:rPr>
          <w:rFonts w:ascii="Arial" w:eastAsia="Times New Roman" w:hAnsi="Arial" w:cs="Times New Roman"/>
          <w:vertAlign w:val="subscript"/>
          <w:lang w:eastAsia="hr-HR"/>
        </w:rPr>
        <w:t>2</w:t>
      </w:r>
      <w:r w:rsidR="00101205" w:rsidRPr="003B32DF">
        <w:rPr>
          <w:rFonts w:ascii="Arial" w:eastAsia="Times New Roman" w:hAnsi="Arial" w:cs="Times New Roman"/>
          <w:lang w:eastAsia="hr-HR"/>
        </w:rPr>
        <w:t>.</w:t>
      </w:r>
    </w:p>
    <w:p w14:paraId="790D9F10"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S ciljem stvaranja preduvjeta za ostvarenje ambicioznih ciljeva određenih ovom Strategijom neophodna je povećana aktivna koordinirana uloga državnih institucija.</w:t>
      </w:r>
    </w:p>
    <w:p w14:paraId="1A9C1311" w14:textId="675B1A81"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Strategija predstavlja širok spektar inicijativa energetske politike, kojima će se ojačati sigurnost opskrbe energijom, postupno smanjiti gubici energije i povećavati energetska učinkovitost, smanjivati ovisnost o fosilnim gorivima, povećati domaća proizvodnja i korištenje obnovljivih izvora energije (</w:t>
      </w:r>
      <w:r w:rsidR="00E869A9">
        <w:rPr>
          <w:rFonts w:ascii="Arial" w:eastAsia="Times New Roman" w:hAnsi="Arial" w:cs="Times New Roman"/>
          <w:lang w:eastAsia="hr-HR"/>
        </w:rPr>
        <w:t>u daljnjem</w:t>
      </w:r>
      <w:r w:rsidRPr="008F16D6">
        <w:rPr>
          <w:rFonts w:ascii="Arial" w:eastAsia="Times New Roman" w:hAnsi="Arial" w:cs="Times New Roman"/>
          <w:lang w:eastAsia="hr-HR"/>
        </w:rPr>
        <w:t xml:space="preserve"> u tekstu: OIE).</w:t>
      </w:r>
    </w:p>
    <w:p w14:paraId="7094218E"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Kroz Strategiju je određen prostor tranzicije energetskog sektora u kojem će se mijenjati dosadašnja praksa, tehnologije, uređaji, promet, mogućnosti upravljanja potrošnjom i troškovima energije te mogućnosti proizvodnje energije u gospodarstvu i poduzetništvu te kućanstvima. Sama dinamika tranzicije energetskog sektora uvelike će ovisiti o dinamici ostvarenja pojedinih ciljeva u skladu s analiziranim scenarijima. Na kraju razdoblja koje je obuhvaćeno Strategijom, energija će se proizvoditi, transportirati, prenositi, distribuirati i s njom će se trgovati i upravljati na drukčiji način od današnjeg što podrazumijeva postupni prijelaz na decentralizirani, digitalizirani i niskougljični sustav.</w:t>
      </w:r>
    </w:p>
    <w:p w14:paraId="7DD82F21" w14:textId="333897A8"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Razvoj energetskog sektora razmatran je u skladu s globalnim zahtjevima u kontekstu ublažavanja klimatskih promjena. Stoga, pored ostalog, Strategija predstavlja doprinos Republike Hrvatske globalnom ublažavanju klimatskih promjena. Energetska tranzicija se ne može ostvariti izolirano, stoga je nužno nastaviti raditi na ciljevima globalnog smanjenja emisija CO</w:t>
      </w:r>
      <w:r w:rsidRPr="008F16D6">
        <w:rPr>
          <w:rFonts w:ascii="Arial" w:eastAsia="Times New Roman" w:hAnsi="Arial" w:cs="Times New Roman"/>
          <w:vertAlign w:val="subscript"/>
          <w:lang w:eastAsia="hr-HR"/>
        </w:rPr>
        <w:t>2</w:t>
      </w:r>
      <w:r w:rsidRPr="008F16D6">
        <w:rPr>
          <w:rFonts w:ascii="Arial" w:eastAsia="Times New Roman" w:hAnsi="Arial" w:cs="Times New Roman"/>
          <w:lang w:eastAsia="hr-HR"/>
        </w:rPr>
        <w:t xml:space="preserve"> i drugih stakleničkih plinova i podupirati predanost Europske unije (</w:t>
      </w:r>
      <w:r w:rsidR="00E869A9">
        <w:rPr>
          <w:rFonts w:ascii="Arial" w:eastAsia="Times New Roman" w:hAnsi="Arial" w:cs="Times New Roman"/>
          <w:lang w:eastAsia="hr-HR"/>
        </w:rPr>
        <w:t>u daljnjem</w:t>
      </w:r>
      <w:r w:rsidRPr="008F16D6">
        <w:rPr>
          <w:rFonts w:ascii="Arial" w:eastAsia="Times New Roman" w:hAnsi="Arial" w:cs="Times New Roman"/>
          <w:lang w:eastAsia="hr-HR"/>
        </w:rPr>
        <w:t xml:space="preserve"> tekstu: EU) jedinstvenoj klimatskoj i energetskoj politici. Potrebno je naglasiti kako je Republika Hrvatska trenutno iznad prosjeka EU u ostvarenju ciljeva po pitanju udjela OIE u bruto neposrednoj potrošnji energije (engl. </w:t>
      </w:r>
      <w:r w:rsidRPr="008F16D6">
        <w:rPr>
          <w:rFonts w:ascii="Arial" w:eastAsia="Times New Roman" w:hAnsi="Arial" w:cs="Times New Roman"/>
          <w:i/>
          <w:lang w:eastAsia="hr-HR"/>
        </w:rPr>
        <w:t>Gross Final Energy Consumption</w:t>
      </w:r>
      <w:r w:rsidRPr="008F16D6">
        <w:rPr>
          <w:rFonts w:ascii="Arial" w:eastAsia="Times New Roman" w:hAnsi="Arial" w:cs="Times New Roman"/>
          <w:lang w:eastAsia="hr-HR"/>
        </w:rPr>
        <w:t>), kao i emisijama CO</w:t>
      </w:r>
      <w:r w:rsidRPr="008F16D6">
        <w:rPr>
          <w:rFonts w:ascii="Arial" w:eastAsia="Times New Roman" w:hAnsi="Arial" w:cs="Times New Roman"/>
          <w:vertAlign w:val="subscript"/>
          <w:lang w:eastAsia="hr-HR"/>
        </w:rPr>
        <w:t>2</w:t>
      </w:r>
      <w:r w:rsidRPr="008F16D6">
        <w:rPr>
          <w:rFonts w:ascii="Arial" w:eastAsia="Times New Roman" w:hAnsi="Arial" w:cs="Times New Roman"/>
          <w:lang w:eastAsia="hr-HR"/>
        </w:rPr>
        <w:t xml:space="preserve"> po stanovniku. </w:t>
      </w:r>
      <w:bookmarkStart w:id="37" w:name="_Hlk5886206"/>
      <w:r w:rsidRPr="008F16D6">
        <w:rPr>
          <w:rFonts w:ascii="Arial" w:eastAsia="Times New Roman" w:hAnsi="Arial" w:cs="Times New Roman"/>
          <w:lang w:eastAsia="hr-HR"/>
        </w:rPr>
        <w:t>U 2017. godini Republika Hrvatska je ostvarila udio OIE od 27,3% u bruto neposrednoj potrošnji, dok je prosjek EU iznosio 17,5%. Ostvarenim udjelom u 2017. godini Republika Hrvatska je premašila postavljeni cilj do 2020. godine koji iznosi 20% udjela OIE u bruto neposrednoj potrošnji. U 2016. godini Republika Hrvatska je imala 5,80 t CO</w:t>
      </w:r>
      <w:r w:rsidRPr="008F16D6">
        <w:rPr>
          <w:rFonts w:ascii="Arial" w:eastAsia="Times New Roman" w:hAnsi="Arial" w:cs="Times New Roman"/>
          <w:vertAlign w:val="subscript"/>
          <w:lang w:eastAsia="hr-HR"/>
        </w:rPr>
        <w:t>2</w:t>
      </w:r>
      <w:r w:rsidRPr="008F16D6">
        <w:rPr>
          <w:rFonts w:ascii="Arial" w:eastAsia="Times New Roman" w:hAnsi="Arial" w:cs="Times New Roman"/>
          <w:lang w:eastAsia="hr-HR"/>
        </w:rPr>
        <w:t>e/st, dok je prosjek na razini EU bio 8,44 t CO</w:t>
      </w:r>
      <w:r w:rsidRPr="008F16D6">
        <w:rPr>
          <w:rFonts w:ascii="Arial" w:eastAsia="Times New Roman" w:hAnsi="Arial" w:cs="Times New Roman"/>
          <w:vertAlign w:val="subscript"/>
          <w:lang w:eastAsia="hr-HR"/>
        </w:rPr>
        <w:t>2</w:t>
      </w:r>
      <w:r w:rsidRPr="008F16D6">
        <w:rPr>
          <w:rFonts w:ascii="Arial" w:eastAsia="Times New Roman" w:hAnsi="Arial" w:cs="Times New Roman"/>
          <w:lang w:eastAsia="hr-HR"/>
        </w:rPr>
        <w:t>e/st. Također, ukupne emisije sektora energetike u Republici Hrvatskoj su smanjenje s 21,8 milijuna t CO</w:t>
      </w:r>
      <w:r w:rsidRPr="008F16D6">
        <w:rPr>
          <w:rFonts w:ascii="Arial" w:eastAsia="Times New Roman" w:hAnsi="Arial" w:cs="Times New Roman"/>
          <w:vertAlign w:val="subscript"/>
          <w:lang w:eastAsia="hr-HR"/>
        </w:rPr>
        <w:t>2</w:t>
      </w:r>
      <w:r w:rsidRPr="008F16D6">
        <w:rPr>
          <w:rFonts w:ascii="Arial" w:eastAsia="Times New Roman" w:hAnsi="Arial" w:cs="Times New Roman"/>
          <w:lang w:eastAsia="hr-HR"/>
        </w:rPr>
        <w:t>e u 1990. na 17,1 milijuna t CO</w:t>
      </w:r>
      <w:r w:rsidRPr="008F16D6">
        <w:rPr>
          <w:rFonts w:ascii="Arial" w:eastAsia="Times New Roman" w:hAnsi="Arial" w:cs="Times New Roman"/>
          <w:vertAlign w:val="subscript"/>
          <w:lang w:eastAsia="hr-HR"/>
        </w:rPr>
        <w:t>2</w:t>
      </w:r>
      <w:r w:rsidRPr="008F16D6">
        <w:rPr>
          <w:rFonts w:ascii="Arial" w:eastAsia="Times New Roman" w:hAnsi="Arial" w:cs="Times New Roman"/>
          <w:lang w:eastAsia="hr-HR"/>
        </w:rPr>
        <w:t>e u 2016. godini, a što je manje od linearno transponiranog nacionalnog cilja do 2020. godine koji bi iznosio 21,5 milijuna t CO</w:t>
      </w:r>
      <w:r w:rsidRPr="008F16D6">
        <w:rPr>
          <w:rFonts w:ascii="Arial" w:eastAsia="Times New Roman" w:hAnsi="Arial" w:cs="Times New Roman"/>
          <w:vertAlign w:val="subscript"/>
          <w:lang w:eastAsia="hr-HR"/>
        </w:rPr>
        <w:t>2</w:t>
      </w:r>
      <w:r w:rsidRPr="008F16D6">
        <w:rPr>
          <w:rFonts w:ascii="Arial" w:eastAsia="Times New Roman" w:hAnsi="Arial" w:cs="Times New Roman"/>
          <w:lang w:eastAsia="hr-HR"/>
        </w:rPr>
        <w:t>e, odnosno 17,2 milijuna t CO</w:t>
      </w:r>
      <w:r w:rsidRPr="008F16D6">
        <w:rPr>
          <w:rFonts w:ascii="Arial" w:eastAsia="Times New Roman" w:hAnsi="Arial" w:cs="Times New Roman"/>
          <w:vertAlign w:val="subscript"/>
          <w:lang w:eastAsia="hr-HR"/>
        </w:rPr>
        <w:t>2</w:t>
      </w:r>
      <w:r w:rsidRPr="008F16D6">
        <w:rPr>
          <w:rFonts w:ascii="Arial" w:eastAsia="Times New Roman" w:hAnsi="Arial" w:cs="Times New Roman"/>
          <w:lang w:eastAsia="hr-HR"/>
        </w:rPr>
        <w:t>e do 2030. godine.</w:t>
      </w:r>
    </w:p>
    <w:bookmarkEnd w:id="37"/>
    <w:p w14:paraId="69951094"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Ostvarenje ciljeva Strategije otvara mogućnost dodatnog gospodarskog razvoja. Tranzicija će potaknuti istraživanja, uvođenje inovacija i demonstraciju novih rješenja, pružajući hrvatskim tvrtkama mogućnost snažne integracije na brzo rastućem globalnom tržištu energetskih rješenja.</w:t>
      </w:r>
    </w:p>
    <w:p w14:paraId="3B71AA75" w14:textId="5A4DB90C" w:rsidR="00F12202" w:rsidRPr="00F12202" w:rsidRDefault="00F12202" w:rsidP="00F12202">
      <w:pPr>
        <w:spacing w:before="240" w:after="120" w:line="288" w:lineRule="auto"/>
        <w:jc w:val="both"/>
        <w:rPr>
          <w:rFonts w:ascii="Arial" w:hAnsi="Arial" w:cs="Arial"/>
          <w:bCs/>
          <w:iCs/>
          <w:lang w:eastAsia="hr-HR"/>
        </w:rPr>
      </w:pPr>
      <w:r w:rsidRPr="00F12202">
        <w:rPr>
          <w:rFonts w:ascii="Arial" w:hAnsi="Arial" w:cs="Arial"/>
          <w:bCs/>
          <w:iCs/>
        </w:rPr>
        <w:t>Strategija prikazuje sažetak svih pokazatelja koji su detaljno obrađeni u analitičkim podlogama. Smjer energetskog razvoja opisan u ovoj Strategiji rezultat je detaljnih analiza i proračuna provedenih u okviru analitičkih podloga koje su objavljene u Zelenoj i Bijeloj knjizi, a čija je izrada prethodila izradi Strategije. Svi pokazatelji, izračuni i ciljevi koji su opisani i prikazani u ovoj Strategiji proizašli su iz analitičkih podloga te su zajedno s pretpostavkama, analizama i izvorima detaljno prikazani u Zelenoj i Bijeloj knjizi.</w:t>
      </w:r>
    </w:p>
    <w:p w14:paraId="491DA645" w14:textId="77777777"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ind w:left="576" w:hanging="576"/>
        <w:textAlignment w:val="center"/>
        <w:outlineLvl w:val="1"/>
        <w:rPr>
          <w:rFonts w:ascii="Arial" w:eastAsia="Arial" w:hAnsi="Arial" w:cs="Myriad Pro Cond"/>
          <w:b/>
          <w:bCs/>
          <w:color w:val="BE1D2D"/>
          <w:sz w:val="28"/>
          <w:szCs w:val="36"/>
          <w:lang w:eastAsia="hr-HR"/>
        </w:rPr>
      </w:pPr>
      <w:bookmarkStart w:id="38" w:name="_Toc2820357"/>
      <w:bookmarkStart w:id="39" w:name="_Toc2856641"/>
      <w:bookmarkStart w:id="40" w:name="_Toc17876355"/>
      <w:bookmarkStart w:id="41" w:name="_Hlk4841529"/>
      <w:bookmarkEnd w:id="38"/>
      <w:bookmarkEnd w:id="39"/>
      <w:r w:rsidRPr="008F16D6">
        <w:rPr>
          <w:rFonts w:ascii="Arial" w:eastAsia="Arial" w:hAnsi="Arial" w:cs="Myriad Pro Cond"/>
          <w:b/>
          <w:bCs/>
          <w:color w:val="BE1D2D"/>
          <w:sz w:val="28"/>
          <w:szCs w:val="36"/>
          <w:lang w:eastAsia="hr-HR"/>
        </w:rPr>
        <w:t>Vizija razvoja energetskog sektora</w:t>
      </w:r>
      <w:bookmarkEnd w:id="40"/>
    </w:p>
    <w:p w14:paraId="118072FF"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Potrošnja energije koja se predviđa u Strategiji je u direktnoj zavisnosti o demografskim kretanjima, gospodarskom razvoju te drugim čimbenicima kao što su tržište, resursi, tehnološki razvoj, ekonomski odnosi i zaštita okoliša i klime. Demografski trendovi i očekivanja u budućnosti ukazuju na </w:t>
      </w:r>
      <w:r w:rsidR="003B32DF">
        <w:rPr>
          <w:rFonts w:ascii="Arial" w:eastAsia="Times New Roman" w:hAnsi="Arial" w:cs="Times New Roman"/>
          <w:lang w:eastAsia="hr-HR"/>
        </w:rPr>
        <w:t xml:space="preserve">moguće </w:t>
      </w:r>
      <w:r w:rsidRPr="008F16D6">
        <w:rPr>
          <w:rFonts w:ascii="Arial" w:eastAsia="Times New Roman" w:hAnsi="Arial" w:cs="Times New Roman"/>
          <w:lang w:eastAsia="hr-HR"/>
        </w:rPr>
        <w:t>postupno smanjenje broja stanovnika, dok broj kućanstava ostaje na istoj razini. Obje dimenzije, kao i promjene u načinu stanovanja i života, izravno utječu na buduće potrebe za energijom – u količini i vrsti.</w:t>
      </w:r>
    </w:p>
    <w:p w14:paraId="07C85085" w14:textId="2AFC8D26"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Nadalje, očekuje se razvoj gospodarstva i dugoročno približavanje bruto domaćeg proizvoda (</w:t>
      </w:r>
      <w:r w:rsidR="00E869A9">
        <w:rPr>
          <w:rFonts w:ascii="Arial" w:eastAsia="Times New Roman" w:hAnsi="Arial" w:cs="Times New Roman"/>
          <w:lang w:eastAsia="hr-HR"/>
        </w:rPr>
        <w:t>u daljnjem</w:t>
      </w:r>
      <w:r w:rsidRPr="008F16D6">
        <w:rPr>
          <w:rFonts w:ascii="Arial" w:eastAsia="Times New Roman" w:hAnsi="Arial" w:cs="Times New Roman"/>
          <w:lang w:eastAsia="hr-HR"/>
        </w:rPr>
        <w:t xml:space="preserve"> tekstu: BDP) po stanovniku prosjeku zemalja članica EU. Republika Hrvatska trenutno je na 60% BDP-a u odnosu na prosjek EU, a očekuje se da će do 2050. biti na 90% BDP-a EU. U prilog navedenom govori i činjenica da je Republika Hrvatska jedna od 10 država EU koja će na temelju BDP-a iz 2013. godine koji je iznosio 60% BDP-a EU, sukladno Direktivi (EU) 2018/410 Europskog parlamenta i </w:t>
      </w:r>
      <w:r w:rsidR="00AD2690">
        <w:rPr>
          <w:rFonts w:ascii="Arial" w:eastAsia="Times New Roman" w:hAnsi="Arial" w:cs="Times New Roman"/>
          <w:lang w:eastAsia="hr-HR"/>
        </w:rPr>
        <w:t>V</w:t>
      </w:r>
      <w:r w:rsidRPr="008F16D6">
        <w:rPr>
          <w:rFonts w:ascii="Arial" w:eastAsia="Times New Roman" w:hAnsi="Arial" w:cs="Times New Roman"/>
          <w:lang w:eastAsia="hr-HR"/>
        </w:rPr>
        <w:t>ijeća od 14. ožujka 2018. o izmjeni Direktive 2003/87/EZ radi poboljšanja troškovno učinkovitih smanjenja emisija i ulaganja za niske emisije ugljika te Odluke (EU) 2015/1814, moći koristiti sredstva iz Fonda za modernizaciju energetskog sektora te besplatne emisijske jedinice stakleničkih plinova za proizvodnju električne energije. Cilj ovih fondova je pomoći ekonomski siromašnijim državama EU prelazak na niskougljičnu proizvodnju električne i toplinske energije. Očekivane stope porasta BDP-a su ostvarive, ali zahtijevaju prilagodbu gospodarske i energetske politike, kao i razvoj novih znanja i vještina.</w:t>
      </w:r>
    </w:p>
    <w:p w14:paraId="2AC5B46B"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Energetska politika i strategija Republike Hrvatske usmjerena je ciljevima EU u pogledu smanjenja emisije stakleničkih plinova, povećanja udjela </w:t>
      </w:r>
      <w:r w:rsidR="00AC390C">
        <w:rPr>
          <w:rFonts w:ascii="Arial" w:eastAsia="Times New Roman" w:hAnsi="Arial" w:cs="Times New Roman"/>
          <w:lang w:eastAsia="hr-HR"/>
        </w:rPr>
        <w:t>OIE</w:t>
      </w:r>
      <w:r w:rsidRPr="008F16D6">
        <w:rPr>
          <w:rFonts w:ascii="Arial" w:eastAsia="Times New Roman" w:hAnsi="Arial" w:cs="Times New Roman"/>
          <w:lang w:eastAsia="hr-HR"/>
        </w:rPr>
        <w:t>, energetske učinkovitosti, sigurnosti i kvalitete opskrbe te razvoja unutarnjeg energetskog tržišta EU, kao i raspoloživim resursima, energetskoj infrastrukturi te konkurentnošću gospodarstva i energetskog sektora.</w:t>
      </w:r>
    </w:p>
    <w:p w14:paraId="10657E70" w14:textId="06DB62EF" w:rsidR="00877A35" w:rsidRDefault="008F16D6" w:rsidP="009A4241">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U transformaciji energetskog sektora u sektor niskih emisija stakleničkih plinova, sudjelovat će svi sektori energetske proizvodnje i potrošnje, kao i sustavi koji energiju i energente prenose i opskrbljuju kupce. U svojoj transformaciji, energetski sustavi moraju i dalje ispunjavati svoju osnovnu svrhu, a to je sigurna opskrba energijom svih kupaca, po prihvatljivim cijenama i uz minimalan utjecaj na okoliš.</w:t>
      </w:r>
    </w:p>
    <w:p w14:paraId="20B043AA"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Glavne odrednice promjena u energetskom sektoru su:</w:t>
      </w:r>
    </w:p>
    <w:p w14:paraId="25209458" w14:textId="77777777" w:rsidR="008F16D6" w:rsidRPr="008F16D6" w:rsidRDefault="008F16D6" w:rsidP="00181F22">
      <w:pPr>
        <w:numPr>
          <w:ilvl w:val="0"/>
          <w:numId w:val="16"/>
        </w:numPr>
        <w:tabs>
          <w:tab w:val="left" w:pos="431"/>
        </w:tabs>
        <w:suppressAutoHyphens/>
        <w:spacing w:before="240" w:after="120" w:line="240" w:lineRule="auto"/>
        <w:jc w:val="both"/>
        <w:rPr>
          <w:rFonts w:ascii="Arial" w:eastAsia="Times New Roman" w:hAnsi="Arial" w:cs="Tahoma"/>
          <w:lang w:eastAsia="ar-SA"/>
        </w:rPr>
      </w:pPr>
      <w:r w:rsidRPr="008F16D6">
        <w:rPr>
          <w:rFonts w:ascii="Arial" w:eastAsia="Times New Roman" w:hAnsi="Arial" w:cs="Tahoma"/>
          <w:lang w:eastAsia="ar-SA"/>
        </w:rPr>
        <w:t xml:space="preserve">Osnažiti energetsko tržište kao nosivu komponentu razvoja energetskog sektora. Ključni ekonomski mehanizam za kontrolu brzine tranzicije predstavljaju cijene emisijskih jedinica. </w:t>
      </w:r>
    </w:p>
    <w:p w14:paraId="6DE7C7A9" w14:textId="77777777" w:rsidR="008F16D6" w:rsidRPr="008F16D6" w:rsidRDefault="008F16D6" w:rsidP="00181F22">
      <w:pPr>
        <w:numPr>
          <w:ilvl w:val="0"/>
          <w:numId w:val="16"/>
        </w:numPr>
        <w:tabs>
          <w:tab w:val="left" w:pos="431"/>
        </w:tabs>
        <w:suppressAutoHyphens/>
        <w:spacing w:before="240" w:after="120" w:line="240" w:lineRule="auto"/>
        <w:jc w:val="both"/>
        <w:rPr>
          <w:rFonts w:ascii="Arial" w:eastAsia="Times New Roman" w:hAnsi="Arial" w:cs="Tahoma"/>
          <w:lang w:eastAsia="ar-SA"/>
        </w:rPr>
      </w:pPr>
      <w:r w:rsidRPr="008F16D6">
        <w:rPr>
          <w:rFonts w:ascii="Arial" w:eastAsia="Times New Roman" w:hAnsi="Arial" w:cs="Tahoma"/>
          <w:lang w:eastAsia="ar-SA"/>
        </w:rPr>
        <w:t>Potpuno integrirati energetsko tržište u međunarodno tržište energije, tehnologija, istraživanja, usluga, proizvodnje, a osobito unutarnje energetsko tržište EU.</w:t>
      </w:r>
    </w:p>
    <w:p w14:paraId="6FE39A79" w14:textId="49EB39D9" w:rsidR="008F16D6" w:rsidRPr="008F16D6" w:rsidRDefault="008F16D6" w:rsidP="00181F22">
      <w:pPr>
        <w:numPr>
          <w:ilvl w:val="0"/>
          <w:numId w:val="16"/>
        </w:numPr>
        <w:tabs>
          <w:tab w:val="left" w:pos="431"/>
        </w:tabs>
        <w:suppressAutoHyphens/>
        <w:spacing w:before="240" w:after="120" w:line="240" w:lineRule="auto"/>
        <w:jc w:val="both"/>
        <w:rPr>
          <w:rFonts w:ascii="Arial" w:eastAsia="Times New Roman" w:hAnsi="Arial" w:cs="Tahoma"/>
          <w:i/>
          <w:iCs/>
          <w:lang w:eastAsia="ar-SA"/>
        </w:rPr>
      </w:pPr>
      <w:r w:rsidRPr="008F16D6">
        <w:rPr>
          <w:rFonts w:ascii="Arial" w:eastAsia="Times New Roman" w:hAnsi="Arial" w:cs="Tahoma"/>
          <w:lang w:eastAsia="ar-SA"/>
        </w:rPr>
        <w:t xml:space="preserve">Ojačati sigurnost opskrbe energijom kroz rast domaće proizvodnje i povezivanje energetske infrastrukture, </w:t>
      </w:r>
      <w:bookmarkStart w:id="42" w:name="_Hlk7958959"/>
      <w:r w:rsidRPr="008F16D6">
        <w:rPr>
          <w:rFonts w:ascii="Arial" w:eastAsia="Times New Roman" w:hAnsi="Arial" w:cs="Tahoma"/>
          <w:lang w:eastAsia="ar-SA"/>
        </w:rPr>
        <w:t xml:space="preserve">kao i uvođenje mehanizama za razvoj proizvodnih kapaciteta (engl. </w:t>
      </w:r>
      <w:r w:rsidRPr="008F16D6">
        <w:rPr>
          <w:rFonts w:ascii="Arial" w:eastAsia="Times New Roman" w:hAnsi="Arial" w:cs="Tahoma"/>
          <w:i/>
          <w:lang w:eastAsia="ar-SA"/>
        </w:rPr>
        <w:t>Capacity Remuneration Mechanisms</w:t>
      </w:r>
      <w:r w:rsidRPr="008F16D6">
        <w:rPr>
          <w:rFonts w:ascii="Arial" w:eastAsia="Times New Roman" w:hAnsi="Arial" w:cs="Tahoma"/>
          <w:lang w:eastAsia="ar-SA"/>
        </w:rPr>
        <w:t xml:space="preserve">, </w:t>
      </w:r>
      <w:bookmarkEnd w:id="42"/>
      <w:r w:rsidR="00E869A9">
        <w:rPr>
          <w:rFonts w:ascii="Arial" w:eastAsia="Times New Roman" w:hAnsi="Arial" w:cs="Tahoma"/>
          <w:lang w:eastAsia="ar-SA"/>
        </w:rPr>
        <w:t>u daljnjem tekstu</w:t>
      </w:r>
      <w:r w:rsidRPr="008F16D6">
        <w:rPr>
          <w:rFonts w:ascii="Arial" w:eastAsia="Times New Roman" w:hAnsi="Arial" w:cs="Tahoma"/>
          <w:lang w:eastAsia="ar-SA"/>
        </w:rPr>
        <w:t>: CRM)</w:t>
      </w:r>
      <w:r w:rsidRPr="008F16D6">
        <w:rPr>
          <w:rFonts w:ascii="Arial" w:eastAsia="Times New Roman" w:hAnsi="Arial" w:cs="Tahoma"/>
          <w:i/>
          <w:iCs/>
          <w:lang w:eastAsia="ar-SA"/>
        </w:rPr>
        <w:t>.</w:t>
      </w:r>
    </w:p>
    <w:p w14:paraId="09AA0C5F" w14:textId="77777777" w:rsidR="008F16D6" w:rsidRPr="008F16D6" w:rsidRDefault="008F16D6" w:rsidP="00181F22">
      <w:pPr>
        <w:numPr>
          <w:ilvl w:val="0"/>
          <w:numId w:val="16"/>
        </w:numPr>
        <w:tabs>
          <w:tab w:val="left" w:pos="431"/>
        </w:tabs>
        <w:suppressAutoHyphens/>
        <w:spacing w:before="240" w:after="120" w:line="240" w:lineRule="auto"/>
        <w:jc w:val="both"/>
        <w:rPr>
          <w:rFonts w:ascii="Arial" w:eastAsia="Times New Roman" w:hAnsi="Arial" w:cs="Tahoma"/>
          <w:lang w:eastAsia="ar-SA"/>
        </w:rPr>
      </w:pPr>
      <w:r w:rsidRPr="008F16D6">
        <w:rPr>
          <w:rFonts w:ascii="Arial" w:eastAsia="Times New Roman" w:hAnsi="Arial" w:cs="Tahoma"/>
          <w:lang w:eastAsia="ar-SA"/>
        </w:rPr>
        <w:t>Povećati energetsku učinkovitost u svim dijelovima energetskog lanca (proizvodnja, transport/prijenos, distribucija i potrošnja svih oblika energije).</w:t>
      </w:r>
    </w:p>
    <w:p w14:paraId="5BA94817" w14:textId="77777777" w:rsidR="008F16D6" w:rsidRPr="008F16D6" w:rsidRDefault="008F16D6" w:rsidP="00181F22">
      <w:pPr>
        <w:numPr>
          <w:ilvl w:val="0"/>
          <w:numId w:val="16"/>
        </w:numPr>
        <w:tabs>
          <w:tab w:val="left" w:pos="431"/>
        </w:tabs>
        <w:suppressAutoHyphens/>
        <w:spacing w:before="240" w:after="120" w:line="240" w:lineRule="auto"/>
        <w:jc w:val="both"/>
        <w:rPr>
          <w:rFonts w:ascii="Arial" w:eastAsia="Times New Roman" w:hAnsi="Arial" w:cs="Tahoma"/>
          <w:lang w:eastAsia="ar-SA"/>
        </w:rPr>
      </w:pPr>
      <w:r w:rsidRPr="008F16D6">
        <w:rPr>
          <w:rFonts w:ascii="Arial" w:eastAsia="Times New Roman" w:hAnsi="Arial" w:cs="Tahoma"/>
          <w:lang w:eastAsia="ar-SA"/>
        </w:rPr>
        <w:t xml:space="preserve">Kontinuirano povećavati udio električne energije u potrošnji energije s ciljem smanjenja potrošnje fosilnih goriva. </w:t>
      </w:r>
    </w:p>
    <w:p w14:paraId="083F8150" w14:textId="77777777" w:rsidR="008F16D6" w:rsidRPr="008F16D6" w:rsidRDefault="008F16D6" w:rsidP="00181F22">
      <w:pPr>
        <w:numPr>
          <w:ilvl w:val="0"/>
          <w:numId w:val="16"/>
        </w:numPr>
        <w:tabs>
          <w:tab w:val="left" w:pos="431"/>
        </w:tabs>
        <w:suppressAutoHyphens/>
        <w:spacing w:before="240" w:after="120" w:line="240" w:lineRule="auto"/>
        <w:jc w:val="both"/>
        <w:rPr>
          <w:rFonts w:ascii="Arial" w:eastAsia="Times New Roman" w:hAnsi="Arial" w:cs="Tahoma"/>
          <w:lang w:eastAsia="ar-SA"/>
        </w:rPr>
      </w:pPr>
      <w:r w:rsidRPr="008F16D6">
        <w:rPr>
          <w:rFonts w:ascii="Arial" w:eastAsia="Times New Roman" w:hAnsi="Arial" w:cs="Tahoma"/>
          <w:lang w:eastAsia="ar-SA"/>
        </w:rPr>
        <w:t>Kontinuirano povećavati proizvodnju električne energije sa smanjenom emisijom stakleničkih plinova – prvenstveno iz OIE.</w:t>
      </w:r>
    </w:p>
    <w:p w14:paraId="07507D35" w14:textId="77777777" w:rsidR="008F16D6" w:rsidRPr="008F16D6" w:rsidRDefault="008F16D6" w:rsidP="00181F22">
      <w:pPr>
        <w:numPr>
          <w:ilvl w:val="0"/>
          <w:numId w:val="16"/>
        </w:numPr>
        <w:tabs>
          <w:tab w:val="left" w:pos="431"/>
        </w:tabs>
        <w:suppressAutoHyphens/>
        <w:spacing w:before="240" w:after="120" w:line="240" w:lineRule="auto"/>
        <w:jc w:val="both"/>
        <w:rPr>
          <w:rFonts w:ascii="Arial" w:eastAsia="Times New Roman" w:hAnsi="Arial" w:cs="Tahoma"/>
          <w:lang w:eastAsia="ar-SA"/>
        </w:rPr>
      </w:pPr>
      <w:r w:rsidRPr="008F16D6">
        <w:rPr>
          <w:rFonts w:ascii="Arial" w:eastAsia="Times New Roman" w:hAnsi="Arial" w:cs="Tahoma"/>
          <w:lang w:eastAsia="ar-SA"/>
        </w:rPr>
        <w:t>Razvoj temeljiti na komercijalno dostupnim tehnologijama, posebno iskorištavanju energije vode, sunca i vjetra i ostalih OIE.</w:t>
      </w:r>
    </w:p>
    <w:p w14:paraId="35E01500" w14:textId="77777777" w:rsidR="008F16D6" w:rsidRPr="008F16D6" w:rsidRDefault="008F16D6" w:rsidP="00181F22">
      <w:pPr>
        <w:numPr>
          <w:ilvl w:val="0"/>
          <w:numId w:val="16"/>
        </w:numPr>
        <w:tabs>
          <w:tab w:val="left" w:pos="431"/>
        </w:tabs>
        <w:suppressAutoHyphens/>
        <w:spacing w:before="240" w:after="120" w:line="240" w:lineRule="auto"/>
        <w:jc w:val="both"/>
        <w:rPr>
          <w:rFonts w:ascii="Arial" w:eastAsia="Times New Roman" w:hAnsi="Arial" w:cs="Tahoma"/>
          <w:lang w:eastAsia="ar-SA"/>
        </w:rPr>
      </w:pPr>
      <w:r w:rsidRPr="003B32DF">
        <w:rPr>
          <w:rFonts w:ascii="Arial" w:eastAsia="Times New Roman" w:hAnsi="Arial" w:cs="Tahoma"/>
          <w:lang w:eastAsia="ar-SA"/>
        </w:rPr>
        <w:t>Financijske potpore</w:t>
      </w:r>
      <w:r w:rsidRPr="008F16D6">
        <w:rPr>
          <w:rFonts w:ascii="Arial" w:eastAsia="Times New Roman" w:hAnsi="Arial" w:cs="Tahoma"/>
          <w:lang w:eastAsia="ar-SA"/>
        </w:rPr>
        <w:t xml:space="preserve"> usmjeriti na razvoj biogospodarstva i održivog gospodarenja otpadom, te istraživanja, na pilot i demonstracijske projekte. </w:t>
      </w:r>
    </w:p>
    <w:p w14:paraId="7092640F" w14:textId="77777777" w:rsidR="008F16D6" w:rsidRPr="008F16D6" w:rsidRDefault="008F16D6" w:rsidP="00181F22">
      <w:pPr>
        <w:numPr>
          <w:ilvl w:val="0"/>
          <w:numId w:val="16"/>
        </w:numPr>
        <w:tabs>
          <w:tab w:val="left" w:pos="431"/>
        </w:tabs>
        <w:suppressAutoHyphens/>
        <w:spacing w:before="240" w:after="120" w:line="240" w:lineRule="auto"/>
        <w:jc w:val="both"/>
        <w:rPr>
          <w:rFonts w:ascii="Arial" w:eastAsia="Times New Roman" w:hAnsi="Arial" w:cs="Tahoma"/>
          <w:lang w:eastAsia="ar-SA"/>
        </w:rPr>
      </w:pPr>
      <w:r w:rsidRPr="008F16D6">
        <w:rPr>
          <w:rFonts w:ascii="Arial" w:eastAsia="Times New Roman" w:hAnsi="Arial" w:cs="Tahoma"/>
          <w:lang w:eastAsia="ar-SA"/>
        </w:rPr>
        <w:t>Osigurati fondove za smanjenje rizika za zahtjevne tehnologije i granično komercijalne tehnologije.</w:t>
      </w:r>
    </w:p>
    <w:p w14:paraId="3B158318"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Strategija promatra energetsku tranziciju kao priliku za razvoj domaće industrije kroz povećana ulaganja u inovacije u području zaštite kvalitete zraka, okoliša i općenito zdravlja ljudi, istovremeno povećavajući konkurentnost gospodarstva u području dekarbonizacije i razvoju </w:t>
      </w:r>
      <w:r w:rsidR="00AC390C">
        <w:rPr>
          <w:rFonts w:ascii="Arial" w:eastAsia="Times New Roman" w:hAnsi="Arial" w:cs="Times New Roman"/>
          <w:lang w:eastAsia="hr-HR"/>
        </w:rPr>
        <w:t>OIE</w:t>
      </w:r>
      <w:r w:rsidRPr="008F16D6">
        <w:rPr>
          <w:rFonts w:ascii="Arial" w:eastAsia="Times New Roman" w:hAnsi="Arial" w:cs="Times New Roman"/>
          <w:lang w:eastAsia="hr-HR"/>
        </w:rPr>
        <w:t>.</w:t>
      </w:r>
    </w:p>
    <w:p w14:paraId="4352FC12"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Brze promjene u energetici nisu moguće jer je provedba energetskih projekata dugotrajna, a odstupanja od planova izazivaju velike troškove. Stoga u promatranom razdoblju treba razlikovati dva vremenska razdoblja: dugoročni - do 2050. godine, u kojem se postavljaju strateški ciljevi po sektorima te kratkoročni - do 2030. godine, u kojem je nužno provesti mjere koje će odrediti put prema ostvarenju tih ciljeva. </w:t>
      </w:r>
    </w:p>
    <w:p w14:paraId="619D1BE6"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Ostvarenje strateških ciljeva razvoja energetskog sektora ovisi o mjerama na svim razinama: zakonodavnim (na razini EU i Republike Hrvatske) te institucionalnim i financijskim. Potrebno je voditi računa o usklađenosti energetskog sektora s ostalim te zakonskim i institucionalnim okvirom od značaja za izgradnju i korištenje energetskih objekata i uređaja.</w:t>
      </w:r>
    </w:p>
    <w:p w14:paraId="63442CD4" w14:textId="77777777"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ind w:left="576" w:hanging="576"/>
        <w:textAlignment w:val="center"/>
        <w:outlineLvl w:val="1"/>
        <w:rPr>
          <w:rFonts w:ascii="Arial" w:eastAsia="Arial" w:hAnsi="Arial" w:cs="Myriad Pro Cond"/>
          <w:b/>
          <w:bCs/>
          <w:color w:val="BE1D2D"/>
          <w:sz w:val="28"/>
          <w:szCs w:val="36"/>
          <w:lang w:eastAsia="hr-HR"/>
        </w:rPr>
      </w:pPr>
      <w:bookmarkStart w:id="43" w:name="_Toc17876356"/>
      <w:bookmarkEnd w:id="41"/>
      <w:r w:rsidRPr="008F16D6">
        <w:rPr>
          <w:rFonts w:ascii="Arial" w:eastAsia="Arial" w:hAnsi="Arial" w:cs="Myriad Pro Cond"/>
          <w:b/>
          <w:bCs/>
          <w:color w:val="BE1D2D"/>
          <w:sz w:val="28"/>
          <w:szCs w:val="36"/>
          <w:lang w:eastAsia="hr-HR"/>
        </w:rPr>
        <w:t>Razmatrani scenariji</w:t>
      </w:r>
      <w:bookmarkEnd w:id="43"/>
    </w:p>
    <w:p w14:paraId="4978BEE5"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Vodeći se prvenstveno potrebom smanjenja emisije stakleničkih plinova iz energetskog sektora, a pritom uvažavajući glavne smjernice koje se odnose na sigurnost opskrbe, povećanje domaće proizvodnje iz potencijala kojima Republika Hrvatska raspolaže s naglaskom na korištenje OIE, smanjenje gubitaka energije i povećanje energetske učinkovitosti, razmatrana su tri scenarija koji se međusobno razlikuju u dosezima smanjenja emisija stakleničkih plinova.</w:t>
      </w:r>
    </w:p>
    <w:p w14:paraId="38403707"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b/>
          <w:lang w:eastAsia="hr-HR"/>
        </w:rPr>
        <w:t>Scenarij 0 (S0) odnosno Scenarij razvoja uz primjenu postojećih mjera</w:t>
      </w:r>
      <w:r w:rsidRPr="008F16D6">
        <w:rPr>
          <w:rFonts w:ascii="Arial" w:eastAsia="Times New Roman" w:hAnsi="Arial" w:cs="Times New Roman"/>
          <w:lang w:eastAsia="hr-HR"/>
        </w:rPr>
        <w:t xml:space="preserve">, a koji predstavlja kontinuitet sadašnje politike primjene postojećih mjera u promjenama energetskog sektora. </w:t>
      </w:r>
    </w:p>
    <w:p w14:paraId="128BC73C"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b/>
          <w:lang w:eastAsia="hr-HR"/>
        </w:rPr>
        <w:t>Scenarij 1 (S1) odnosno Scenarij ubrzane energetske tranzicije</w:t>
      </w:r>
      <w:r w:rsidRPr="008F16D6">
        <w:rPr>
          <w:rFonts w:ascii="Arial" w:eastAsia="Times New Roman" w:hAnsi="Arial" w:cs="Times New Roman"/>
          <w:lang w:eastAsia="hr-HR"/>
        </w:rPr>
        <w:t>, a koji kreće od pretpostavke da na međunarodnoj razini, a osobito na razini zemalja članica EU-a, postoji snažna suradnja u dostizanju ciljeva Pariškog sporazuma koja se oslikava u globalnoj raspoloživosti potrebnih tehnologija, smanjenju specifičnih troškova OIE-a te upravljanju tržišnim mehanizmima u stvaranju povoljnih uvjeta za široko korištenje OIE-a i primjenu mjera energetske učinkovitosti. Na svim razinama proizvodnje, prijenosa/transporta, distribucije i potrošnje energije očekuje se poboljšanje energetske učinkovitosti. Prilikom korištenja različitih oblika energije vodilo se računa o nosivom kapacitetu ekosustava, razvoju kružnog gospodarstva, povećanju konkurentnosti i razvoju gospodarskih grana koje izravno doprinose realizaciji ciljeva niskougljičnog razvoja.</w:t>
      </w:r>
    </w:p>
    <w:p w14:paraId="17670B69" w14:textId="1A74A260"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b/>
          <w:lang w:eastAsia="hr-HR"/>
        </w:rPr>
        <w:t>Scenarij 2 (S2) odnosno Scenarij umjerene energetske tranzicije</w:t>
      </w:r>
      <w:r w:rsidRPr="008F16D6">
        <w:rPr>
          <w:rFonts w:ascii="Arial" w:eastAsia="Times New Roman" w:hAnsi="Arial" w:cs="Times New Roman"/>
          <w:lang w:eastAsia="hr-HR"/>
        </w:rPr>
        <w:t>, a koji je po svim osnovnim karakteristikama sličan scenariju ubrzane energetske tranzicije, ali s nižim ciljevima energetske obnove zgrada, nižom stopom rasta potrošnje električne energije, neznatno manjim portfeljem novoizgrađenih vjetroelektrana (</w:t>
      </w:r>
      <w:r w:rsidR="00E869A9">
        <w:rPr>
          <w:rFonts w:ascii="Arial" w:eastAsia="Times New Roman" w:hAnsi="Arial" w:cs="Times New Roman"/>
          <w:lang w:eastAsia="hr-HR"/>
        </w:rPr>
        <w:t>u daljnjem</w:t>
      </w:r>
      <w:r w:rsidRPr="008F16D6">
        <w:rPr>
          <w:rFonts w:ascii="Arial" w:eastAsia="Times New Roman" w:hAnsi="Arial" w:cs="Times New Roman"/>
          <w:lang w:eastAsia="hr-HR"/>
        </w:rPr>
        <w:t xml:space="preserve"> tekstu: VE), sunčanih elektrana (</w:t>
      </w:r>
      <w:r w:rsidR="00E869A9">
        <w:rPr>
          <w:rFonts w:ascii="Arial" w:eastAsia="Times New Roman" w:hAnsi="Arial" w:cs="Times New Roman"/>
          <w:lang w:eastAsia="hr-HR"/>
        </w:rPr>
        <w:t>u daljnjem</w:t>
      </w:r>
      <w:r w:rsidRPr="008F16D6">
        <w:rPr>
          <w:rFonts w:ascii="Arial" w:eastAsia="Times New Roman" w:hAnsi="Arial" w:cs="Times New Roman"/>
          <w:lang w:eastAsia="hr-HR"/>
        </w:rPr>
        <w:t xml:space="preserve"> tekstu: FN) i plinskih elektrana, sporijim promjenama u sektoru prometa i sporijom tranzicijom u gospodarstvu. Posljedično, scenarij S2 je investicijski manje zahtjevan, zaht</w:t>
      </w:r>
      <w:r w:rsidR="000807F3">
        <w:rPr>
          <w:rFonts w:ascii="Arial" w:eastAsia="Times New Roman" w:hAnsi="Arial" w:cs="Times New Roman"/>
          <w:lang w:eastAsia="hr-HR"/>
        </w:rPr>
        <w:t>i</w:t>
      </w:r>
      <w:r w:rsidRPr="008F16D6">
        <w:rPr>
          <w:rFonts w:ascii="Arial" w:eastAsia="Times New Roman" w:hAnsi="Arial" w:cs="Times New Roman"/>
          <w:lang w:eastAsia="hr-HR"/>
        </w:rPr>
        <w:t xml:space="preserve">jeva manje operativne troškove za uravnoteženje sustava uz uvažavanje potrebe za smanjenje emisija stakleničkih plinova. </w:t>
      </w:r>
    </w:p>
    <w:p w14:paraId="672D80FA" w14:textId="040E935E" w:rsid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U kratkoročnom razdoblju planiranja do 2030. godine scenariji S1 i S2 su vrlo slični po pitanju ključnih pokazatelja, dok u dugoročnom razdoblju planiranja do 2050. godine scenarij S1 doprinosi većem smanjenju emisija, većoj energetskoj obnovi zgrada, većem udjelu električnih i hibridnih vozila u cestovnom prometu te većem udjelu OIE u pro</w:t>
      </w:r>
      <w:r w:rsidR="000A77F7">
        <w:rPr>
          <w:rFonts w:ascii="Arial" w:eastAsia="Times New Roman" w:hAnsi="Arial" w:cs="Times New Roman"/>
          <w:lang w:eastAsia="hr-HR"/>
        </w:rPr>
        <w:t>izvodnji i potrošnji energije.</w:t>
      </w:r>
    </w:p>
    <w:p w14:paraId="3E38223D" w14:textId="77777777" w:rsidR="000A77F7" w:rsidRPr="008F16D6" w:rsidRDefault="000A77F7" w:rsidP="008F16D6">
      <w:pPr>
        <w:suppressAutoHyphens/>
        <w:spacing w:before="240" w:after="120" w:line="288" w:lineRule="auto"/>
        <w:jc w:val="both"/>
        <w:rPr>
          <w:rFonts w:ascii="Arial" w:eastAsia="Times New Roman" w:hAnsi="Arial" w:cs="Times New Roman"/>
          <w:lang w:eastAsia="hr-HR"/>
        </w:rPr>
      </w:pPr>
    </w:p>
    <w:p w14:paraId="57B9DBBF" w14:textId="56926313" w:rsidR="008F16D6" w:rsidRPr="008F16D6" w:rsidRDefault="008F16D6" w:rsidP="008F16D6">
      <w:pPr>
        <w:keepNext/>
        <w:tabs>
          <w:tab w:val="left" w:pos="1247"/>
        </w:tabs>
        <w:suppressAutoHyphens/>
        <w:spacing w:before="360" w:after="120" w:line="288" w:lineRule="auto"/>
        <w:ind w:left="1247" w:hanging="1247"/>
        <w:jc w:val="center"/>
        <w:rPr>
          <w:rFonts w:ascii="Arial" w:eastAsia="Times New Roman" w:hAnsi="Arial" w:cs="Arial"/>
          <w:b/>
          <w:sz w:val="20"/>
          <w:lang w:eastAsia="hr-HR"/>
        </w:rPr>
      </w:pPr>
      <w:r w:rsidRPr="008F16D6">
        <w:rPr>
          <w:rFonts w:ascii="Arial" w:eastAsia="Times New Roman" w:hAnsi="Arial" w:cs="Arial"/>
          <w:b/>
          <w:sz w:val="20"/>
          <w:lang w:eastAsia="hr-HR"/>
        </w:rPr>
        <w:t xml:space="preserve">Tablica </w:t>
      </w:r>
      <w:r w:rsidRPr="008F16D6">
        <w:rPr>
          <w:rFonts w:ascii="Arial" w:eastAsia="Times New Roman" w:hAnsi="Arial" w:cs="Arial"/>
          <w:b/>
          <w:noProof/>
          <w:sz w:val="20"/>
          <w:lang w:eastAsia="hr-HR"/>
        </w:rPr>
        <w:fldChar w:fldCharType="begin"/>
      </w:r>
      <w:r w:rsidRPr="008F16D6">
        <w:rPr>
          <w:rFonts w:ascii="Arial" w:eastAsia="Times New Roman" w:hAnsi="Arial" w:cs="Arial"/>
          <w:b/>
          <w:noProof/>
          <w:sz w:val="20"/>
          <w:lang w:eastAsia="hr-HR"/>
        </w:rPr>
        <w:instrText xml:space="preserve"> SEQ Tablica \* ARABIC \s 1 </w:instrText>
      </w:r>
      <w:r w:rsidRPr="008F16D6">
        <w:rPr>
          <w:rFonts w:ascii="Arial" w:eastAsia="Times New Roman" w:hAnsi="Arial" w:cs="Arial"/>
          <w:b/>
          <w:noProof/>
          <w:sz w:val="20"/>
          <w:lang w:eastAsia="hr-HR"/>
        </w:rPr>
        <w:fldChar w:fldCharType="separate"/>
      </w:r>
      <w:r w:rsidR="00956178">
        <w:rPr>
          <w:rFonts w:ascii="Arial" w:eastAsia="Times New Roman" w:hAnsi="Arial" w:cs="Arial"/>
          <w:b/>
          <w:noProof/>
          <w:sz w:val="20"/>
          <w:lang w:eastAsia="hr-HR"/>
        </w:rPr>
        <w:t>1</w:t>
      </w:r>
      <w:r w:rsidRPr="008F16D6">
        <w:rPr>
          <w:rFonts w:ascii="Arial" w:eastAsia="Times New Roman" w:hAnsi="Arial" w:cs="Arial"/>
          <w:b/>
          <w:noProof/>
          <w:sz w:val="20"/>
          <w:lang w:eastAsia="hr-HR"/>
        </w:rPr>
        <w:fldChar w:fldCharType="end"/>
      </w:r>
      <w:r w:rsidRPr="008F16D6">
        <w:rPr>
          <w:rFonts w:ascii="Arial" w:eastAsia="Times New Roman" w:hAnsi="Arial" w:cs="Arial"/>
          <w:b/>
          <w:sz w:val="20"/>
          <w:lang w:eastAsia="hr-HR"/>
        </w:rPr>
        <w:t>. Usporedba glavnih odrednica razmatranih scenarija</w:t>
      </w:r>
    </w:p>
    <w:tbl>
      <w:tblPr>
        <w:tblStyle w:val="TableGrid21"/>
        <w:tblW w:w="9942" w:type="dxa"/>
        <w:jc w:val="center"/>
        <w:tblLook w:val="04A0" w:firstRow="1" w:lastRow="0" w:firstColumn="1" w:lastColumn="0" w:noHBand="0" w:noVBand="1"/>
      </w:tblPr>
      <w:tblGrid>
        <w:gridCol w:w="1785"/>
        <w:gridCol w:w="1471"/>
        <w:gridCol w:w="1124"/>
        <w:gridCol w:w="1076"/>
        <w:gridCol w:w="1069"/>
        <w:gridCol w:w="1069"/>
        <w:gridCol w:w="1234"/>
        <w:gridCol w:w="1114"/>
      </w:tblGrid>
      <w:tr w:rsidR="008F16D6" w:rsidRPr="008F16D6" w14:paraId="724DCF9B" w14:textId="77777777" w:rsidTr="00AF6B8C">
        <w:trPr>
          <w:trHeight w:val="192"/>
          <w:jc w:val="center"/>
        </w:trPr>
        <w:tc>
          <w:tcPr>
            <w:tcW w:w="1785" w:type="dxa"/>
            <w:tcMar>
              <w:left w:w="28" w:type="dxa"/>
              <w:right w:w="28" w:type="dxa"/>
            </w:tcMar>
          </w:tcPr>
          <w:p w14:paraId="103021EE" w14:textId="77777777" w:rsidR="008F16D6" w:rsidRPr="008F16D6" w:rsidRDefault="008F16D6" w:rsidP="008F16D6">
            <w:pPr>
              <w:suppressAutoHyphens/>
              <w:jc w:val="center"/>
              <w:rPr>
                <w:rFonts w:cs="Arial"/>
                <w:b/>
                <w:sz w:val="20"/>
                <w:szCs w:val="20"/>
              </w:rPr>
            </w:pPr>
          </w:p>
        </w:tc>
        <w:tc>
          <w:tcPr>
            <w:tcW w:w="1471" w:type="dxa"/>
          </w:tcPr>
          <w:p w14:paraId="21925E63" w14:textId="77777777" w:rsidR="008F16D6" w:rsidRPr="008F16D6" w:rsidRDefault="008F16D6" w:rsidP="008F16D6">
            <w:pPr>
              <w:suppressAutoHyphens/>
              <w:jc w:val="center"/>
              <w:rPr>
                <w:rFonts w:cs="Arial"/>
                <w:b/>
                <w:sz w:val="20"/>
                <w:szCs w:val="20"/>
              </w:rPr>
            </w:pPr>
            <w:r w:rsidRPr="008F16D6">
              <w:rPr>
                <w:rFonts w:cs="Arial"/>
                <w:b/>
                <w:sz w:val="20"/>
                <w:szCs w:val="20"/>
              </w:rPr>
              <w:t>Početno stanje</w:t>
            </w:r>
          </w:p>
        </w:tc>
        <w:tc>
          <w:tcPr>
            <w:tcW w:w="2200" w:type="dxa"/>
            <w:gridSpan w:val="2"/>
            <w:tcMar>
              <w:left w:w="28" w:type="dxa"/>
              <w:right w:w="28" w:type="dxa"/>
            </w:tcMar>
            <w:hideMark/>
          </w:tcPr>
          <w:p w14:paraId="073BB4EA" w14:textId="77777777" w:rsidR="008F16D6" w:rsidRPr="008F16D6" w:rsidRDefault="008F16D6" w:rsidP="008F16D6">
            <w:pPr>
              <w:suppressAutoHyphens/>
              <w:jc w:val="center"/>
              <w:rPr>
                <w:rFonts w:cs="Arial"/>
                <w:b/>
                <w:sz w:val="20"/>
                <w:szCs w:val="20"/>
              </w:rPr>
            </w:pPr>
            <w:r w:rsidRPr="008F16D6">
              <w:rPr>
                <w:rFonts w:cs="Arial"/>
                <w:b/>
                <w:sz w:val="20"/>
                <w:szCs w:val="20"/>
              </w:rPr>
              <w:t>S0</w:t>
            </w:r>
          </w:p>
        </w:tc>
        <w:tc>
          <w:tcPr>
            <w:tcW w:w="2138" w:type="dxa"/>
            <w:gridSpan w:val="2"/>
            <w:tcMar>
              <w:left w:w="28" w:type="dxa"/>
              <w:right w:w="28" w:type="dxa"/>
            </w:tcMar>
            <w:hideMark/>
          </w:tcPr>
          <w:p w14:paraId="18982A49" w14:textId="77777777" w:rsidR="008F16D6" w:rsidRPr="008F16D6" w:rsidRDefault="008F16D6" w:rsidP="008F16D6">
            <w:pPr>
              <w:suppressAutoHyphens/>
              <w:jc w:val="center"/>
              <w:rPr>
                <w:rFonts w:cs="Arial"/>
                <w:b/>
                <w:sz w:val="20"/>
                <w:szCs w:val="20"/>
              </w:rPr>
            </w:pPr>
            <w:r w:rsidRPr="008F16D6">
              <w:rPr>
                <w:rFonts w:cs="Arial"/>
                <w:b/>
                <w:sz w:val="20"/>
                <w:szCs w:val="20"/>
              </w:rPr>
              <w:t>S1</w:t>
            </w:r>
          </w:p>
        </w:tc>
        <w:tc>
          <w:tcPr>
            <w:tcW w:w="2348" w:type="dxa"/>
            <w:gridSpan w:val="2"/>
            <w:tcMar>
              <w:left w:w="28" w:type="dxa"/>
              <w:right w:w="28" w:type="dxa"/>
            </w:tcMar>
            <w:hideMark/>
          </w:tcPr>
          <w:p w14:paraId="209AEB9E" w14:textId="77777777" w:rsidR="008F16D6" w:rsidRPr="008F16D6" w:rsidRDefault="008F16D6" w:rsidP="008F16D6">
            <w:pPr>
              <w:suppressAutoHyphens/>
              <w:jc w:val="center"/>
              <w:rPr>
                <w:rFonts w:cs="Arial"/>
                <w:b/>
                <w:sz w:val="20"/>
                <w:szCs w:val="20"/>
              </w:rPr>
            </w:pPr>
            <w:r w:rsidRPr="008F16D6">
              <w:rPr>
                <w:rFonts w:cs="Arial"/>
                <w:b/>
                <w:sz w:val="20"/>
                <w:szCs w:val="20"/>
              </w:rPr>
              <w:t>S2</w:t>
            </w:r>
          </w:p>
        </w:tc>
      </w:tr>
      <w:tr w:rsidR="008F16D6" w:rsidRPr="008F16D6" w14:paraId="1802B098" w14:textId="77777777" w:rsidTr="00AF6B8C">
        <w:trPr>
          <w:trHeight w:val="385"/>
          <w:jc w:val="center"/>
        </w:trPr>
        <w:tc>
          <w:tcPr>
            <w:tcW w:w="1785" w:type="dxa"/>
            <w:tcMar>
              <w:left w:w="28" w:type="dxa"/>
              <w:right w:w="28" w:type="dxa"/>
            </w:tcMar>
            <w:vAlign w:val="center"/>
          </w:tcPr>
          <w:p w14:paraId="2E226AE4" w14:textId="77777777" w:rsidR="008F16D6" w:rsidRPr="008F16D6" w:rsidRDefault="008F16D6" w:rsidP="008F16D6">
            <w:pPr>
              <w:suppressAutoHyphens/>
              <w:jc w:val="center"/>
              <w:rPr>
                <w:rFonts w:cs="Arial"/>
                <w:b/>
                <w:sz w:val="20"/>
                <w:szCs w:val="20"/>
              </w:rPr>
            </w:pPr>
          </w:p>
        </w:tc>
        <w:tc>
          <w:tcPr>
            <w:tcW w:w="1471" w:type="dxa"/>
            <w:vAlign w:val="center"/>
          </w:tcPr>
          <w:p w14:paraId="796B70C9" w14:textId="77777777" w:rsidR="008F16D6" w:rsidRPr="008F16D6" w:rsidRDefault="008F16D6" w:rsidP="008F16D6">
            <w:pPr>
              <w:suppressAutoHyphens/>
              <w:jc w:val="center"/>
              <w:rPr>
                <w:rFonts w:cs="Arial"/>
                <w:b/>
                <w:sz w:val="20"/>
                <w:szCs w:val="20"/>
              </w:rPr>
            </w:pPr>
            <w:r w:rsidRPr="008F16D6">
              <w:rPr>
                <w:rFonts w:cs="Arial"/>
                <w:b/>
                <w:sz w:val="20"/>
                <w:szCs w:val="20"/>
              </w:rPr>
              <w:t>2016./2017.*</w:t>
            </w:r>
          </w:p>
        </w:tc>
        <w:tc>
          <w:tcPr>
            <w:tcW w:w="1124" w:type="dxa"/>
            <w:tcMar>
              <w:left w:w="28" w:type="dxa"/>
              <w:right w:w="28" w:type="dxa"/>
            </w:tcMar>
            <w:vAlign w:val="center"/>
            <w:hideMark/>
          </w:tcPr>
          <w:p w14:paraId="29D2C58F" w14:textId="77777777" w:rsidR="008F16D6" w:rsidRPr="008F16D6" w:rsidRDefault="008F16D6" w:rsidP="008F16D6">
            <w:pPr>
              <w:suppressAutoHyphens/>
              <w:jc w:val="center"/>
              <w:rPr>
                <w:rFonts w:cs="Arial"/>
                <w:b/>
                <w:sz w:val="20"/>
                <w:szCs w:val="20"/>
              </w:rPr>
            </w:pPr>
            <w:r w:rsidRPr="008F16D6">
              <w:rPr>
                <w:rFonts w:cs="Arial"/>
                <w:b/>
                <w:sz w:val="20"/>
                <w:szCs w:val="20"/>
              </w:rPr>
              <w:t>do 2030.</w:t>
            </w:r>
          </w:p>
        </w:tc>
        <w:tc>
          <w:tcPr>
            <w:tcW w:w="1076" w:type="dxa"/>
            <w:tcMar>
              <w:left w:w="28" w:type="dxa"/>
              <w:right w:w="28" w:type="dxa"/>
            </w:tcMar>
            <w:vAlign w:val="center"/>
            <w:hideMark/>
          </w:tcPr>
          <w:p w14:paraId="15F1C037" w14:textId="77777777" w:rsidR="008F16D6" w:rsidRPr="008F16D6" w:rsidRDefault="008F16D6" w:rsidP="008F16D6">
            <w:pPr>
              <w:suppressAutoHyphens/>
              <w:jc w:val="center"/>
              <w:rPr>
                <w:rFonts w:cs="Arial"/>
                <w:b/>
                <w:sz w:val="20"/>
                <w:szCs w:val="20"/>
              </w:rPr>
            </w:pPr>
            <w:r w:rsidRPr="008F16D6">
              <w:rPr>
                <w:rFonts w:cs="Arial"/>
                <w:b/>
                <w:sz w:val="20"/>
                <w:szCs w:val="20"/>
              </w:rPr>
              <w:t>do 2050.</w:t>
            </w:r>
          </w:p>
        </w:tc>
        <w:tc>
          <w:tcPr>
            <w:tcW w:w="1069" w:type="dxa"/>
            <w:tcMar>
              <w:left w:w="28" w:type="dxa"/>
              <w:right w:w="28" w:type="dxa"/>
            </w:tcMar>
            <w:vAlign w:val="center"/>
            <w:hideMark/>
          </w:tcPr>
          <w:p w14:paraId="7667B978" w14:textId="77777777" w:rsidR="008F16D6" w:rsidRPr="008F16D6" w:rsidRDefault="008F16D6" w:rsidP="008F16D6">
            <w:pPr>
              <w:suppressAutoHyphens/>
              <w:jc w:val="center"/>
              <w:rPr>
                <w:rFonts w:cs="Arial"/>
                <w:b/>
                <w:sz w:val="20"/>
                <w:szCs w:val="20"/>
              </w:rPr>
            </w:pPr>
            <w:r w:rsidRPr="008F16D6">
              <w:rPr>
                <w:rFonts w:cs="Arial"/>
                <w:b/>
                <w:sz w:val="20"/>
                <w:szCs w:val="20"/>
              </w:rPr>
              <w:t>do 2030.</w:t>
            </w:r>
          </w:p>
        </w:tc>
        <w:tc>
          <w:tcPr>
            <w:tcW w:w="1069" w:type="dxa"/>
            <w:tcMar>
              <w:left w:w="28" w:type="dxa"/>
              <w:right w:w="28" w:type="dxa"/>
            </w:tcMar>
            <w:vAlign w:val="center"/>
            <w:hideMark/>
          </w:tcPr>
          <w:p w14:paraId="04433958" w14:textId="77777777" w:rsidR="008F16D6" w:rsidRPr="008F16D6" w:rsidRDefault="008F16D6" w:rsidP="008F16D6">
            <w:pPr>
              <w:suppressAutoHyphens/>
              <w:jc w:val="center"/>
              <w:rPr>
                <w:rFonts w:cs="Arial"/>
                <w:b/>
                <w:sz w:val="20"/>
                <w:szCs w:val="20"/>
              </w:rPr>
            </w:pPr>
            <w:r w:rsidRPr="008F16D6">
              <w:rPr>
                <w:rFonts w:cs="Arial"/>
                <w:b/>
                <w:sz w:val="20"/>
                <w:szCs w:val="20"/>
              </w:rPr>
              <w:t>do 2050.</w:t>
            </w:r>
          </w:p>
        </w:tc>
        <w:tc>
          <w:tcPr>
            <w:tcW w:w="1234" w:type="dxa"/>
            <w:tcMar>
              <w:left w:w="28" w:type="dxa"/>
              <w:right w:w="28" w:type="dxa"/>
            </w:tcMar>
            <w:vAlign w:val="center"/>
            <w:hideMark/>
          </w:tcPr>
          <w:p w14:paraId="21FB851D" w14:textId="77777777" w:rsidR="008F16D6" w:rsidRPr="008F16D6" w:rsidRDefault="008F16D6" w:rsidP="008F16D6">
            <w:pPr>
              <w:suppressAutoHyphens/>
              <w:jc w:val="center"/>
              <w:rPr>
                <w:rFonts w:cs="Arial"/>
                <w:b/>
                <w:sz w:val="20"/>
                <w:szCs w:val="20"/>
              </w:rPr>
            </w:pPr>
            <w:r w:rsidRPr="008F16D6">
              <w:rPr>
                <w:rFonts w:cs="Arial"/>
                <w:b/>
                <w:sz w:val="20"/>
                <w:szCs w:val="20"/>
              </w:rPr>
              <w:t>do 2030.</w:t>
            </w:r>
          </w:p>
        </w:tc>
        <w:tc>
          <w:tcPr>
            <w:tcW w:w="1114" w:type="dxa"/>
            <w:tcMar>
              <w:left w:w="28" w:type="dxa"/>
              <w:right w:w="28" w:type="dxa"/>
            </w:tcMar>
            <w:vAlign w:val="center"/>
            <w:hideMark/>
          </w:tcPr>
          <w:p w14:paraId="492E8074" w14:textId="77777777" w:rsidR="008F16D6" w:rsidRPr="008F16D6" w:rsidRDefault="008F16D6" w:rsidP="008F16D6">
            <w:pPr>
              <w:suppressAutoHyphens/>
              <w:jc w:val="center"/>
              <w:rPr>
                <w:rFonts w:cs="Arial"/>
                <w:b/>
                <w:sz w:val="20"/>
                <w:szCs w:val="20"/>
              </w:rPr>
            </w:pPr>
            <w:r w:rsidRPr="008F16D6">
              <w:rPr>
                <w:rFonts w:cs="Arial"/>
                <w:b/>
                <w:sz w:val="20"/>
                <w:szCs w:val="20"/>
              </w:rPr>
              <w:t>do 2050.</w:t>
            </w:r>
          </w:p>
        </w:tc>
      </w:tr>
      <w:tr w:rsidR="008F16D6" w:rsidRPr="008F16D6" w14:paraId="2F98BDF9" w14:textId="77777777" w:rsidTr="00AF6B8C">
        <w:trPr>
          <w:trHeight w:val="577"/>
          <w:jc w:val="center"/>
        </w:trPr>
        <w:tc>
          <w:tcPr>
            <w:tcW w:w="1785" w:type="dxa"/>
            <w:tcMar>
              <w:left w:w="28" w:type="dxa"/>
              <w:right w:w="28" w:type="dxa"/>
            </w:tcMar>
            <w:hideMark/>
          </w:tcPr>
          <w:p w14:paraId="3A3D7183" w14:textId="77777777" w:rsidR="008F16D6" w:rsidRPr="008F16D6" w:rsidRDefault="008F16D6" w:rsidP="008F16D6">
            <w:pPr>
              <w:suppressAutoHyphens/>
              <w:rPr>
                <w:rFonts w:cs="Arial"/>
                <w:sz w:val="20"/>
                <w:szCs w:val="20"/>
              </w:rPr>
            </w:pPr>
            <w:r w:rsidRPr="008F16D6">
              <w:rPr>
                <w:rFonts w:cs="Arial"/>
                <w:sz w:val="20"/>
                <w:szCs w:val="20"/>
              </w:rPr>
              <w:t>Očekivano smanjenje emisije stakleničkih plinova**</w:t>
            </w:r>
          </w:p>
        </w:tc>
        <w:tc>
          <w:tcPr>
            <w:tcW w:w="1471" w:type="dxa"/>
            <w:vAlign w:val="center"/>
          </w:tcPr>
          <w:p w14:paraId="62389491" w14:textId="77777777" w:rsidR="008F16D6" w:rsidRPr="008F16D6" w:rsidRDefault="008F16D6" w:rsidP="008F16D6">
            <w:pPr>
              <w:suppressAutoHyphens/>
              <w:jc w:val="center"/>
              <w:rPr>
                <w:rFonts w:cs="Arial"/>
                <w:sz w:val="20"/>
                <w:szCs w:val="20"/>
              </w:rPr>
            </w:pPr>
            <w:r w:rsidRPr="008F16D6">
              <w:rPr>
                <w:rFonts w:cs="Arial"/>
                <w:sz w:val="20"/>
                <w:szCs w:val="20"/>
              </w:rPr>
              <w:t>21,8%</w:t>
            </w:r>
          </w:p>
        </w:tc>
        <w:tc>
          <w:tcPr>
            <w:tcW w:w="1124" w:type="dxa"/>
            <w:shd w:val="clear" w:color="auto" w:fill="auto"/>
            <w:tcMar>
              <w:left w:w="28" w:type="dxa"/>
              <w:right w:w="28" w:type="dxa"/>
            </w:tcMar>
            <w:vAlign w:val="center"/>
            <w:hideMark/>
          </w:tcPr>
          <w:p w14:paraId="2FA860AF" w14:textId="77777777" w:rsidR="008F16D6" w:rsidRPr="008F16D6" w:rsidRDefault="008F16D6" w:rsidP="008F16D6">
            <w:pPr>
              <w:suppressAutoHyphens/>
              <w:jc w:val="center"/>
              <w:rPr>
                <w:rFonts w:cs="Arial"/>
                <w:sz w:val="20"/>
                <w:szCs w:val="20"/>
              </w:rPr>
            </w:pPr>
            <w:r w:rsidRPr="008F16D6">
              <w:rPr>
                <w:rFonts w:cs="Arial"/>
                <w:sz w:val="20"/>
                <w:szCs w:val="20"/>
              </w:rPr>
              <w:t>32,8%</w:t>
            </w:r>
          </w:p>
        </w:tc>
        <w:tc>
          <w:tcPr>
            <w:tcW w:w="1076" w:type="dxa"/>
            <w:shd w:val="clear" w:color="auto" w:fill="auto"/>
            <w:tcMar>
              <w:left w:w="28" w:type="dxa"/>
              <w:right w:w="28" w:type="dxa"/>
            </w:tcMar>
            <w:vAlign w:val="center"/>
            <w:hideMark/>
          </w:tcPr>
          <w:p w14:paraId="6991E387" w14:textId="77777777" w:rsidR="008F16D6" w:rsidRPr="008F16D6" w:rsidRDefault="008F16D6" w:rsidP="008F16D6">
            <w:pPr>
              <w:suppressAutoHyphens/>
              <w:jc w:val="center"/>
              <w:rPr>
                <w:rFonts w:cs="Arial"/>
                <w:sz w:val="20"/>
                <w:szCs w:val="20"/>
              </w:rPr>
            </w:pPr>
            <w:r w:rsidRPr="008F16D6">
              <w:rPr>
                <w:rFonts w:cs="Arial"/>
                <w:sz w:val="20"/>
                <w:szCs w:val="20"/>
              </w:rPr>
              <w:t>49,3%</w:t>
            </w:r>
          </w:p>
        </w:tc>
        <w:tc>
          <w:tcPr>
            <w:tcW w:w="1069" w:type="dxa"/>
            <w:shd w:val="clear" w:color="auto" w:fill="auto"/>
            <w:tcMar>
              <w:left w:w="28" w:type="dxa"/>
              <w:right w:w="28" w:type="dxa"/>
            </w:tcMar>
            <w:vAlign w:val="center"/>
            <w:hideMark/>
          </w:tcPr>
          <w:p w14:paraId="1CD29699" w14:textId="77777777" w:rsidR="008F16D6" w:rsidRPr="008F16D6" w:rsidRDefault="008F16D6" w:rsidP="008F16D6">
            <w:pPr>
              <w:suppressAutoHyphens/>
              <w:jc w:val="center"/>
              <w:rPr>
                <w:rFonts w:cs="Arial"/>
                <w:sz w:val="20"/>
                <w:szCs w:val="20"/>
              </w:rPr>
            </w:pPr>
            <w:r w:rsidRPr="008F16D6">
              <w:rPr>
                <w:rFonts w:cs="Arial"/>
                <w:sz w:val="20"/>
                <w:szCs w:val="20"/>
              </w:rPr>
              <w:t>37,5%</w:t>
            </w:r>
          </w:p>
        </w:tc>
        <w:tc>
          <w:tcPr>
            <w:tcW w:w="1069" w:type="dxa"/>
            <w:shd w:val="clear" w:color="auto" w:fill="auto"/>
            <w:tcMar>
              <w:left w:w="28" w:type="dxa"/>
              <w:right w:w="28" w:type="dxa"/>
            </w:tcMar>
            <w:vAlign w:val="center"/>
            <w:hideMark/>
          </w:tcPr>
          <w:p w14:paraId="55E83C47" w14:textId="77777777" w:rsidR="008F16D6" w:rsidRPr="008F16D6" w:rsidRDefault="008F16D6" w:rsidP="008F16D6">
            <w:pPr>
              <w:suppressAutoHyphens/>
              <w:jc w:val="center"/>
              <w:rPr>
                <w:rFonts w:cs="Arial"/>
                <w:sz w:val="20"/>
                <w:szCs w:val="20"/>
              </w:rPr>
            </w:pPr>
            <w:r w:rsidRPr="008F16D6">
              <w:rPr>
                <w:rFonts w:cs="Arial"/>
                <w:sz w:val="20"/>
                <w:szCs w:val="20"/>
              </w:rPr>
              <w:t>74,4%</w:t>
            </w:r>
          </w:p>
        </w:tc>
        <w:tc>
          <w:tcPr>
            <w:tcW w:w="1234" w:type="dxa"/>
            <w:shd w:val="clear" w:color="auto" w:fill="auto"/>
            <w:tcMar>
              <w:left w:w="28" w:type="dxa"/>
              <w:right w:w="28" w:type="dxa"/>
            </w:tcMar>
            <w:vAlign w:val="center"/>
            <w:hideMark/>
          </w:tcPr>
          <w:p w14:paraId="495D61AF" w14:textId="77777777" w:rsidR="008F16D6" w:rsidRPr="008F16D6" w:rsidRDefault="008F16D6" w:rsidP="008F16D6">
            <w:pPr>
              <w:suppressAutoHyphens/>
              <w:jc w:val="center"/>
              <w:rPr>
                <w:rFonts w:cs="Arial"/>
                <w:sz w:val="20"/>
                <w:szCs w:val="20"/>
              </w:rPr>
            </w:pPr>
            <w:r w:rsidRPr="008F16D6">
              <w:rPr>
                <w:rFonts w:cs="Arial"/>
                <w:sz w:val="20"/>
                <w:szCs w:val="20"/>
              </w:rPr>
              <w:t>35,4%</w:t>
            </w:r>
          </w:p>
        </w:tc>
        <w:tc>
          <w:tcPr>
            <w:tcW w:w="1114" w:type="dxa"/>
            <w:shd w:val="clear" w:color="auto" w:fill="auto"/>
            <w:tcMar>
              <w:left w:w="28" w:type="dxa"/>
              <w:right w:w="28" w:type="dxa"/>
            </w:tcMar>
            <w:vAlign w:val="center"/>
            <w:hideMark/>
          </w:tcPr>
          <w:p w14:paraId="1E795403" w14:textId="77777777" w:rsidR="008F16D6" w:rsidRPr="008F16D6" w:rsidRDefault="008F16D6" w:rsidP="008F16D6">
            <w:pPr>
              <w:suppressAutoHyphens/>
              <w:jc w:val="center"/>
              <w:rPr>
                <w:rFonts w:cs="Arial"/>
                <w:sz w:val="20"/>
                <w:szCs w:val="20"/>
              </w:rPr>
            </w:pPr>
            <w:r w:rsidRPr="008F16D6">
              <w:rPr>
                <w:rFonts w:cs="Arial"/>
                <w:sz w:val="20"/>
                <w:szCs w:val="20"/>
              </w:rPr>
              <w:t>64,3%</w:t>
            </w:r>
          </w:p>
        </w:tc>
      </w:tr>
      <w:tr w:rsidR="008F16D6" w:rsidRPr="008F16D6" w14:paraId="624A949B" w14:textId="77777777" w:rsidTr="00AF6B8C">
        <w:trPr>
          <w:trHeight w:val="384"/>
          <w:jc w:val="center"/>
        </w:trPr>
        <w:tc>
          <w:tcPr>
            <w:tcW w:w="1785" w:type="dxa"/>
            <w:tcMar>
              <w:left w:w="28" w:type="dxa"/>
              <w:right w:w="28" w:type="dxa"/>
            </w:tcMar>
            <w:hideMark/>
          </w:tcPr>
          <w:p w14:paraId="11BCCCDB" w14:textId="77777777" w:rsidR="008F16D6" w:rsidRPr="008F16D6" w:rsidRDefault="008F16D6" w:rsidP="008F16D6">
            <w:pPr>
              <w:suppressAutoHyphens/>
              <w:rPr>
                <w:rFonts w:cs="Arial"/>
                <w:sz w:val="20"/>
                <w:szCs w:val="20"/>
              </w:rPr>
            </w:pPr>
            <w:r w:rsidRPr="008F16D6">
              <w:rPr>
                <w:rFonts w:cs="Arial"/>
                <w:sz w:val="20"/>
                <w:szCs w:val="20"/>
              </w:rPr>
              <w:t>Promjena neposredne potrošnje energije***</w:t>
            </w:r>
          </w:p>
        </w:tc>
        <w:tc>
          <w:tcPr>
            <w:tcW w:w="1471" w:type="dxa"/>
            <w:vAlign w:val="center"/>
          </w:tcPr>
          <w:p w14:paraId="130BA768" w14:textId="77777777" w:rsidR="008F16D6" w:rsidRPr="008F16D6" w:rsidRDefault="008F16D6" w:rsidP="008F16D6">
            <w:pPr>
              <w:suppressAutoHyphens/>
              <w:jc w:val="center"/>
              <w:rPr>
                <w:rFonts w:cs="Arial"/>
                <w:sz w:val="20"/>
                <w:szCs w:val="20"/>
              </w:rPr>
            </w:pPr>
            <w:r w:rsidRPr="008F16D6">
              <w:rPr>
                <w:rFonts w:cs="Arial"/>
                <w:sz w:val="20"/>
                <w:szCs w:val="20"/>
              </w:rPr>
              <w:t>-7%</w:t>
            </w:r>
          </w:p>
        </w:tc>
        <w:tc>
          <w:tcPr>
            <w:tcW w:w="1124" w:type="dxa"/>
            <w:shd w:val="clear" w:color="auto" w:fill="auto"/>
            <w:tcMar>
              <w:left w:w="28" w:type="dxa"/>
              <w:right w:w="28" w:type="dxa"/>
            </w:tcMar>
            <w:vAlign w:val="center"/>
            <w:hideMark/>
          </w:tcPr>
          <w:p w14:paraId="4121FCF3" w14:textId="77777777" w:rsidR="008F16D6" w:rsidRPr="008F16D6" w:rsidRDefault="008F16D6" w:rsidP="008F16D6">
            <w:pPr>
              <w:suppressAutoHyphens/>
              <w:jc w:val="center"/>
              <w:rPr>
                <w:rFonts w:cs="Arial"/>
                <w:sz w:val="20"/>
                <w:szCs w:val="20"/>
              </w:rPr>
            </w:pPr>
            <w:r w:rsidRPr="008F16D6">
              <w:rPr>
                <w:rFonts w:cs="Arial"/>
                <w:sz w:val="20"/>
                <w:szCs w:val="20"/>
              </w:rPr>
              <w:t>7,3%</w:t>
            </w:r>
          </w:p>
        </w:tc>
        <w:tc>
          <w:tcPr>
            <w:tcW w:w="1076" w:type="dxa"/>
            <w:shd w:val="clear" w:color="auto" w:fill="auto"/>
            <w:tcMar>
              <w:left w:w="28" w:type="dxa"/>
              <w:right w:w="28" w:type="dxa"/>
            </w:tcMar>
            <w:vAlign w:val="center"/>
            <w:hideMark/>
          </w:tcPr>
          <w:p w14:paraId="4FF1CAA5" w14:textId="77777777" w:rsidR="008F16D6" w:rsidRPr="008F16D6" w:rsidRDefault="008F16D6" w:rsidP="008F16D6">
            <w:pPr>
              <w:suppressAutoHyphens/>
              <w:jc w:val="center"/>
              <w:rPr>
                <w:rFonts w:cs="Arial"/>
                <w:sz w:val="20"/>
                <w:szCs w:val="20"/>
              </w:rPr>
            </w:pPr>
            <w:r w:rsidRPr="008F16D6">
              <w:rPr>
                <w:rFonts w:cs="Arial"/>
                <w:sz w:val="20"/>
                <w:szCs w:val="20"/>
              </w:rPr>
              <w:t>-3,8%</w:t>
            </w:r>
          </w:p>
        </w:tc>
        <w:tc>
          <w:tcPr>
            <w:tcW w:w="1069" w:type="dxa"/>
            <w:shd w:val="clear" w:color="auto" w:fill="auto"/>
            <w:tcMar>
              <w:left w:w="28" w:type="dxa"/>
              <w:right w:w="28" w:type="dxa"/>
            </w:tcMar>
            <w:vAlign w:val="center"/>
            <w:hideMark/>
          </w:tcPr>
          <w:p w14:paraId="09F80A04" w14:textId="77777777" w:rsidR="008F16D6" w:rsidRPr="008F16D6" w:rsidRDefault="008F16D6" w:rsidP="008F16D6">
            <w:pPr>
              <w:suppressAutoHyphens/>
              <w:jc w:val="center"/>
              <w:rPr>
                <w:rFonts w:cs="Arial"/>
                <w:sz w:val="20"/>
                <w:szCs w:val="20"/>
              </w:rPr>
            </w:pPr>
            <w:r w:rsidRPr="008F16D6">
              <w:rPr>
                <w:rFonts w:cs="Arial"/>
                <w:sz w:val="20"/>
                <w:szCs w:val="20"/>
              </w:rPr>
              <w:t>2,6%</w:t>
            </w:r>
          </w:p>
        </w:tc>
        <w:tc>
          <w:tcPr>
            <w:tcW w:w="1069" w:type="dxa"/>
            <w:shd w:val="clear" w:color="auto" w:fill="auto"/>
            <w:tcMar>
              <w:left w:w="28" w:type="dxa"/>
              <w:right w:w="28" w:type="dxa"/>
            </w:tcMar>
            <w:vAlign w:val="center"/>
            <w:hideMark/>
          </w:tcPr>
          <w:p w14:paraId="0BA4E86A" w14:textId="77777777" w:rsidR="008F16D6" w:rsidRPr="008F16D6" w:rsidRDefault="008F16D6" w:rsidP="008F16D6">
            <w:pPr>
              <w:suppressAutoHyphens/>
              <w:jc w:val="center"/>
              <w:rPr>
                <w:rFonts w:cs="Arial"/>
                <w:sz w:val="20"/>
                <w:szCs w:val="20"/>
              </w:rPr>
            </w:pPr>
            <w:r w:rsidRPr="008F16D6">
              <w:rPr>
                <w:rFonts w:cs="Arial"/>
                <w:sz w:val="20"/>
                <w:szCs w:val="20"/>
              </w:rPr>
              <w:t>-28,6%</w:t>
            </w:r>
          </w:p>
        </w:tc>
        <w:tc>
          <w:tcPr>
            <w:tcW w:w="1234" w:type="dxa"/>
            <w:shd w:val="clear" w:color="auto" w:fill="auto"/>
            <w:tcMar>
              <w:left w:w="28" w:type="dxa"/>
              <w:right w:w="28" w:type="dxa"/>
            </w:tcMar>
            <w:vAlign w:val="center"/>
            <w:hideMark/>
          </w:tcPr>
          <w:p w14:paraId="5074DD62" w14:textId="77777777" w:rsidR="008F16D6" w:rsidRPr="008F16D6" w:rsidRDefault="008F16D6" w:rsidP="008F16D6">
            <w:pPr>
              <w:suppressAutoHyphens/>
              <w:jc w:val="center"/>
              <w:rPr>
                <w:rFonts w:cs="Arial"/>
                <w:sz w:val="20"/>
                <w:szCs w:val="20"/>
              </w:rPr>
            </w:pPr>
            <w:r w:rsidRPr="008F16D6">
              <w:rPr>
                <w:rFonts w:cs="Arial"/>
                <w:sz w:val="20"/>
                <w:szCs w:val="20"/>
              </w:rPr>
              <w:t>8,1%</w:t>
            </w:r>
          </w:p>
        </w:tc>
        <w:tc>
          <w:tcPr>
            <w:tcW w:w="1114" w:type="dxa"/>
            <w:shd w:val="clear" w:color="auto" w:fill="auto"/>
            <w:tcMar>
              <w:left w:w="28" w:type="dxa"/>
              <w:right w:w="28" w:type="dxa"/>
            </w:tcMar>
            <w:vAlign w:val="center"/>
            <w:hideMark/>
          </w:tcPr>
          <w:p w14:paraId="2E5DDF41" w14:textId="77777777" w:rsidR="008F16D6" w:rsidRPr="008F16D6" w:rsidRDefault="008F16D6" w:rsidP="008F16D6">
            <w:pPr>
              <w:suppressAutoHyphens/>
              <w:jc w:val="center"/>
              <w:rPr>
                <w:rFonts w:cs="Arial"/>
                <w:sz w:val="20"/>
                <w:szCs w:val="20"/>
              </w:rPr>
            </w:pPr>
            <w:r w:rsidRPr="008F16D6">
              <w:rPr>
                <w:rFonts w:cs="Arial"/>
                <w:sz w:val="20"/>
                <w:szCs w:val="20"/>
              </w:rPr>
              <w:t>-15%</w:t>
            </w:r>
          </w:p>
        </w:tc>
      </w:tr>
      <w:tr w:rsidR="008F16D6" w:rsidRPr="008F16D6" w14:paraId="6A10D80C" w14:textId="77777777" w:rsidTr="00AF6B8C">
        <w:trPr>
          <w:trHeight w:val="394"/>
          <w:jc w:val="center"/>
        </w:trPr>
        <w:tc>
          <w:tcPr>
            <w:tcW w:w="1785" w:type="dxa"/>
            <w:tcMar>
              <w:left w:w="28" w:type="dxa"/>
              <w:right w:w="28" w:type="dxa"/>
            </w:tcMar>
            <w:hideMark/>
          </w:tcPr>
          <w:p w14:paraId="6233EFE6" w14:textId="77777777" w:rsidR="008F16D6" w:rsidRPr="008F16D6" w:rsidRDefault="008F16D6" w:rsidP="008F16D6">
            <w:pPr>
              <w:suppressAutoHyphens/>
              <w:rPr>
                <w:rFonts w:cs="Arial"/>
                <w:sz w:val="20"/>
                <w:szCs w:val="20"/>
              </w:rPr>
            </w:pPr>
            <w:r w:rsidRPr="008F16D6">
              <w:rPr>
                <w:rFonts w:cs="Arial"/>
                <w:sz w:val="20"/>
                <w:szCs w:val="20"/>
              </w:rPr>
              <w:t>Energetska obnova fonda zgrada</w:t>
            </w:r>
          </w:p>
        </w:tc>
        <w:tc>
          <w:tcPr>
            <w:tcW w:w="1471" w:type="dxa"/>
            <w:vAlign w:val="center"/>
          </w:tcPr>
          <w:p w14:paraId="7D87327A" w14:textId="77777777" w:rsidR="008F16D6" w:rsidRPr="008F16D6" w:rsidRDefault="008F16D6" w:rsidP="008F16D6">
            <w:pPr>
              <w:suppressAutoHyphens/>
              <w:jc w:val="center"/>
              <w:rPr>
                <w:rFonts w:cs="Arial"/>
                <w:sz w:val="20"/>
                <w:szCs w:val="20"/>
              </w:rPr>
            </w:pPr>
            <w:r w:rsidRPr="008F16D6">
              <w:rPr>
                <w:rFonts w:cs="Arial"/>
                <w:sz w:val="20"/>
                <w:szCs w:val="20"/>
              </w:rPr>
              <w:t>0,2%</w:t>
            </w:r>
          </w:p>
        </w:tc>
        <w:tc>
          <w:tcPr>
            <w:tcW w:w="1124" w:type="dxa"/>
            <w:shd w:val="clear" w:color="auto" w:fill="auto"/>
            <w:tcMar>
              <w:left w:w="28" w:type="dxa"/>
              <w:right w:w="28" w:type="dxa"/>
            </w:tcMar>
            <w:vAlign w:val="center"/>
            <w:hideMark/>
          </w:tcPr>
          <w:p w14:paraId="46A8700D" w14:textId="77777777" w:rsidR="008F16D6" w:rsidRPr="008F16D6" w:rsidRDefault="008F16D6" w:rsidP="008F16D6">
            <w:pPr>
              <w:suppressAutoHyphens/>
              <w:jc w:val="center"/>
              <w:rPr>
                <w:rFonts w:cs="Arial"/>
                <w:sz w:val="20"/>
                <w:szCs w:val="20"/>
              </w:rPr>
            </w:pPr>
            <w:r w:rsidRPr="008F16D6">
              <w:rPr>
                <w:rFonts w:cs="Arial"/>
                <w:sz w:val="20"/>
                <w:szCs w:val="20"/>
              </w:rPr>
              <w:t>u sadašnjem opsegu</w:t>
            </w:r>
          </w:p>
        </w:tc>
        <w:tc>
          <w:tcPr>
            <w:tcW w:w="1076" w:type="dxa"/>
            <w:shd w:val="clear" w:color="auto" w:fill="auto"/>
            <w:tcMar>
              <w:left w:w="28" w:type="dxa"/>
              <w:right w:w="28" w:type="dxa"/>
            </w:tcMar>
            <w:vAlign w:val="center"/>
            <w:hideMark/>
          </w:tcPr>
          <w:p w14:paraId="46DF74C5" w14:textId="77777777" w:rsidR="008F16D6" w:rsidRPr="008F16D6" w:rsidRDefault="008F16D6" w:rsidP="008F16D6">
            <w:pPr>
              <w:suppressAutoHyphens/>
              <w:jc w:val="center"/>
              <w:rPr>
                <w:rFonts w:cs="Arial"/>
                <w:sz w:val="20"/>
                <w:szCs w:val="20"/>
              </w:rPr>
            </w:pPr>
            <w:r w:rsidRPr="008F16D6">
              <w:rPr>
                <w:rFonts w:cs="Arial"/>
                <w:sz w:val="20"/>
                <w:szCs w:val="20"/>
              </w:rPr>
              <w:t>u sadašnjem opsegu</w:t>
            </w:r>
          </w:p>
        </w:tc>
        <w:tc>
          <w:tcPr>
            <w:tcW w:w="1069" w:type="dxa"/>
            <w:shd w:val="clear" w:color="auto" w:fill="auto"/>
            <w:tcMar>
              <w:left w:w="28" w:type="dxa"/>
              <w:right w:w="28" w:type="dxa"/>
            </w:tcMar>
            <w:vAlign w:val="center"/>
            <w:hideMark/>
          </w:tcPr>
          <w:p w14:paraId="058F7F70" w14:textId="77777777" w:rsidR="008F16D6" w:rsidRPr="008F16D6" w:rsidRDefault="008F16D6" w:rsidP="008F16D6">
            <w:pPr>
              <w:suppressAutoHyphens/>
              <w:jc w:val="center"/>
              <w:rPr>
                <w:rFonts w:cs="Arial"/>
                <w:sz w:val="20"/>
                <w:szCs w:val="20"/>
              </w:rPr>
            </w:pPr>
            <w:r w:rsidRPr="008F16D6">
              <w:rPr>
                <w:rFonts w:cs="Arial"/>
                <w:sz w:val="20"/>
                <w:szCs w:val="20"/>
              </w:rPr>
              <w:t>3% godišnje</w:t>
            </w:r>
          </w:p>
        </w:tc>
        <w:tc>
          <w:tcPr>
            <w:tcW w:w="1069" w:type="dxa"/>
            <w:shd w:val="clear" w:color="auto" w:fill="auto"/>
            <w:tcMar>
              <w:left w:w="28" w:type="dxa"/>
              <w:right w:w="28" w:type="dxa"/>
            </w:tcMar>
            <w:vAlign w:val="center"/>
            <w:hideMark/>
          </w:tcPr>
          <w:p w14:paraId="6D18A54E" w14:textId="77777777" w:rsidR="008F16D6" w:rsidRPr="008F16D6" w:rsidRDefault="008F16D6" w:rsidP="008F16D6">
            <w:pPr>
              <w:suppressAutoHyphens/>
              <w:jc w:val="center"/>
              <w:rPr>
                <w:rFonts w:cs="Arial"/>
                <w:sz w:val="20"/>
                <w:szCs w:val="20"/>
              </w:rPr>
            </w:pPr>
            <w:r w:rsidRPr="008F16D6">
              <w:rPr>
                <w:rFonts w:cs="Arial"/>
                <w:sz w:val="20"/>
                <w:szCs w:val="20"/>
              </w:rPr>
              <w:t>3% godišnje</w:t>
            </w:r>
          </w:p>
        </w:tc>
        <w:tc>
          <w:tcPr>
            <w:tcW w:w="1234" w:type="dxa"/>
            <w:shd w:val="clear" w:color="auto" w:fill="auto"/>
            <w:tcMar>
              <w:left w:w="28" w:type="dxa"/>
              <w:right w:w="28" w:type="dxa"/>
            </w:tcMar>
            <w:vAlign w:val="center"/>
            <w:hideMark/>
          </w:tcPr>
          <w:p w14:paraId="658A9553" w14:textId="77777777" w:rsidR="008F16D6" w:rsidRPr="008F16D6" w:rsidRDefault="008F16D6" w:rsidP="008F16D6">
            <w:pPr>
              <w:suppressAutoHyphens/>
              <w:jc w:val="center"/>
              <w:rPr>
                <w:rFonts w:cs="Arial"/>
                <w:sz w:val="20"/>
                <w:szCs w:val="20"/>
              </w:rPr>
            </w:pPr>
            <w:r w:rsidRPr="008F16D6">
              <w:rPr>
                <w:rFonts w:cs="Arial"/>
                <w:sz w:val="20"/>
                <w:szCs w:val="20"/>
              </w:rPr>
              <w:t>1,6% godišnje</w:t>
            </w:r>
          </w:p>
        </w:tc>
        <w:tc>
          <w:tcPr>
            <w:tcW w:w="1114" w:type="dxa"/>
            <w:shd w:val="clear" w:color="auto" w:fill="auto"/>
            <w:tcMar>
              <w:left w:w="28" w:type="dxa"/>
              <w:right w:w="28" w:type="dxa"/>
            </w:tcMar>
            <w:vAlign w:val="center"/>
            <w:hideMark/>
          </w:tcPr>
          <w:p w14:paraId="108F71E3" w14:textId="77777777" w:rsidR="008F16D6" w:rsidRPr="008F16D6" w:rsidRDefault="008F16D6" w:rsidP="008F16D6">
            <w:pPr>
              <w:suppressAutoHyphens/>
              <w:jc w:val="center"/>
              <w:rPr>
                <w:rFonts w:cs="Arial"/>
                <w:sz w:val="20"/>
                <w:szCs w:val="20"/>
              </w:rPr>
            </w:pPr>
            <w:r w:rsidRPr="008F16D6">
              <w:rPr>
                <w:rFonts w:cs="Arial"/>
                <w:sz w:val="20"/>
                <w:szCs w:val="20"/>
              </w:rPr>
              <w:t>1,6% godišnje</w:t>
            </w:r>
          </w:p>
        </w:tc>
      </w:tr>
      <w:tr w:rsidR="008F16D6" w:rsidRPr="008F16D6" w14:paraId="41AF867D" w14:textId="77777777" w:rsidTr="00AF6B8C">
        <w:trPr>
          <w:trHeight w:val="962"/>
          <w:jc w:val="center"/>
        </w:trPr>
        <w:tc>
          <w:tcPr>
            <w:tcW w:w="1785" w:type="dxa"/>
            <w:tcMar>
              <w:left w:w="28" w:type="dxa"/>
              <w:right w:w="28" w:type="dxa"/>
            </w:tcMar>
            <w:hideMark/>
          </w:tcPr>
          <w:p w14:paraId="233D223F" w14:textId="77777777" w:rsidR="008F16D6" w:rsidRPr="008F16D6" w:rsidRDefault="008F16D6" w:rsidP="008F16D6">
            <w:pPr>
              <w:suppressAutoHyphens/>
              <w:rPr>
                <w:rFonts w:cs="Arial"/>
                <w:sz w:val="20"/>
                <w:szCs w:val="20"/>
              </w:rPr>
            </w:pPr>
            <w:r w:rsidRPr="008F16D6">
              <w:rPr>
                <w:rFonts w:cs="Arial"/>
                <w:sz w:val="20"/>
                <w:szCs w:val="20"/>
              </w:rPr>
              <w:t>Udio električnih i hibridnih vozila u ukupnoj putničkoj aktivnosti u cestovnom prometu</w:t>
            </w:r>
          </w:p>
        </w:tc>
        <w:tc>
          <w:tcPr>
            <w:tcW w:w="1471" w:type="dxa"/>
            <w:vAlign w:val="center"/>
          </w:tcPr>
          <w:p w14:paraId="7B579536" w14:textId="77777777" w:rsidR="008F16D6" w:rsidRPr="008F16D6" w:rsidRDefault="008F16D6" w:rsidP="008F16D6">
            <w:pPr>
              <w:suppressAutoHyphens/>
              <w:jc w:val="center"/>
              <w:rPr>
                <w:rFonts w:cs="Arial"/>
                <w:sz w:val="20"/>
                <w:szCs w:val="20"/>
              </w:rPr>
            </w:pPr>
            <w:r w:rsidRPr="008F16D6">
              <w:rPr>
                <w:rFonts w:cs="Arial"/>
                <w:sz w:val="20"/>
                <w:szCs w:val="20"/>
              </w:rPr>
              <w:t>1%</w:t>
            </w:r>
          </w:p>
        </w:tc>
        <w:tc>
          <w:tcPr>
            <w:tcW w:w="1124" w:type="dxa"/>
            <w:shd w:val="clear" w:color="auto" w:fill="auto"/>
            <w:tcMar>
              <w:left w:w="28" w:type="dxa"/>
              <w:right w:w="28" w:type="dxa"/>
            </w:tcMar>
            <w:vAlign w:val="center"/>
            <w:hideMark/>
          </w:tcPr>
          <w:p w14:paraId="6A044003" w14:textId="77777777" w:rsidR="008F16D6" w:rsidRPr="008F16D6" w:rsidRDefault="008F16D6" w:rsidP="008F16D6">
            <w:pPr>
              <w:suppressAutoHyphens/>
              <w:jc w:val="center"/>
              <w:rPr>
                <w:rFonts w:cs="Arial"/>
                <w:sz w:val="20"/>
                <w:szCs w:val="20"/>
              </w:rPr>
            </w:pPr>
            <w:r w:rsidRPr="008F16D6">
              <w:rPr>
                <w:rFonts w:cs="Arial"/>
                <w:sz w:val="20"/>
                <w:szCs w:val="20"/>
              </w:rPr>
              <w:t>2,5%</w:t>
            </w:r>
          </w:p>
        </w:tc>
        <w:tc>
          <w:tcPr>
            <w:tcW w:w="1076" w:type="dxa"/>
            <w:shd w:val="clear" w:color="auto" w:fill="auto"/>
            <w:tcMar>
              <w:left w:w="28" w:type="dxa"/>
              <w:right w:w="28" w:type="dxa"/>
            </w:tcMar>
            <w:vAlign w:val="center"/>
            <w:hideMark/>
          </w:tcPr>
          <w:p w14:paraId="4018959F" w14:textId="77777777" w:rsidR="008F16D6" w:rsidRPr="008F16D6" w:rsidRDefault="008F16D6" w:rsidP="008F16D6">
            <w:pPr>
              <w:suppressAutoHyphens/>
              <w:jc w:val="center"/>
              <w:rPr>
                <w:rFonts w:cs="Arial"/>
                <w:sz w:val="20"/>
                <w:szCs w:val="20"/>
              </w:rPr>
            </w:pPr>
            <w:r w:rsidRPr="008F16D6">
              <w:rPr>
                <w:rFonts w:cs="Arial"/>
                <w:sz w:val="20"/>
                <w:szCs w:val="20"/>
              </w:rPr>
              <w:t>30%</w:t>
            </w:r>
          </w:p>
        </w:tc>
        <w:tc>
          <w:tcPr>
            <w:tcW w:w="1069" w:type="dxa"/>
            <w:shd w:val="clear" w:color="auto" w:fill="auto"/>
            <w:tcMar>
              <w:left w:w="28" w:type="dxa"/>
              <w:right w:w="28" w:type="dxa"/>
            </w:tcMar>
            <w:vAlign w:val="center"/>
            <w:hideMark/>
          </w:tcPr>
          <w:p w14:paraId="0A30C922" w14:textId="77777777" w:rsidR="008F16D6" w:rsidRPr="008F16D6" w:rsidRDefault="008F16D6" w:rsidP="008F16D6">
            <w:pPr>
              <w:suppressAutoHyphens/>
              <w:jc w:val="center"/>
              <w:rPr>
                <w:rFonts w:cs="Arial"/>
                <w:sz w:val="20"/>
                <w:szCs w:val="20"/>
              </w:rPr>
            </w:pPr>
            <w:r w:rsidRPr="008F16D6">
              <w:rPr>
                <w:rFonts w:cs="Arial"/>
                <w:sz w:val="20"/>
                <w:szCs w:val="20"/>
              </w:rPr>
              <w:t>4,5%</w:t>
            </w:r>
          </w:p>
        </w:tc>
        <w:tc>
          <w:tcPr>
            <w:tcW w:w="1069" w:type="dxa"/>
            <w:shd w:val="clear" w:color="auto" w:fill="auto"/>
            <w:tcMar>
              <w:left w:w="28" w:type="dxa"/>
              <w:right w:w="28" w:type="dxa"/>
            </w:tcMar>
            <w:vAlign w:val="center"/>
            <w:hideMark/>
          </w:tcPr>
          <w:p w14:paraId="0CA0E510" w14:textId="77777777" w:rsidR="008F16D6" w:rsidRPr="008F16D6" w:rsidRDefault="008F16D6" w:rsidP="008F16D6">
            <w:pPr>
              <w:suppressAutoHyphens/>
              <w:jc w:val="center"/>
              <w:rPr>
                <w:rFonts w:cs="Arial"/>
                <w:sz w:val="20"/>
                <w:szCs w:val="20"/>
              </w:rPr>
            </w:pPr>
            <w:r w:rsidRPr="008F16D6">
              <w:rPr>
                <w:rFonts w:cs="Arial"/>
                <w:sz w:val="20"/>
                <w:szCs w:val="20"/>
              </w:rPr>
              <w:t>85%</w:t>
            </w:r>
          </w:p>
        </w:tc>
        <w:tc>
          <w:tcPr>
            <w:tcW w:w="1234" w:type="dxa"/>
            <w:shd w:val="clear" w:color="auto" w:fill="auto"/>
            <w:tcMar>
              <w:left w:w="28" w:type="dxa"/>
              <w:right w:w="28" w:type="dxa"/>
            </w:tcMar>
            <w:vAlign w:val="center"/>
            <w:hideMark/>
          </w:tcPr>
          <w:p w14:paraId="138043C6" w14:textId="77777777" w:rsidR="008F16D6" w:rsidRPr="008F16D6" w:rsidRDefault="008F16D6" w:rsidP="008F16D6">
            <w:pPr>
              <w:suppressAutoHyphens/>
              <w:jc w:val="center"/>
              <w:rPr>
                <w:rFonts w:cs="Arial"/>
                <w:sz w:val="20"/>
                <w:szCs w:val="20"/>
              </w:rPr>
            </w:pPr>
            <w:r w:rsidRPr="008F16D6">
              <w:rPr>
                <w:rFonts w:cs="Arial"/>
                <w:sz w:val="20"/>
                <w:szCs w:val="20"/>
              </w:rPr>
              <w:t>3,5%</w:t>
            </w:r>
          </w:p>
        </w:tc>
        <w:tc>
          <w:tcPr>
            <w:tcW w:w="1114" w:type="dxa"/>
            <w:shd w:val="clear" w:color="auto" w:fill="auto"/>
            <w:tcMar>
              <w:left w:w="28" w:type="dxa"/>
              <w:right w:w="28" w:type="dxa"/>
            </w:tcMar>
            <w:vAlign w:val="center"/>
            <w:hideMark/>
          </w:tcPr>
          <w:p w14:paraId="3AB4B5CF" w14:textId="77777777" w:rsidR="008F16D6" w:rsidRPr="008F16D6" w:rsidRDefault="008F16D6" w:rsidP="008F16D6">
            <w:pPr>
              <w:suppressAutoHyphens/>
              <w:jc w:val="center"/>
              <w:rPr>
                <w:rFonts w:cs="Arial"/>
                <w:sz w:val="20"/>
                <w:szCs w:val="20"/>
              </w:rPr>
            </w:pPr>
            <w:r w:rsidRPr="008F16D6">
              <w:rPr>
                <w:rFonts w:cs="Arial"/>
                <w:sz w:val="20"/>
                <w:szCs w:val="20"/>
              </w:rPr>
              <w:t>65%</w:t>
            </w:r>
          </w:p>
        </w:tc>
      </w:tr>
      <w:tr w:rsidR="008F16D6" w:rsidRPr="008F16D6" w14:paraId="660EEB50" w14:textId="77777777" w:rsidTr="00AF6B8C">
        <w:trPr>
          <w:trHeight w:val="577"/>
          <w:jc w:val="center"/>
        </w:trPr>
        <w:tc>
          <w:tcPr>
            <w:tcW w:w="1785" w:type="dxa"/>
            <w:tcMar>
              <w:left w:w="28" w:type="dxa"/>
              <w:right w:w="28" w:type="dxa"/>
            </w:tcMar>
            <w:hideMark/>
          </w:tcPr>
          <w:p w14:paraId="05C73D69" w14:textId="77777777" w:rsidR="008F16D6" w:rsidRPr="008F16D6" w:rsidRDefault="008F16D6" w:rsidP="008F16D6">
            <w:pPr>
              <w:suppressAutoHyphens/>
              <w:rPr>
                <w:rFonts w:cs="Arial"/>
                <w:sz w:val="20"/>
                <w:szCs w:val="20"/>
                <w:highlight w:val="yellow"/>
              </w:rPr>
            </w:pPr>
            <w:bookmarkStart w:id="44" w:name="_Hlk5268714"/>
            <w:r w:rsidRPr="008F16D6">
              <w:rPr>
                <w:rFonts w:cs="Arial"/>
                <w:sz w:val="20"/>
                <w:szCs w:val="20"/>
              </w:rPr>
              <w:t>Udio OIE u bruto neposrednoj potrošnji energije</w:t>
            </w:r>
          </w:p>
        </w:tc>
        <w:tc>
          <w:tcPr>
            <w:tcW w:w="1471" w:type="dxa"/>
            <w:vAlign w:val="center"/>
          </w:tcPr>
          <w:p w14:paraId="478B8A02" w14:textId="77777777" w:rsidR="008F16D6" w:rsidRPr="008F16D6" w:rsidRDefault="008F16D6" w:rsidP="008F16D6">
            <w:pPr>
              <w:suppressAutoHyphens/>
              <w:jc w:val="center"/>
              <w:rPr>
                <w:rFonts w:cs="Arial"/>
                <w:sz w:val="20"/>
                <w:szCs w:val="20"/>
              </w:rPr>
            </w:pPr>
            <w:r w:rsidRPr="008F16D6">
              <w:rPr>
                <w:rFonts w:cs="Arial"/>
                <w:sz w:val="20"/>
                <w:szCs w:val="20"/>
              </w:rPr>
              <w:t>27,3%</w:t>
            </w:r>
          </w:p>
        </w:tc>
        <w:tc>
          <w:tcPr>
            <w:tcW w:w="1124" w:type="dxa"/>
            <w:shd w:val="clear" w:color="auto" w:fill="auto"/>
            <w:tcMar>
              <w:left w:w="28" w:type="dxa"/>
              <w:right w:w="28" w:type="dxa"/>
            </w:tcMar>
            <w:vAlign w:val="center"/>
            <w:hideMark/>
          </w:tcPr>
          <w:p w14:paraId="4F3A56A7" w14:textId="77777777" w:rsidR="008F16D6" w:rsidRPr="008F16D6" w:rsidRDefault="008F16D6" w:rsidP="008F16D6">
            <w:pPr>
              <w:suppressAutoHyphens/>
              <w:jc w:val="center"/>
              <w:rPr>
                <w:rFonts w:cs="Arial"/>
                <w:sz w:val="20"/>
                <w:szCs w:val="20"/>
              </w:rPr>
            </w:pPr>
            <w:r w:rsidRPr="008F16D6">
              <w:rPr>
                <w:rFonts w:cs="Arial"/>
                <w:sz w:val="20"/>
                <w:szCs w:val="20"/>
              </w:rPr>
              <w:t>35,7%</w:t>
            </w:r>
          </w:p>
        </w:tc>
        <w:tc>
          <w:tcPr>
            <w:tcW w:w="1076" w:type="dxa"/>
            <w:shd w:val="clear" w:color="auto" w:fill="auto"/>
            <w:tcMar>
              <w:left w:w="28" w:type="dxa"/>
              <w:right w:w="28" w:type="dxa"/>
            </w:tcMar>
            <w:vAlign w:val="center"/>
            <w:hideMark/>
          </w:tcPr>
          <w:p w14:paraId="0C1B1C0A" w14:textId="77777777" w:rsidR="008F16D6" w:rsidRPr="008F16D6" w:rsidRDefault="008F16D6" w:rsidP="008F16D6">
            <w:pPr>
              <w:suppressAutoHyphens/>
              <w:jc w:val="center"/>
              <w:rPr>
                <w:rFonts w:cs="Arial"/>
                <w:sz w:val="20"/>
                <w:szCs w:val="20"/>
              </w:rPr>
            </w:pPr>
            <w:r w:rsidRPr="008F16D6">
              <w:rPr>
                <w:rFonts w:cs="Arial"/>
                <w:sz w:val="20"/>
                <w:szCs w:val="20"/>
              </w:rPr>
              <w:t>45,5%</w:t>
            </w:r>
          </w:p>
        </w:tc>
        <w:tc>
          <w:tcPr>
            <w:tcW w:w="1069" w:type="dxa"/>
            <w:shd w:val="clear" w:color="auto" w:fill="auto"/>
            <w:tcMar>
              <w:left w:w="28" w:type="dxa"/>
              <w:right w:w="28" w:type="dxa"/>
            </w:tcMar>
            <w:vAlign w:val="center"/>
            <w:hideMark/>
          </w:tcPr>
          <w:p w14:paraId="070F572C" w14:textId="77777777" w:rsidR="008F16D6" w:rsidRPr="008F16D6" w:rsidRDefault="008F16D6" w:rsidP="008F16D6">
            <w:pPr>
              <w:suppressAutoHyphens/>
              <w:jc w:val="center"/>
              <w:rPr>
                <w:rFonts w:cs="Arial"/>
                <w:sz w:val="20"/>
                <w:szCs w:val="20"/>
              </w:rPr>
            </w:pPr>
            <w:r w:rsidRPr="008F16D6">
              <w:rPr>
                <w:rFonts w:cs="Arial"/>
                <w:sz w:val="20"/>
                <w:szCs w:val="20"/>
              </w:rPr>
              <w:t>36,7%</w:t>
            </w:r>
          </w:p>
        </w:tc>
        <w:tc>
          <w:tcPr>
            <w:tcW w:w="1069" w:type="dxa"/>
            <w:shd w:val="clear" w:color="auto" w:fill="auto"/>
            <w:tcMar>
              <w:left w:w="28" w:type="dxa"/>
              <w:right w:w="28" w:type="dxa"/>
            </w:tcMar>
            <w:vAlign w:val="center"/>
            <w:hideMark/>
          </w:tcPr>
          <w:p w14:paraId="728FD48D" w14:textId="77777777" w:rsidR="008F16D6" w:rsidRPr="008F16D6" w:rsidRDefault="008F16D6" w:rsidP="008F16D6">
            <w:pPr>
              <w:suppressAutoHyphens/>
              <w:jc w:val="center"/>
              <w:rPr>
                <w:rFonts w:cs="Arial"/>
                <w:sz w:val="20"/>
                <w:szCs w:val="20"/>
              </w:rPr>
            </w:pPr>
            <w:r w:rsidRPr="008F16D6">
              <w:rPr>
                <w:rFonts w:cs="Arial"/>
                <w:sz w:val="20"/>
                <w:szCs w:val="20"/>
              </w:rPr>
              <w:t>65,6%</w:t>
            </w:r>
          </w:p>
        </w:tc>
        <w:tc>
          <w:tcPr>
            <w:tcW w:w="1234" w:type="dxa"/>
            <w:shd w:val="clear" w:color="auto" w:fill="auto"/>
            <w:tcMar>
              <w:left w:w="28" w:type="dxa"/>
              <w:right w:w="28" w:type="dxa"/>
            </w:tcMar>
            <w:vAlign w:val="center"/>
            <w:hideMark/>
          </w:tcPr>
          <w:p w14:paraId="12DA0D73" w14:textId="77777777" w:rsidR="008F16D6" w:rsidRPr="008F16D6" w:rsidRDefault="008F16D6" w:rsidP="008F16D6">
            <w:pPr>
              <w:suppressAutoHyphens/>
              <w:jc w:val="center"/>
              <w:rPr>
                <w:rFonts w:cs="Arial"/>
                <w:sz w:val="20"/>
                <w:szCs w:val="20"/>
              </w:rPr>
            </w:pPr>
            <w:r w:rsidRPr="008F16D6">
              <w:rPr>
                <w:rFonts w:cs="Arial"/>
                <w:sz w:val="20"/>
                <w:szCs w:val="20"/>
              </w:rPr>
              <w:t>36,6%</w:t>
            </w:r>
          </w:p>
        </w:tc>
        <w:tc>
          <w:tcPr>
            <w:tcW w:w="1114" w:type="dxa"/>
            <w:shd w:val="clear" w:color="auto" w:fill="auto"/>
            <w:tcMar>
              <w:left w:w="28" w:type="dxa"/>
              <w:right w:w="28" w:type="dxa"/>
            </w:tcMar>
            <w:vAlign w:val="center"/>
            <w:hideMark/>
          </w:tcPr>
          <w:p w14:paraId="5242C1BA" w14:textId="77777777" w:rsidR="008F16D6" w:rsidRPr="008F16D6" w:rsidRDefault="008F16D6" w:rsidP="008F16D6">
            <w:pPr>
              <w:suppressAutoHyphens/>
              <w:jc w:val="center"/>
              <w:rPr>
                <w:rFonts w:cs="Arial"/>
                <w:sz w:val="20"/>
                <w:szCs w:val="20"/>
              </w:rPr>
            </w:pPr>
            <w:r w:rsidRPr="008F16D6">
              <w:rPr>
                <w:rFonts w:cs="Arial"/>
                <w:sz w:val="20"/>
                <w:szCs w:val="20"/>
              </w:rPr>
              <w:t>53,2%</w:t>
            </w:r>
          </w:p>
        </w:tc>
      </w:tr>
      <w:bookmarkEnd w:id="44"/>
      <w:tr w:rsidR="008F16D6" w:rsidRPr="008F16D6" w14:paraId="50C686C9" w14:textId="77777777" w:rsidTr="00AF6B8C">
        <w:trPr>
          <w:trHeight w:val="192"/>
          <w:jc w:val="center"/>
        </w:trPr>
        <w:tc>
          <w:tcPr>
            <w:tcW w:w="1785" w:type="dxa"/>
            <w:tcMar>
              <w:left w:w="28" w:type="dxa"/>
              <w:right w:w="28" w:type="dxa"/>
            </w:tcMar>
          </w:tcPr>
          <w:p w14:paraId="656647BC" w14:textId="77777777" w:rsidR="008F16D6" w:rsidRPr="008F16D6" w:rsidRDefault="008F16D6" w:rsidP="008F16D6">
            <w:pPr>
              <w:suppressAutoHyphens/>
              <w:rPr>
                <w:rFonts w:cs="Arial"/>
                <w:sz w:val="20"/>
                <w:szCs w:val="20"/>
                <w:highlight w:val="yellow"/>
              </w:rPr>
            </w:pPr>
            <w:r w:rsidRPr="008F16D6">
              <w:rPr>
                <w:rFonts w:cs="Arial"/>
                <w:sz w:val="20"/>
                <w:szCs w:val="20"/>
              </w:rPr>
              <w:t>Udio OIE u proizvodnji električne energije</w:t>
            </w:r>
          </w:p>
        </w:tc>
        <w:tc>
          <w:tcPr>
            <w:tcW w:w="1471" w:type="dxa"/>
            <w:vAlign w:val="center"/>
          </w:tcPr>
          <w:p w14:paraId="1FDAD1D0" w14:textId="77777777" w:rsidR="008F16D6" w:rsidRPr="008F16D6" w:rsidRDefault="008F16D6" w:rsidP="008F16D6">
            <w:pPr>
              <w:suppressAutoHyphens/>
              <w:jc w:val="center"/>
              <w:rPr>
                <w:rFonts w:cs="Arial"/>
                <w:sz w:val="20"/>
                <w:szCs w:val="20"/>
              </w:rPr>
            </w:pPr>
            <w:r w:rsidRPr="008F16D6">
              <w:rPr>
                <w:rFonts w:cs="Arial"/>
                <w:sz w:val="20"/>
                <w:szCs w:val="20"/>
              </w:rPr>
              <w:t>45%</w:t>
            </w:r>
          </w:p>
        </w:tc>
        <w:tc>
          <w:tcPr>
            <w:tcW w:w="1124" w:type="dxa"/>
            <w:shd w:val="clear" w:color="auto" w:fill="auto"/>
            <w:tcMar>
              <w:left w:w="28" w:type="dxa"/>
              <w:right w:w="28" w:type="dxa"/>
            </w:tcMar>
            <w:vAlign w:val="center"/>
          </w:tcPr>
          <w:p w14:paraId="28AFDC39" w14:textId="77777777" w:rsidR="008F16D6" w:rsidRPr="008F16D6" w:rsidRDefault="008F16D6" w:rsidP="008F16D6">
            <w:pPr>
              <w:suppressAutoHyphens/>
              <w:jc w:val="center"/>
              <w:rPr>
                <w:rFonts w:cs="Arial"/>
                <w:sz w:val="20"/>
                <w:szCs w:val="20"/>
              </w:rPr>
            </w:pPr>
            <w:r w:rsidRPr="008F16D6">
              <w:rPr>
                <w:rFonts w:cs="Arial"/>
                <w:sz w:val="20"/>
                <w:szCs w:val="20"/>
              </w:rPr>
              <w:t>60%</w:t>
            </w:r>
          </w:p>
        </w:tc>
        <w:tc>
          <w:tcPr>
            <w:tcW w:w="1076" w:type="dxa"/>
            <w:shd w:val="clear" w:color="auto" w:fill="auto"/>
            <w:tcMar>
              <w:left w:w="28" w:type="dxa"/>
              <w:right w:w="28" w:type="dxa"/>
            </w:tcMar>
            <w:vAlign w:val="center"/>
          </w:tcPr>
          <w:p w14:paraId="7DA0515E" w14:textId="77777777" w:rsidR="008F16D6" w:rsidRPr="008F16D6" w:rsidRDefault="008F16D6" w:rsidP="008F16D6">
            <w:pPr>
              <w:suppressAutoHyphens/>
              <w:jc w:val="center"/>
              <w:rPr>
                <w:rFonts w:cs="Arial"/>
                <w:sz w:val="20"/>
                <w:szCs w:val="20"/>
              </w:rPr>
            </w:pPr>
            <w:r w:rsidRPr="008F16D6">
              <w:rPr>
                <w:rFonts w:cs="Arial"/>
                <w:sz w:val="20"/>
                <w:szCs w:val="20"/>
              </w:rPr>
              <w:t>82%</w:t>
            </w:r>
          </w:p>
        </w:tc>
        <w:tc>
          <w:tcPr>
            <w:tcW w:w="1069" w:type="dxa"/>
            <w:shd w:val="clear" w:color="auto" w:fill="auto"/>
            <w:tcMar>
              <w:left w:w="28" w:type="dxa"/>
              <w:right w:w="28" w:type="dxa"/>
            </w:tcMar>
            <w:vAlign w:val="center"/>
          </w:tcPr>
          <w:p w14:paraId="0A5E7B1D" w14:textId="77777777" w:rsidR="008F16D6" w:rsidRPr="008F16D6" w:rsidRDefault="008F16D6" w:rsidP="008F16D6">
            <w:pPr>
              <w:suppressAutoHyphens/>
              <w:jc w:val="center"/>
              <w:rPr>
                <w:rFonts w:cs="Arial"/>
                <w:sz w:val="20"/>
                <w:szCs w:val="20"/>
              </w:rPr>
            </w:pPr>
            <w:r w:rsidRPr="008F16D6">
              <w:rPr>
                <w:rFonts w:cs="Arial"/>
                <w:sz w:val="20"/>
                <w:szCs w:val="20"/>
              </w:rPr>
              <w:t>66%</w:t>
            </w:r>
          </w:p>
        </w:tc>
        <w:tc>
          <w:tcPr>
            <w:tcW w:w="1069" w:type="dxa"/>
            <w:shd w:val="clear" w:color="auto" w:fill="auto"/>
            <w:tcMar>
              <w:left w:w="28" w:type="dxa"/>
              <w:right w:w="28" w:type="dxa"/>
            </w:tcMar>
            <w:vAlign w:val="center"/>
          </w:tcPr>
          <w:p w14:paraId="65A5B3AA" w14:textId="77777777" w:rsidR="008F16D6" w:rsidRPr="008F16D6" w:rsidRDefault="008F16D6" w:rsidP="008F16D6">
            <w:pPr>
              <w:suppressAutoHyphens/>
              <w:jc w:val="center"/>
              <w:rPr>
                <w:rFonts w:cs="Arial"/>
                <w:sz w:val="20"/>
                <w:szCs w:val="20"/>
              </w:rPr>
            </w:pPr>
            <w:r w:rsidRPr="008F16D6">
              <w:rPr>
                <w:rFonts w:cs="Arial"/>
                <w:sz w:val="20"/>
                <w:szCs w:val="20"/>
              </w:rPr>
              <w:t>88%</w:t>
            </w:r>
          </w:p>
        </w:tc>
        <w:tc>
          <w:tcPr>
            <w:tcW w:w="1234" w:type="dxa"/>
            <w:shd w:val="clear" w:color="auto" w:fill="auto"/>
            <w:tcMar>
              <w:left w:w="28" w:type="dxa"/>
              <w:right w:w="28" w:type="dxa"/>
            </w:tcMar>
            <w:vAlign w:val="center"/>
          </w:tcPr>
          <w:p w14:paraId="20EA8070" w14:textId="77777777" w:rsidR="008F16D6" w:rsidRPr="008F16D6" w:rsidRDefault="008F16D6" w:rsidP="008F16D6">
            <w:pPr>
              <w:suppressAutoHyphens/>
              <w:jc w:val="center"/>
              <w:rPr>
                <w:rFonts w:cs="Arial"/>
                <w:sz w:val="20"/>
                <w:szCs w:val="20"/>
              </w:rPr>
            </w:pPr>
            <w:r w:rsidRPr="008F16D6">
              <w:rPr>
                <w:rFonts w:cs="Arial"/>
                <w:sz w:val="20"/>
                <w:szCs w:val="20"/>
              </w:rPr>
              <w:t>61%</w:t>
            </w:r>
          </w:p>
        </w:tc>
        <w:tc>
          <w:tcPr>
            <w:tcW w:w="1114" w:type="dxa"/>
            <w:shd w:val="clear" w:color="auto" w:fill="auto"/>
            <w:tcMar>
              <w:left w:w="28" w:type="dxa"/>
              <w:right w:w="28" w:type="dxa"/>
            </w:tcMar>
            <w:vAlign w:val="center"/>
          </w:tcPr>
          <w:p w14:paraId="5F4E0FF1" w14:textId="77777777" w:rsidR="008F16D6" w:rsidRPr="008F16D6" w:rsidRDefault="008F16D6" w:rsidP="008F16D6">
            <w:pPr>
              <w:suppressAutoHyphens/>
              <w:spacing w:before="240" w:line="288" w:lineRule="auto"/>
              <w:jc w:val="center"/>
              <w:rPr>
                <w:rFonts w:cs="Arial"/>
                <w:sz w:val="20"/>
                <w:szCs w:val="20"/>
              </w:rPr>
            </w:pPr>
            <w:r w:rsidRPr="008F16D6">
              <w:rPr>
                <w:rFonts w:cs="Arial"/>
                <w:sz w:val="20"/>
                <w:szCs w:val="20"/>
              </w:rPr>
              <w:t>83%</w:t>
            </w:r>
          </w:p>
        </w:tc>
      </w:tr>
    </w:tbl>
    <w:p w14:paraId="6B2DBEFC" w14:textId="77777777" w:rsidR="008F16D6" w:rsidRPr="008F16D6" w:rsidRDefault="008F16D6" w:rsidP="008F16D6">
      <w:pPr>
        <w:suppressAutoHyphens/>
        <w:spacing w:after="0" w:line="240" w:lineRule="auto"/>
        <w:jc w:val="both"/>
        <w:rPr>
          <w:rFonts w:ascii="Calibri" w:eastAsia="Calibri" w:hAnsi="Calibri" w:cs="Calibri"/>
          <w:sz w:val="20"/>
          <w:szCs w:val="20"/>
        </w:rPr>
      </w:pPr>
      <w:r w:rsidRPr="008F16D6">
        <w:rPr>
          <w:rFonts w:ascii="Arial" w:eastAsia="Times New Roman" w:hAnsi="Arial" w:cs="Times New Roman"/>
          <w:sz w:val="20"/>
          <w:szCs w:val="20"/>
          <w:lang w:eastAsia="hr-HR"/>
        </w:rPr>
        <w:t>*početno stanje je 2017. godine osim kod emisija stakleničkih plinova kada je za početno stanje relevantna 2016. godina</w:t>
      </w:r>
    </w:p>
    <w:p w14:paraId="5504ADF3" w14:textId="77777777" w:rsidR="008F16D6" w:rsidRPr="008F16D6" w:rsidRDefault="008F16D6" w:rsidP="008F16D6">
      <w:pPr>
        <w:suppressAutoHyphens/>
        <w:spacing w:after="0" w:line="240" w:lineRule="auto"/>
        <w:jc w:val="both"/>
        <w:rPr>
          <w:rFonts w:ascii="Calibri" w:eastAsia="Calibri" w:hAnsi="Calibri" w:cs="Calibri"/>
          <w:sz w:val="20"/>
          <w:szCs w:val="20"/>
        </w:rPr>
      </w:pPr>
      <w:r w:rsidRPr="008F16D6">
        <w:rPr>
          <w:rFonts w:ascii="Arial" w:eastAsia="Times New Roman" w:hAnsi="Arial" w:cs="Times New Roman"/>
          <w:sz w:val="20"/>
          <w:szCs w:val="20"/>
          <w:lang w:eastAsia="hr-HR"/>
        </w:rPr>
        <w:t>**u odnosu na razinu emisije iz 1990. godine</w:t>
      </w:r>
    </w:p>
    <w:p w14:paraId="2F922C67" w14:textId="77777777" w:rsidR="008F16D6" w:rsidRPr="008F16D6" w:rsidRDefault="008F16D6" w:rsidP="008F16D6">
      <w:pPr>
        <w:suppressAutoHyphens/>
        <w:spacing w:after="0" w:line="240" w:lineRule="auto"/>
        <w:jc w:val="both"/>
        <w:rPr>
          <w:rFonts w:ascii="Arial" w:eastAsia="Times New Roman" w:hAnsi="Arial" w:cs="Times New Roman"/>
          <w:sz w:val="20"/>
          <w:szCs w:val="20"/>
          <w:lang w:eastAsia="hr-HR"/>
        </w:rPr>
      </w:pPr>
      <w:r w:rsidRPr="008F16D6">
        <w:rPr>
          <w:rFonts w:ascii="Arial" w:eastAsia="Times New Roman" w:hAnsi="Arial" w:cs="Times New Roman"/>
          <w:sz w:val="20"/>
          <w:szCs w:val="20"/>
          <w:lang w:eastAsia="hr-HR"/>
        </w:rPr>
        <w:t>***u odnosu na potrošnju iz 2005. godine</w:t>
      </w:r>
    </w:p>
    <w:p w14:paraId="15BE3F31"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Za kreiranje Strategije energetskog razvoja Republike Hrvatske do 2030. godine, s pogledom na 2050. godinu referentni scenarij koji će se uzimati u obzir prilikom praćenja ostvarenja pojedinih ciljeva je scenarij umjerene energetske tranzicije (S2). Realizacija ciljeva iz scenarija (S1) prvenstveno će ovisiti o mogućnostima tržišta u ostvarenju ciljeva energetske obnove zgrada i brzini promjena u sektoru prometa, a koji će značajno utjecati na projicirana kretanja potrošnje pojedinih energenata. </w:t>
      </w:r>
    </w:p>
    <w:p w14:paraId="3E8AF120" w14:textId="72207CD0"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S obzirom na nužnost i opravdanost tranzicije energetskog sektora RH, Strategija sadrži projekcije te energetske i ekonomske pokazatelje za oba tra</w:t>
      </w:r>
      <w:r w:rsidR="00DD5B7E">
        <w:rPr>
          <w:rFonts w:ascii="Arial" w:eastAsia="Times New Roman" w:hAnsi="Arial" w:cs="Times New Roman"/>
          <w:lang w:eastAsia="hr-HR"/>
        </w:rPr>
        <w:t>nzicijska scenarija (S1 i S2).</w:t>
      </w:r>
    </w:p>
    <w:p w14:paraId="7351268C"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S obzirom da je očekivani udio OIE u bruto neposrednoj potrošnji energije u 2030. godini, za analizirane scenarije ambiciozniji od zajedničkog cilja na razini EU (32%), obvezujući cilj Republike Hrvatske neće biti veći od zajedničkog cilja za EU. </w:t>
      </w:r>
    </w:p>
    <w:p w14:paraId="0B40C578"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Zbog sigurnosti opskrbe, potrebno je na odgovarajući način planirati razvoj plinske infrastrukture, kako bi se amortizirale sve neizvjesnosti koje sa sobom nose nove tehnologije, posebno one koje se tek razvijaju.</w:t>
      </w:r>
    </w:p>
    <w:p w14:paraId="4EE442C4" w14:textId="77777777" w:rsidR="008F16D6" w:rsidRPr="008F16D6" w:rsidRDefault="008F16D6" w:rsidP="008F16D6">
      <w:pPr>
        <w:keepNext/>
        <w:keepLines/>
        <w:widowControl w:val="0"/>
        <w:numPr>
          <w:ilvl w:val="1"/>
          <w:numId w:val="0"/>
        </w:numPr>
        <w:pBdr>
          <w:bottom w:val="single" w:sz="8" w:space="4" w:color="BE1D2D"/>
        </w:pBdr>
        <w:suppressAutoHyphens/>
        <w:autoSpaceDE w:val="0"/>
        <w:autoSpaceDN w:val="0"/>
        <w:adjustRightInd w:val="0"/>
        <w:spacing w:before="400" w:after="240" w:line="240" w:lineRule="auto"/>
        <w:ind w:left="578" w:hanging="578"/>
        <w:textAlignment w:val="center"/>
        <w:outlineLvl w:val="1"/>
        <w:rPr>
          <w:rFonts w:ascii="Arial" w:eastAsia="Times New Roman" w:hAnsi="Arial" w:cs="Myriad Pro Cond"/>
          <w:b/>
          <w:bCs/>
          <w:color w:val="BE1D2D"/>
          <w:sz w:val="28"/>
          <w:szCs w:val="36"/>
          <w:lang w:eastAsia="hr-HR"/>
        </w:rPr>
      </w:pPr>
      <w:bookmarkStart w:id="45" w:name="_Toc17876357"/>
      <w:r w:rsidRPr="008F16D6">
        <w:rPr>
          <w:rFonts w:ascii="Arial" w:eastAsia="Times New Roman" w:hAnsi="Arial" w:cs="Myriad Pro Cond"/>
          <w:b/>
          <w:bCs/>
          <w:color w:val="BE1D2D"/>
          <w:sz w:val="28"/>
          <w:szCs w:val="36"/>
          <w:lang w:eastAsia="hr-HR"/>
        </w:rPr>
        <w:t>Glavne odrednice razvoja energetskog sektora do 2030. godine</w:t>
      </w:r>
      <w:bookmarkEnd w:id="45"/>
    </w:p>
    <w:p w14:paraId="25E23F8F"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Arial"/>
          <w:lang w:eastAsia="hr-HR"/>
        </w:rPr>
        <w:t xml:space="preserve">Temeljni provedbeni dokument do 2030. godine bit će </w:t>
      </w:r>
      <w:r w:rsidRPr="008F16D6">
        <w:rPr>
          <w:rFonts w:ascii="Arial" w:eastAsia="Arial" w:hAnsi="Arial" w:cs="Arial"/>
          <w:i/>
          <w:iCs/>
          <w:lang w:eastAsia="hr-HR"/>
        </w:rPr>
        <w:t>Integrirani nacionalni energetski i klimatski plan</w:t>
      </w:r>
      <w:r w:rsidRPr="008F16D6">
        <w:rPr>
          <w:rFonts w:ascii="Arial" w:eastAsia="Arial" w:hAnsi="Arial" w:cs="Arial"/>
          <w:lang w:eastAsia="hr-HR"/>
        </w:rPr>
        <w:t>, u kojem će se definirati provedbene mjere za postizanje ciljeva. Ostvarenje navedenih ciljeva moguće je kroz koordinirano djelovanje i usklađivanje svih sektora. Stoga je neophodno međusobno uskladiti i niz drugih provedbenih dokumenata, kao i preuzetih obveza. Do 2030. godine naglasak će biti na razradi i implementaciji regulatornog okvira, dok će poseban naglasak biti na implementaciji čistog energetskog paketa, nužnog za nesmetanu i sustavnu provedbu mjera planiranih integriranim nacionalnim energetskim i klimatskim planom. Energetsko tržište bit će nosiva komponenta razvoja energetskog sustava. Neophodno je povećavati potencijale tržišta smanjenjem administrativnih prepreka i uklanjanjem povlaštenih pozicija, povezivanjem tržišta i razvojem novih oblika trgovanja. Razvoj infrastrukture treba podržavati razvoj tržišta u smislu povezivanja sustava, novih pravaca dobave energije, povećanja fleksibilnosti sustava i sigurnosti opskrbe. Nužno je osigurati jednak način i uvjete pristupa sustavu i tržištu svih opcija na strani proizvodnje i potrošnje</w:t>
      </w:r>
      <w:r w:rsidRPr="008F16D6">
        <w:rPr>
          <w:rFonts w:ascii="Arial" w:eastAsia="Times New Roman" w:hAnsi="Arial" w:cs="Times New Roman"/>
          <w:lang w:eastAsia="hr-HR"/>
        </w:rPr>
        <w:t xml:space="preserve">, </w:t>
      </w:r>
      <w:r w:rsidRPr="008F16D6">
        <w:rPr>
          <w:rFonts w:ascii="Arial" w:eastAsia="Arial" w:hAnsi="Arial" w:cs="Arial"/>
          <w:lang w:eastAsia="hr-HR"/>
        </w:rPr>
        <w:t>kao i uvođenje mehanizama za razvoj proizvodnih kapaciteta (CRM) ukoliko isto bude potrebno za osiguranje dostatnosti proizvodnih kapaciteta koji nisu komercijalno/tržišno konkurentni, no nužni su zbog sigurnosti rada elektroenergetskog sustava i njegovog vođenja pri dominantnom udjelu OIE.</w:t>
      </w:r>
    </w:p>
    <w:p w14:paraId="73AD0911"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Arial"/>
          <w:lang w:eastAsia="hr-HR"/>
        </w:rPr>
        <w:t xml:space="preserve">Operator distribucijskog sustava će se, radi pružanja sigurnosti opskrbe i nepristranog oslonca tržištu električne energije, iz tradicionalne uloge operatora „pasivne“ mreže razviti u operatora koji aktivno koristi usluge fleksibilnosti proizvodnje, potrošnje i skladištenja električne energije te nabave pomoćnih usluga od strane korisnika mreže priključenih na distribucijski sustav. U distribucijskom sustavu uvest će se sustav naprednog mjerenja, mreža će se modernizirati i automatizirati te će se unaprijediti informacijsko-komunikacijski sustavi, što će korisnicima distribucijske mreže omogućiti sudjelovanje na tržištu električne energije (izravno ili posredstvom agregatora). Mreža će se prilagoditi za daljnje povećanje broja distribuiranih izvora energije, kupaca s vlastitom proizvodnjom i električnih vozila. </w:t>
      </w:r>
    </w:p>
    <w:p w14:paraId="5041D340"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 xml:space="preserve">Revitalizacijom postojećih i priključenjem novih dionica na centralni toplinski sustav velikih gradova povećat će se učinkovitost i smanjiti gubici toplinarstva. Priključenjem tehnološki različitih izvora i akumulatora toplinske energije, povećat će se konkurentnost centralnih toplinskih sustava za buduće rješavanje kombiniranog grijanja i hlađenja s niskotemperaturnim povratom u sustavima velikih gradova. Ukupnoj učinkovitosti centraliziranih toplinskih sustava značajno će doprinijeti energetska obnova zgrada primjena naprednih informacijsko-komunikacijskih sustava i mjerila u vođenju pogona toplinskih sustava.      </w:t>
      </w:r>
    </w:p>
    <w:p w14:paraId="085224AE"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Arial"/>
          <w:lang w:eastAsia="hr-HR"/>
        </w:rPr>
        <w:t>Prirodni plin će imati značajnu ulogu u prelasku na niskougljično gospodarstvo kao fosilno gorivo s najmanjom emisijom ugljikova dioksida te kroz korištenje plinskog sustava za transport i distribuciju dekarboniziranih plinova (ugljično-neutralan metan, bilo kao sintetički metan (PtCH</w:t>
      </w:r>
      <w:r w:rsidRPr="008F16D6">
        <w:rPr>
          <w:rFonts w:ascii="Arial" w:eastAsia="Arial" w:hAnsi="Arial" w:cs="Arial"/>
          <w:vertAlign w:val="subscript"/>
          <w:lang w:eastAsia="hr-HR"/>
        </w:rPr>
        <w:t>4</w:t>
      </w:r>
      <w:r w:rsidRPr="008F16D6">
        <w:rPr>
          <w:rFonts w:ascii="Arial" w:eastAsia="Arial" w:hAnsi="Arial" w:cs="Arial"/>
          <w:lang w:eastAsia="hr-HR"/>
        </w:rPr>
        <w:t xml:space="preserve">) ili biometan iz anaerobne digestije). </w:t>
      </w:r>
    </w:p>
    <w:p w14:paraId="5255E64D"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 xml:space="preserve">Izgradit će se nova infrastruktura za korištenje alternativnih oblika energije u prometu s ciljem smanjenja emisija stakleničkih plinova (električna energija, vodik, biogoriva, sintetička i parafinska goriva, prirodni plin (SPP/SBM, UPP) i ukapljeni naftni plin). Pravovremenom izgradnjom infrastrukture osigurat će se tehnološka neutralnost, kao jedan od preduvjeta ravnopravnog razvoja tržišta alternativnih oblika energije u sektoru prometa. Razvoj naprednih mreža omogućit će sudjelovanje sektora prometa u troškovno učinkovitom pružanju usluga fleksibilnosti i uravnoteženja elektroenergetskog sustava. Iskoristit će se sve raspoložive i troškovno učinkovite opcije kako bi se dostigli ukupno zadani ciljevi udjela OIE-a u prometu, kao i ciljevi koji se odnose na napredna biogoriva. </w:t>
      </w:r>
    </w:p>
    <w:p w14:paraId="4470EF90"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Times New Roman"/>
          <w:lang w:eastAsia="hr-HR"/>
        </w:rPr>
        <w:t xml:space="preserve">Smanjenjem administrativnih prepreka i davanjem prednosti niskougljičnim rješenjima, povezivanjem tržišta i razvojem novih oblika trgovanja povećat će se potencijali tržišta. Provest će se institucionalne mjere nužne za povećanje učinkovitosti sustava, povećanje poticajnog poslovnog okruženja i daljnje otvaranje tržišta. Uspostavit će se okvir za ostvarivanje godišnjih ciljeva energetske učinkovitosti (posebice energetske obnove zgrada) u organizacijskom, provedbenom i financijskom smislu. </w:t>
      </w:r>
    </w:p>
    <w:p w14:paraId="3BA34E1D"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Tranzicija energetskog sektora mijenja odnose u cijelom lancu proizvodnje, transporta/prijenosa, distribucije i potrošnje i nijedan poslovni subjekt, kućanstvo ili građanin neće ostati izvan njezinog obuhvata. To ukazuje na potrebu stalnog obrazovanja i informiranja o svim elementima tranzicije.</w:t>
      </w:r>
    </w:p>
    <w:p w14:paraId="02F89078" w14:textId="67F59F2E"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Odrednice razvoja energetskog sektora za oba scenarija do 2030. su slične, s obzirom da priprema dokumentacije i izgradnja većih energetskih projekata zahtjeva višegodišnje razdoblje.</w:t>
      </w:r>
    </w:p>
    <w:p w14:paraId="14CB0E95" w14:textId="77777777"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ind w:left="576" w:hanging="576"/>
        <w:textAlignment w:val="center"/>
        <w:outlineLvl w:val="1"/>
        <w:rPr>
          <w:rFonts w:ascii="Arial" w:eastAsia="Times New Roman" w:hAnsi="Arial" w:cs="Myriad Pro Cond"/>
          <w:b/>
          <w:bCs/>
          <w:color w:val="BE1D2D"/>
          <w:sz w:val="28"/>
          <w:szCs w:val="36"/>
          <w:lang w:eastAsia="hr-HR"/>
        </w:rPr>
      </w:pPr>
      <w:bookmarkStart w:id="46" w:name="_Toc17876358"/>
      <w:r w:rsidRPr="008F16D6">
        <w:rPr>
          <w:rFonts w:ascii="Arial" w:eastAsia="Times New Roman" w:hAnsi="Arial" w:cs="Myriad Pro Cond"/>
          <w:b/>
          <w:bCs/>
          <w:color w:val="BE1D2D"/>
          <w:sz w:val="28"/>
          <w:szCs w:val="36"/>
          <w:lang w:eastAsia="hr-HR"/>
        </w:rPr>
        <w:t>Pogled na razvoj energetskog sektora do 2050. godine</w:t>
      </w:r>
      <w:bookmarkEnd w:id="46"/>
    </w:p>
    <w:p w14:paraId="4CFB2C71"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Ukupna potrošnja energije smanjivat će se do 2050. godine, a povećavat će se korištenje OIE-a te će se kontinuirano odvijati proces prelaska s fosilnih goriva na druge oblike energije, prvenstveno električnu energiju iz OIE-a i druge niskougljične opcije, a na što će značajno utjecati povećanje energetske učinkovitosti i brzina porasta potrošnje električne energije.</w:t>
      </w:r>
    </w:p>
    <w:p w14:paraId="5AE4D260"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Za ostvarenje ciljeva nužan je tehnološki razvoj, povećanje mogućnosti upravljanja energetskim sustavom, distribuirana proizvodnja te digitalizacija kao iznimno važna komponenta tog procesa – kako energetskih sustava (napredne mreže, nadzor, mjerenja i upravljanje sustavom), tako i promjena na strani potrošnje energije.</w:t>
      </w:r>
    </w:p>
    <w:p w14:paraId="17679939"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Glavni pokretač niskougljične energije je očekivani, višestruki porast cijena emisijskih jedinica u narednom razdoblju u odnosu na trenutne cijene. Povećanjem cijena emisijskih jedinica, povećat će se cijena energije nastale iz fosilnih goriva te će OIE postati konkurentni bez dodatnog poticanja. Kako bi se ukupan trošak energije kod krajnjih kupaca zadržao na istoj razini ili dugoročno smanjio, potrebno je provesti mjere energetske učinkovitosti i značajno smanjiti godišnju potrošnju energije stambenih i gospodarskih jedinica.</w:t>
      </w:r>
    </w:p>
    <w:p w14:paraId="7C6DEC35"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Arial"/>
          <w:lang w:eastAsia="hr-HR"/>
        </w:rPr>
        <w:t>Tranzicija energetskog sektora prema niskougljičnoj proizvodnji i potrošnji energije izravno će utjecati na strukturu ukupnih troškova proizvodnje i isporuke energije. Povećat će se udio investicija, a operativni troškovi će se smanjiti. Najveće promjene uzrokovat će mjere energetske učinkovitosti (npr. obnova zgrada), program razvoja elektromobilnosti, razvoj potencijala korištenja UPP-a u prometu te proizvodnja i korištenje energije iz obnovljivih izvora. U svim tim slučajevima povećavaju se ulaganja, a smanjuju operativni troškovi. Neke od mjera, kao npr. energetska obnova zgrada, neće se moći ostvariti u potrebnoj dinamici bez određenog oblika financijske potpore. Energetski obnovljene zgrade (niža potrošnja energije te niži operativni troškovi), veća proizvodnja iz OIE-a i niža potrošnja fosilnih goriva dugoročno će imati pozitivan utjecaj na smanjenje troškova.</w:t>
      </w:r>
    </w:p>
    <w:p w14:paraId="200B988E"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Arial"/>
          <w:lang w:eastAsia="hr-HR"/>
        </w:rPr>
        <w:t xml:space="preserve">Pojedini energetski sustavi (elektroenergetski, plinski, toplinski, prometni) će se povezati i postići sinergiju s informacijsko-komunikacijskim tehnologijama pa će rasti uloga sektora potrošnje u upravljanju sustavima i pružanju pomoćnih usluga (upravljanje potrošnjom, udruživanje kupaca, spremnici energije na strani potrošnje). </w:t>
      </w:r>
    </w:p>
    <w:p w14:paraId="77E83741" w14:textId="54E89F12"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Arial"/>
          <w:lang w:eastAsia="hr-HR"/>
        </w:rPr>
        <w:t>Energetska učinkovitost predstavljat će temeljnu sastavnicu razvoja energetike koja će se ogledati u tehnološkom razvoju proizvodnje, transportu/prijenosu, distribuciji i potrošnji energije te će uključivati mjere države, organizaciju sustava i programe potpore. Razina financijske potpore izravno će utjecati na brzinu i obuhvat obnove fonda zgrada. Godišnji cilj energetske obnove zgrada od 3% fonda zgrada u scenariju ubrzane energetske tranzicije (S1) odnosno od 1,6% u scenariju umjerene energetske tranzicije (S2) je financijski, organizacijski i izvedbeno zahtjevan poduhvat te će ovisno o godišnjoj dinamici realizacije energetske obnove zgrada ovisiti i drugi pokazatelji u razmatranim scenarijima. Gospodarski subjekti koji posluju u energetskom sektoru mogu biti nositelji realizacije programa obnove fonda zgrada kroz razvoj novih oblika poslovanja.</w:t>
      </w:r>
    </w:p>
    <w:p w14:paraId="229CB73F"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Arial"/>
          <w:lang w:eastAsia="hr-HR"/>
        </w:rPr>
        <w:t>Unatoč povećanju energetske učinkovitosti konvencionalnih tehnologija koje koriste fosilna goriva, nužno je uvođenje novih tehnoloških rješenja i oblika energije. Brzina promjena ovisit će o dostupnosti pojedinih tehnologija za građane (razina prihvatljivog troška), razvoju infrastrukture i dinamici daljnjeg tehnološkog razvoja, osobito u domeni spremnika energije (baterije).</w:t>
      </w:r>
    </w:p>
    <w:p w14:paraId="712E9E76"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Arial"/>
          <w:lang w:eastAsia="hr-HR"/>
        </w:rPr>
        <w:t>U sektoru električne energije očekuje se povećanje potrošnje, kao i porast udjela distribuirane proizvodnje. Promjena strukture proizvodnje (odnos centraliziranih i distribuiranih izvora, spremnici energije) utjecat će na količinu energije koja se prenosi mrežom. Navedene promjene zahtijevat će izmjenu metodologija za izračun naknada za korištenje mreže.</w:t>
      </w:r>
    </w:p>
    <w:p w14:paraId="24820603"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Arial"/>
          <w:lang w:eastAsia="hr-HR"/>
        </w:rPr>
        <w:t>Doprinos smanjenju emisije ugljikova dioksida iz stacionarnih izvora bit će moguće ostvariti njegovim izdvajanjem, korištenjem u različitim procesima i skladištenjem u geološkim strukturama ukoliko to bude tehnički izvedivo i komercijalno. Usprkos trenutno relativno visokim troškovima ove tehnologije, očekivani rast cijene emisijskih jedinica će pozitivno utjecati na konkurentnost ove opcije. Potrebno je pratiti tehnološke mogućnosti i opcije za izdvajanje ugljikova dioksida iz atmosfere kroz proizvodnju biomase za energetske potrebe, ali i ostale potrebe biogospodarstva te ih u odgovarajućem trenutku implementirati.</w:t>
      </w:r>
    </w:p>
    <w:p w14:paraId="2B2D5F5B"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Arial"/>
          <w:lang w:eastAsia="hr-HR"/>
        </w:rPr>
        <w:t>Prijenosna mreža bit će dimenzionirana tako da podržava: tržišne transakcije uz eliminaciju eventualne tržišne moći pojedinih subjekata radi ograničenja u prijenosu električne energije, ekonomičan prihvat proizvodnje svih elektrana te zadržavanje zadovoljavajuće sigurnosti opskrbe kupaca električnom energijom. Razvijat će se tehnike i procedure vođenja elektroenergetskog sustava koje će omogućiti visoku razinu sigurnosti, automatizacije i koordinaciju s ostalim operatorima prijenosnih sustava u regiji i šire.</w:t>
      </w:r>
    </w:p>
    <w:p w14:paraId="06AFFDBB"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Arial"/>
          <w:lang w:eastAsia="hr-HR"/>
        </w:rPr>
        <w:t xml:space="preserve">Očekuje se značajno povećanje proizvodnje električne energije na mjestima potrošnje, osobito u dijelu iskorištavanja energije sunca. Broj aktivnih kupaca i kupaca s vlastitom proizvodnjom (engl. </w:t>
      </w:r>
      <w:r w:rsidRPr="008F16D6">
        <w:rPr>
          <w:rFonts w:ascii="Arial" w:eastAsia="Arial" w:hAnsi="Arial" w:cs="Arial"/>
          <w:i/>
          <w:iCs/>
          <w:lang w:eastAsia="hr-HR"/>
        </w:rPr>
        <w:t>prosumers</w:t>
      </w:r>
      <w:r w:rsidRPr="008F16D6">
        <w:rPr>
          <w:rFonts w:ascii="Arial" w:eastAsia="Arial" w:hAnsi="Arial" w:cs="Arial"/>
          <w:lang w:eastAsia="hr-HR"/>
        </w:rPr>
        <w:t xml:space="preserve">) kontinuirano će rasti, kao i njihova uloga na energetskom tržištu. </w:t>
      </w:r>
    </w:p>
    <w:p w14:paraId="28A58FFB" w14:textId="7B2B5CF0"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Arial"/>
          <w:lang w:eastAsia="hr-HR"/>
        </w:rPr>
        <w:t>Povećano korištenje intermitentnih izvora energije (vjetar i sunce) zahtijevat će povećanje fleksibilnosti sustava i tržišne mehanizme koji će uvažiti troškove uravnoteženja sustava i zadovoljiti zahtjeve u dijelu sigurnosti opskrbe (kratkoročne i dugoročne). Svaki sudionik tržišta na strani proizvodnje i potrošnje bit će odgovoran za odstupanja i uravnoteženje. Konkurentnost pojedinih opcija i tehnologija za postizanje potrebne fleksibilnosti sustava odredit će se putem tržišnih mehanizama.</w:t>
      </w:r>
    </w:p>
    <w:p w14:paraId="729147A1"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Nuklearna energija je jedna od niskougljičnih tehnologija pa Republika Hrvatska ostaje uključena u daljnja istraživanja mogućnosti njezina korištenja i mogućnosti produljenja dozvole za rad NE Krško iza 2043. godine. I dalje će se pratiti razvoj novih tehnologija manjih i fleksibilnih reaktora, kao i moguća partnerstva na razvoju novih projekata u susjednim zemljama. Republika Hrvatska također sudjeluje u istraživanju na području nuklearne fuzije kroz istraživački i inženjerski projekt ITER.</w:t>
      </w:r>
    </w:p>
    <w:p w14:paraId="4A75D536" w14:textId="77777777" w:rsidR="008F16D6" w:rsidRPr="008F16D6" w:rsidRDefault="008F16D6" w:rsidP="008F16D6">
      <w:pPr>
        <w:suppressAutoHyphens/>
        <w:spacing w:before="240" w:after="120" w:line="288" w:lineRule="auto"/>
        <w:jc w:val="both"/>
        <w:rPr>
          <w:rFonts w:ascii="Arial" w:eastAsia="Arial" w:hAnsi="Arial" w:cs="Times New Roman"/>
          <w:lang w:eastAsia="hr-HR"/>
        </w:rPr>
      </w:pPr>
      <w:r w:rsidRPr="008F16D6">
        <w:rPr>
          <w:rFonts w:ascii="Arial" w:eastAsia="Arial" w:hAnsi="Arial" w:cs="Times New Roman"/>
          <w:lang w:eastAsia="hr-HR"/>
        </w:rPr>
        <w:t>Primjena distribuirane proizvodnje toplinske energije, razvoj spremnika energije, efikasnost pogona centralnih toplinskih sustava u sprezi s visokoučinkovitim kogenaracijama utjecati na konkurentnost opskrbe ogrjevnom i rashladnom toplinom te tehnološkom parom postojećih i novih kupaca toplinske energije.</w:t>
      </w:r>
      <w:r w:rsidR="00DE1EAC">
        <w:rPr>
          <w:rFonts w:ascii="Arial" w:eastAsia="Arial" w:hAnsi="Arial" w:cs="Times New Roman"/>
          <w:lang w:eastAsia="hr-HR"/>
        </w:rPr>
        <w:t xml:space="preserve"> </w:t>
      </w:r>
      <w:r w:rsidRPr="008F16D6">
        <w:rPr>
          <w:rFonts w:ascii="Arial" w:eastAsia="Arial" w:hAnsi="Arial" w:cs="Times New Roman"/>
          <w:lang w:eastAsia="hr-HR"/>
        </w:rPr>
        <w:t>Očekuje se značajno povećanje korištenja Sunčeva zračenja za proizvodnju topline na mjestima potrošnje, kao i naglašeno osuvremenjivanje korištenja ogrjevnog drveta za toplinske potrebe u ruralnim područjima.</w:t>
      </w:r>
    </w:p>
    <w:p w14:paraId="25815DD9" w14:textId="77777777" w:rsidR="008F16D6" w:rsidRPr="008F16D6" w:rsidRDefault="008F16D6" w:rsidP="008F16D6">
      <w:pPr>
        <w:suppressAutoHyphens/>
        <w:spacing w:before="240" w:after="120" w:line="288" w:lineRule="auto"/>
        <w:jc w:val="both"/>
        <w:rPr>
          <w:rFonts w:ascii="Arial" w:eastAsia="Arial" w:hAnsi="Arial" w:cs="Times New Roman"/>
          <w:lang w:eastAsia="hr-HR"/>
        </w:rPr>
      </w:pPr>
      <w:r w:rsidRPr="008F16D6">
        <w:rPr>
          <w:rFonts w:ascii="Arial" w:eastAsia="Arial" w:hAnsi="Arial" w:cs="Times New Roman"/>
          <w:lang w:eastAsia="hr-HR"/>
        </w:rPr>
        <w:t xml:space="preserve">Prirodni plin je neizostavan </w:t>
      </w:r>
      <w:r w:rsidRPr="008F16D6">
        <w:rPr>
          <w:rFonts w:ascii="Arial" w:eastAsia="Times New Roman" w:hAnsi="Arial" w:cs="Times New Roman"/>
          <w:lang w:eastAsia="hr-HR"/>
        </w:rPr>
        <w:t>energent u tranziciji prema sustavima s visokim udjelima varijabilnih OIE u proizvodnji električne energije, zbog velike zastupljenosti u kogeneracijskim postrojenjima te mogućem sudjelovanju u pružanju usluga regulacije elektroenergetskog sustava. Osnova za postizanje sigurnog i stabilnog tržišta plina je diversifikacija dobavnih pravaca te daljnji razvoj plinske infrastrukture koja će biti u funkciji sigurnosti opskrbe Republike Hrvatske i susjednih država.</w:t>
      </w:r>
    </w:p>
    <w:p w14:paraId="6EFA1084"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Times New Roman"/>
          <w:lang w:eastAsia="hr-HR"/>
        </w:rPr>
        <w:t xml:space="preserve">Naftni sektor će biti pod snažnim utjecajem povećanja korištenja alternativnih goriva te povećanja energetske učinkovitosti. </w:t>
      </w:r>
      <w:r w:rsidRPr="008F16D6">
        <w:rPr>
          <w:rFonts w:ascii="Arial" w:eastAsia="Arial" w:hAnsi="Arial" w:cs="Arial"/>
          <w:lang w:eastAsia="hr-HR"/>
        </w:rPr>
        <w:t xml:space="preserve">Bez obzira na posljedično smanjenje potrošnje naftnih derivata, oni će još uvijek zauzimati značajni udio u ukupnoj potrošnji energije te je potrebno osigurati nesmetanu opskrbu derivatima. S ciljem zaustavljanja trendova pada proizvodnje sirove nafte i prirodnog plina potrebno je potaknuti dodatna ulaganja u postojeće proizvodne kapacitete te u nove istražne aktivnosti. Također je potrebno potaknuti modernizaciju rafinerijskog sektora u cilju povećanja konkurentnosti i energetske učinkovitosti </w:t>
      </w:r>
      <w:r w:rsidRPr="008F16D6">
        <w:rPr>
          <w:rFonts w:ascii="Arial" w:eastAsia="Times New Roman" w:hAnsi="Arial" w:cs="Times New Roman"/>
          <w:lang w:eastAsia="hr-HR"/>
        </w:rPr>
        <w:t xml:space="preserve">kao i modernizaciju i dogradnju naftovodno-skladišne infrastrukture s ciljem sigurnosti opskrbe te sigurnosti i zaštite okoliša, ljudi i materijalnih dobara. </w:t>
      </w:r>
    </w:p>
    <w:p w14:paraId="0A588B1F" w14:textId="49995680"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Realizacija ciljeva do 2050. godine, prema projekcijama iz scenarija S1 i S2,  prvenstveno će ovisiti o mogućnostima tržišta u ostvarenju ciljeva energetske obnove zgrada, brzini promjena u sektoru prometa, konkurentnosti novih tehnologija u proizvodnji i skladištenju energije, a koji će značajno utjecati na strukturu izvora i projicirana kretanja potrošnje pojedinih energenata.</w:t>
      </w:r>
    </w:p>
    <w:p w14:paraId="01DDDEC9" w14:textId="10B1EF9B"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ind w:left="576" w:hanging="576"/>
        <w:textAlignment w:val="center"/>
        <w:outlineLvl w:val="1"/>
        <w:rPr>
          <w:rFonts w:ascii="Arial" w:eastAsia="Times New Roman" w:hAnsi="Arial" w:cs="Myriad Pro Cond"/>
          <w:b/>
          <w:bCs/>
          <w:color w:val="BE1D2D"/>
          <w:sz w:val="28"/>
          <w:szCs w:val="36"/>
          <w:lang w:eastAsia="hr-HR"/>
        </w:rPr>
      </w:pPr>
      <w:bookmarkStart w:id="47" w:name="_Toc4573481"/>
      <w:bookmarkStart w:id="48" w:name="_Toc4574802"/>
      <w:bookmarkStart w:id="49" w:name="_Toc4574928"/>
      <w:bookmarkStart w:id="50" w:name="_Toc536189999"/>
      <w:bookmarkStart w:id="51" w:name="_Toc536193724"/>
      <w:bookmarkStart w:id="52" w:name="_Toc2341100"/>
      <w:bookmarkStart w:id="53" w:name="_Toc17876359"/>
      <w:bookmarkEnd w:id="47"/>
      <w:bookmarkEnd w:id="48"/>
      <w:bookmarkEnd w:id="49"/>
      <w:r w:rsidRPr="00DD5B7E">
        <w:rPr>
          <w:rFonts w:ascii="Arial" w:eastAsia="Times New Roman" w:hAnsi="Arial" w:cs="Myriad Pro Cond"/>
          <w:b/>
          <w:bCs/>
          <w:color w:val="BE1D2D"/>
          <w:sz w:val="28"/>
          <w:szCs w:val="36"/>
          <w:lang w:eastAsia="hr-HR"/>
        </w:rPr>
        <w:t>Demografski razvoj</w:t>
      </w:r>
      <w:bookmarkEnd w:id="50"/>
      <w:bookmarkEnd w:id="51"/>
      <w:bookmarkEnd w:id="52"/>
      <w:bookmarkEnd w:id="53"/>
    </w:p>
    <w:p w14:paraId="37B8732D"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Times New Roman" w:hAnsi="Arial" w:cs="Times New Roman"/>
          <w:lang w:eastAsia="hr-HR"/>
        </w:rPr>
        <w:t xml:space="preserve">Broj i dobna struktura stanovništva prema različitim demografskim i sociološko-gospodarskim obilježjima čini temeljnu odrednicu sadašnjeg i predvidivog društvenog i gospodarskog rasta i razvoja. </w:t>
      </w:r>
      <w:r w:rsidRPr="008F16D6">
        <w:rPr>
          <w:rFonts w:ascii="Arial" w:eastAsia="Arial" w:hAnsi="Arial" w:cs="Arial"/>
          <w:lang w:eastAsia="hr-HR"/>
        </w:rPr>
        <w:t>Demografski trendovi i očekivanja u budućnosti ukazuju na postupno smanjenje broja stanovnika i povećanje broja kućanstava, što izravno utječe na buduće potrebe za energijom – u količini i vrsti.</w:t>
      </w:r>
    </w:p>
    <w:p w14:paraId="60EA9EC8" w14:textId="4DFE2DF5" w:rsidR="00E555AC" w:rsidRPr="00603E2A" w:rsidRDefault="00E555AC" w:rsidP="00E555AC">
      <w:pPr>
        <w:suppressAutoHyphens/>
        <w:spacing w:before="240" w:after="120" w:line="288" w:lineRule="auto"/>
        <w:jc w:val="both"/>
        <w:rPr>
          <w:rFonts w:ascii="Arial" w:eastAsia="Times New Roman" w:hAnsi="Arial" w:cs="Times New Roman"/>
          <w:lang w:eastAsia="hr-HR"/>
        </w:rPr>
      </w:pPr>
      <w:r w:rsidRPr="00603E2A">
        <w:rPr>
          <w:rFonts w:ascii="Arial" w:eastAsia="Times New Roman" w:hAnsi="Arial" w:cs="Times New Roman"/>
          <w:lang w:eastAsia="hr-HR"/>
        </w:rPr>
        <w:t>Demografska kretanja rezultat su dugoročnih negativnih trendova u prošlosti. Za broj stanovnika Republike Hrvatske, mjerenje stvarnih podataka trenutno se ostvaruje samo popisom stanovništva. Kad se uspostavi registar stanovništva Republike Hrvatske bit će dostupni stvar</w:t>
      </w:r>
      <w:r w:rsidR="00283DF9">
        <w:rPr>
          <w:rFonts w:ascii="Arial" w:eastAsia="Times New Roman" w:hAnsi="Arial" w:cs="Times New Roman"/>
          <w:lang w:eastAsia="hr-HR"/>
        </w:rPr>
        <w:t>n</w:t>
      </w:r>
      <w:r w:rsidRPr="00603E2A">
        <w:rPr>
          <w:rFonts w:ascii="Arial" w:eastAsia="Times New Roman" w:hAnsi="Arial" w:cs="Times New Roman"/>
          <w:lang w:eastAsia="hr-HR"/>
        </w:rPr>
        <w:t>i podaci o broju stanovništva te će se moći pratiti trendove i formirati valjane projekcije za budućnost. Demografske projekcije u obzir trebaju uzeti ne samo prirodno već i mehaničko kretanje stanovništva.</w:t>
      </w:r>
    </w:p>
    <w:p w14:paraId="168B86D1" w14:textId="23DA4349" w:rsidR="00E555AC" w:rsidRPr="00603E2A" w:rsidRDefault="00E555AC" w:rsidP="00E555AC">
      <w:pPr>
        <w:suppressAutoHyphens/>
        <w:spacing w:before="240" w:after="120" w:line="288" w:lineRule="auto"/>
        <w:jc w:val="both"/>
        <w:rPr>
          <w:rFonts w:ascii="Arial" w:eastAsia="Times New Roman" w:hAnsi="Arial" w:cs="Times New Roman"/>
          <w:lang w:eastAsia="hr-HR"/>
        </w:rPr>
      </w:pPr>
      <w:r w:rsidRPr="00603E2A">
        <w:rPr>
          <w:rFonts w:ascii="Arial" w:eastAsia="Times New Roman" w:hAnsi="Arial" w:cs="Times New Roman"/>
          <w:lang w:eastAsia="hr-HR"/>
        </w:rPr>
        <w:t>Demografske mjere imaju spore ali dugoročne posljedice, daljnje poboljšanje materijalnih uvjeta, mogućnosti zaposlenja i usluga dostupnih obiteljima te povratak dijela iseljenih hrvatskih građana trebale bi se odraziti na stalnu pozitivnu demografsku sliku Republike Hrvatske</w:t>
      </w:r>
    </w:p>
    <w:p w14:paraId="711A6678" w14:textId="789B0DBD"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ind w:left="578" w:hanging="578"/>
        <w:textAlignment w:val="center"/>
        <w:outlineLvl w:val="1"/>
        <w:rPr>
          <w:rFonts w:ascii="Arial" w:eastAsia="Times New Roman" w:hAnsi="Arial" w:cs="Myriad Pro Cond"/>
          <w:b/>
          <w:bCs/>
          <w:color w:val="BE1D2D"/>
          <w:sz w:val="28"/>
          <w:szCs w:val="36"/>
          <w:lang w:eastAsia="hr-HR"/>
        </w:rPr>
      </w:pPr>
      <w:bookmarkStart w:id="54" w:name="_Toc536190001"/>
      <w:bookmarkStart w:id="55" w:name="_Toc536193726"/>
      <w:bookmarkStart w:id="56" w:name="_Toc2341101"/>
      <w:bookmarkStart w:id="57" w:name="_Toc17876360"/>
      <w:r w:rsidRPr="008F16D6">
        <w:rPr>
          <w:rFonts w:ascii="Arial" w:eastAsia="Times New Roman" w:hAnsi="Arial" w:cs="Myriad Pro Cond"/>
          <w:b/>
          <w:bCs/>
          <w:color w:val="BE1D2D"/>
          <w:sz w:val="28"/>
          <w:szCs w:val="36"/>
          <w:lang w:eastAsia="hr-HR"/>
        </w:rPr>
        <w:t>Gospodarski razvoj</w:t>
      </w:r>
      <w:bookmarkEnd w:id="54"/>
      <w:bookmarkEnd w:id="55"/>
      <w:bookmarkEnd w:id="56"/>
      <w:bookmarkEnd w:id="57"/>
    </w:p>
    <w:p w14:paraId="1CD9F81E"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Ovisno o varijantama demografskih projekcija i kretanju produktivnosti, analizirano je šest različitih scenarija kretanja BDP-a. Za svaku demografsku projekciju izrađene su projekcije razvoja gospodarstva za baznu produktivnost i konvergenciju produktivnosti. S obzirom da se projekcije potrošnje energije temelje na srednjoj varijanti demografskog razvoja, u nastavku su prikazani rezultati kretanja BDP-a upravo za tu varijantu demografije i konvergenciju produktivnosti. Projekcije proizvodnosti rada napravljene su prema dva scenarija:</w:t>
      </w:r>
    </w:p>
    <w:p w14:paraId="71104760" w14:textId="77777777" w:rsidR="008F16D6" w:rsidRPr="008F16D6" w:rsidRDefault="008F16D6" w:rsidP="00181F22">
      <w:pPr>
        <w:numPr>
          <w:ilvl w:val="0"/>
          <w:numId w:val="12"/>
        </w:numPr>
        <w:tabs>
          <w:tab w:val="left" w:pos="431"/>
        </w:tabs>
        <w:suppressAutoHyphens/>
        <w:spacing w:before="240" w:after="120" w:line="240" w:lineRule="auto"/>
        <w:jc w:val="both"/>
        <w:rPr>
          <w:rFonts w:ascii="Arial" w:eastAsia="Times New Roman" w:hAnsi="Arial" w:cs="Tahoma"/>
          <w:lang w:eastAsia="ar-SA"/>
        </w:rPr>
      </w:pPr>
      <w:r w:rsidRPr="008F16D6">
        <w:rPr>
          <w:rFonts w:ascii="Arial" w:eastAsia="Times New Roman" w:hAnsi="Arial" w:cs="Tahoma"/>
          <w:lang w:eastAsia="ar-SA"/>
        </w:rPr>
        <w:t xml:space="preserve">bazni scenarij: koristi se očekivani rast ukupne faktorske produktivnosti (engl. </w:t>
      </w:r>
      <w:r w:rsidRPr="008F16D6">
        <w:rPr>
          <w:rFonts w:ascii="Arial" w:eastAsia="Times New Roman" w:hAnsi="Arial" w:cs="Tahoma"/>
          <w:i/>
          <w:lang w:eastAsia="ar-SA"/>
        </w:rPr>
        <w:t>total factor productivity</w:t>
      </w:r>
      <w:r w:rsidRPr="008F16D6">
        <w:rPr>
          <w:rFonts w:ascii="Arial" w:eastAsia="Times New Roman" w:hAnsi="Arial" w:cs="Tahoma"/>
          <w:lang w:eastAsia="ar-SA"/>
        </w:rPr>
        <w:t xml:space="preserve"> - TFP) te kapitalna opremljenost rada kao u europskim projekcijama;</w:t>
      </w:r>
    </w:p>
    <w:p w14:paraId="188F1BB9" w14:textId="77777777" w:rsidR="008F16D6" w:rsidRPr="008F16D6" w:rsidRDefault="008F16D6" w:rsidP="00181F22">
      <w:pPr>
        <w:numPr>
          <w:ilvl w:val="0"/>
          <w:numId w:val="12"/>
        </w:numPr>
        <w:tabs>
          <w:tab w:val="left" w:pos="431"/>
        </w:tabs>
        <w:suppressAutoHyphens/>
        <w:spacing w:before="240" w:after="120" w:line="240" w:lineRule="auto"/>
        <w:jc w:val="both"/>
        <w:rPr>
          <w:rFonts w:ascii="Arial" w:eastAsia="Times New Roman" w:hAnsi="Arial" w:cs="Tahoma"/>
          <w:lang w:eastAsia="ar-SA"/>
        </w:rPr>
      </w:pPr>
      <w:r w:rsidRPr="008F16D6">
        <w:rPr>
          <w:rFonts w:ascii="Arial" w:eastAsia="Times New Roman" w:hAnsi="Arial" w:cs="Tahoma"/>
          <w:lang w:eastAsia="ar-SA"/>
        </w:rPr>
        <w:t>scenarij konvergencije: rast kapitalne opremljenosti rada preuzet je iz europskih projekcija, dok je pretpostavljeno uspješno provođenje strukturnih reformi što će rezultirati konvergencijom rasta TFP-a prema prosjeku novih država članica.</w:t>
      </w:r>
    </w:p>
    <w:p w14:paraId="452746C6"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Usporedba alternativnih scenarija ukazala je na relativno nizak učinak koje različite demografske projekcije imaju na kretanje BDP-a, budući da sve tri varijante demografskog razvoja temeljem uvedenih pretpostavki rezultiraju sa svega 50-60 tisuća razlike u broju zaposlenih krajem projiciranog razdoblja (2050. godina), što je tek oko 4 % očekivanog broja zaposlenih. Projekcije puno više ovise o varijantnim scenarijima u kretanju TFP-a i posljedično o produktivnosti rada. Stoga je osnovni izazov koji se postavlja pred nositelje ekonomske politike proces osiguranja preduvjeta za brži rast produktivnosti.</w:t>
      </w:r>
    </w:p>
    <w:p w14:paraId="0ED2E71C" w14:textId="27E3078A" w:rsidR="008F16D6" w:rsidRPr="008F16D6" w:rsidRDefault="008F16D6" w:rsidP="008F16D6">
      <w:pPr>
        <w:keepNext/>
        <w:tabs>
          <w:tab w:val="left" w:pos="1247"/>
        </w:tabs>
        <w:suppressAutoHyphens/>
        <w:spacing w:before="360" w:after="120" w:line="288" w:lineRule="auto"/>
        <w:ind w:left="1247" w:hanging="1247"/>
        <w:jc w:val="center"/>
        <w:rPr>
          <w:rFonts w:ascii="Arial" w:eastAsia="Times New Roman" w:hAnsi="Arial" w:cs="Arial"/>
          <w:b/>
          <w:sz w:val="20"/>
          <w:lang w:eastAsia="hr-HR"/>
        </w:rPr>
      </w:pPr>
      <w:bookmarkStart w:id="58" w:name="_Toc532924958"/>
      <w:bookmarkStart w:id="59" w:name="_Toc2341243"/>
      <w:r w:rsidRPr="008F16D6">
        <w:rPr>
          <w:rFonts w:ascii="Arial" w:eastAsia="Times New Roman" w:hAnsi="Arial" w:cs="Arial"/>
          <w:b/>
          <w:sz w:val="20"/>
          <w:lang w:eastAsia="hr-HR"/>
        </w:rPr>
        <w:t xml:space="preserve">Tablica </w:t>
      </w:r>
      <w:r w:rsidRPr="008F16D6">
        <w:rPr>
          <w:rFonts w:ascii="Arial" w:eastAsia="Times New Roman" w:hAnsi="Arial" w:cs="Arial"/>
          <w:b/>
          <w:noProof/>
          <w:sz w:val="20"/>
          <w:lang w:eastAsia="hr-HR"/>
        </w:rPr>
        <w:fldChar w:fldCharType="begin"/>
      </w:r>
      <w:r w:rsidRPr="008F16D6">
        <w:rPr>
          <w:rFonts w:ascii="Arial" w:eastAsia="Times New Roman" w:hAnsi="Arial" w:cs="Arial"/>
          <w:b/>
          <w:noProof/>
          <w:sz w:val="20"/>
          <w:lang w:eastAsia="hr-HR"/>
        </w:rPr>
        <w:instrText xml:space="preserve"> SEQ Tablica \* ARABIC \s 1 </w:instrText>
      </w:r>
      <w:r w:rsidRPr="008F16D6">
        <w:rPr>
          <w:rFonts w:ascii="Arial" w:eastAsia="Times New Roman" w:hAnsi="Arial" w:cs="Arial"/>
          <w:b/>
          <w:noProof/>
          <w:sz w:val="20"/>
          <w:lang w:eastAsia="hr-HR"/>
        </w:rPr>
        <w:fldChar w:fldCharType="separate"/>
      </w:r>
      <w:r w:rsidR="00956178">
        <w:rPr>
          <w:rFonts w:ascii="Arial" w:eastAsia="Times New Roman" w:hAnsi="Arial" w:cs="Arial"/>
          <w:b/>
          <w:noProof/>
          <w:sz w:val="20"/>
          <w:lang w:eastAsia="hr-HR"/>
        </w:rPr>
        <w:t>2</w:t>
      </w:r>
      <w:r w:rsidRPr="008F16D6">
        <w:rPr>
          <w:rFonts w:ascii="Arial" w:eastAsia="Times New Roman" w:hAnsi="Arial" w:cs="Arial"/>
          <w:b/>
          <w:noProof/>
          <w:sz w:val="20"/>
          <w:lang w:eastAsia="hr-HR"/>
        </w:rPr>
        <w:fldChar w:fldCharType="end"/>
      </w:r>
      <w:r w:rsidRPr="008F16D6">
        <w:rPr>
          <w:rFonts w:ascii="Arial" w:eastAsia="Times New Roman" w:hAnsi="Arial" w:cs="Arial"/>
          <w:b/>
          <w:sz w:val="20"/>
          <w:lang w:eastAsia="hr-HR"/>
        </w:rPr>
        <w:t>. Projekcije ekonomskih parametara temeljem srednjih demografskih projekcija</w:t>
      </w:r>
      <w:bookmarkEnd w:id="58"/>
      <w:bookmarkEnd w:id="59"/>
    </w:p>
    <w:tbl>
      <w:tblPr>
        <w:tblW w:w="8768" w:type="dxa"/>
        <w:jc w:val="center"/>
        <w:tblCellMar>
          <w:left w:w="57" w:type="dxa"/>
          <w:right w:w="57" w:type="dxa"/>
        </w:tblCellMar>
        <w:tblLook w:val="04A0" w:firstRow="1" w:lastRow="0" w:firstColumn="1" w:lastColumn="0" w:noHBand="0" w:noVBand="1"/>
      </w:tblPr>
      <w:tblGrid>
        <w:gridCol w:w="3615"/>
        <w:gridCol w:w="1110"/>
        <w:gridCol w:w="1035"/>
        <w:gridCol w:w="1095"/>
        <w:gridCol w:w="975"/>
        <w:gridCol w:w="938"/>
      </w:tblGrid>
      <w:tr w:rsidR="008F16D6" w:rsidRPr="008F16D6" w14:paraId="0C9ECF91" w14:textId="77777777" w:rsidTr="00AF6B8C">
        <w:trPr>
          <w:trHeight w:val="285"/>
          <w:tblHeader/>
          <w:jc w:val="center"/>
        </w:trPr>
        <w:tc>
          <w:tcPr>
            <w:tcW w:w="3615" w:type="dxa"/>
            <w:tcBorders>
              <w:top w:val="single" w:sz="12" w:space="0" w:color="auto"/>
              <w:left w:val="single" w:sz="12" w:space="0" w:color="auto"/>
              <w:bottom w:val="single" w:sz="8" w:space="0" w:color="auto"/>
              <w:right w:val="single" w:sz="8" w:space="0" w:color="auto"/>
            </w:tcBorders>
            <w:shd w:val="clear" w:color="auto" w:fill="auto"/>
            <w:noWrap/>
            <w:hideMark/>
          </w:tcPr>
          <w:p w14:paraId="4BF8D418" w14:textId="77777777" w:rsidR="008F16D6" w:rsidRPr="008F16D6" w:rsidRDefault="008F16D6" w:rsidP="008F16D6">
            <w:pPr>
              <w:keepNext/>
              <w:suppressAutoHyphens/>
              <w:spacing w:after="0" w:line="288" w:lineRule="auto"/>
              <w:jc w:val="both"/>
              <w:rPr>
                <w:rFonts w:ascii="Arial" w:eastAsia="Times New Roman" w:hAnsi="Arial" w:cs="Arial"/>
                <w:b/>
                <w:sz w:val="20"/>
                <w:szCs w:val="20"/>
                <w:lang w:eastAsia="hr-HR"/>
              </w:rPr>
            </w:pPr>
          </w:p>
        </w:tc>
        <w:tc>
          <w:tcPr>
            <w:tcW w:w="1110" w:type="dxa"/>
            <w:tcBorders>
              <w:top w:val="single" w:sz="12" w:space="0" w:color="auto"/>
              <w:left w:val="nil"/>
              <w:bottom w:val="single" w:sz="8" w:space="0" w:color="auto"/>
              <w:right w:val="single" w:sz="8" w:space="0" w:color="auto"/>
            </w:tcBorders>
            <w:shd w:val="clear" w:color="auto" w:fill="auto"/>
            <w:noWrap/>
            <w:vAlign w:val="center"/>
            <w:hideMark/>
          </w:tcPr>
          <w:p w14:paraId="23ED7C08" w14:textId="77777777" w:rsidR="008F16D6" w:rsidRPr="008F16D6" w:rsidRDefault="008F16D6" w:rsidP="008F16D6">
            <w:pPr>
              <w:keepNext/>
              <w:suppressAutoHyphens/>
              <w:spacing w:after="0" w:line="288" w:lineRule="auto"/>
              <w:jc w:val="center"/>
              <w:rPr>
                <w:rFonts w:ascii="Arial" w:eastAsia="Times New Roman" w:hAnsi="Arial" w:cs="Arial"/>
                <w:b/>
                <w:sz w:val="20"/>
                <w:szCs w:val="20"/>
                <w:lang w:eastAsia="hr-HR"/>
              </w:rPr>
            </w:pPr>
            <w:r w:rsidRPr="008F16D6">
              <w:rPr>
                <w:rFonts w:ascii="Arial" w:eastAsia="Times New Roman" w:hAnsi="Arial" w:cs="Arial"/>
                <w:b/>
                <w:bCs/>
                <w:sz w:val="20"/>
                <w:szCs w:val="20"/>
                <w:lang w:eastAsia="hr-HR"/>
              </w:rPr>
              <w:t>2016.</w:t>
            </w:r>
          </w:p>
        </w:tc>
        <w:tc>
          <w:tcPr>
            <w:tcW w:w="1035" w:type="dxa"/>
            <w:tcBorders>
              <w:top w:val="single" w:sz="12" w:space="0" w:color="auto"/>
              <w:left w:val="nil"/>
              <w:bottom w:val="single" w:sz="8" w:space="0" w:color="auto"/>
              <w:right w:val="single" w:sz="8" w:space="0" w:color="auto"/>
            </w:tcBorders>
            <w:shd w:val="clear" w:color="auto" w:fill="auto"/>
            <w:noWrap/>
            <w:vAlign w:val="center"/>
            <w:hideMark/>
          </w:tcPr>
          <w:p w14:paraId="68BBF42E" w14:textId="77777777" w:rsidR="008F16D6" w:rsidRPr="008F16D6" w:rsidRDefault="008F16D6" w:rsidP="008F16D6">
            <w:pPr>
              <w:keepNext/>
              <w:suppressAutoHyphens/>
              <w:spacing w:after="0" w:line="288" w:lineRule="auto"/>
              <w:jc w:val="center"/>
              <w:rPr>
                <w:rFonts w:ascii="Arial" w:eastAsia="Times New Roman" w:hAnsi="Arial" w:cs="Arial"/>
                <w:b/>
                <w:sz w:val="20"/>
                <w:szCs w:val="20"/>
                <w:lang w:eastAsia="hr-HR"/>
              </w:rPr>
            </w:pPr>
            <w:r w:rsidRPr="008F16D6">
              <w:rPr>
                <w:rFonts w:ascii="Arial" w:eastAsia="Times New Roman" w:hAnsi="Arial" w:cs="Arial"/>
                <w:b/>
                <w:bCs/>
                <w:sz w:val="20"/>
                <w:szCs w:val="20"/>
                <w:lang w:eastAsia="hr-HR"/>
              </w:rPr>
              <w:t>2020.</w:t>
            </w:r>
          </w:p>
        </w:tc>
        <w:tc>
          <w:tcPr>
            <w:tcW w:w="1095" w:type="dxa"/>
            <w:tcBorders>
              <w:top w:val="single" w:sz="12" w:space="0" w:color="auto"/>
              <w:left w:val="nil"/>
              <w:bottom w:val="single" w:sz="8" w:space="0" w:color="auto"/>
              <w:right w:val="single" w:sz="8" w:space="0" w:color="auto"/>
            </w:tcBorders>
            <w:shd w:val="clear" w:color="auto" w:fill="auto"/>
            <w:noWrap/>
            <w:vAlign w:val="center"/>
            <w:hideMark/>
          </w:tcPr>
          <w:p w14:paraId="0D93682C" w14:textId="77777777" w:rsidR="008F16D6" w:rsidRPr="008F16D6" w:rsidRDefault="008F16D6" w:rsidP="008F16D6">
            <w:pPr>
              <w:keepNext/>
              <w:suppressAutoHyphens/>
              <w:spacing w:after="0" w:line="288" w:lineRule="auto"/>
              <w:jc w:val="center"/>
              <w:rPr>
                <w:rFonts w:ascii="Arial" w:eastAsia="Times New Roman" w:hAnsi="Arial" w:cs="Arial"/>
                <w:b/>
                <w:sz w:val="20"/>
                <w:szCs w:val="20"/>
                <w:lang w:eastAsia="hr-HR"/>
              </w:rPr>
            </w:pPr>
            <w:r w:rsidRPr="008F16D6">
              <w:rPr>
                <w:rFonts w:ascii="Arial" w:eastAsia="Times New Roman" w:hAnsi="Arial" w:cs="Arial"/>
                <w:b/>
                <w:bCs/>
                <w:sz w:val="20"/>
                <w:szCs w:val="20"/>
                <w:lang w:eastAsia="hr-HR"/>
              </w:rPr>
              <w:t>2030.</w:t>
            </w:r>
          </w:p>
        </w:tc>
        <w:tc>
          <w:tcPr>
            <w:tcW w:w="975" w:type="dxa"/>
            <w:tcBorders>
              <w:top w:val="single" w:sz="12" w:space="0" w:color="auto"/>
              <w:left w:val="nil"/>
              <w:bottom w:val="single" w:sz="8" w:space="0" w:color="auto"/>
              <w:right w:val="single" w:sz="8" w:space="0" w:color="auto"/>
            </w:tcBorders>
            <w:shd w:val="clear" w:color="auto" w:fill="auto"/>
            <w:noWrap/>
            <w:vAlign w:val="center"/>
            <w:hideMark/>
          </w:tcPr>
          <w:p w14:paraId="6B102331" w14:textId="77777777" w:rsidR="008F16D6" w:rsidRPr="008F16D6" w:rsidRDefault="008F16D6" w:rsidP="008F16D6">
            <w:pPr>
              <w:keepNext/>
              <w:suppressAutoHyphens/>
              <w:spacing w:after="0" w:line="288" w:lineRule="auto"/>
              <w:jc w:val="center"/>
              <w:rPr>
                <w:rFonts w:ascii="Arial" w:eastAsia="Times New Roman" w:hAnsi="Arial" w:cs="Arial"/>
                <w:b/>
                <w:sz w:val="20"/>
                <w:szCs w:val="20"/>
                <w:lang w:eastAsia="hr-HR"/>
              </w:rPr>
            </w:pPr>
            <w:r w:rsidRPr="008F16D6">
              <w:rPr>
                <w:rFonts w:ascii="Arial" w:eastAsia="Times New Roman" w:hAnsi="Arial" w:cs="Arial"/>
                <w:b/>
                <w:bCs/>
                <w:sz w:val="20"/>
                <w:szCs w:val="20"/>
                <w:lang w:eastAsia="hr-HR"/>
              </w:rPr>
              <w:t>2040.</w:t>
            </w:r>
          </w:p>
        </w:tc>
        <w:tc>
          <w:tcPr>
            <w:tcW w:w="938" w:type="dxa"/>
            <w:tcBorders>
              <w:top w:val="single" w:sz="12" w:space="0" w:color="auto"/>
              <w:left w:val="nil"/>
              <w:bottom w:val="single" w:sz="8" w:space="0" w:color="auto"/>
              <w:right w:val="single" w:sz="12" w:space="0" w:color="auto"/>
            </w:tcBorders>
            <w:shd w:val="clear" w:color="auto" w:fill="auto"/>
            <w:noWrap/>
            <w:vAlign w:val="center"/>
            <w:hideMark/>
          </w:tcPr>
          <w:p w14:paraId="65230C61" w14:textId="77777777" w:rsidR="008F16D6" w:rsidRPr="008F16D6" w:rsidRDefault="008F16D6" w:rsidP="008F16D6">
            <w:pPr>
              <w:keepNext/>
              <w:suppressAutoHyphens/>
              <w:spacing w:after="0" w:line="288" w:lineRule="auto"/>
              <w:jc w:val="center"/>
              <w:rPr>
                <w:rFonts w:ascii="Arial" w:eastAsia="Times New Roman" w:hAnsi="Arial" w:cs="Arial"/>
                <w:b/>
                <w:sz w:val="20"/>
                <w:szCs w:val="20"/>
                <w:lang w:eastAsia="hr-HR"/>
              </w:rPr>
            </w:pPr>
            <w:r w:rsidRPr="008F16D6">
              <w:rPr>
                <w:rFonts w:ascii="Arial" w:eastAsia="Times New Roman" w:hAnsi="Arial" w:cs="Arial"/>
                <w:b/>
                <w:bCs/>
                <w:sz w:val="20"/>
                <w:szCs w:val="20"/>
                <w:lang w:eastAsia="hr-HR"/>
              </w:rPr>
              <w:t>2050.</w:t>
            </w:r>
          </w:p>
        </w:tc>
      </w:tr>
      <w:tr w:rsidR="008F16D6" w:rsidRPr="008F16D6" w14:paraId="5D9F8399" w14:textId="77777777" w:rsidTr="008F16D6">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438D977C" w14:textId="77777777" w:rsidR="008F16D6" w:rsidRPr="008F16D6" w:rsidRDefault="008F16D6" w:rsidP="008F16D6">
            <w:pPr>
              <w:keepNext/>
              <w:suppressAutoHyphens/>
              <w:spacing w:after="0" w:line="288" w:lineRule="auto"/>
              <w:jc w:val="both"/>
              <w:rPr>
                <w:rFonts w:ascii="Arial" w:eastAsia="Times New Roman" w:hAnsi="Arial" w:cs="Arial"/>
                <w:sz w:val="20"/>
                <w:szCs w:val="20"/>
                <w:lang w:eastAsia="hr-HR"/>
              </w:rPr>
            </w:pPr>
          </w:p>
        </w:tc>
        <w:tc>
          <w:tcPr>
            <w:tcW w:w="5153"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29F95786" w14:textId="77777777" w:rsidR="008F16D6" w:rsidRPr="008F16D6" w:rsidRDefault="008F16D6" w:rsidP="008F16D6">
            <w:pPr>
              <w:keepNext/>
              <w:suppressAutoHyphens/>
              <w:spacing w:after="0" w:line="288" w:lineRule="auto"/>
              <w:jc w:val="center"/>
              <w:rPr>
                <w:rFonts w:ascii="Arial" w:eastAsia="Times New Roman" w:hAnsi="Arial" w:cs="Arial"/>
                <w:b/>
                <w:sz w:val="20"/>
                <w:szCs w:val="20"/>
                <w:lang w:eastAsia="hr-HR"/>
              </w:rPr>
            </w:pPr>
            <w:r w:rsidRPr="008F16D6">
              <w:rPr>
                <w:rFonts w:ascii="Arial" w:eastAsia="Times New Roman" w:hAnsi="Arial" w:cs="Arial"/>
                <w:b/>
                <w:bCs/>
                <w:sz w:val="20"/>
                <w:szCs w:val="20"/>
                <w:lang w:eastAsia="hr-HR"/>
              </w:rPr>
              <w:t>Bazna produktivnost</w:t>
            </w:r>
          </w:p>
        </w:tc>
      </w:tr>
      <w:tr w:rsidR="008F16D6" w:rsidRPr="008F16D6" w14:paraId="29202364" w14:textId="77777777" w:rsidTr="00AF6B8C">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4B886F34" w14:textId="77777777" w:rsidR="008F16D6" w:rsidRPr="008F16D6" w:rsidRDefault="008F16D6" w:rsidP="008F16D6">
            <w:pPr>
              <w:keepNext/>
              <w:suppressAutoHyphens/>
              <w:spacing w:after="0" w:line="288" w:lineRule="auto"/>
              <w:rPr>
                <w:rFonts w:ascii="Arial" w:eastAsia="Times New Roman" w:hAnsi="Arial" w:cs="Arial"/>
                <w:sz w:val="20"/>
                <w:szCs w:val="20"/>
                <w:lang w:eastAsia="hr-HR"/>
              </w:rPr>
            </w:pPr>
            <w:r w:rsidRPr="008F16D6">
              <w:rPr>
                <w:rFonts w:ascii="Arial" w:eastAsia="Times New Roman" w:hAnsi="Arial" w:cs="Arial"/>
                <w:sz w:val="20"/>
                <w:szCs w:val="20"/>
                <w:lang w:eastAsia="hr-HR"/>
              </w:rPr>
              <w:t>BDP, stalne cijene 2010., milijarde HRK</w:t>
            </w:r>
          </w:p>
        </w:tc>
        <w:tc>
          <w:tcPr>
            <w:tcW w:w="1110" w:type="dxa"/>
            <w:tcBorders>
              <w:top w:val="nil"/>
              <w:left w:val="nil"/>
              <w:bottom w:val="single" w:sz="8" w:space="0" w:color="auto"/>
              <w:right w:val="single" w:sz="8" w:space="0" w:color="auto"/>
            </w:tcBorders>
            <w:shd w:val="clear" w:color="auto" w:fill="auto"/>
            <w:noWrap/>
            <w:vAlign w:val="center"/>
            <w:hideMark/>
          </w:tcPr>
          <w:p w14:paraId="4C1F09F0"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335,902</w:t>
            </w:r>
          </w:p>
        </w:tc>
        <w:tc>
          <w:tcPr>
            <w:tcW w:w="1035" w:type="dxa"/>
            <w:tcBorders>
              <w:top w:val="nil"/>
              <w:left w:val="nil"/>
              <w:bottom w:val="single" w:sz="8" w:space="0" w:color="auto"/>
              <w:right w:val="single" w:sz="8" w:space="0" w:color="auto"/>
            </w:tcBorders>
            <w:shd w:val="clear" w:color="auto" w:fill="auto"/>
            <w:noWrap/>
            <w:vAlign w:val="center"/>
            <w:hideMark/>
          </w:tcPr>
          <w:p w14:paraId="5DCD132E"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373,595</w:t>
            </w:r>
          </w:p>
        </w:tc>
        <w:tc>
          <w:tcPr>
            <w:tcW w:w="1095" w:type="dxa"/>
            <w:tcBorders>
              <w:top w:val="nil"/>
              <w:left w:val="nil"/>
              <w:bottom w:val="single" w:sz="8" w:space="0" w:color="auto"/>
              <w:right w:val="single" w:sz="8" w:space="0" w:color="auto"/>
            </w:tcBorders>
            <w:shd w:val="clear" w:color="auto" w:fill="auto"/>
            <w:noWrap/>
            <w:vAlign w:val="center"/>
            <w:hideMark/>
          </w:tcPr>
          <w:p w14:paraId="1F65A122"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408,987</w:t>
            </w:r>
          </w:p>
        </w:tc>
        <w:tc>
          <w:tcPr>
            <w:tcW w:w="975" w:type="dxa"/>
            <w:tcBorders>
              <w:top w:val="nil"/>
              <w:left w:val="nil"/>
              <w:bottom w:val="single" w:sz="8" w:space="0" w:color="auto"/>
              <w:right w:val="single" w:sz="8" w:space="0" w:color="auto"/>
            </w:tcBorders>
            <w:shd w:val="clear" w:color="auto" w:fill="auto"/>
            <w:noWrap/>
            <w:vAlign w:val="center"/>
            <w:hideMark/>
          </w:tcPr>
          <w:p w14:paraId="18E34B87"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454,649</w:t>
            </w:r>
          </w:p>
        </w:tc>
        <w:tc>
          <w:tcPr>
            <w:tcW w:w="938" w:type="dxa"/>
            <w:tcBorders>
              <w:top w:val="nil"/>
              <w:left w:val="nil"/>
              <w:bottom w:val="single" w:sz="8" w:space="0" w:color="auto"/>
              <w:right w:val="single" w:sz="12" w:space="0" w:color="auto"/>
            </w:tcBorders>
            <w:shd w:val="clear" w:color="auto" w:fill="auto"/>
            <w:noWrap/>
            <w:vAlign w:val="center"/>
            <w:hideMark/>
          </w:tcPr>
          <w:p w14:paraId="62D53A08"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520,277</w:t>
            </w:r>
          </w:p>
        </w:tc>
      </w:tr>
      <w:tr w:rsidR="008F16D6" w:rsidRPr="008F16D6" w14:paraId="475B8562" w14:textId="77777777" w:rsidTr="00AF6B8C">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50FA8F0A" w14:textId="77777777" w:rsidR="008F16D6" w:rsidRPr="008F16D6" w:rsidRDefault="008F16D6" w:rsidP="008F16D6">
            <w:pPr>
              <w:keepNext/>
              <w:suppressAutoHyphens/>
              <w:spacing w:after="0" w:line="288" w:lineRule="auto"/>
              <w:rPr>
                <w:rFonts w:ascii="Arial" w:eastAsia="Times New Roman" w:hAnsi="Arial" w:cs="Arial"/>
                <w:sz w:val="20"/>
                <w:szCs w:val="20"/>
                <w:lang w:eastAsia="hr-HR"/>
              </w:rPr>
            </w:pPr>
            <w:r w:rsidRPr="008F16D6">
              <w:rPr>
                <w:rFonts w:ascii="Arial" w:eastAsia="Times New Roman" w:hAnsi="Arial" w:cs="Arial"/>
                <w:sz w:val="20"/>
                <w:szCs w:val="20"/>
                <w:lang w:eastAsia="hr-HR"/>
              </w:rPr>
              <w:t>BDP, indeks, 2016. = 100</w:t>
            </w:r>
          </w:p>
        </w:tc>
        <w:tc>
          <w:tcPr>
            <w:tcW w:w="1110" w:type="dxa"/>
            <w:tcBorders>
              <w:top w:val="nil"/>
              <w:left w:val="nil"/>
              <w:bottom w:val="single" w:sz="8" w:space="0" w:color="auto"/>
              <w:right w:val="single" w:sz="8" w:space="0" w:color="auto"/>
            </w:tcBorders>
            <w:shd w:val="clear" w:color="auto" w:fill="auto"/>
            <w:noWrap/>
            <w:vAlign w:val="center"/>
            <w:hideMark/>
          </w:tcPr>
          <w:p w14:paraId="374E5910"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100,0</w:t>
            </w:r>
          </w:p>
        </w:tc>
        <w:tc>
          <w:tcPr>
            <w:tcW w:w="1035" w:type="dxa"/>
            <w:tcBorders>
              <w:top w:val="nil"/>
              <w:left w:val="nil"/>
              <w:bottom w:val="single" w:sz="8" w:space="0" w:color="auto"/>
              <w:right w:val="single" w:sz="8" w:space="0" w:color="auto"/>
            </w:tcBorders>
            <w:shd w:val="clear" w:color="auto" w:fill="auto"/>
            <w:noWrap/>
            <w:vAlign w:val="center"/>
            <w:hideMark/>
          </w:tcPr>
          <w:p w14:paraId="53BB79E7"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111,2</w:t>
            </w:r>
          </w:p>
        </w:tc>
        <w:tc>
          <w:tcPr>
            <w:tcW w:w="1095" w:type="dxa"/>
            <w:tcBorders>
              <w:top w:val="nil"/>
              <w:left w:val="nil"/>
              <w:bottom w:val="single" w:sz="8" w:space="0" w:color="auto"/>
              <w:right w:val="single" w:sz="8" w:space="0" w:color="auto"/>
            </w:tcBorders>
            <w:shd w:val="clear" w:color="auto" w:fill="auto"/>
            <w:noWrap/>
            <w:vAlign w:val="center"/>
            <w:hideMark/>
          </w:tcPr>
          <w:p w14:paraId="5A406A82"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121,8</w:t>
            </w:r>
          </w:p>
        </w:tc>
        <w:tc>
          <w:tcPr>
            <w:tcW w:w="975" w:type="dxa"/>
            <w:tcBorders>
              <w:top w:val="nil"/>
              <w:left w:val="nil"/>
              <w:bottom w:val="single" w:sz="8" w:space="0" w:color="auto"/>
              <w:right w:val="single" w:sz="8" w:space="0" w:color="auto"/>
            </w:tcBorders>
            <w:shd w:val="clear" w:color="auto" w:fill="auto"/>
            <w:noWrap/>
            <w:vAlign w:val="center"/>
            <w:hideMark/>
          </w:tcPr>
          <w:p w14:paraId="7442E406"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135,4</w:t>
            </w:r>
          </w:p>
        </w:tc>
        <w:tc>
          <w:tcPr>
            <w:tcW w:w="938" w:type="dxa"/>
            <w:tcBorders>
              <w:top w:val="nil"/>
              <w:left w:val="nil"/>
              <w:bottom w:val="single" w:sz="8" w:space="0" w:color="auto"/>
              <w:right w:val="single" w:sz="12" w:space="0" w:color="auto"/>
            </w:tcBorders>
            <w:shd w:val="clear" w:color="auto" w:fill="auto"/>
            <w:noWrap/>
            <w:vAlign w:val="center"/>
            <w:hideMark/>
          </w:tcPr>
          <w:p w14:paraId="4532C279"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154,9</w:t>
            </w:r>
          </w:p>
        </w:tc>
      </w:tr>
      <w:tr w:rsidR="008F16D6" w:rsidRPr="008F16D6" w14:paraId="7C874B24" w14:textId="77777777" w:rsidTr="00AF6B8C">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1D18C9E2" w14:textId="77777777" w:rsidR="008F16D6" w:rsidRPr="008F16D6" w:rsidRDefault="008F16D6" w:rsidP="008F16D6">
            <w:pPr>
              <w:keepNext/>
              <w:suppressAutoHyphens/>
              <w:spacing w:after="0" w:line="288" w:lineRule="auto"/>
              <w:rPr>
                <w:rFonts w:ascii="Arial" w:eastAsia="Times New Roman" w:hAnsi="Arial" w:cs="Arial"/>
                <w:sz w:val="20"/>
                <w:szCs w:val="20"/>
                <w:lang w:eastAsia="hr-HR"/>
              </w:rPr>
            </w:pPr>
            <w:r w:rsidRPr="008F16D6">
              <w:rPr>
                <w:rFonts w:ascii="Arial" w:eastAsia="Times New Roman" w:hAnsi="Arial" w:cs="Arial"/>
                <w:sz w:val="20"/>
                <w:szCs w:val="20"/>
                <w:lang w:eastAsia="hr-HR"/>
              </w:rPr>
              <w:t>BDP po stanovniku, stalne cijene 2010., tisuća HRK</w:t>
            </w:r>
          </w:p>
        </w:tc>
        <w:tc>
          <w:tcPr>
            <w:tcW w:w="1110" w:type="dxa"/>
            <w:tcBorders>
              <w:top w:val="nil"/>
              <w:left w:val="nil"/>
              <w:bottom w:val="single" w:sz="8" w:space="0" w:color="auto"/>
              <w:right w:val="single" w:sz="8" w:space="0" w:color="auto"/>
            </w:tcBorders>
            <w:shd w:val="clear" w:color="auto" w:fill="auto"/>
            <w:noWrap/>
            <w:vAlign w:val="center"/>
            <w:hideMark/>
          </w:tcPr>
          <w:p w14:paraId="5B05AF4D"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82</w:t>
            </w:r>
          </w:p>
        </w:tc>
        <w:tc>
          <w:tcPr>
            <w:tcW w:w="1035" w:type="dxa"/>
            <w:tcBorders>
              <w:top w:val="nil"/>
              <w:left w:val="nil"/>
              <w:bottom w:val="single" w:sz="8" w:space="0" w:color="auto"/>
              <w:right w:val="single" w:sz="8" w:space="0" w:color="auto"/>
            </w:tcBorders>
            <w:shd w:val="clear" w:color="auto" w:fill="auto"/>
            <w:noWrap/>
            <w:vAlign w:val="center"/>
            <w:hideMark/>
          </w:tcPr>
          <w:p w14:paraId="042312C4"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94</w:t>
            </w:r>
          </w:p>
        </w:tc>
        <w:tc>
          <w:tcPr>
            <w:tcW w:w="1095" w:type="dxa"/>
            <w:tcBorders>
              <w:top w:val="nil"/>
              <w:left w:val="nil"/>
              <w:bottom w:val="single" w:sz="8" w:space="0" w:color="auto"/>
              <w:right w:val="single" w:sz="8" w:space="0" w:color="auto"/>
            </w:tcBorders>
            <w:shd w:val="clear" w:color="auto" w:fill="auto"/>
            <w:noWrap/>
            <w:vAlign w:val="center"/>
            <w:hideMark/>
          </w:tcPr>
          <w:p w14:paraId="50938AFF"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109</w:t>
            </w:r>
          </w:p>
        </w:tc>
        <w:tc>
          <w:tcPr>
            <w:tcW w:w="975" w:type="dxa"/>
            <w:tcBorders>
              <w:top w:val="nil"/>
              <w:left w:val="nil"/>
              <w:bottom w:val="single" w:sz="8" w:space="0" w:color="auto"/>
              <w:right w:val="single" w:sz="8" w:space="0" w:color="auto"/>
            </w:tcBorders>
            <w:shd w:val="clear" w:color="auto" w:fill="auto"/>
            <w:noWrap/>
            <w:vAlign w:val="center"/>
            <w:hideMark/>
          </w:tcPr>
          <w:p w14:paraId="47482F67"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129</w:t>
            </w:r>
          </w:p>
        </w:tc>
        <w:tc>
          <w:tcPr>
            <w:tcW w:w="938" w:type="dxa"/>
            <w:tcBorders>
              <w:top w:val="nil"/>
              <w:left w:val="nil"/>
              <w:bottom w:val="single" w:sz="8" w:space="0" w:color="auto"/>
              <w:right w:val="single" w:sz="12" w:space="0" w:color="auto"/>
            </w:tcBorders>
            <w:shd w:val="clear" w:color="auto" w:fill="auto"/>
            <w:noWrap/>
            <w:vAlign w:val="center"/>
            <w:hideMark/>
          </w:tcPr>
          <w:p w14:paraId="374F694C"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158</w:t>
            </w:r>
          </w:p>
        </w:tc>
      </w:tr>
      <w:tr w:rsidR="008F16D6" w:rsidRPr="008F16D6" w14:paraId="1BEBA4E7" w14:textId="77777777" w:rsidTr="00AF6B8C">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6D5AAFAB" w14:textId="77777777" w:rsidR="008F16D6" w:rsidRPr="008F16D6" w:rsidRDefault="008F16D6" w:rsidP="008F16D6">
            <w:pPr>
              <w:keepNext/>
              <w:suppressAutoHyphens/>
              <w:spacing w:after="0" w:line="288" w:lineRule="auto"/>
              <w:rPr>
                <w:rFonts w:ascii="Arial" w:eastAsia="Times New Roman" w:hAnsi="Arial" w:cs="Arial"/>
                <w:sz w:val="20"/>
                <w:szCs w:val="20"/>
                <w:lang w:eastAsia="hr-HR"/>
              </w:rPr>
            </w:pPr>
            <w:r w:rsidRPr="008F16D6">
              <w:rPr>
                <w:rFonts w:ascii="Arial" w:eastAsia="Times New Roman" w:hAnsi="Arial" w:cs="Arial"/>
                <w:sz w:val="20"/>
                <w:szCs w:val="20"/>
                <w:lang w:eastAsia="hr-HR"/>
              </w:rPr>
              <w:t>BDP po stanovniku, indeks 2016. = 100</w:t>
            </w:r>
          </w:p>
        </w:tc>
        <w:tc>
          <w:tcPr>
            <w:tcW w:w="1110" w:type="dxa"/>
            <w:tcBorders>
              <w:top w:val="nil"/>
              <w:left w:val="nil"/>
              <w:bottom w:val="single" w:sz="8" w:space="0" w:color="auto"/>
              <w:right w:val="single" w:sz="8" w:space="0" w:color="auto"/>
            </w:tcBorders>
            <w:shd w:val="clear" w:color="auto" w:fill="auto"/>
            <w:noWrap/>
            <w:vAlign w:val="center"/>
            <w:hideMark/>
          </w:tcPr>
          <w:p w14:paraId="4B121C3F"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100,0</w:t>
            </w:r>
          </w:p>
        </w:tc>
        <w:tc>
          <w:tcPr>
            <w:tcW w:w="1035" w:type="dxa"/>
            <w:tcBorders>
              <w:top w:val="nil"/>
              <w:left w:val="nil"/>
              <w:bottom w:val="single" w:sz="8" w:space="0" w:color="auto"/>
              <w:right w:val="single" w:sz="8" w:space="0" w:color="auto"/>
            </w:tcBorders>
            <w:shd w:val="clear" w:color="auto" w:fill="auto"/>
            <w:noWrap/>
            <w:vAlign w:val="center"/>
            <w:hideMark/>
          </w:tcPr>
          <w:p w14:paraId="10D270BC"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114,4</w:t>
            </w:r>
          </w:p>
        </w:tc>
        <w:tc>
          <w:tcPr>
            <w:tcW w:w="1095" w:type="dxa"/>
            <w:tcBorders>
              <w:top w:val="nil"/>
              <w:left w:val="nil"/>
              <w:bottom w:val="single" w:sz="8" w:space="0" w:color="auto"/>
              <w:right w:val="single" w:sz="8" w:space="0" w:color="auto"/>
            </w:tcBorders>
            <w:shd w:val="clear" w:color="auto" w:fill="auto"/>
            <w:noWrap/>
            <w:vAlign w:val="center"/>
            <w:hideMark/>
          </w:tcPr>
          <w:p w14:paraId="743B9996"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132,9</w:t>
            </w:r>
          </w:p>
        </w:tc>
        <w:tc>
          <w:tcPr>
            <w:tcW w:w="975" w:type="dxa"/>
            <w:tcBorders>
              <w:top w:val="nil"/>
              <w:left w:val="nil"/>
              <w:bottom w:val="single" w:sz="8" w:space="0" w:color="auto"/>
              <w:right w:val="single" w:sz="8" w:space="0" w:color="auto"/>
            </w:tcBorders>
            <w:shd w:val="clear" w:color="auto" w:fill="auto"/>
            <w:noWrap/>
            <w:vAlign w:val="center"/>
            <w:hideMark/>
          </w:tcPr>
          <w:p w14:paraId="2D7FFFA9"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157,1</w:t>
            </w:r>
          </w:p>
        </w:tc>
        <w:tc>
          <w:tcPr>
            <w:tcW w:w="938" w:type="dxa"/>
            <w:tcBorders>
              <w:top w:val="nil"/>
              <w:left w:val="nil"/>
              <w:bottom w:val="single" w:sz="8" w:space="0" w:color="auto"/>
              <w:right w:val="single" w:sz="12" w:space="0" w:color="auto"/>
            </w:tcBorders>
            <w:shd w:val="clear" w:color="auto" w:fill="auto"/>
            <w:noWrap/>
            <w:vAlign w:val="center"/>
            <w:hideMark/>
          </w:tcPr>
          <w:p w14:paraId="227FCD17"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192,7</w:t>
            </w:r>
          </w:p>
        </w:tc>
      </w:tr>
      <w:tr w:rsidR="008F16D6" w:rsidRPr="008F16D6" w14:paraId="21BDA6A7" w14:textId="77777777" w:rsidTr="00AF6B8C">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3A21F893" w14:textId="77777777" w:rsidR="008F16D6" w:rsidRPr="008F16D6" w:rsidRDefault="008F16D6" w:rsidP="008F16D6">
            <w:pPr>
              <w:keepNext/>
              <w:suppressAutoHyphens/>
              <w:spacing w:after="0" w:line="288" w:lineRule="auto"/>
              <w:rPr>
                <w:rFonts w:ascii="Arial" w:eastAsia="Times New Roman" w:hAnsi="Arial" w:cs="Arial"/>
                <w:sz w:val="20"/>
                <w:szCs w:val="20"/>
                <w:lang w:eastAsia="hr-HR"/>
              </w:rPr>
            </w:pPr>
            <w:r w:rsidRPr="008F16D6">
              <w:rPr>
                <w:rFonts w:ascii="Arial" w:eastAsia="Times New Roman" w:hAnsi="Arial" w:cs="Arial"/>
                <w:sz w:val="20"/>
                <w:szCs w:val="20"/>
                <w:lang w:eastAsia="hr-HR"/>
              </w:rPr>
              <w:t>Broj stanovnika, u milijunima</w:t>
            </w:r>
          </w:p>
        </w:tc>
        <w:tc>
          <w:tcPr>
            <w:tcW w:w="1110" w:type="dxa"/>
            <w:tcBorders>
              <w:top w:val="nil"/>
              <w:left w:val="nil"/>
              <w:bottom w:val="single" w:sz="8" w:space="0" w:color="auto"/>
              <w:right w:val="single" w:sz="8" w:space="0" w:color="auto"/>
            </w:tcBorders>
            <w:shd w:val="clear" w:color="auto" w:fill="auto"/>
            <w:noWrap/>
            <w:vAlign w:val="center"/>
            <w:hideMark/>
          </w:tcPr>
          <w:p w14:paraId="444A0442"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4,099</w:t>
            </w:r>
          </w:p>
        </w:tc>
        <w:tc>
          <w:tcPr>
            <w:tcW w:w="1035" w:type="dxa"/>
            <w:tcBorders>
              <w:top w:val="nil"/>
              <w:left w:val="nil"/>
              <w:bottom w:val="single" w:sz="8" w:space="0" w:color="auto"/>
              <w:right w:val="single" w:sz="8" w:space="0" w:color="auto"/>
            </w:tcBorders>
            <w:shd w:val="clear" w:color="auto" w:fill="auto"/>
            <w:noWrap/>
            <w:vAlign w:val="center"/>
            <w:hideMark/>
          </w:tcPr>
          <w:p w14:paraId="66921E2F"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3,984</w:t>
            </w:r>
          </w:p>
        </w:tc>
        <w:tc>
          <w:tcPr>
            <w:tcW w:w="1095" w:type="dxa"/>
            <w:tcBorders>
              <w:top w:val="nil"/>
              <w:left w:val="nil"/>
              <w:bottom w:val="single" w:sz="8" w:space="0" w:color="auto"/>
              <w:right w:val="single" w:sz="8" w:space="0" w:color="auto"/>
            </w:tcBorders>
            <w:shd w:val="clear" w:color="auto" w:fill="auto"/>
            <w:noWrap/>
            <w:vAlign w:val="center"/>
            <w:hideMark/>
          </w:tcPr>
          <w:p w14:paraId="0E9CD27C"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3,755</w:t>
            </w:r>
          </w:p>
        </w:tc>
        <w:tc>
          <w:tcPr>
            <w:tcW w:w="975" w:type="dxa"/>
            <w:tcBorders>
              <w:top w:val="nil"/>
              <w:left w:val="nil"/>
              <w:bottom w:val="single" w:sz="8" w:space="0" w:color="auto"/>
              <w:right w:val="single" w:sz="8" w:space="0" w:color="auto"/>
            </w:tcBorders>
            <w:shd w:val="clear" w:color="auto" w:fill="auto"/>
            <w:noWrap/>
            <w:vAlign w:val="center"/>
            <w:hideMark/>
          </w:tcPr>
          <w:p w14:paraId="3143979E"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3,532</w:t>
            </w:r>
          </w:p>
        </w:tc>
        <w:tc>
          <w:tcPr>
            <w:tcW w:w="938" w:type="dxa"/>
            <w:tcBorders>
              <w:top w:val="nil"/>
              <w:left w:val="nil"/>
              <w:bottom w:val="single" w:sz="8" w:space="0" w:color="auto"/>
              <w:right w:val="single" w:sz="12" w:space="0" w:color="auto"/>
            </w:tcBorders>
            <w:shd w:val="clear" w:color="auto" w:fill="auto"/>
            <w:noWrap/>
            <w:vAlign w:val="center"/>
            <w:hideMark/>
          </w:tcPr>
          <w:p w14:paraId="091C6790"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3,295</w:t>
            </w:r>
          </w:p>
        </w:tc>
      </w:tr>
      <w:tr w:rsidR="008F16D6" w:rsidRPr="008F16D6" w14:paraId="5CA2AA99" w14:textId="77777777" w:rsidTr="00AF6B8C">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03AF1602" w14:textId="77777777" w:rsidR="008F16D6" w:rsidRPr="008F16D6" w:rsidRDefault="008F16D6" w:rsidP="008F16D6">
            <w:pPr>
              <w:keepNext/>
              <w:suppressAutoHyphens/>
              <w:spacing w:after="0" w:line="288" w:lineRule="auto"/>
              <w:rPr>
                <w:rFonts w:ascii="Arial" w:eastAsia="Times New Roman" w:hAnsi="Arial" w:cs="Arial"/>
                <w:sz w:val="20"/>
                <w:szCs w:val="20"/>
                <w:lang w:eastAsia="hr-HR"/>
              </w:rPr>
            </w:pPr>
            <w:r w:rsidRPr="008F16D6">
              <w:rPr>
                <w:rFonts w:ascii="Arial" w:eastAsia="Times New Roman" w:hAnsi="Arial" w:cs="Arial"/>
                <w:sz w:val="20"/>
                <w:szCs w:val="20"/>
                <w:lang w:eastAsia="hr-HR"/>
              </w:rPr>
              <w:t>Broj zaposlenih, konstantna aktivnost, u milijunima</w:t>
            </w:r>
          </w:p>
        </w:tc>
        <w:tc>
          <w:tcPr>
            <w:tcW w:w="1110" w:type="dxa"/>
            <w:tcBorders>
              <w:top w:val="nil"/>
              <w:left w:val="nil"/>
              <w:bottom w:val="single" w:sz="8" w:space="0" w:color="auto"/>
              <w:right w:val="single" w:sz="8" w:space="0" w:color="auto"/>
            </w:tcBorders>
            <w:shd w:val="clear" w:color="auto" w:fill="auto"/>
            <w:noWrap/>
            <w:vAlign w:val="center"/>
            <w:hideMark/>
          </w:tcPr>
          <w:p w14:paraId="6EEC0D2F"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1,550</w:t>
            </w:r>
          </w:p>
        </w:tc>
        <w:tc>
          <w:tcPr>
            <w:tcW w:w="1035" w:type="dxa"/>
            <w:tcBorders>
              <w:top w:val="nil"/>
              <w:left w:val="nil"/>
              <w:bottom w:val="single" w:sz="8" w:space="0" w:color="auto"/>
              <w:right w:val="single" w:sz="8" w:space="0" w:color="auto"/>
            </w:tcBorders>
            <w:shd w:val="clear" w:color="auto" w:fill="auto"/>
            <w:noWrap/>
            <w:vAlign w:val="center"/>
            <w:hideMark/>
          </w:tcPr>
          <w:p w14:paraId="70C2C8B2"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1,559</w:t>
            </w:r>
          </w:p>
        </w:tc>
        <w:tc>
          <w:tcPr>
            <w:tcW w:w="1095" w:type="dxa"/>
            <w:tcBorders>
              <w:top w:val="nil"/>
              <w:left w:val="nil"/>
              <w:bottom w:val="single" w:sz="8" w:space="0" w:color="auto"/>
              <w:right w:val="single" w:sz="8" w:space="0" w:color="auto"/>
            </w:tcBorders>
            <w:shd w:val="clear" w:color="auto" w:fill="auto"/>
            <w:noWrap/>
            <w:vAlign w:val="center"/>
            <w:hideMark/>
          </w:tcPr>
          <w:p w14:paraId="7B9A41FB"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1,434</w:t>
            </w:r>
          </w:p>
        </w:tc>
        <w:tc>
          <w:tcPr>
            <w:tcW w:w="975" w:type="dxa"/>
            <w:tcBorders>
              <w:top w:val="nil"/>
              <w:left w:val="nil"/>
              <w:bottom w:val="single" w:sz="8" w:space="0" w:color="auto"/>
              <w:right w:val="single" w:sz="8" w:space="0" w:color="auto"/>
            </w:tcBorders>
            <w:shd w:val="clear" w:color="auto" w:fill="auto"/>
            <w:noWrap/>
            <w:vAlign w:val="center"/>
            <w:hideMark/>
          </w:tcPr>
          <w:p w14:paraId="67E23AFC"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1,315</w:t>
            </w:r>
          </w:p>
        </w:tc>
        <w:tc>
          <w:tcPr>
            <w:tcW w:w="938" w:type="dxa"/>
            <w:tcBorders>
              <w:top w:val="nil"/>
              <w:left w:val="nil"/>
              <w:bottom w:val="single" w:sz="8" w:space="0" w:color="auto"/>
              <w:right w:val="single" w:sz="12" w:space="0" w:color="auto"/>
            </w:tcBorders>
            <w:shd w:val="clear" w:color="auto" w:fill="auto"/>
            <w:noWrap/>
            <w:vAlign w:val="center"/>
            <w:hideMark/>
          </w:tcPr>
          <w:p w14:paraId="6CFDB8AD"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1,191</w:t>
            </w:r>
          </w:p>
        </w:tc>
      </w:tr>
      <w:tr w:rsidR="008F16D6" w:rsidRPr="008F16D6" w14:paraId="25567910" w14:textId="77777777" w:rsidTr="008F16D6">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6777A332" w14:textId="77777777" w:rsidR="008F16D6" w:rsidRPr="008F16D6" w:rsidRDefault="008F16D6" w:rsidP="008F16D6">
            <w:pPr>
              <w:keepNext/>
              <w:suppressAutoHyphens/>
              <w:spacing w:after="0" w:line="288" w:lineRule="auto"/>
              <w:rPr>
                <w:rFonts w:ascii="Arial" w:eastAsia="Times New Roman" w:hAnsi="Arial" w:cs="Arial"/>
                <w:sz w:val="20"/>
                <w:szCs w:val="20"/>
                <w:lang w:eastAsia="hr-HR"/>
              </w:rPr>
            </w:pPr>
          </w:p>
        </w:tc>
        <w:tc>
          <w:tcPr>
            <w:tcW w:w="5153" w:type="dxa"/>
            <w:gridSpan w:val="5"/>
            <w:tcBorders>
              <w:top w:val="single" w:sz="8" w:space="0" w:color="auto"/>
              <w:left w:val="nil"/>
              <w:bottom w:val="single" w:sz="8" w:space="0" w:color="auto"/>
              <w:right w:val="single" w:sz="12" w:space="0" w:color="000000"/>
            </w:tcBorders>
            <w:shd w:val="clear" w:color="auto" w:fill="auto"/>
            <w:noWrap/>
            <w:vAlign w:val="center"/>
            <w:hideMark/>
          </w:tcPr>
          <w:p w14:paraId="73BC996A" w14:textId="77777777" w:rsidR="008F16D6" w:rsidRPr="008F16D6" w:rsidRDefault="008F16D6" w:rsidP="008F16D6">
            <w:pPr>
              <w:keepNext/>
              <w:suppressAutoHyphens/>
              <w:spacing w:after="0" w:line="288" w:lineRule="auto"/>
              <w:jc w:val="center"/>
              <w:rPr>
                <w:rFonts w:ascii="Arial" w:eastAsia="Times New Roman" w:hAnsi="Arial" w:cs="Arial"/>
                <w:b/>
                <w:sz w:val="20"/>
                <w:szCs w:val="20"/>
                <w:lang w:eastAsia="hr-HR"/>
              </w:rPr>
            </w:pPr>
            <w:r w:rsidRPr="008F16D6">
              <w:rPr>
                <w:rFonts w:ascii="Arial" w:eastAsia="Times New Roman" w:hAnsi="Arial" w:cs="Arial"/>
                <w:b/>
                <w:bCs/>
                <w:sz w:val="20"/>
                <w:szCs w:val="20"/>
                <w:lang w:eastAsia="hr-HR"/>
              </w:rPr>
              <w:t xml:space="preserve">Konvergencija produktivnosti </w:t>
            </w:r>
          </w:p>
        </w:tc>
      </w:tr>
      <w:tr w:rsidR="008F16D6" w:rsidRPr="008F16D6" w14:paraId="4D8D5E2D" w14:textId="77777777" w:rsidTr="00AF6B8C">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016F108A" w14:textId="77777777" w:rsidR="008F16D6" w:rsidRPr="008F16D6" w:rsidRDefault="008F16D6" w:rsidP="008F16D6">
            <w:pPr>
              <w:keepNext/>
              <w:suppressAutoHyphens/>
              <w:spacing w:after="0" w:line="288" w:lineRule="auto"/>
              <w:rPr>
                <w:rFonts w:ascii="Arial" w:eastAsia="Times New Roman" w:hAnsi="Arial" w:cs="Arial"/>
                <w:sz w:val="20"/>
                <w:szCs w:val="20"/>
                <w:lang w:eastAsia="hr-HR"/>
              </w:rPr>
            </w:pPr>
            <w:r w:rsidRPr="008F16D6">
              <w:rPr>
                <w:rFonts w:ascii="Arial" w:eastAsia="Times New Roman" w:hAnsi="Arial" w:cs="Arial"/>
                <w:sz w:val="20"/>
                <w:szCs w:val="20"/>
                <w:lang w:eastAsia="hr-HR"/>
              </w:rPr>
              <w:t>BDP, stalne cijene 2010, milijarde HRK</w:t>
            </w:r>
          </w:p>
        </w:tc>
        <w:tc>
          <w:tcPr>
            <w:tcW w:w="1110" w:type="dxa"/>
            <w:tcBorders>
              <w:top w:val="nil"/>
              <w:left w:val="nil"/>
              <w:bottom w:val="single" w:sz="8" w:space="0" w:color="auto"/>
              <w:right w:val="single" w:sz="8" w:space="0" w:color="auto"/>
            </w:tcBorders>
            <w:shd w:val="clear" w:color="auto" w:fill="auto"/>
            <w:noWrap/>
            <w:vAlign w:val="center"/>
            <w:hideMark/>
          </w:tcPr>
          <w:p w14:paraId="1CDA3AAD"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335,902</w:t>
            </w:r>
          </w:p>
        </w:tc>
        <w:tc>
          <w:tcPr>
            <w:tcW w:w="1035" w:type="dxa"/>
            <w:tcBorders>
              <w:top w:val="nil"/>
              <w:left w:val="nil"/>
              <w:bottom w:val="single" w:sz="8" w:space="0" w:color="auto"/>
              <w:right w:val="single" w:sz="8" w:space="0" w:color="auto"/>
            </w:tcBorders>
            <w:shd w:val="clear" w:color="auto" w:fill="auto"/>
            <w:noWrap/>
            <w:vAlign w:val="center"/>
            <w:hideMark/>
          </w:tcPr>
          <w:p w14:paraId="7B09CFB1"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373,595</w:t>
            </w:r>
          </w:p>
        </w:tc>
        <w:tc>
          <w:tcPr>
            <w:tcW w:w="1095" w:type="dxa"/>
            <w:tcBorders>
              <w:top w:val="nil"/>
              <w:left w:val="nil"/>
              <w:bottom w:val="single" w:sz="8" w:space="0" w:color="auto"/>
              <w:right w:val="single" w:sz="8" w:space="0" w:color="auto"/>
            </w:tcBorders>
            <w:shd w:val="clear" w:color="auto" w:fill="auto"/>
            <w:noWrap/>
            <w:vAlign w:val="center"/>
            <w:hideMark/>
          </w:tcPr>
          <w:p w14:paraId="4271C4A1"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462,111</w:t>
            </w:r>
          </w:p>
        </w:tc>
        <w:tc>
          <w:tcPr>
            <w:tcW w:w="975" w:type="dxa"/>
            <w:tcBorders>
              <w:top w:val="nil"/>
              <w:left w:val="nil"/>
              <w:bottom w:val="single" w:sz="8" w:space="0" w:color="auto"/>
              <w:right w:val="single" w:sz="8" w:space="0" w:color="auto"/>
            </w:tcBorders>
            <w:shd w:val="clear" w:color="auto" w:fill="auto"/>
            <w:noWrap/>
            <w:vAlign w:val="center"/>
            <w:hideMark/>
          </w:tcPr>
          <w:p w14:paraId="2191385F"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551,311</w:t>
            </w:r>
          </w:p>
        </w:tc>
        <w:tc>
          <w:tcPr>
            <w:tcW w:w="938" w:type="dxa"/>
            <w:tcBorders>
              <w:top w:val="nil"/>
              <w:left w:val="nil"/>
              <w:bottom w:val="single" w:sz="8" w:space="0" w:color="auto"/>
              <w:right w:val="single" w:sz="12" w:space="0" w:color="auto"/>
            </w:tcBorders>
            <w:shd w:val="clear" w:color="auto" w:fill="auto"/>
            <w:noWrap/>
            <w:vAlign w:val="center"/>
            <w:hideMark/>
          </w:tcPr>
          <w:p w14:paraId="5B2C4CDB"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649,695</w:t>
            </w:r>
          </w:p>
        </w:tc>
      </w:tr>
      <w:tr w:rsidR="008F16D6" w:rsidRPr="008F16D6" w14:paraId="7B2CDB65" w14:textId="77777777" w:rsidTr="00AF6B8C">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4362BE69" w14:textId="77777777" w:rsidR="008F16D6" w:rsidRPr="008F16D6" w:rsidRDefault="008F16D6" w:rsidP="008F16D6">
            <w:pPr>
              <w:keepNext/>
              <w:suppressAutoHyphens/>
              <w:spacing w:after="0" w:line="288" w:lineRule="auto"/>
              <w:rPr>
                <w:rFonts w:ascii="Arial" w:eastAsia="Times New Roman" w:hAnsi="Arial" w:cs="Arial"/>
                <w:sz w:val="20"/>
                <w:szCs w:val="20"/>
                <w:lang w:eastAsia="hr-HR"/>
              </w:rPr>
            </w:pPr>
            <w:r w:rsidRPr="008F16D6">
              <w:rPr>
                <w:rFonts w:ascii="Arial" w:eastAsia="Times New Roman" w:hAnsi="Arial" w:cs="Arial"/>
                <w:sz w:val="20"/>
                <w:szCs w:val="20"/>
                <w:lang w:eastAsia="hr-HR"/>
              </w:rPr>
              <w:t>BDP, indeks 2016. = 100</w:t>
            </w:r>
          </w:p>
        </w:tc>
        <w:tc>
          <w:tcPr>
            <w:tcW w:w="1110" w:type="dxa"/>
            <w:tcBorders>
              <w:top w:val="nil"/>
              <w:left w:val="nil"/>
              <w:bottom w:val="single" w:sz="8" w:space="0" w:color="auto"/>
              <w:right w:val="single" w:sz="8" w:space="0" w:color="auto"/>
            </w:tcBorders>
            <w:shd w:val="clear" w:color="auto" w:fill="auto"/>
            <w:noWrap/>
            <w:vAlign w:val="center"/>
            <w:hideMark/>
          </w:tcPr>
          <w:p w14:paraId="3E2FA8B9"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100,0</w:t>
            </w:r>
          </w:p>
        </w:tc>
        <w:tc>
          <w:tcPr>
            <w:tcW w:w="1035" w:type="dxa"/>
            <w:tcBorders>
              <w:top w:val="nil"/>
              <w:left w:val="nil"/>
              <w:bottom w:val="single" w:sz="8" w:space="0" w:color="auto"/>
              <w:right w:val="single" w:sz="8" w:space="0" w:color="auto"/>
            </w:tcBorders>
            <w:shd w:val="clear" w:color="auto" w:fill="auto"/>
            <w:noWrap/>
            <w:vAlign w:val="center"/>
            <w:hideMark/>
          </w:tcPr>
          <w:p w14:paraId="45688E3C"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111,2</w:t>
            </w:r>
          </w:p>
        </w:tc>
        <w:tc>
          <w:tcPr>
            <w:tcW w:w="1095" w:type="dxa"/>
            <w:tcBorders>
              <w:top w:val="nil"/>
              <w:left w:val="nil"/>
              <w:bottom w:val="single" w:sz="8" w:space="0" w:color="auto"/>
              <w:right w:val="single" w:sz="8" w:space="0" w:color="auto"/>
            </w:tcBorders>
            <w:shd w:val="clear" w:color="auto" w:fill="auto"/>
            <w:noWrap/>
            <w:vAlign w:val="center"/>
            <w:hideMark/>
          </w:tcPr>
          <w:p w14:paraId="57256325"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137,6</w:t>
            </w:r>
          </w:p>
        </w:tc>
        <w:tc>
          <w:tcPr>
            <w:tcW w:w="975" w:type="dxa"/>
            <w:tcBorders>
              <w:top w:val="nil"/>
              <w:left w:val="nil"/>
              <w:bottom w:val="single" w:sz="8" w:space="0" w:color="auto"/>
              <w:right w:val="single" w:sz="8" w:space="0" w:color="auto"/>
            </w:tcBorders>
            <w:shd w:val="clear" w:color="auto" w:fill="auto"/>
            <w:noWrap/>
            <w:vAlign w:val="center"/>
            <w:hideMark/>
          </w:tcPr>
          <w:p w14:paraId="505969FE"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164,1</w:t>
            </w:r>
          </w:p>
        </w:tc>
        <w:tc>
          <w:tcPr>
            <w:tcW w:w="938" w:type="dxa"/>
            <w:tcBorders>
              <w:top w:val="nil"/>
              <w:left w:val="nil"/>
              <w:bottom w:val="single" w:sz="8" w:space="0" w:color="auto"/>
              <w:right w:val="single" w:sz="12" w:space="0" w:color="auto"/>
            </w:tcBorders>
            <w:shd w:val="clear" w:color="auto" w:fill="auto"/>
            <w:noWrap/>
            <w:vAlign w:val="center"/>
            <w:hideMark/>
          </w:tcPr>
          <w:p w14:paraId="1144102A"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193,4</w:t>
            </w:r>
          </w:p>
        </w:tc>
      </w:tr>
      <w:tr w:rsidR="008F16D6" w:rsidRPr="008F16D6" w14:paraId="0CACBFFE" w14:textId="77777777" w:rsidTr="00AF6B8C">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02E99E1E" w14:textId="77777777" w:rsidR="008F16D6" w:rsidRPr="008F16D6" w:rsidRDefault="008F16D6" w:rsidP="008F16D6">
            <w:pPr>
              <w:keepNext/>
              <w:suppressAutoHyphens/>
              <w:spacing w:after="0" w:line="288" w:lineRule="auto"/>
              <w:rPr>
                <w:rFonts w:ascii="Arial" w:eastAsia="Times New Roman" w:hAnsi="Arial" w:cs="Arial"/>
                <w:sz w:val="20"/>
                <w:szCs w:val="20"/>
                <w:lang w:eastAsia="hr-HR"/>
              </w:rPr>
            </w:pPr>
            <w:r w:rsidRPr="008F16D6">
              <w:rPr>
                <w:rFonts w:ascii="Arial" w:eastAsia="Times New Roman" w:hAnsi="Arial" w:cs="Arial"/>
                <w:sz w:val="20"/>
                <w:szCs w:val="20"/>
                <w:lang w:eastAsia="hr-HR"/>
              </w:rPr>
              <w:t>BDP po stanovniku, stalne cijene 2010., tisuća HRK</w:t>
            </w:r>
          </w:p>
        </w:tc>
        <w:tc>
          <w:tcPr>
            <w:tcW w:w="1110" w:type="dxa"/>
            <w:tcBorders>
              <w:top w:val="nil"/>
              <w:left w:val="nil"/>
              <w:bottom w:val="single" w:sz="8" w:space="0" w:color="auto"/>
              <w:right w:val="single" w:sz="8" w:space="0" w:color="auto"/>
            </w:tcBorders>
            <w:shd w:val="clear" w:color="auto" w:fill="auto"/>
            <w:noWrap/>
            <w:vAlign w:val="center"/>
            <w:hideMark/>
          </w:tcPr>
          <w:p w14:paraId="57639214"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82</w:t>
            </w:r>
          </w:p>
        </w:tc>
        <w:tc>
          <w:tcPr>
            <w:tcW w:w="1035" w:type="dxa"/>
            <w:tcBorders>
              <w:top w:val="nil"/>
              <w:left w:val="nil"/>
              <w:bottom w:val="single" w:sz="8" w:space="0" w:color="auto"/>
              <w:right w:val="single" w:sz="8" w:space="0" w:color="auto"/>
            </w:tcBorders>
            <w:shd w:val="clear" w:color="auto" w:fill="auto"/>
            <w:noWrap/>
            <w:vAlign w:val="center"/>
            <w:hideMark/>
          </w:tcPr>
          <w:p w14:paraId="21E7F76A"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94</w:t>
            </w:r>
          </w:p>
        </w:tc>
        <w:tc>
          <w:tcPr>
            <w:tcW w:w="1095" w:type="dxa"/>
            <w:tcBorders>
              <w:top w:val="nil"/>
              <w:left w:val="nil"/>
              <w:bottom w:val="single" w:sz="8" w:space="0" w:color="auto"/>
              <w:right w:val="single" w:sz="8" w:space="0" w:color="auto"/>
            </w:tcBorders>
            <w:shd w:val="clear" w:color="auto" w:fill="auto"/>
            <w:noWrap/>
            <w:vAlign w:val="center"/>
            <w:hideMark/>
          </w:tcPr>
          <w:p w14:paraId="5B0B686F"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123</w:t>
            </w:r>
          </w:p>
        </w:tc>
        <w:tc>
          <w:tcPr>
            <w:tcW w:w="975" w:type="dxa"/>
            <w:tcBorders>
              <w:top w:val="nil"/>
              <w:left w:val="nil"/>
              <w:bottom w:val="single" w:sz="8" w:space="0" w:color="auto"/>
              <w:right w:val="single" w:sz="8" w:space="0" w:color="auto"/>
            </w:tcBorders>
            <w:shd w:val="clear" w:color="auto" w:fill="auto"/>
            <w:noWrap/>
            <w:vAlign w:val="center"/>
            <w:hideMark/>
          </w:tcPr>
          <w:p w14:paraId="5FB25CBD"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156</w:t>
            </w:r>
          </w:p>
        </w:tc>
        <w:tc>
          <w:tcPr>
            <w:tcW w:w="938" w:type="dxa"/>
            <w:tcBorders>
              <w:top w:val="nil"/>
              <w:left w:val="nil"/>
              <w:bottom w:val="single" w:sz="8" w:space="0" w:color="auto"/>
              <w:right w:val="single" w:sz="12" w:space="0" w:color="auto"/>
            </w:tcBorders>
            <w:shd w:val="clear" w:color="auto" w:fill="auto"/>
            <w:noWrap/>
            <w:vAlign w:val="center"/>
            <w:hideMark/>
          </w:tcPr>
          <w:p w14:paraId="589CA682"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197</w:t>
            </w:r>
          </w:p>
        </w:tc>
      </w:tr>
      <w:tr w:rsidR="008F16D6" w:rsidRPr="008F16D6" w14:paraId="5802656C" w14:textId="77777777" w:rsidTr="00AF6B8C">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5A4E22ED" w14:textId="77777777" w:rsidR="008F16D6" w:rsidRPr="008F16D6" w:rsidRDefault="008F16D6" w:rsidP="008F16D6">
            <w:pPr>
              <w:keepNext/>
              <w:suppressAutoHyphens/>
              <w:spacing w:after="0" w:line="288" w:lineRule="auto"/>
              <w:rPr>
                <w:rFonts w:ascii="Arial" w:eastAsia="Times New Roman" w:hAnsi="Arial" w:cs="Arial"/>
                <w:sz w:val="20"/>
                <w:szCs w:val="20"/>
                <w:lang w:eastAsia="hr-HR"/>
              </w:rPr>
            </w:pPr>
            <w:r w:rsidRPr="008F16D6">
              <w:rPr>
                <w:rFonts w:ascii="Arial" w:eastAsia="Times New Roman" w:hAnsi="Arial" w:cs="Arial"/>
                <w:sz w:val="20"/>
                <w:szCs w:val="20"/>
                <w:lang w:eastAsia="hr-HR"/>
              </w:rPr>
              <w:t>BDP po stanovniku, indeks 2016. = 100</w:t>
            </w:r>
          </w:p>
        </w:tc>
        <w:tc>
          <w:tcPr>
            <w:tcW w:w="1110" w:type="dxa"/>
            <w:tcBorders>
              <w:top w:val="nil"/>
              <w:left w:val="nil"/>
              <w:bottom w:val="single" w:sz="8" w:space="0" w:color="auto"/>
              <w:right w:val="single" w:sz="8" w:space="0" w:color="auto"/>
            </w:tcBorders>
            <w:shd w:val="clear" w:color="auto" w:fill="auto"/>
            <w:noWrap/>
            <w:vAlign w:val="center"/>
            <w:hideMark/>
          </w:tcPr>
          <w:p w14:paraId="029ECC06"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100,0</w:t>
            </w:r>
          </w:p>
        </w:tc>
        <w:tc>
          <w:tcPr>
            <w:tcW w:w="1035" w:type="dxa"/>
            <w:tcBorders>
              <w:top w:val="nil"/>
              <w:left w:val="nil"/>
              <w:bottom w:val="single" w:sz="8" w:space="0" w:color="auto"/>
              <w:right w:val="single" w:sz="8" w:space="0" w:color="auto"/>
            </w:tcBorders>
            <w:shd w:val="clear" w:color="auto" w:fill="auto"/>
            <w:noWrap/>
            <w:vAlign w:val="center"/>
            <w:hideMark/>
          </w:tcPr>
          <w:p w14:paraId="2105A134"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114,4</w:t>
            </w:r>
          </w:p>
        </w:tc>
        <w:tc>
          <w:tcPr>
            <w:tcW w:w="1095" w:type="dxa"/>
            <w:tcBorders>
              <w:top w:val="nil"/>
              <w:left w:val="nil"/>
              <w:bottom w:val="single" w:sz="8" w:space="0" w:color="auto"/>
              <w:right w:val="single" w:sz="8" w:space="0" w:color="auto"/>
            </w:tcBorders>
            <w:shd w:val="clear" w:color="auto" w:fill="auto"/>
            <w:noWrap/>
            <w:vAlign w:val="center"/>
            <w:hideMark/>
          </w:tcPr>
          <w:p w14:paraId="70060302"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150,2</w:t>
            </w:r>
          </w:p>
        </w:tc>
        <w:tc>
          <w:tcPr>
            <w:tcW w:w="975" w:type="dxa"/>
            <w:tcBorders>
              <w:top w:val="nil"/>
              <w:left w:val="nil"/>
              <w:bottom w:val="single" w:sz="8" w:space="0" w:color="auto"/>
              <w:right w:val="single" w:sz="8" w:space="0" w:color="auto"/>
            </w:tcBorders>
            <w:shd w:val="clear" w:color="auto" w:fill="auto"/>
            <w:noWrap/>
            <w:vAlign w:val="center"/>
            <w:hideMark/>
          </w:tcPr>
          <w:p w14:paraId="31AE60A2"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190,5</w:t>
            </w:r>
          </w:p>
        </w:tc>
        <w:tc>
          <w:tcPr>
            <w:tcW w:w="938" w:type="dxa"/>
            <w:tcBorders>
              <w:top w:val="nil"/>
              <w:left w:val="nil"/>
              <w:bottom w:val="single" w:sz="8" w:space="0" w:color="auto"/>
              <w:right w:val="single" w:sz="12" w:space="0" w:color="auto"/>
            </w:tcBorders>
            <w:shd w:val="clear" w:color="auto" w:fill="auto"/>
            <w:noWrap/>
            <w:vAlign w:val="center"/>
            <w:hideMark/>
          </w:tcPr>
          <w:p w14:paraId="09BDF8E7"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240,6</w:t>
            </w:r>
          </w:p>
        </w:tc>
      </w:tr>
      <w:tr w:rsidR="008F16D6" w:rsidRPr="008F16D6" w14:paraId="293680F9" w14:textId="77777777" w:rsidTr="00AF6B8C">
        <w:trPr>
          <w:trHeight w:val="270"/>
          <w:jc w:val="center"/>
        </w:trPr>
        <w:tc>
          <w:tcPr>
            <w:tcW w:w="3615" w:type="dxa"/>
            <w:tcBorders>
              <w:top w:val="nil"/>
              <w:left w:val="single" w:sz="12" w:space="0" w:color="auto"/>
              <w:bottom w:val="single" w:sz="8" w:space="0" w:color="auto"/>
              <w:right w:val="single" w:sz="8" w:space="0" w:color="auto"/>
            </w:tcBorders>
            <w:shd w:val="clear" w:color="auto" w:fill="auto"/>
            <w:noWrap/>
            <w:hideMark/>
          </w:tcPr>
          <w:p w14:paraId="6EF9C037" w14:textId="77777777" w:rsidR="008F16D6" w:rsidRPr="008F16D6" w:rsidRDefault="008F16D6" w:rsidP="008F16D6">
            <w:pPr>
              <w:keepNext/>
              <w:suppressAutoHyphens/>
              <w:spacing w:after="0" w:line="288" w:lineRule="auto"/>
              <w:rPr>
                <w:rFonts w:ascii="Arial" w:eastAsia="Times New Roman" w:hAnsi="Arial" w:cs="Arial"/>
                <w:sz w:val="20"/>
                <w:szCs w:val="20"/>
                <w:lang w:eastAsia="hr-HR"/>
              </w:rPr>
            </w:pPr>
            <w:r w:rsidRPr="008F16D6">
              <w:rPr>
                <w:rFonts w:ascii="Arial" w:eastAsia="Times New Roman" w:hAnsi="Arial" w:cs="Arial"/>
                <w:sz w:val="20"/>
                <w:szCs w:val="20"/>
                <w:lang w:eastAsia="hr-HR"/>
              </w:rPr>
              <w:t>Broj stanovnika, u milijunima</w:t>
            </w:r>
          </w:p>
        </w:tc>
        <w:tc>
          <w:tcPr>
            <w:tcW w:w="1110" w:type="dxa"/>
            <w:tcBorders>
              <w:top w:val="nil"/>
              <w:left w:val="nil"/>
              <w:bottom w:val="single" w:sz="8" w:space="0" w:color="auto"/>
              <w:right w:val="single" w:sz="8" w:space="0" w:color="auto"/>
            </w:tcBorders>
            <w:shd w:val="clear" w:color="auto" w:fill="auto"/>
            <w:noWrap/>
            <w:vAlign w:val="center"/>
            <w:hideMark/>
          </w:tcPr>
          <w:p w14:paraId="7E4FF1F7"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4,099</w:t>
            </w:r>
          </w:p>
        </w:tc>
        <w:tc>
          <w:tcPr>
            <w:tcW w:w="1035" w:type="dxa"/>
            <w:tcBorders>
              <w:top w:val="nil"/>
              <w:left w:val="nil"/>
              <w:bottom w:val="single" w:sz="8" w:space="0" w:color="auto"/>
              <w:right w:val="single" w:sz="8" w:space="0" w:color="auto"/>
            </w:tcBorders>
            <w:shd w:val="clear" w:color="auto" w:fill="auto"/>
            <w:noWrap/>
            <w:vAlign w:val="center"/>
            <w:hideMark/>
          </w:tcPr>
          <w:p w14:paraId="5C0297D3"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3,984</w:t>
            </w:r>
          </w:p>
        </w:tc>
        <w:tc>
          <w:tcPr>
            <w:tcW w:w="1095" w:type="dxa"/>
            <w:tcBorders>
              <w:top w:val="nil"/>
              <w:left w:val="nil"/>
              <w:bottom w:val="single" w:sz="8" w:space="0" w:color="auto"/>
              <w:right w:val="single" w:sz="8" w:space="0" w:color="auto"/>
            </w:tcBorders>
            <w:shd w:val="clear" w:color="auto" w:fill="auto"/>
            <w:noWrap/>
            <w:vAlign w:val="center"/>
            <w:hideMark/>
          </w:tcPr>
          <w:p w14:paraId="6A8766AC"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3,755</w:t>
            </w:r>
          </w:p>
        </w:tc>
        <w:tc>
          <w:tcPr>
            <w:tcW w:w="975" w:type="dxa"/>
            <w:tcBorders>
              <w:top w:val="nil"/>
              <w:left w:val="nil"/>
              <w:bottom w:val="single" w:sz="8" w:space="0" w:color="auto"/>
              <w:right w:val="single" w:sz="8" w:space="0" w:color="auto"/>
            </w:tcBorders>
            <w:shd w:val="clear" w:color="auto" w:fill="auto"/>
            <w:noWrap/>
            <w:vAlign w:val="center"/>
            <w:hideMark/>
          </w:tcPr>
          <w:p w14:paraId="677AB956"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3,532</w:t>
            </w:r>
          </w:p>
        </w:tc>
        <w:tc>
          <w:tcPr>
            <w:tcW w:w="938" w:type="dxa"/>
            <w:tcBorders>
              <w:top w:val="nil"/>
              <w:left w:val="nil"/>
              <w:bottom w:val="single" w:sz="8" w:space="0" w:color="auto"/>
              <w:right w:val="single" w:sz="12" w:space="0" w:color="auto"/>
            </w:tcBorders>
            <w:shd w:val="clear" w:color="auto" w:fill="auto"/>
            <w:noWrap/>
            <w:vAlign w:val="center"/>
            <w:hideMark/>
          </w:tcPr>
          <w:p w14:paraId="6A2504D0" w14:textId="77777777" w:rsidR="008F16D6" w:rsidRPr="008F16D6" w:rsidRDefault="008F16D6" w:rsidP="008F16D6">
            <w:pPr>
              <w:keepNext/>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3,295</w:t>
            </w:r>
          </w:p>
        </w:tc>
      </w:tr>
      <w:tr w:rsidR="008F16D6" w:rsidRPr="008F16D6" w14:paraId="18FF2186" w14:textId="77777777" w:rsidTr="00AF6B8C">
        <w:trPr>
          <w:trHeight w:val="270"/>
          <w:jc w:val="center"/>
        </w:trPr>
        <w:tc>
          <w:tcPr>
            <w:tcW w:w="3615" w:type="dxa"/>
            <w:tcBorders>
              <w:top w:val="nil"/>
              <w:left w:val="single" w:sz="12" w:space="0" w:color="auto"/>
              <w:bottom w:val="single" w:sz="12" w:space="0" w:color="auto"/>
              <w:right w:val="single" w:sz="8" w:space="0" w:color="auto"/>
            </w:tcBorders>
            <w:shd w:val="clear" w:color="auto" w:fill="auto"/>
            <w:noWrap/>
            <w:hideMark/>
          </w:tcPr>
          <w:p w14:paraId="2AFE8908" w14:textId="77777777" w:rsidR="008F16D6" w:rsidRPr="008F16D6" w:rsidRDefault="008F16D6" w:rsidP="008F16D6">
            <w:pPr>
              <w:suppressAutoHyphens/>
              <w:spacing w:after="0" w:line="288" w:lineRule="auto"/>
              <w:rPr>
                <w:rFonts w:ascii="Arial" w:eastAsia="Times New Roman" w:hAnsi="Arial" w:cs="Arial"/>
                <w:sz w:val="20"/>
                <w:szCs w:val="20"/>
                <w:lang w:eastAsia="hr-HR"/>
              </w:rPr>
            </w:pPr>
            <w:r w:rsidRPr="008F16D6">
              <w:rPr>
                <w:rFonts w:ascii="Arial" w:eastAsia="Times New Roman" w:hAnsi="Arial" w:cs="Arial"/>
                <w:sz w:val="20"/>
                <w:szCs w:val="20"/>
                <w:lang w:eastAsia="hr-HR"/>
              </w:rPr>
              <w:t>Broj zaposlenih, rastuća aktivnost, u milijunima</w:t>
            </w:r>
          </w:p>
        </w:tc>
        <w:tc>
          <w:tcPr>
            <w:tcW w:w="1110" w:type="dxa"/>
            <w:tcBorders>
              <w:top w:val="nil"/>
              <w:left w:val="nil"/>
              <w:bottom w:val="single" w:sz="12" w:space="0" w:color="auto"/>
              <w:right w:val="single" w:sz="8" w:space="0" w:color="auto"/>
            </w:tcBorders>
            <w:shd w:val="clear" w:color="auto" w:fill="auto"/>
            <w:noWrap/>
            <w:vAlign w:val="center"/>
            <w:hideMark/>
          </w:tcPr>
          <w:p w14:paraId="01DBB0B5" w14:textId="77777777" w:rsidR="008F16D6" w:rsidRPr="008F16D6" w:rsidRDefault="008F16D6" w:rsidP="008F16D6">
            <w:pPr>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1,550</w:t>
            </w:r>
          </w:p>
        </w:tc>
        <w:tc>
          <w:tcPr>
            <w:tcW w:w="1035" w:type="dxa"/>
            <w:tcBorders>
              <w:top w:val="nil"/>
              <w:left w:val="nil"/>
              <w:bottom w:val="single" w:sz="12" w:space="0" w:color="auto"/>
              <w:right w:val="single" w:sz="8" w:space="0" w:color="auto"/>
            </w:tcBorders>
            <w:shd w:val="clear" w:color="auto" w:fill="auto"/>
            <w:noWrap/>
            <w:vAlign w:val="center"/>
            <w:hideMark/>
          </w:tcPr>
          <w:p w14:paraId="6416B717" w14:textId="77777777" w:rsidR="008F16D6" w:rsidRPr="008F16D6" w:rsidRDefault="008F16D6" w:rsidP="008F16D6">
            <w:pPr>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1,576</w:t>
            </w:r>
          </w:p>
        </w:tc>
        <w:tc>
          <w:tcPr>
            <w:tcW w:w="1095" w:type="dxa"/>
            <w:tcBorders>
              <w:top w:val="nil"/>
              <w:left w:val="nil"/>
              <w:bottom w:val="single" w:sz="12" w:space="0" w:color="auto"/>
              <w:right w:val="single" w:sz="8" w:space="0" w:color="auto"/>
            </w:tcBorders>
            <w:shd w:val="clear" w:color="auto" w:fill="auto"/>
            <w:noWrap/>
            <w:vAlign w:val="center"/>
            <w:hideMark/>
          </w:tcPr>
          <w:p w14:paraId="567AD50F" w14:textId="77777777" w:rsidR="008F16D6" w:rsidRPr="008F16D6" w:rsidRDefault="008F16D6" w:rsidP="008F16D6">
            <w:pPr>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1,502</w:t>
            </w:r>
          </w:p>
        </w:tc>
        <w:tc>
          <w:tcPr>
            <w:tcW w:w="975" w:type="dxa"/>
            <w:tcBorders>
              <w:top w:val="nil"/>
              <w:left w:val="nil"/>
              <w:bottom w:val="single" w:sz="12" w:space="0" w:color="auto"/>
              <w:right w:val="single" w:sz="8" w:space="0" w:color="auto"/>
            </w:tcBorders>
            <w:shd w:val="clear" w:color="auto" w:fill="auto"/>
            <w:noWrap/>
            <w:vAlign w:val="center"/>
            <w:hideMark/>
          </w:tcPr>
          <w:p w14:paraId="414C79EA" w14:textId="77777777" w:rsidR="008F16D6" w:rsidRPr="008F16D6" w:rsidRDefault="008F16D6" w:rsidP="008F16D6">
            <w:pPr>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1,429</w:t>
            </w:r>
          </w:p>
        </w:tc>
        <w:tc>
          <w:tcPr>
            <w:tcW w:w="938" w:type="dxa"/>
            <w:tcBorders>
              <w:top w:val="nil"/>
              <w:left w:val="nil"/>
              <w:bottom w:val="single" w:sz="12" w:space="0" w:color="auto"/>
              <w:right w:val="single" w:sz="12" w:space="0" w:color="auto"/>
            </w:tcBorders>
            <w:shd w:val="clear" w:color="auto" w:fill="auto"/>
            <w:noWrap/>
            <w:vAlign w:val="center"/>
            <w:hideMark/>
          </w:tcPr>
          <w:p w14:paraId="2DEDDB34" w14:textId="77777777" w:rsidR="008F16D6" w:rsidRPr="008F16D6" w:rsidRDefault="008F16D6" w:rsidP="008F16D6">
            <w:pPr>
              <w:suppressAutoHyphens/>
              <w:spacing w:after="0" w:line="288" w:lineRule="auto"/>
              <w:jc w:val="center"/>
              <w:rPr>
                <w:rFonts w:ascii="Arial" w:eastAsia="Times New Roman" w:hAnsi="Arial" w:cs="Arial"/>
                <w:sz w:val="20"/>
                <w:szCs w:val="20"/>
                <w:lang w:eastAsia="hr-HR"/>
              </w:rPr>
            </w:pPr>
            <w:r w:rsidRPr="008F16D6">
              <w:rPr>
                <w:rFonts w:ascii="Arial" w:eastAsia="Times New Roman" w:hAnsi="Arial" w:cs="Arial"/>
                <w:sz w:val="20"/>
                <w:szCs w:val="20"/>
                <w:lang w:eastAsia="hr-HR"/>
              </w:rPr>
              <w:t>1,342</w:t>
            </w:r>
          </w:p>
        </w:tc>
      </w:tr>
    </w:tbl>
    <w:p w14:paraId="7213B644" w14:textId="1A985B52"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Scenarij konvergencije omogućava Republici Hrvatskoj da u određenoj mjeri smanji jaz u razvijenosti prema drugim članicama EU-a, iako ni ta brzina ne osigurava dostizanje prosjeka EU. Ipak konvergencija TFP-a omogućuje hvatanje priključka s novim članicama koje su već prošle razdoblje transformacije gospodarstva i za većinu kojih se očekuje da će do kraja projiciranog razdoblja biti na razini razvijenosti od oko 90 % prosjeka EU28, a polazeći od početnog stanja koje iznosi 60% prosjeka EU. Prema scenariju konvergencije predviđa se da će BDP u 2030. biti za 37,6% veći nego u 2016. te za 93,4% u 2050. godini. Pritom bi BDP po stanovniku iznosio 123.000 HRK u 2030. i 197.000 HRK u 2050. godini prema 82.000 HRK u 2016. godini.</w:t>
      </w:r>
      <w:r w:rsidRPr="008F16D6">
        <w:rPr>
          <w:rFonts w:ascii="Arial" w:eastAsia="Times New Roman" w:hAnsi="Arial" w:cs="Times New Roman"/>
          <w:lang w:eastAsia="hr-HR"/>
        </w:rPr>
        <w:br w:type="page"/>
      </w:r>
    </w:p>
    <w:p w14:paraId="794434FA" w14:textId="77777777" w:rsidR="008F16D6" w:rsidRPr="008F16D6" w:rsidRDefault="008F16D6" w:rsidP="008F16D6">
      <w:pPr>
        <w:keepNext/>
        <w:pageBreakBefore/>
        <w:pBdr>
          <w:top w:val="single" w:sz="48" w:space="5" w:color="F5C1C6"/>
        </w:pBdr>
        <w:tabs>
          <w:tab w:val="left" w:pos="567"/>
        </w:tabs>
        <w:suppressAutoHyphens/>
        <w:autoSpaceDE w:val="0"/>
        <w:autoSpaceDN w:val="0"/>
        <w:adjustRightInd w:val="0"/>
        <w:spacing w:before="240" w:after="320" w:line="240" w:lineRule="auto"/>
        <w:ind w:left="360" w:hanging="360"/>
        <w:textAlignment w:val="center"/>
        <w:outlineLvl w:val="0"/>
        <w:rPr>
          <w:rFonts w:ascii="Arial" w:eastAsia="Times New Roman" w:hAnsi="Arial" w:cs="Times New Roman"/>
          <w:b/>
          <w:iCs/>
          <w:caps/>
          <w:color w:val="BE1D2D"/>
          <w:position w:val="24"/>
          <w:sz w:val="32"/>
          <w:szCs w:val="48"/>
          <w:lang w:eastAsia="hr-HR"/>
        </w:rPr>
      </w:pPr>
      <w:bookmarkStart w:id="60" w:name="_Toc526034"/>
      <w:bookmarkStart w:id="61" w:name="_Toc17876361"/>
      <w:r w:rsidRPr="008F16D6">
        <w:rPr>
          <w:rFonts w:ascii="Arial" w:eastAsia="Times New Roman" w:hAnsi="Arial" w:cs="Times New Roman"/>
          <w:b/>
          <w:iCs/>
          <w:color w:val="BE1D2D"/>
          <w:position w:val="24"/>
          <w:sz w:val="32"/>
          <w:szCs w:val="48"/>
          <w:lang w:eastAsia="hr-HR"/>
        </w:rPr>
        <w:t>Izazovi, mogućnosti i potencijali energetskog razvoja</w:t>
      </w:r>
      <w:bookmarkEnd w:id="60"/>
      <w:bookmarkEnd w:id="61"/>
    </w:p>
    <w:p w14:paraId="48B158C6"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 xml:space="preserve">Energetski razvoj usmjeren je u skladu s ciljevima EU u pogledu smanjenja emisije stakleničkih plinova, povećanja udjela OIE, energetske učinkovitosti, </w:t>
      </w:r>
      <w:r w:rsidRPr="008F16D6">
        <w:rPr>
          <w:rFonts w:ascii="Arial" w:eastAsia="Arial" w:hAnsi="Arial" w:cs="Arial"/>
          <w:color w:val="000000"/>
          <w:lang w:eastAsia="hr-HR"/>
        </w:rPr>
        <w:t xml:space="preserve">sigurnosti i kvalitete opskrbe, kao i </w:t>
      </w:r>
      <w:r w:rsidRPr="008F16D6">
        <w:rPr>
          <w:rFonts w:ascii="Arial" w:eastAsia="Arial" w:hAnsi="Arial" w:cs="Arial"/>
          <w:lang w:eastAsia="hr-HR"/>
        </w:rPr>
        <w:t>raspoloživim resursima, energetskom infrastrukturom te konkurentnošću gospodarstva i energetskog sektora.</w:t>
      </w:r>
    </w:p>
    <w:p w14:paraId="56A78ACE" w14:textId="77777777"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ind w:left="576" w:hanging="576"/>
        <w:textAlignment w:val="center"/>
        <w:outlineLvl w:val="1"/>
        <w:rPr>
          <w:rFonts w:ascii="Arial" w:eastAsia="Times New Roman" w:hAnsi="Arial" w:cs="Myriad Pro Cond"/>
          <w:b/>
          <w:bCs/>
          <w:color w:val="BE1D2D"/>
          <w:sz w:val="28"/>
          <w:szCs w:val="36"/>
          <w:lang w:eastAsia="hr-HR"/>
        </w:rPr>
      </w:pPr>
      <w:bookmarkStart w:id="62" w:name="_Toc17876362"/>
      <w:r w:rsidRPr="008F16D6">
        <w:rPr>
          <w:rFonts w:ascii="Arial" w:eastAsia="Times New Roman" w:hAnsi="Arial" w:cs="Myriad Pro Cond"/>
          <w:b/>
          <w:bCs/>
          <w:color w:val="BE1D2D"/>
          <w:sz w:val="28"/>
          <w:szCs w:val="36"/>
          <w:lang w:eastAsia="hr-HR"/>
        </w:rPr>
        <w:t>Stanje energetskog sektora</w:t>
      </w:r>
      <w:bookmarkEnd w:id="62"/>
    </w:p>
    <w:p w14:paraId="7484E9BC"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Ukupna potrošnja energije u Republici Hrvatskoj u razdoblju od 2012. godine do 2017. godine rasla je s prosječnom godišnjom stopom od 0,4%, pri čemu se mijenja struktura korištenih energenata. Najveće udjele u ukupnoj potrošnji zauzimaju tekuća goriva i prirodni plin. Potrošnja električne energije posljednjih godina je na približno istoj razini, ali njen udio u ukupnoj potrošnji lagano raste. Udio energije iz obnovljivih izvora u ukupnoj potrošnji se također povećava.</w:t>
      </w:r>
    </w:p>
    <w:p w14:paraId="2A07B687" w14:textId="3D45DB6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Potrošnja ogrjevne topline u centralnim toplinskim sustavima (</w:t>
      </w:r>
      <w:r w:rsidR="00E869A9">
        <w:rPr>
          <w:rFonts w:ascii="Arial" w:eastAsia="Times New Roman" w:hAnsi="Arial" w:cs="Times New Roman"/>
          <w:lang w:eastAsia="hr-HR"/>
        </w:rPr>
        <w:t xml:space="preserve">u daljnjem </w:t>
      </w:r>
      <w:r w:rsidRPr="008F16D6">
        <w:rPr>
          <w:rFonts w:ascii="Arial" w:eastAsia="Times New Roman" w:hAnsi="Arial" w:cs="Times New Roman"/>
          <w:lang w:eastAsia="hr-HR"/>
        </w:rPr>
        <w:t xml:space="preserve">tekstu: CTS) posljednjih godina je na približno istoj razini, ovisno o temperaturnim značajkama pojedine ogrjevne sezone. Gubici ogrjevne topline u CTS-ovima velikih gradova iznose približno 14%. Potrošnja tehnološke pare u CTS-ovima u razdoblju od 2012. godine do 2017. godine je također na približno istoj razini, slaganim trendom pada od 2013. godine. Gubici tehnološke pare u parovodnim sustavima CTS-a iznose približno 25%. Prema raspoloživim podacima, u kratkoročnom razdoblju ne očekuje se trend povećanja potrošnje toplinske energije odnosno ogrjevne topline i tehnološke pare. Na potrošnju toplinske energije značajno će utjecati dinamika energetske obnove zgrada priključenih na CTS-ove i revitalizacija toplinskih mreža.      </w:t>
      </w:r>
    </w:p>
    <w:p w14:paraId="04F21BCF"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Bilančne rezerve nafte, kondenzata i prirodnog plina se posljednjih godina značajno smanjuju, a usporedno s time smanjuju se i godišnje pridobivene količine nafte i plina. Nafta i plin eksploatiraju se s 54 eksploatacijska polja pri čemu se iz domaće proizvodnje osigurava oko 20% potreba za naftom te oko 40% potreba za prirodnim plinom. Dobava prirodnog plina u Republiku Hrvatsku provodi se preko dva uvozna dobavna pravaca (Mađarske i Slovenije). </w:t>
      </w:r>
    </w:p>
    <w:p w14:paraId="5721819B" w14:textId="7B474C12"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Transportni plinski sustav je dobro razvijen i omogućuje predaju plina na području 19 županija. Distribucijski plinski sustav izgrađen je uglavnom na području središnje i istočne Hrvatske, u većim naseljima Istarske i Primorsko-goranske županije te djelomično na užem području većih gradova u Zadarskoj, Šibensko-kninskoj i </w:t>
      </w:r>
      <w:r w:rsidR="009A4241">
        <w:rPr>
          <w:rFonts w:ascii="Arial" w:eastAsia="Times New Roman" w:hAnsi="Arial" w:cs="Times New Roman"/>
          <w:lang w:eastAsia="hr-HR"/>
        </w:rPr>
        <w:t>Splitsko-dalmatinskoj županiji.</w:t>
      </w:r>
    </w:p>
    <w:p w14:paraId="3B75F3FF" w14:textId="61F42510"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 xml:space="preserve">Opskrba tržišta naftnim derivatima odvija se dijelom iz domaćih rafinerija, a dijelom iz uvoza. Važnu ulogu u naftnom sektoru ima naftovodno-skladišna infrastruktura koja je dobro razvijena i može zadovoljiti domaće i inozemne potrebe u nadolazećem razdoblju s obzirom na svoj strateški značaj u prioritetnom energetskom koridoru </w:t>
      </w:r>
      <w:r w:rsidRPr="008F16D6">
        <w:rPr>
          <w:rFonts w:ascii="Arial" w:eastAsia="Arial" w:hAnsi="Arial" w:cs="Arial"/>
          <w:i/>
          <w:iCs/>
          <w:lang w:eastAsia="hr-HR"/>
        </w:rPr>
        <w:t>Konekcije za opskrbu naftom u srednjoistočnoj Europi.</w:t>
      </w:r>
    </w:p>
    <w:p w14:paraId="371E4B90"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U prosjeku više od polovice električne energije proizvodi se u hidroelektranama, pa proizvodnja električne energije u Republici Hrvatskoj značajno varira ovisno o hidrološkim prilikama. U porastu je proizvodnja iz ostalih OIE-a, najviše iz vjetroelektrana. Domaće se potrebe ne zadovoljavaju vlastitom proizvodnjom te uvoz električne energije čini oko 30% ukupne potrošnje, što je posljedica cijena na međunarodnom tržištu električne energije i otvorenog tržišta električne energije u Republici Hrvatskoj.</w:t>
      </w:r>
    </w:p>
    <w:p w14:paraId="2045A98F"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Prijenosna mreža snažno je povezana sa susjednim prijenosnim sustavima te omogućuje značajne tržišne transakcije na širem regionalnom području. Nepovoljna karakteristika prijenosne mreže je relativno velik udio starih postrojenja i jedinica mreže, posebno onih naponske razine 110 kV i 220 kV.</w:t>
      </w:r>
    </w:p>
    <w:p w14:paraId="2B86890D" w14:textId="77777777" w:rsidR="008F16D6" w:rsidRPr="008F16D6" w:rsidRDefault="008F16D6" w:rsidP="008F16D6">
      <w:pPr>
        <w:suppressAutoHyphens/>
        <w:spacing w:before="240" w:after="120" w:line="288" w:lineRule="auto"/>
        <w:jc w:val="both"/>
        <w:rPr>
          <w:rFonts w:ascii="Arial" w:eastAsia="Times New Roman" w:hAnsi="Arial" w:cs="Arial"/>
          <w:lang w:eastAsia="hr-HR"/>
        </w:rPr>
      </w:pPr>
      <w:r w:rsidRPr="008F16D6">
        <w:rPr>
          <w:rFonts w:ascii="Arial" w:eastAsia="Times New Roman" w:hAnsi="Arial" w:cs="Times New Roman"/>
          <w:lang w:eastAsia="hr-HR"/>
        </w:rPr>
        <w:t xml:space="preserve">Distribucijska mreža bilježi poboljšanje indikatora pouzdanosti opskrbe te smanjenje gubitaka. Ipak, postojeći sustavi mjerenja, automatizacije te informacijsko-komunikacijskih tehnologija ograničavaju aktivnije </w:t>
      </w:r>
      <w:r w:rsidRPr="008F16D6">
        <w:rPr>
          <w:rFonts w:ascii="Arial" w:eastAsia="Times New Roman" w:hAnsi="Arial" w:cs="Arial"/>
          <w:lang w:eastAsia="hr-HR"/>
        </w:rPr>
        <w:t xml:space="preserve">sudjelovanje </w:t>
      </w:r>
      <w:r w:rsidRPr="008F16D6">
        <w:rPr>
          <w:rFonts w:ascii="Arial" w:eastAsia="Times New Roman" w:hAnsi="Arial" w:cs="Times New Roman"/>
          <w:lang w:eastAsia="hr-HR"/>
        </w:rPr>
        <w:t xml:space="preserve">korisnika mreže </w:t>
      </w:r>
      <w:r w:rsidRPr="008F16D6">
        <w:rPr>
          <w:rFonts w:ascii="Arial" w:eastAsia="Times New Roman" w:hAnsi="Arial" w:cs="Arial"/>
          <w:lang w:eastAsia="hr-HR"/>
        </w:rPr>
        <w:t xml:space="preserve">na tržištu električne energije i pružanju pomoćnih usluga. </w:t>
      </w:r>
    </w:p>
    <w:p w14:paraId="634470BE" w14:textId="77777777"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ind w:left="576" w:hanging="576"/>
        <w:textAlignment w:val="center"/>
        <w:outlineLvl w:val="1"/>
        <w:rPr>
          <w:rFonts w:ascii="Arial" w:eastAsia="Times New Roman" w:hAnsi="Arial" w:cs="Myriad Pro Cond"/>
          <w:b/>
          <w:bCs/>
          <w:color w:val="BE1D2D"/>
          <w:sz w:val="28"/>
          <w:szCs w:val="36"/>
          <w:lang w:eastAsia="hr-HR"/>
        </w:rPr>
      </w:pPr>
      <w:bookmarkStart w:id="63" w:name="_Toc17876363"/>
      <w:r w:rsidRPr="008F16D6">
        <w:rPr>
          <w:rFonts w:ascii="Arial" w:eastAsia="Times New Roman" w:hAnsi="Arial" w:cs="Myriad Pro Cond"/>
          <w:b/>
          <w:bCs/>
          <w:color w:val="BE1D2D"/>
          <w:sz w:val="28"/>
          <w:szCs w:val="36"/>
          <w:lang w:eastAsia="hr-HR"/>
        </w:rPr>
        <w:t>Rezerve energije i potencijali</w:t>
      </w:r>
      <w:bookmarkEnd w:id="63"/>
    </w:p>
    <w:p w14:paraId="53A60BA1" w14:textId="4E0EB4D6"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Arial"/>
          <w:lang w:eastAsia="hr-HR"/>
        </w:rPr>
        <w:t xml:space="preserve">U razvoju proizvodnog dijela energetskog sektora u idućim desetljećima najveći ukupni doprinos očekuje se od OIE. Raspolaganje vlastitim potencijalima OIE prvi je preduvjet za njihovu široku primjenu. Važno je istaknuti da </w:t>
      </w:r>
      <w:r w:rsidRPr="008F16D6">
        <w:rPr>
          <w:rFonts w:ascii="Arial" w:eastAsia="Times New Roman" w:hAnsi="Arial" w:cs="Times New Roman"/>
          <w:lang w:eastAsia="hr-HR"/>
        </w:rPr>
        <w:t xml:space="preserve">Republika Hrvatska raspolaže dovoljnim potencijalom OIE u obliku vodnih snaga, vjetra, sunca, geotermalne energije i biomase kojima može zadovoljiti potrebe za električnom energijom, uz istovremeno održivo korištenje resursa i prostora te primjenu mjera zaštite okoliša i prirode. Potencijali OIE su dovoljno veliki i za djelomično podmirenje potreba za toplinom i potreba u transportu. </w:t>
      </w:r>
      <w:bookmarkStart w:id="64" w:name="_Hlk4404365"/>
      <w:r w:rsidRPr="008F16D6">
        <w:rPr>
          <w:rFonts w:ascii="Arial" w:eastAsia="Times New Roman" w:hAnsi="Arial" w:cs="Times New Roman"/>
          <w:lang w:eastAsia="hr-HR"/>
        </w:rPr>
        <w:fldChar w:fldCharType="begin"/>
      </w:r>
      <w:r w:rsidRPr="008F16D6">
        <w:rPr>
          <w:rFonts w:ascii="Arial" w:eastAsia="Times New Roman" w:hAnsi="Arial" w:cs="Times New Roman"/>
          <w:lang w:eastAsia="hr-HR"/>
        </w:rPr>
        <w:instrText xml:space="preserve"> REF _Ref4404256 \h  \* MERGEFORMAT </w:instrText>
      </w:r>
      <w:r w:rsidRPr="008F16D6">
        <w:rPr>
          <w:rFonts w:ascii="Arial" w:eastAsia="Times New Roman" w:hAnsi="Arial" w:cs="Times New Roman"/>
          <w:lang w:eastAsia="hr-HR"/>
        </w:rPr>
      </w:r>
      <w:r w:rsidRPr="008F16D6">
        <w:rPr>
          <w:rFonts w:ascii="Arial" w:eastAsia="Times New Roman" w:hAnsi="Arial" w:cs="Times New Roman"/>
          <w:lang w:eastAsia="hr-HR"/>
        </w:rPr>
        <w:fldChar w:fldCharType="separate"/>
      </w:r>
      <w:r w:rsidR="00956178" w:rsidRPr="00956178">
        <w:rPr>
          <w:rFonts w:ascii="Arial" w:eastAsia="Times New Roman" w:hAnsi="Arial" w:cs="Times New Roman"/>
          <w:lang w:eastAsia="hr-HR"/>
        </w:rPr>
        <w:t xml:space="preserve">Tablica </w:t>
      </w:r>
      <w:r w:rsidRPr="008F16D6">
        <w:rPr>
          <w:rFonts w:ascii="Arial" w:eastAsia="Times New Roman" w:hAnsi="Arial" w:cs="Times New Roman"/>
          <w:lang w:eastAsia="hr-HR"/>
        </w:rPr>
        <w:fldChar w:fldCharType="end"/>
      </w:r>
      <w:r w:rsidR="000727D9">
        <w:rPr>
          <w:rFonts w:ascii="Arial" w:eastAsia="Times New Roman" w:hAnsi="Arial" w:cs="Times New Roman"/>
          <w:lang w:eastAsia="hr-HR"/>
        </w:rPr>
        <w:t>3.</w:t>
      </w:r>
      <w:r w:rsidRPr="008F16D6">
        <w:rPr>
          <w:rFonts w:ascii="Arial" w:eastAsia="Times New Roman" w:hAnsi="Arial" w:cs="Times New Roman"/>
          <w:lang w:eastAsia="hr-HR"/>
        </w:rPr>
        <w:t xml:space="preserve"> prikazuje ukupni tehnički potencijal OIE u Republici Hrvatskoj, koji uključuje izgrađene i neizgrađene objekte.</w:t>
      </w:r>
      <w:bookmarkEnd w:id="64"/>
      <w:r w:rsidRPr="008F16D6">
        <w:rPr>
          <w:rFonts w:ascii="Arial" w:eastAsia="Times New Roman" w:hAnsi="Arial" w:cs="Times New Roman"/>
          <w:lang w:eastAsia="hr-HR"/>
        </w:rPr>
        <w:t xml:space="preserve"> Ukupni tehnički potencijal korištenja različitih oblika energije, ne predstavlja nužno i stvarni dostupni potencijal s obzirom da isti ne uzima u obzir ograničenja iz područja prostornog planiranja, zaštićena područja unutar mreže NATURA 2000 i ograničene mogućnosti njihove prenamjene, mjere koje proizlaze iz Plana upravljanja vodnim područjima, kao i ostala ograničenja zaštite okoliša i prirode. Navedeno se prvenstveno odnosi na velike HE, ali i ostale OIE, gdje nije moguće zbog navedenih ograničenja u potpunosti realizirati tehnički potencijal. Stoga je za očekivati da će dostupni potencijal biti manji od ukupnog tehničkog potencijala uzimajući u obzir pojedina ograničenja, a koji će biti poznat prilikom izrade pojedinih provedbenih dokumenata i studija. </w:t>
      </w:r>
    </w:p>
    <w:p w14:paraId="2418FAD4" w14:textId="77777777" w:rsidR="008F16D6" w:rsidRPr="008F16D6" w:rsidRDefault="008F16D6" w:rsidP="008F16D6">
      <w:pPr>
        <w:suppressAutoHyphens/>
        <w:spacing w:before="240" w:after="120" w:line="288" w:lineRule="auto"/>
        <w:jc w:val="center"/>
        <w:rPr>
          <w:rFonts w:ascii="Arial" w:eastAsia="Times New Roman" w:hAnsi="Arial" w:cs="Arial"/>
          <w:b/>
          <w:sz w:val="20"/>
          <w:szCs w:val="20"/>
          <w:lang w:eastAsia="hr-HR"/>
        </w:rPr>
      </w:pPr>
      <w:bookmarkStart w:id="65" w:name="_Ref4404256"/>
      <w:r w:rsidRPr="008F16D6">
        <w:rPr>
          <w:rFonts w:ascii="Arial" w:eastAsia="Times New Roman" w:hAnsi="Arial" w:cs="Times New Roman"/>
          <w:b/>
          <w:sz w:val="20"/>
          <w:szCs w:val="20"/>
          <w:lang w:eastAsia="hr-HR"/>
        </w:rPr>
        <w:t xml:space="preserve">Tablica </w:t>
      </w:r>
      <w:bookmarkEnd w:id="65"/>
      <w:r w:rsidR="00AC5EA0">
        <w:rPr>
          <w:rFonts w:ascii="Arial" w:eastAsia="Times New Roman" w:hAnsi="Arial" w:cs="Times New Roman"/>
          <w:b/>
          <w:noProof/>
          <w:sz w:val="20"/>
          <w:szCs w:val="20"/>
          <w:lang w:eastAsia="hr-HR"/>
        </w:rPr>
        <w:t>3</w:t>
      </w:r>
      <w:r w:rsidRPr="008F16D6">
        <w:rPr>
          <w:rFonts w:ascii="Arial" w:eastAsia="Times New Roman" w:hAnsi="Arial" w:cs="Times New Roman"/>
          <w:b/>
          <w:sz w:val="20"/>
          <w:szCs w:val="20"/>
          <w:lang w:eastAsia="hr-HR"/>
        </w:rPr>
        <w:t>. Ukupni tehnički potencijal OIE u Republici Hrvatskoj</w:t>
      </w:r>
    </w:p>
    <w:tbl>
      <w:tblPr>
        <w:tblStyle w:val="Reetkatablice2"/>
        <w:tblW w:w="8642" w:type="dxa"/>
        <w:jc w:val="center"/>
        <w:tblLook w:val="04A0" w:firstRow="1" w:lastRow="0" w:firstColumn="1" w:lastColumn="0" w:noHBand="0" w:noVBand="1"/>
      </w:tblPr>
      <w:tblGrid>
        <w:gridCol w:w="4673"/>
        <w:gridCol w:w="3969"/>
      </w:tblGrid>
      <w:tr w:rsidR="008F16D6" w:rsidRPr="008F16D6" w14:paraId="3FA5FE5F" w14:textId="77777777" w:rsidTr="008F16D6">
        <w:trPr>
          <w:jc w:val="center"/>
        </w:trPr>
        <w:tc>
          <w:tcPr>
            <w:tcW w:w="4673" w:type="dxa"/>
          </w:tcPr>
          <w:p w14:paraId="6D5B5A99" w14:textId="77777777" w:rsidR="008F16D6" w:rsidRPr="008F16D6" w:rsidRDefault="008F16D6" w:rsidP="008F16D6">
            <w:pPr>
              <w:suppressAutoHyphens/>
              <w:spacing w:before="240" w:after="120" w:line="288" w:lineRule="auto"/>
              <w:jc w:val="center"/>
              <w:rPr>
                <w:b/>
                <w:sz w:val="20"/>
                <w:szCs w:val="20"/>
              </w:rPr>
            </w:pPr>
            <w:r w:rsidRPr="008F16D6">
              <w:rPr>
                <w:b/>
                <w:sz w:val="20"/>
                <w:szCs w:val="20"/>
              </w:rPr>
              <w:t>OIE</w:t>
            </w:r>
          </w:p>
        </w:tc>
        <w:tc>
          <w:tcPr>
            <w:tcW w:w="3969" w:type="dxa"/>
          </w:tcPr>
          <w:p w14:paraId="64AF99A3" w14:textId="77777777" w:rsidR="008F16D6" w:rsidRPr="008F16D6" w:rsidRDefault="008F16D6" w:rsidP="008F16D6">
            <w:pPr>
              <w:suppressAutoHyphens/>
              <w:spacing w:before="240" w:after="120" w:line="288" w:lineRule="auto"/>
              <w:jc w:val="center"/>
              <w:rPr>
                <w:b/>
                <w:sz w:val="20"/>
                <w:szCs w:val="20"/>
              </w:rPr>
            </w:pPr>
            <w:r w:rsidRPr="008F16D6">
              <w:rPr>
                <w:b/>
                <w:sz w:val="20"/>
                <w:szCs w:val="20"/>
              </w:rPr>
              <w:t>Tehnički potencijal*</w:t>
            </w:r>
          </w:p>
        </w:tc>
      </w:tr>
      <w:tr w:rsidR="008F16D6" w:rsidRPr="008F16D6" w14:paraId="1666F4BE" w14:textId="77777777" w:rsidTr="00AF6B8C">
        <w:trPr>
          <w:jc w:val="center"/>
        </w:trPr>
        <w:tc>
          <w:tcPr>
            <w:tcW w:w="4673" w:type="dxa"/>
            <w:shd w:val="clear" w:color="auto" w:fill="auto"/>
          </w:tcPr>
          <w:p w14:paraId="5E1C5B86" w14:textId="77777777" w:rsidR="008F16D6" w:rsidRPr="008F16D6" w:rsidRDefault="008F16D6" w:rsidP="008F16D6">
            <w:pPr>
              <w:suppressAutoHyphens/>
              <w:spacing w:before="240" w:after="120" w:line="288" w:lineRule="auto"/>
              <w:jc w:val="both"/>
              <w:rPr>
                <w:sz w:val="20"/>
                <w:szCs w:val="20"/>
              </w:rPr>
            </w:pPr>
            <w:r w:rsidRPr="008F16D6">
              <w:rPr>
                <w:sz w:val="20"/>
                <w:szCs w:val="20"/>
              </w:rPr>
              <w:t>Potencijal vodotoka – ukupno</w:t>
            </w:r>
          </w:p>
        </w:tc>
        <w:tc>
          <w:tcPr>
            <w:tcW w:w="3969" w:type="dxa"/>
            <w:shd w:val="clear" w:color="auto" w:fill="auto"/>
          </w:tcPr>
          <w:p w14:paraId="00F01BCB" w14:textId="77777777" w:rsidR="008F16D6" w:rsidRPr="008F16D6" w:rsidRDefault="008F16D6" w:rsidP="008F16D6">
            <w:pPr>
              <w:suppressAutoHyphens/>
              <w:spacing w:before="240" w:after="120" w:line="288" w:lineRule="auto"/>
              <w:jc w:val="center"/>
              <w:rPr>
                <w:sz w:val="20"/>
                <w:szCs w:val="20"/>
              </w:rPr>
            </w:pPr>
            <w:r w:rsidRPr="008F16D6">
              <w:rPr>
                <w:sz w:val="20"/>
                <w:szCs w:val="20"/>
              </w:rPr>
              <w:t>3700-4250 MW</w:t>
            </w:r>
          </w:p>
        </w:tc>
      </w:tr>
      <w:tr w:rsidR="008F16D6" w:rsidRPr="008F16D6" w14:paraId="55EFE880" w14:textId="77777777" w:rsidTr="00AF6B8C">
        <w:trPr>
          <w:jc w:val="center"/>
        </w:trPr>
        <w:tc>
          <w:tcPr>
            <w:tcW w:w="4673" w:type="dxa"/>
            <w:shd w:val="clear" w:color="auto" w:fill="auto"/>
          </w:tcPr>
          <w:p w14:paraId="06C7E722" w14:textId="77777777" w:rsidR="008F16D6" w:rsidRPr="008F16D6" w:rsidRDefault="008F16D6" w:rsidP="008F16D6">
            <w:pPr>
              <w:suppressAutoHyphens/>
              <w:spacing w:before="240" w:after="120" w:line="288" w:lineRule="auto"/>
              <w:jc w:val="both"/>
              <w:rPr>
                <w:sz w:val="20"/>
                <w:szCs w:val="20"/>
              </w:rPr>
            </w:pPr>
            <w:r w:rsidRPr="008F16D6">
              <w:rPr>
                <w:sz w:val="20"/>
                <w:szCs w:val="20"/>
              </w:rPr>
              <w:t xml:space="preserve">     Veliki vodotoci (Velike HE &gt; 10 MW)</w:t>
            </w:r>
          </w:p>
        </w:tc>
        <w:tc>
          <w:tcPr>
            <w:tcW w:w="3969" w:type="dxa"/>
            <w:shd w:val="clear" w:color="auto" w:fill="auto"/>
          </w:tcPr>
          <w:p w14:paraId="3DFAB49E" w14:textId="77777777" w:rsidR="008F16D6" w:rsidRPr="008F16D6" w:rsidRDefault="008F16D6" w:rsidP="008F16D6">
            <w:pPr>
              <w:suppressAutoHyphens/>
              <w:spacing w:before="240" w:after="120" w:line="288" w:lineRule="auto"/>
              <w:jc w:val="center"/>
              <w:rPr>
                <w:sz w:val="20"/>
                <w:szCs w:val="20"/>
              </w:rPr>
            </w:pPr>
            <w:r w:rsidRPr="008F16D6">
              <w:rPr>
                <w:sz w:val="20"/>
                <w:szCs w:val="20"/>
              </w:rPr>
              <w:t>3500-4000 MW</w:t>
            </w:r>
          </w:p>
        </w:tc>
      </w:tr>
      <w:tr w:rsidR="008F16D6" w:rsidRPr="008F16D6" w14:paraId="31AD4169" w14:textId="77777777" w:rsidTr="00AF6B8C">
        <w:trPr>
          <w:jc w:val="center"/>
        </w:trPr>
        <w:tc>
          <w:tcPr>
            <w:tcW w:w="4673" w:type="dxa"/>
            <w:shd w:val="clear" w:color="auto" w:fill="auto"/>
          </w:tcPr>
          <w:p w14:paraId="6FB76996" w14:textId="77777777" w:rsidR="008F16D6" w:rsidRPr="008F16D6" w:rsidRDefault="008F16D6" w:rsidP="008F16D6">
            <w:pPr>
              <w:suppressAutoHyphens/>
              <w:spacing w:before="240" w:after="120" w:line="288" w:lineRule="auto"/>
              <w:jc w:val="both"/>
              <w:rPr>
                <w:sz w:val="20"/>
                <w:szCs w:val="20"/>
              </w:rPr>
            </w:pPr>
            <w:r w:rsidRPr="008F16D6">
              <w:rPr>
                <w:sz w:val="20"/>
                <w:szCs w:val="20"/>
              </w:rPr>
              <w:t xml:space="preserve">     Mali vodotoci (Male HE &lt;= 10 MW)</w:t>
            </w:r>
          </w:p>
        </w:tc>
        <w:tc>
          <w:tcPr>
            <w:tcW w:w="3969" w:type="dxa"/>
            <w:shd w:val="clear" w:color="auto" w:fill="auto"/>
          </w:tcPr>
          <w:p w14:paraId="6A5A9FB1" w14:textId="77777777" w:rsidR="008F16D6" w:rsidRPr="008F16D6" w:rsidRDefault="008F16D6" w:rsidP="008F16D6">
            <w:pPr>
              <w:suppressAutoHyphens/>
              <w:spacing w:before="240" w:after="120" w:line="288" w:lineRule="auto"/>
              <w:jc w:val="center"/>
              <w:rPr>
                <w:sz w:val="20"/>
                <w:szCs w:val="20"/>
              </w:rPr>
            </w:pPr>
            <w:r w:rsidRPr="008F16D6">
              <w:rPr>
                <w:sz w:val="20"/>
                <w:szCs w:val="20"/>
              </w:rPr>
              <w:t>200-250 MW</w:t>
            </w:r>
          </w:p>
        </w:tc>
      </w:tr>
      <w:tr w:rsidR="008F16D6" w:rsidRPr="008F16D6" w14:paraId="6D1D9D38" w14:textId="77777777" w:rsidTr="00AF6B8C">
        <w:trPr>
          <w:jc w:val="center"/>
        </w:trPr>
        <w:tc>
          <w:tcPr>
            <w:tcW w:w="4673" w:type="dxa"/>
            <w:shd w:val="clear" w:color="auto" w:fill="auto"/>
          </w:tcPr>
          <w:p w14:paraId="5EB33980" w14:textId="77777777" w:rsidR="008F16D6" w:rsidRPr="008F16D6" w:rsidRDefault="008F16D6" w:rsidP="008F16D6">
            <w:pPr>
              <w:suppressAutoHyphens/>
              <w:spacing w:before="240" w:after="120" w:line="288" w:lineRule="auto"/>
              <w:jc w:val="both"/>
              <w:rPr>
                <w:sz w:val="20"/>
                <w:szCs w:val="20"/>
              </w:rPr>
            </w:pPr>
            <w:r w:rsidRPr="008F16D6">
              <w:rPr>
                <w:sz w:val="20"/>
                <w:szCs w:val="20"/>
              </w:rPr>
              <w:t>Energija vjetra – ukupno</w:t>
            </w:r>
          </w:p>
        </w:tc>
        <w:tc>
          <w:tcPr>
            <w:tcW w:w="3969" w:type="dxa"/>
            <w:shd w:val="clear" w:color="auto" w:fill="auto"/>
          </w:tcPr>
          <w:p w14:paraId="1CB1D3F8" w14:textId="77777777" w:rsidR="008F16D6" w:rsidRPr="008F16D6" w:rsidRDefault="008F16D6" w:rsidP="008F16D6">
            <w:pPr>
              <w:suppressAutoHyphens/>
              <w:spacing w:before="240" w:after="120" w:line="288" w:lineRule="auto"/>
              <w:jc w:val="center"/>
              <w:rPr>
                <w:sz w:val="20"/>
                <w:szCs w:val="20"/>
              </w:rPr>
            </w:pPr>
            <w:r w:rsidRPr="008F16D6">
              <w:rPr>
                <w:sz w:val="20"/>
                <w:szCs w:val="20"/>
              </w:rPr>
              <w:t>7000-9000 MW</w:t>
            </w:r>
          </w:p>
        </w:tc>
      </w:tr>
      <w:tr w:rsidR="008F16D6" w:rsidRPr="008F16D6" w14:paraId="60BED508" w14:textId="77777777" w:rsidTr="00AF6B8C">
        <w:trPr>
          <w:jc w:val="center"/>
        </w:trPr>
        <w:tc>
          <w:tcPr>
            <w:tcW w:w="4673" w:type="dxa"/>
            <w:shd w:val="clear" w:color="auto" w:fill="auto"/>
          </w:tcPr>
          <w:p w14:paraId="24255C2A" w14:textId="77777777" w:rsidR="008F16D6" w:rsidRPr="008F16D6" w:rsidRDefault="008F16D6" w:rsidP="008F16D6">
            <w:pPr>
              <w:suppressAutoHyphens/>
              <w:spacing w:before="240" w:after="120" w:line="288" w:lineRule="auto"/>
              <w:jc w:val="both"/>
              <w:rPr>
                <w:sz w:val="20"/>
                <w:szCs w:val="20"/>
              </w:rPr>
            </w:pPr>
            <w:r w:rsidRPr="008F16D6">
              <w:rPr>
                <w:sz w:val="20"/>
                <w:szCs w:val="20"/>
              </w:rPr>
              <w:t>Energija sunca – ukupno</w:t>
            </w:r>
          </w:p>
        </w:tc>
        <w:tc>
          <w:tcPr>
            <w:tcW w:w="3969" w:type="dxa"/>
            <w:shd w:val="clear" w:color="auto" w:fill="auto"/>
          </w:tcPr>
          <w:p w14:paraId="484D839C" w14:textId="77777777" w:rsidR="008F16D6" w:rsidRPr="008F16D6" w:rsidRDefault="008F16D6" w:rsidP="008F16D6">
            <w:pPr>
              <w:suppressAutoHyphens/>
              <w:spacing w:before="240" w:after="120" w:line="288" w:lineRule="auto"/>
              <w:jc w:val="center"/>
              <w:rPr>
                <w:sz w:val="20"/>
                <w:szCs w:val="20"/>
              </w:rPr>
            </w:pPr>
            <w:r w:rsidRPr="008F16D6">
              <w:rPr>
                <w:sz w:val="20"/>
                <w:szCs w:val="20"/>
              </w:rPr>
              <w:t>8000 MW</w:t>
            </w:r>
          </w:p>
        </w:tc>
      </w:tr>
      <w:tr w:rsidR="008F16D6" w:rsidRPr="008F16D6" w14:paraId="3B9164B0" w14:textId="77777777" w:rsidTr="00AF6B8C">
        <w:trPr>
          <w:jc w:val="center"/>
        </w:trPr>
        <w:tc>
          <w:tcPr>
            <w:tcW w:w="4673" w:type="dxa"/>
            <w:shd w:val="clear" w:color="auto" w:fill="auto"/>
          </w:tcPr>
          <w:p w14:paraId="13FF7A30" w14:textId="77777777" w:rsidR="008F16D6" w:rsidRPr="008F16D6" w:rsidRDefault="008F16D6" w:rsidP="008F16D6">
            <w:pPr>
              <w:suppressAutoHyphens/>
              <w:spacing w:before="240" w:after="120" w:line="288" w:lineRule="auto"/>
              <w:jc w:val="both"/>
              <w:rPr>
                <w:sz w:val="20"/>
                <w:szCs w:val="20"/>
              </w:rPr>
            </w:pPr>
            <w:r w:rsidRPr="008F16D6">
              <w:rPr>
                <w:sz w:val="20"/>
                <w:szCs w:val="20"/>
              </w:rPr>
              <w:t xml:space="preserve">     Energija sunca – FN elektrane</w:t>
            </w:r>
          </w:p>
        </w:tc>
        <w:tc>
          <w:tcPr>
            <w:tcW w:w="3969" w:type="dxa"/>
            <w:shd w:val="clear" w:color="auto" w:fill="auto"/>
          </w:tcPr>
          <w:p w14:paraId="4AFF3497" w14:textId="77777777" w:rsidR="008F16D6" w:rsidRPr="008F16D6" w:rsidRDefault="008F16D6" w:rsidP="008F16D6">
            <w:pPr>
              <w:suppressAutoHyphens/>
              <w:spacing w:before="240" w:after="120" w:line="288" w:lineRule="auto"/>
              <w:jc w:val="center"/>
              <w:rPr>
                <w:sz w:val="20"/>
                <w:szCs w:val="20"/>
              </w:rPr>
            </w:pPr>
            <w:r w:rsidRPr="008F16D6">
              <w:rPr>
                <w:sz w:val="20"/>
                <w:szCs w:val="20"/>
              </w:rPr>
              <w:t>5300 MW</w:t>
            </w:r>
          </w:p>
        </w:tc>
      </w:tr>
      <w:tr w:rsidR="008F16D6" w:rsidRPr="008F16D6" w14:paraId="7E8E354B" w14:textId="77777777" w:rsidTr="00AF6B8C">
        <w:trPr>
          <w:jc w:val="center"/>
        </w:trPr>
        <w:tc>
          <w:tcPr>
            <w:tcW w:w="4673" w:type="dxa"/>
            <w:shd w:val="clear" w:color="auto" w:fill="auto"/>
          </w:tcPr>
          <w:p w14:paraId="53D099FD" w14:textId="77777777" w:rsidR="008F16D6" w:rsidRPr="008F16D6" w:rsidRDefault="008F16D6" w:rsidP="008F16D6">
            <w:pPr>
              <w:suppressAutoHyphens/>
              <w:spacing w:before="240" w:after="120" w:line="288" w:lineRule="auto"/>
              <w:jc w:val="both"/>
              <w:rPr>
                <w:sz w:val="20"/>
                <w:szCs w:val="20"/>
              </w:rPr>
            </w:pPr>
            <w:r w:rsidRPr="008F16D6">
              <w:rPr>
                <w:sz w:val="20"/>
                <w:szCs w:val="20"/>
              </w:rPr>
              <w:t xml:space="preserve">     Energija sunca – FN sustavi na građevinama</w:t>
            </w:r>
          </w:p>
        </w:tc>
        <w:tc>
          <w:tcPr>
            <w:tcW w:w="3969" w:type="dxa"/>
            <w:shd w:val="clear" w:color="auto" w:fill="auto"/>
          </w:tcPr>
          <w:p w14:paraId="04B067E3" w14:textId="77777777" w:rsidR="008F16D6" w:rsidRPr="008F16D6" w:rsidRDefault="008F16D6" w:rsidP="008F16D6">
            <w:pPr>
              <w:suppressAutoHyphens/>
              <w:spacing w:before="240" w:after="120" w:line="288" w:lineRule="auto"/>
              <w:jc w:val="center"/>
              <w:rPr>
                <w:sz w:val="20"/>
                <w:szCs w:val="20"/>
              </w:rPr>
            </w:pPr>
            <w:r w:rsidRPr="008F16D6">
              <w:rPr>
                <w:sz w:val="20"/>
                <w:szCs w:val="20"/>
              </w:rPr>
              <w:t>2700 MW</w:t>
            </w:r>
          </w:p>
        </w:tc>
      </w:tr>
    </w:tbl>
    <w:p w14:paraId="2D9C01FF" w14:textId="77777777" w:rsidR="00E03203" w:rsidRDefault="00E03203">
      <w:r>
        <w:br w:type="page"/>
      </w:r>
    </w:p>
    <w:tbl>
      <w:tblPr>
        <w:tblStyle w:val="Reetkatablice2"/>
        <w:tblW w:w="8642" w:type="dxa"/>
        <w:jc w:val="center"/>
        <w:tblLook w:val="04A0" w:firstRow="1" w:lastRow="0" w:firstColumn="1" w:lastColumn="0" w:noHBand="0" w:noVBand="1"/>
      </w:tblPr>
      <w:tblGrid>
        <w:gridCol w:w="4673"/>
        <w:gridCol w:w="3969"/>
      </w:tblGrid>
      <w:tr w:rsidR="008F16D6" w:rsidRPr="008F16D6" w14:paraId="1AEED3DC" w14:textId="77777777" w:rsidTr="00AF6B8C">
        <w:trPr>
          <w:jc w:val="center"/>
        </w:trPr>
        <w:tc>
          <w:tcPr>
            <w:tcW w:w="4673" w:type="dxa"/>
            <w:shd w:val="clear" w:color="auto" w:fill="auto"/>
          </w:tcPr>
          <w:p w14:paraId="0EBADE48" w14:textId="77777777" w:rsidR="00E03203" w:rsidRDefault="008F16D6" w:rsidP="008F16D6">
            <w:pPr>
              <w:suppressAutoHyphens/>
              <w:spacing w:before="240" w:after="120" w:line="288" w:lineRule="auto"/>
              <w:jc w:val="both"/>
              <w:rPr>
                <w:sz w:val="20"/>
                <w:szCs w:val="20"/>
              </w:rPr>
            </w:pPr>
            <w:r w:rsidRPr="008F16D6">
              <w:rPr>
                <w:sz w:val="20"/>
                <w:szCs w:val="20"/>
              </w:rPr>
              <w:t xml:space="preserve">     Energija sunca – toplinski sustavi na</w:t>
            </w:r>
          </w:p>
          <w:p w14:paraId="309F898A" w14:textId="52FF9710" w:rsidR="008F16D6" w:rsidRPr="008F16D6" w:rsidRDefault="008F16D6" w:rsidP="008F16D6">
            <w:pPr>
              <w:suppressAutoHyphens/>
              <w:spacing w:before="240" w:after="120" w:line="288" w:lineRule="auto"/>
              <w:jc w:val="both"/>
              <w:rPr>
                <w:sz w:val="20"/>
                <w:szCs w:val="20"/>
              </w:rPr>
            </w:pPr>
            <w:r w:rsidRPr="008F16D6">
              <w:rPr>
                <w:sz w:val="20"/>
                <w:szCs w:val="20"/>
              </w:rPr>
              <w:t xml:space="preserve"> </w:t>
            </w:r>
            <w:r w:rsidR="00E03203">
              <w:rPr>
                <w:sz w:val="20"/>
                <w:szCs w:val="20"/>
              </w:rPr>
              <w:t xml:space="preserve">                                </w:t>
            </w:r>
            <w:r w:rsidRPr="008F16D6">
              <w:rPr>
                <w:sz w:val="20"/>
                <w:szCs w:val="20"/>
              </w:rPr>
              <w:t>građevinama</w:t>
            </w:r>
          </w:p>
        </w:tc>
        <w:tc>
          <w:tcPr>
            <w:tcW w:w="3969" w:type="dxa"/>
            <w:shd w:val="clear" w:color="auto" w:fill="auto"/>
          </w:tcPr>
          <w:p w14:paraId="736C4062" w14:textId="77777777" w:rsidR="008F16D6" w:rsidRPr="008F16D6" w:rsidRDefault="008F16D6" w:rsidP="008F16D6">
            <w:pPr>
              <w:suppressAutoHyphens/>
              <w:spacing w:before="240" w:after="120" w:line="288" w:lineRule="auto"/>
              <w:ind w:left="1173"/>
              <w:jc w:val="center"/>
              <w:rPr>
                <w:sz w:val="20"/>
                <w:szCs w:val="20"/>
              </w:rPr>
            </w:pPr>
            <w:r w:rsidRPr="008F16D6">
              <w:rPr>
                <w:sz w:val="20"/>
                <w:szCs w:val="20"/>
              </w:rPr>
              <w:t>Oko 98% kućanstava i oko 95% građevina u sektoru usluga i industrije</w:t>
            </w:r>
          </w:p>
        </w:tc>
      </w:tr>
      <w:tr w:rsidR="008F16D6" w:rsidRPr="008F16D6" w14:paraId="6556D2C5" w14:textId="77777777" w:rsidTr="00AF6B8C">
        <w:trPr>
          <w:jc w:val="center"/>
        </w:trPr>
        <w:tc>
          <w:tcPr>
            <w:tcW w:w="4673" w:type="dxa"/>
            <w:shd w:val="clear" w:color="auto" w:fill="auto"/>
          </w:tcPr>
          <w:p w14:paraId="574253E5" w14:textId="77777777" w:rsidR="008F16D6" w:rsidRPr="008F16D6" w:rsidRDefault="008F16D6" w:rsidP="008F16D6">
            <w:pPr>
              <w:suppressAutoHyphens/>
              <w:spacing w:before="240" w:after="120" w:line="288" w:lineRule="auto"/>
              <w:jc w:val="both"/>
              <w:rPr>
                <w:sz w:val="20"/>
                <w:szCs w:val="20"/>
              </w:rPr>
            </w:pPr>
            <w:r w:rsidRPr="008F16D6">
              <w:rPr>
                <w:sz w:val="20"/>
                <w:szCs w:val="20"/>
              </w:rPr>
              <w:t>Biomasa (bez uzgoja) i otpad, ukupno</w:t>
            </w:r>
          </w:p>
        </w:tc>
        <w:tc>
          <w:tcPr>
            <w:tcW w:w="3969" w:type="dxa"/>
            <w:shd w:val="clear" w:color="auto" w:fill="auto"/>
          </w:tcPr>
          <w:p w14:paraId="26996224" w14:textId="77777777" w:rsidR="008F16D6" w:rsidRPr="008F16D6" w:rsidRDefault="008F16D6" w:rsidP="008F16D6">
            <w:pPr>
              <w:suppressAutoHyphens/>
              <w:spacing w:before="240" w:after="120" w:line="288" w:lineRule="auto"/>
              <w:jc w:val="center"/>
              <w:rPr>
                <w:sz w:val="20"/>
                <w:szCs w:val="20"/>
              </w:rPr>
            </w:pPr>
            <w:r w:rsidRPr="008F16D6">
              <w:rPr>
                <w:sz w:val="20"/>
                <w:szCs w:val="20"/>
              </w:rPr>
              <w:t>74,01 – 158,91 PJ/god</w:t>
            </w:r>
          </w:p>
        </w:tc>
      </w:tr>
      <w:tr w:rsidR="008F16D6" w:rsidRPr="008F16D6" w14:paraId="69965F90" w14:textId="77777777" w:rsidTr="00AF6B8C">
        <w:trPr>
          <w:jc w:val="center"/>
        </w:trPr>
        <w:tc>
          <w:tcPr>
            <w:tcW w:w="4673" w:type="dxa"/>
            <w:shd w:val="clear" w:color="auto" w:fill="auto"/>
          </w:tcPr>
          <w:p w14:paraId="4EE0CBA6" w14:textId="77777777" w:rsidR="008F16D6" w:rsidRPr="008F16D6" w:rsidRDefault="008F16D6" w:rsidP="008F16D6">
            <w:pPr>
              <w:suppressAutoHyphens/>
              <w:spacing w:before="240" w:after="120" w:line="288" w:lineRule="auto"/>
              <w:jc w:val="both"/>
              <w:rPr>
                <w:sz w:val="20"/>
                <w:szCs w:val="20"/>
              </w:rPr>
            </w:pPr>
            <w:r w:rsidRPr="008F16D6">
              <w:rPr>
                <w:sz w:val="20"/>
                <w:szCs w:val="20"/>
              </w:rPr>
              <w:t xml:space="preserve">     Drvna biomasa</w:t>
            </w:r>
          </w:p>
        </w:tc>
        <w:tc>
          <w:tcPr>
            <w:tcW w:w="3969" w:type="dxa"/>
            <w:shd w:val="clear" w:color="auto" w:fill="auto"/>
          </w:tcPr>
          <w:p w14:paraId="20F1715A" w14:textId="77777777" w:rsidR="008F16D6" w:rsidRPr="008F16D6" w:rsidRDefault="008F16D6" w:rsidP="008F16D6">
            <w:pPr>
              <w:suppressAutoHyphens/>
              <w:spacing w:before="240" w:after="120" w:line="288" w:lineRule="auto"/>
              <w:ind w:left="889"/>
              <w:jc w:val="center"/>
              <w:rPr>
                <w:sz w:val="20"/>
                <w:szCs w:val="20"/>
              </w:rPr>
            </w:pPr>
            <w:r w:rsidRPr="008F16D6">
              <w:rPr>
                <w:sz w:val="20"/>
                <w:szCs w:val="20"/>
              </w:rPr>
              <w:t>36,2 – 72,21 PJ/god te preko 100 PJ/god, uz primjenu mobilizacijskih mjera</w:t>
            </w:r>
          </w:p>
        </w:tc>
      </w:tr>
      <w:tr w:rsidR="008F16D6" w:rsidRPr="008F16D6" w14:paraId="2AFE9A88" w14:textId="77777777" w:rsidTr="00AF6B8C">
        <w:trPr>
          <w:jc w:val="center"/>
        </w:trPr>
        <w:tc>
          <w:tcPr>
            <w:tcW w:w="4673" w:type="dxa"/>
            <w:shd w:val="clear" w:color="auto" w:fill="auto"/>
          </w:tcPr>
          <w:p w14:paraId="48DCF74C" w14:textId="77777777" w:rsidR="008F16D6" w:rsidRPr="008F16D6" w:rsidRDefault="008F16D6" w:rsidP="008F16D6">
            <w:pPr>
              <w:suppressAutoHyphens/>
              <w:spacing w:before="240" w:after="120" w:line="288" w:lineRule="auto"/>
              <w:jc w:val="both"/>
              <w:rPr>
                <w:sz w:val="20"/>
                <w:szCs w:val="20"/>
              </w:rPr>
            </w:pPr>
            <w:r w:rsidRPr="008F16D6">
              <w:rPr>
                <w:sz w:val="20"/>
                <w:szCs w:val="20"/>
              </w:rPr>
              <w:t xml:space="preserve">     Posliježetveni ostatci</w:t>
            </w:r>
          </w:p>
        </w:tc>
        <w:tc>
          <w:tcPr>
            <w:tcW w:w="3969" w:type="dxa"/>
            <w:shd w:val="clear" w:color="auto" w:fill="auto"/>
          </w:tcPr>
          <w:p w14:paraId="6007EC3C" w14:textId="77777777" w:rsidR="008F16D6" w:rsidRPr="008F16D6" w:rsidRDefault="008F16D6" w:rsidP="008F16D6">
            <w:pPr>
              <w:suppressAutoHyphens/>
              <w:spacing w:before="240" w:after="120" w:line="288" w:lineRule="auto"/>
              <w:jc w:val="center"/>
              <w:rPr>
                <w:sz w:val="20"/>
                <w:szCs w:val="20"/>
              </w:rPr>
            </w:pPr>
            <w:r w:rsidRPr="008F16D6">
              <w:rPr>
                <w:sz w:val="20"/>
                <w:szCs w:val="20"/>
              </w:rPr>
              <w:t>18,44 - 57,93 PJ/god</w:t>
            </w:r>
          </w:p>
        </w:tc>
      </w:tr>
      <w:tr w:rsidR="008F16D6" w:rsidRPr="008F16D6" w14:paraId="13434871" w14:textId="77777777" w:rsidTr="00AF6B8C">
        <w:trPr>
          <w:jc w:val="center"/>
        </w:trPr>
        <w:tc>
          <w:tcPr>
            <w:tcW w:w="4673" w:type="dxa"/>
            <w:shd w:val="clear" w:color="auto" w:fill="auto"/>
          </w:tcPr>
          <w:p w14:paraId="047B19FE" w14:textId="77777777" w:rsidR="008F16D6" w:rsidRPr="008F16D6" w:rsidRDefault="008F16D6" w:rsidP="008F16D6">
            <w:pPr>
              <w:suppressAutoHyphens/>
              <w:spacing w:before="240" w:after="120" w:line="288" w:lineRule="auto"/>
              <w:jc w:val="both"/>
              <w:rPr>
                <w:sz w:val="20"/>
                <w:szCs w:val="20"/>
              </w:rPr>
            </w:pPr>
            <w:r w:rsidRPr="008F16D6">
              <w:rPr>
                <w:sz w:val="20"/>
                <w:szCs w:val="20"/>
              </w:rPr>
              <w:t xml:space="preserve">     Bioplin i biometan</w:t>
            </w:r>
          </w:p>
        </w:tc>
        <w:tc>
          <w:tcPr>
            <w:tcW w:w="3969" w:type="dxa"/>
            <w:shd w:val="clear" w:color="auto" w:fill="auto"/>
          </w:tcPr>
          <w:p w14:paraId="01A0DCCD" w14:textId="77777777" w:rsidR="008F16D6" w:rsidRPr="008F16D6" w:rsidRDefault="008F16D6" w:rsidP="008F16D6">
            <w:pPr>
              <w:suppressAutoHyphens/>
              <w:spacing w:before="240" w:after="120" w:line="288" w:lineRule="auto"/>
              <w:jc w:val="center"/>
              <w:rPr>
                <w:sz w:val="20"/>
                <w:szCs w:val="20"/>
              </w:rPr>
            </w:pPr>
            <w:r w:rsidRPr="008F16D6">
              <w:rPr>
                <w:sz w:val="20"/>
                <w:szCs w:val="20"/>
              </w:rPr>
              <w:t>5,83 - 11,5 PJ/god</w:t>
            </w:r>
          </w:p>
        </w:tc>
      </w:tr>
      <w:tr w:rsidR="008F16D6" w:rsidRPr="008F16D6" w14:paraId="0B812D87" w14:textId="77777777" w:rsidTr="00AF6B8C">
        <w:trPr>
          <w:jc w:val="center"/>
        </w:trPr>
        <w:tc>
          <w:tcPr>
            <w:tcW w:w="4673" w:type="dxa"/>
            <w:shd w:val="clear" w:color="auto" w:fill="auto"/>
          </w:tcPr>
          <w:p w14:paraId="173ED1B9" w14:textId="77777777" w:rsidR="008F16D6" w:rsidRPr="008F16D6" w:rsidRDefault="008F16D6" w:rsidP="008F16D6">
            <w:pPr>
              <w:suppressAutoHyphens/>
              <w:spacing w:before="240" w:after="120" w:line="288" w:lineRule="auto"/>
              <w:jc w:val="both"/>
              <w:rPr>
                <w:sz w:val="20"/>
                <w:szCs w:val="20"/>
              </w:rPr>
            </w:pPr>
            <w:r w:rsidRPr="008F16D6">
              <w:rPr>
                <w:sz w:val="20"/>
                <w:szCs w:val="20"/>
              </w:rPr>
              <w:t xml:space="preserve">     Ostali otpad**</w:t>
            </w:r>
          </w:p>
        </w:tc>
        <w:tc>
          <w:tcPr>
            <w:tcW w:w="3969" w:type="dxa"/>
            <w:shd w:val="clear" w:color="auto" w:fill="auto"/>
          </w:tcPr>
          <w:p w14:paraId="60006DCD" w14:textId="77777777" w:rsidR="008F16D6" w:rsidRPr="008F16D6" w:rsidRDefault="008F16D6" w:rsidP="008F16D6">
            <w:pPr>
              <w:suppressAutoHyphens/>
              <w:spacing w:before="240" w:after="120" w:line="288" w:lineRule="auto"/>
              <w:jc w:val="center"/>
              <w:rPr>
                <w:sz w:val="20"/>
                <w:szCs w:val="20"/>
              </w:rPr>
            </w:pPr>
            <w:r w:rsidRPr="008F16D6">
              <w:rPr>
                <w:sz w:val="20"/>
                <w:szCs w:val="20"/>
              </w:rPr>
              <w:t>13,54 - 17,27 PJ/god</w:t>
            </w:r>
          </w:p>
        </w:tc>
      </w:tr>
      <w:tr w:rsidR="008F16D6" w:rsidRPr="008F16D6" w14:paraId="44E8072A" w14:textId="77777777" w:rsidTr="00AF6B8C">
        <w:trPr>
          <w:jc w:val="center"/>
        </w:trPr>
        <w:tc>
          <w:tcPr>
            <w:tcW w:w="4673" w:type="dxa"/>
            <w:shd w:val="clear" w:color="auto" w:fill="auto"/>
          </w:tcPr>
          <w:p w14:paraId="75BC39F4" w14:textId="77777777" w:rsidR="008F16D6" w:rsidRPr="008F16D6" w:rsidRDefault="008F16D6" w:rsidP="008F16D6">
            <w:pPr>
              <w:suppressAutoHyphens/>
              <w:spacing w:before="240" w:after="120" w:line="288" w:lineRule="auto"/>
              <w:jc w:val="both"/>
              <w:rPr>
                <w:sz w:val="20"/>
                <w:szCs w:val="20"/>
              </w:rPr>
            </w:pPr>
            <w:r w:rsidRPr="008F16D6">
              <w:rPr>
                <w:sz w:val="20"/>
                <w:szCs w:val="20"/>
              </w:rPr>
              <w:t>Biomasa uzgojena iz usjeva prikladnih za hranu i krmivo*</w:t>
            </w:r>
          </w:p>
        </w:tc>
        <w:tc>
          <w:tcPr>
            <w:tcW w:w="3969" w:type="dxa"/>
            <w:shd w:val="clear" w:color="auto" w:fill="auto"/>
          </w:tcPr>
          <w:p w14:paraId="51084265" w14:textId="77777777" w:rsidR="008F16D6" w:rsidRPr="008F16D6" w:rsidRDefault="008F16D6" w:rsidP="008F16D6">
            <w:pPr>
              <w:suppressAutoHyphens/>
              <w:spacing w:before="240" w:after="120" w:line="288" w:lineRule="auto"/>
              <w:jc w:val="center"/>
              <w:rPr>
                <w:sz w:val="20"/>
                <w:szCs w:val="20"/>
              </w:rPr>
            </w:pPr>
            <w:r w:rsidRPr="008F16D6">
              <w:rPr>
                <w:sz w:val="20"/>
                <w:szCs w:val="20"/>
              </w:rPr>
              <w:t>5,99-6,08 PJ/god</w:t>
            </w:r>
          </w:p>
        </w:tc>
      </w:tr>
      <w:tr w:rsidR="008F16D6" w:rsidRPr="008F16D6" w14:paraId="5594D945" w14:textId="77777777" w:rsidTr="00AF6B8C">
        <w:trPr>
          <w:jc w:val="center"/>
        </w:trPr>
        <w:tc>
          <w:tcPr>
            <w:tcW w:w="4673" w:type="dxa"/>
            <w:shd w:val="clear" w:color="auto" w:fill="auto"/>
          </w:tcPr>
          <w:p w14:paraId="1467B45F" w14:textId="77777777" w:rsidR="008F16D6" w:rsidRPr="008F16D6" w:rsidRDefault="008F16D6" w:rsidP="008F16D6">
            <w:pPr>
              <w:suppressAutoHyphens/>
              <w:spacing w:before="240" w:after="120" w:line="288" w:lineRule="auto"/>
              <w:jc w:val="both"/>
              <w:rPr>
                <w:sz w:val="20"/>
                <w:szCs w:val="20"/>
              </w:rPr>
            </w:pPr>
            <w:r w:rsidRPr="008F16D6">
              <w:rPr>
                <w:sz w:val="20"/>
                <w:szCs w:val="20"/>
              </w:rPr>
              <w:t>Biomasa uzgojena iz neprehrambenih sirovina za potrebe biogoriva i ostalih potreba biogospodarstva</w:t>
            </w:r>
          </w:p>
        </w:tc>
        <w:tc>
          <w:tcPr>
            <w:tcW w:w="3969" w:type="dxa"/>
            <w:shd w:val="clear" w:color="auto" w:fill="auto"/>
          </w:tcPr>
          <w:p w14:paraId="697F5961" w14:textId="77777777" w:rsidR="008F16D6" w:rsidRPr="008F16D6" w:rsidRDefault="008F16D6" w:rsidP="008F16D6">
            <w:pPr>
              <w:suppressAutoHyphens/>
              <w:spacing w:before="240" w:after="120" w:line="288" w:lineRule="auto"/>
              <w:jc w:val="center"/>
              <w:rPr>
                <w:sz w:val="20"/>
                <w:szCs w:val="20"/>
              </w:rPr>
            </w:pPr>
            <w:r w:rsidRPr="008F16D6">
              <w:rPr>
                <w:sz w:val="20"/>
                <w:szCs w:val="20"/>
              </w:rPr>
              <w:t>60-109,43 PJ/god</w:t>
            </w:r>
          </w:p>
        </w:tc>
      </w:tr>
      <w:tr w:rsidR="008F16D6" w:rsidRPr="008F16D6" w14:paraId="0F6F3DD2" w14:textId="77777777" w:rsidTr="00AF6B8C">
        <w:trPr>
          <w:jc w:val="center"/>
        </w:trPr>
        <w:tc>
          <w:tcPr>
            <w:tcW w:w="4673" w:type="dxa"/>
            <w:shd w:val="clear" w:color="auto" w:fill="auto"/>
          </w:tcPr>
          <w:p w14:paraId="4A600FA5" w14:textId="77777777" w:rsidR="008F16D6" w:rsidRPr="008F16D6" w:rsidRDefault="008F16D6" w:rsidP="008F16D6">
            <w:pPr>
              <w:suppressAutoHyphens/>
              <w:spacing w:before="240" w:after="120" w:line="288" w:lineRule="auto"/>
              <w:rPr>
                <w:sz w:val="20"/>
                <w:szCs w:val="20"/>
              </w:rPr>
            </w:pPr>
            <w:r w:rsidRPr="008F16D6">
              <w:rPr>
                <w:sz w:val="20"/>
                <w:szCs w:val="20"/>
              </w:rPr>
              <w:t>Geotermalna energija</w:t>
            </w:r>
          </w:p>
        </w:tc>
        <w:tc>
          <w:tcPr>
            <w:tcW w:w="3969" w:type="dxa"/>
            <w:shd w:val="clear" w:color="auto" w:fill="auto"/>
          </w:tcPr>
          <w:p w14:paraId="62451624" w14:textId="77777777" w:rsidR="008F16D6" w:rsidRPr="008F16D6" w:rsidRDefault="008F16D6" w:rsidP="008F16D6">
            <w:pPr>
              <w:suppressAutoHyphens/>
              <w:spacing w:before="240" w:after="120" w:line="288" w:lineRule="auto"/>
              <w:jc w:val="center"/>
              <w:rPr>
                <w:sz w:val="20"/>
                <w:szCs w:val="20"/>
              </w:rPr>
            </w:pPr>
            <w:r w:rsidRPr="008F16D6">
              <w:rPr>
                <w:rFonts w:eastAsia="Arial" w:cs="Arial"/>
                <w:sz w:val="20"/>
                <w:szCs w:val="20"/>
              </w:rPr>
              <w:t>56,5-67,6 MW</w:t>
            </w:r>
            <w:r w:rsidRPr="008F16D6">
              <w:rPr>
                <w:rFonts w:eastAsia="Arial" w:cs="Arial"/>
                <w:sz w:val="20"/>
                <w:szCs w:val="20"/>
                <w:vertAlign w:val="subscript"/>
              </w:rPr>
              <w:t>e</w:t>
            </w:r>
            <w:r w:rsidRPr="008F16D6">
              <w:rPr>
                <w:rFonts w:eastAsia="Arial" w:cs="Arial"/>
                <w:sz w:val="20"/>
                <w:szCs w:val="20"/>
              </w:rPr>
              <w:t xml:space="preserve"> i 456 MW</w:t>
            </w:r>
            <w:r w:rsidRPr="008F16D6">
              <w:rPr>
                <w:rFonts w:eastAsia="Arial" w:cs="Arial"/>
                <w:sz w:val="20"/>
                <w:szCs w:val="20"/>
                <w:vertAlign w:val="subscript"/>
              </w:rPr>
              <w:t>t</w:t>
            </w:r>
            <w:r w:rsidRPr="008F16D6">
              <w:rPr>
                <w:rFonts w:eastAsia="Arial" w:cs="Arial"/>
                <w:sz w:val="20"/>
                <w:szCs w:val="20"/>
              </w:rPr>
              <w:t xml:space="preserve"> (poznate lokacije), 100 MW</w:t>
            </w:r>
            <w:r w:rsidRPr="008F16D6">
              <w:rPr>
                <w:rFonts w:eastAsia="Arial" w:cs="Arial"/>
                <w:sz w:val="20"/>
                <w:szCs w:val="20"/>
                <w:vertAlign w:val="subscript"/>
              </w:rPr>
              <w:t>e</w:t>
            </w:r>
            <w:r w:rsidRPr="008F16D6">
              <w:rPr>
                <w:rFonts w:eastAsia="Arial" w:cs="Arial"/>
                <w:sz w:val="20"/>
                <w:szCs w:val="20"/>
              </w:rPr>
              <w:t xml:space="preserve"> (procjena uz istraživanje novih lokacija)</w:t>
            </w:r>
          </w:p>
        </w:tc>
      </w:tr>
    </w:tbl>
    <w:p w14:paraId="39A3537E" w14:textId="77777777" w:rsidR="008F16D6" w:rsidRPr="008F16D6" w:rsidRDefault="008F16D6" w:rsidP="008F16D6">
      <w:pPr>
        <w:suppressAutoHyphens/>
        <w:spacing w:after="0" w:line="288" w:lineRule="auto"/>
        <w:jc w:val="both"/>
        <w:rPr>
          <w:rFonts w:ascii="Arial" w:eastAsia="Times New Roman" w:hAnsi="Arial" w:cs="Times New Roman"/>
          <w:sz w:val="16"/>
          <w:szCs w:val="20"/>
          <w:lang w:eastAsia="hr-HR"/>
        </w:rPr>
      </w:pPr>
      <w:r w:rsidRPr="008F16D6">
        <w:rPr>
          <w:rFonts w:ascii="Arial" w:eastAsia="Times New Roman" w:hAnsi="Arial" w:cs="Times New Roman"/>
          <w:sz w:val="16"/>
          <w:szCs w:val="20"/>
          <w:lang w:eastAsia="hr-HR"/>
        </w:rPr>
        <w:t>* Definicija tehničkog potencijala nije ista za sve OIE, vidjeti detalje u Zelenoj i Bijeloj knjizi.</w:t>
      </w:r>
    </w:p>
    <w:p w14:paraId="49C6D713" w14:textId="77777777" w:rsidR="008F16D6" w:rsidRPr="008F16D6" w:rsidRDefault="008F16D6" w:rsidP="008F16D6">
      <w:pPr>
        <w:suppressAutoHyphens/>
        <w:spacing w:after="0" w:line="288" w:lineRule="auto"/>
        <w:jc w:val="both"/>
        <w:rPr>
          <w:rFonts w:ascii="Arial" w:eastAsia="Times New Roman" w:hAnsi="Arial" w:cs="Times New Roman"/>
          <w:sz w:val="16"/>
          <w:szCs w:val="20"/>
          <w:lang w:eastAsia="hr-HR"/>
        </w:rPr>
      </w:pPr>
      <w:r w:rsidRPr="008F16D6">
        <w:rPr>
          <w:rFonts w:ascii="Arial" w:eastAsia="Times New Roman" w:hAnsi="Arial" w:cs="Times New Roman"/>
          <w:sz w:val="16"/>
          <w:szCs w:val="20"/>
          <w:lang w:eastAsia="hr-HR"/>
        </w:rPr>
        <w:t>** Otpad ima značenje u skladu s definicijama iz čl. 2. RED II: stavci 1., 23. i 24. Otpad iz stavka 24. je pripisan potencijalima biomase, prema tijeku konverzije u kruta, plinovita ili tekuća biogoriva, a ostali otpad se odnosi na stavak 23.: ukupni miješani komunalni otpad, otpadni mulj s uređaja pročistača otpadnih voda te gorivo iz otpada proizvedeno u Centrima za gospodarenje otpadom.</w:t>
      </w:r>
    </w:p>
    <w:p w14:paraId="6C35C69F" w14:textId="65F8256D"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Times New Roman" w:hAnsi="Arial" w:cs="Times New Roman"/>
          <w:lang w:eastAsia="hr-HR"/>
        </w:rPr>
        <w:t>U razdoblju od 2000. do 2013. godine bilančne rezerve nafte i kondenzata kreću se između 9,0 i 13,5 milijuna m</w:t>
      </w:r>
      <w:r w:rsidRPr="008F16D6">
        <w:rPr>
          <w:rFonts w:ascii="Arial" w:eastAsia="Times New Roman" w:hAnsi="Arial" w:cs="Times New Roman"/>
          <w:vertAlign w:val="superscript"/>
          <w:lang w:eastAsia="hr-HR"/>
        </w:rPr>
        <w:t>3</w:t>
      </w:r>
      <w:r w:rsidRPr="008F16D6">
        <w:rPr>
          <w:rFonts w:ascii="Arial" w:eastAsia="Times New Roman" w:hAnsi="Arial" w:cs="Times New Roman"/>
          <w:lang w:eastAsia="hr-HR"/>
        </w:rPr>
        <w:t xml:space="preserve">, dok se od 2013. godine bilježi stalni pad rezervi. Bilančne rezerve plina u stalnom su padu od 2007. godine te su u 2017. godini bile na razini od svega 25 % rezervi zabilježenih 2007. godine. </w:t>
      </w:r>
      <w:r w:rsidRPr="008F16D6">
        <w:rPr>
          <w:rFonts w:ascii="Arial" w:eastAsia="Arial" w:hAnsi="Arial" w:cs="Arial"/>
          <w:lang w:eastAsia="hr-HR"/>
        </w:rPr>
        <w:t>Postojeća eksploatacijska polja u visokom su stupnju iscrpljenosti te su na mnogima primijenjene sekundarne metode pridobivanja ugljikovodika. Kako bi se povećale bilančne rezerve nafte i plina odnosno produljio proizvodni vijek postojećih polja, potrebna su znatna ulaganja u primjenu novih tehnologija za pridobivanje nafte i plina. Osim toga, povećanje rezervi osigurat će se dodjelom novih dozvola za istraživanje i eksploataciju ugljikovodika i</w:t>
      </w:r>
      <w:r w:rsidR="009A4241">
        <w:rPr>
          <w:rFonts w:ascii="Arial" w:eastAsia="Arial" w:hAnsi="Arial" w:cs="Arial"/>
          <w:lang w:eastAsia="hr-HR"/>
        </w:rPr>
        <w:t xml:space="preserve"> otkrivanjem novih potencijala.</w:t>
      </w:r>
    </w:p>
    <w:p w14:paraId="0A8654A2" w14:textId="77777777" w:rsidR="000A77F7" w:rsidRDefault="008F16D6" w:rsidP="009A4241">
      <w:pPr>
        <w:suppressAutoHyphens/>
        <w:spacing w:before="240" w:after="120" w:line="288" w:lineRule="auto"/>
        <w:jc w:val="both"/>
        <w:rPr>
          <w:rFonts w:ascii="Arial" w:eastAsia="Times New Roman" w:hAnsi="Arial" w:cs="Times New Roman"/>
          <w:lang w:eastAsia="hr-HR"/>
        </w:rPr>
      </w:pPr>
      <w:r w:rsidRPr="008F16D6">
        <w:rPr>
          <w:rFonts w:ascii="Arial" w:eastAsia="Arial" w:hAnsi="Arial" w:cs="Arial"/>
          <w:lang w:eastAsia="hr-HR"/>
        </w:rPr>
        <w:t>U skladu s time, pretpostavlja se da će doći do komercijalnih otkrića koja će svoj puni proizvodni potencijal ostvariti u razdoblju između 2030. i 2035. godine. Ako nova istraživanja rezultiraju novom proizvodnjom sukladno geološkim projekcijama, godišnja proizvodnja nafte i kondenzata mogla bi porasti s današnjih oko 900 000 m</w:t>
      </w:r>
      <w:r w:rsidRPr="008F16D6">
        <w:rPr>
          <w:rFonts w:ascii="Arial" w:eastAsia="Arial" w:hAnsi="Arial" w:cs="Arial"/>
          <w:vertAlign w:val="superscript"/>
          <w:lang w:eastAsia="hr-HR"/>
        </w:rPr>
        <w:t>3</w:t>
      </w:r>
      <w:r w:rsidRPr="008F16D6">
        <w:rPr>
          <w:rFonts w:ascii="Arial" w:eastAsia="Arial" w:hAnsi="Arial" w:cs="Arial"/>
          <w:lang w:eastAsia="hr-HR"/>
        </w:rPr>
        <w:t xml:space="preserve"> na oko 1,3 milijuna m</w:t>
      </w:r>
      <w:r w:rsidRPr="008F16D6">
        <w:rPr>
          <w:rFonts w:ascii="Arial" w:eastAsia="Arial" w:hAnsi="Arial" w:cs="Arial"/>
          <w:vertAlign w:val="superscript"/>
          <w:lang w:eastAsia="hr-HR"/>
        </w:rPr>
        <w:t>3</w:t>
      </w:r>
      <w:r w:rsidRPr="008F16D6">
        <w:rPr>
          <w:rFonts w:ascii="Arial" w:eastAsia="Arial" w:hAnsi="Arial" w:cs="Arial"/>
          <w:lang w:eastAsia="hr-HR"/>
        </w:rPr>
        <w:t>. U skladu s mogućim rastom proizvodnje, nakon 2035. godine očekuje se kontinuirani pad proizvodnje nafte koja bi u 2050. iznosila oko 220 000 m</w:t>
      </w:r>
      <w:r w:rsidRPr="008F16D6">
        <w:rPr>
          <w:rFonts w:ascii="Arial" w:eastAsia="Arial" w:hAnsi="Arial" w:cs="Arial"/>
          <w:vertAlign w:val="superscript"/>
          <w:lang w:eastAsia="hr-HR"/>
        </w:rPr>
        <w:t>3</w:t>
      </w:r>
      <w:r w:rsidRPr="008F16D6">
        <w:rPr>
          <w:rFonts w:ascii="Arial" w:eastAsia="Arial" w:hAnsi="Arial" w:cs="Arial"/>
          <w:lang w:eastAsia="hr-HR"/>
        </w:rPr>
        <w:t>. Godišnja proizvodnja prirodnog plina će se s postojećih 1,5 milijardi m</w:t>
      </w:r>
      <w:r w:rsidRPr="008F16D6">
        <w:rPr>
          <w:rFonts w:ascii="Arial" w:eastAsia="Arial" w:hAnsi="Arial" w:cs="Arial"/>
          <w:vertAlign w:val="superscript"/>
          <w:lang w:eastAsia="hr-HR"/>
        </w:rPr>
        <w:t>3</w:t>
      </w:r>
      <w:r w:rsidRPr="008F16D6">
        <w:rPr>
          <w:rFonts w:ascii="Arial" w:eastAsia="Arial" w:hAnsi="Arial" w:cs="Arial"/>
          <w:lang w:eastAsia="hr-HR"/>
        </w:rPr>
        <w:t xml:space="preserve"> kontinuirano </w:t>
      </w:r>
      <w:r w:rsidRPr="008F16D6">
        <w:rPr>
          <w:rFonts w:ascii="Arial" w:eastAsia="Times New Roman" w:hAnsi="Arial" w:cs="Times New Roman"/>
          <w:lang w:eastAsia="hr-HR"/>
        </w:rPr>
        <w:t>smanjivati do 2020. godine na oko 900 milijuna m</w:t>
      </w:r>
      <w:r w:rsidRPr="008F16D6">
        <w:rPr>
          <w:rFonts w:ascii="Arial" w:eastAsia="Times New Roman" w:hAnsi="Arial" w:cs="Times New Roman"/>
          <w:vertAlign w:val="superscript"/>
          <w:lang w:eastAsia="hr-HR"/>
        </w:rPr>
        <w:t>3</w:t>
      </w:r>
      <w:r w:rsidRPr="008F16D6">
        <w:rPr>
          <w:rFonts w:ascii="Arial" w:eastAsia="Times New Roman" w:hAnsi="Arial" w:cs="Times New Roman"/>
          <w:lang w:eastAsia="hr-HR"/>
        </w:rPr>
        <w:t>. Nakon toga, kao rezultat istraživanja ako ista rezultiraju novom proizvodnjom, očekuje se postepeno povećanje proizvodnje. Uzimajući u obzir geološke projekcije i moguća nova otkrića, proizvodnja prirodnog plina će dosegnuti maksimum 2035. godine s količinom oko 1,6 milijardi m</w:t>
      </w:r>
      <w:r w:rsidRPr="008F16D6">
        <w:rPr>
          <w:rFonts w:ascii="Arial" w:eastAsia="Times New Roman" w:hAnsi="Arial" w:cs="Times New Roman"/>
          <w:vertAlign w:val="superscript"/>
          <w:lang w:eastAsia="hr-HR"/>
        </w:rPr>
        <w:t>3</w:t>
      </w:r>
      <w:r w:rsidRPr="008F16D6">
        <w:rPr>
          <w:rFonts w:ascii="Arial" w:eastAsia="Times New Roman" w:hAnsi="Arial" w:cs="Times New Roman"/>
          <w:lang w:eastAsia="hr-HR"/>
        </w:rPr>
        <w:t>, nakon čega će uslijediti smanjenje proizvodnje.</w:t>
      </w:r>
    </w:p>
    <w:p w14:paraId="48C071FE" w14:textId="6FCBD94B" w:rsidR="008F16D6" w:rsidRPr="008F16D6" w:rsidRDefault="008F16D6" w:rsidP="000A77F7">
      <w:pPr>
        <w:keepNext/>
        <w:widowControl w:val="0"/>
        <w:numPr>
          <w:ilvl w:val="1"/>
          <w:numId w:val="0"/>
        </w:numPr>
        <w:pBdr>
          <w:bottom w:val="single" w:sz="8" w:space="4" w:color="BE1D2D"/>
        </w:pBdr>
        <w:suppressAutoHyphens/>
        <w:autoSpaceDE w:val="0"/>
        <w:autoSpaceDN w:val="0"/>
        <w:adjustRightInd w:val="0"/>
        <w:spacing w:before="400" w:after="240" w:line="240" w:lineRule="auto"/>
        <w:textAlignment w:val="center"/>
        <w:outlineLvl w:val="1"/>
        <w:rPr>
          <w:rFonts w:ascii="Arial" w:eastAsia="Times New Roman" w:hAnsi="Arial" w:cs="Myriad Pro Cond"/>
          <w:b/>
          <w:bCs/>
          <w:color w:val="BE1D2D"/>
          <w:sz w:val="28"/>
          <w:szCs w:val="36"/>
          <w:lang w:eastAsia="hr-HR"/>
        </w:rPr>
      </w:pPr>
      <w:bookmarkStart w:id="66" w:name="_Toc5610210"/>
      <w:bookmarkStart w:id="67" w:name="_Toc17876364"/>
      <w:r w:rsidRPr="008F16D6">
        <w:rPr>
          <w:rFonts w:ascii="Arial" w:eastAsia="Times New Roman" w:hAnsi="Arial" w:cs="Myriad Pro Cond"/>
          <w:b/>
          <w:bCs/>
          <w:color w:val="BE1D2D"/>
          <w:sz w:val="28"/>
          <w:szCs w:val="36"/>
          <w:lang w:eastAsia="hr-HR"/>
        </w:rPr>
        <w:t>Održivo korištenje prirodnih dobara i integrirano prostorno</w:t>
      </w:r>
      <w:r w:rsidR="000A77F7">
        <w:rPr>
          <w:rFonts w:ascii="Arial" w:eastAsia="Times New Roman" w:hAnsi="Arial" w:cs="Myriad Pro Cond"/>
          <w:b/>
          <w:bCs/>
          <w:color w:val="BE1D2D"/>
          <w:sz w:val="28"/>
          <w:szCs w:val="36"/>
          <w:lang w:eastAsia="hr-HR"/>
        </w:rPr>
        <w:t xml:space="preserve"> </w:t>
      </w:r>
      <w:r w:rsidRPr="008F16D6">
        <w:rPr>
          <w:rFonts w:ascii="Arial" w:eastAsia="Times New Roman" w:hAnsi="Arial" w:cs="Myriad Pro Cond"/>
          <w:b/>
          <w:bCs/>
          <w:color w:val="BE1D2D"/>
          <w:sz w:val="28"/>
          <w:szCs w:val="36"/>
          <w:lang w:eastAsia="hr-HR"/>
        </w:rPr>
        <w:t>planiranje</w:t>
      </w:r>
      <w:bookmarkEnd w:id="66"/>
      <w:bookmarkEnd w:id="67"/>
    </w:p>
    <w:p w14:paraId="19E20880"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Ostvarenje ciljeva energetske tranzicije uvjetovano je korištenjem prirodnih dobara i zahvatima u prostoru koji je ograničen i služi raznovrsnim korisnicima. Usmjeravanje energetskog sektora ka brzom prelasku na OIE rezultirat će smanjenjem emisija stakleničkih plinova u odnosu na uporabu fosilnih goriva, ali i povećanim pritiscima na okoliš, posebno u pogledu prostora za izgradnju vjetroelektrana i sunčanih elektrana, korištenja vodnih resursa i biomase. Istodobno, vođena načelima kružnog gospodarstva tranzicija će održivim gospodarenjem otpadom imati direktne pozitivne utjecaje na smanjenje onečišćenja. </w:t>
      </w:r>
    </w:p>
    <w:p w14:paraId="0F6CC735"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Planirani niskougljični razvoj energetskog sektora zahtjeva unaprjeđenje prakse integriranog planiranja korištenja prirodnih dobara. Naime, radi bio-geografskih karakteristika moguće je preklapanje prostora na kojima obitavaju zaštićene, ugrožene i/ili rijetke biljne i životinjske vrste s prostorom visokog energetskog potencijala (npr. sunca, vjetra, voda). Nadalje, u određenim slučajevima se novi OIE projekti natječu s drugim namjenama za isti prostor.</w:t>
      </w:r>
    </w:p>
    <w:p w14:paraId="5B22F247"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Najznačajniji negativni utjecaji vjetroelektrana ogledaju se u utjecaju na biološku raznolikost (posebice na populacije šišmiša i ptica) i krajobraz kao sastavnice okoliša. Na prostoru neintegriranih sunčanih elektrana, koje mogu zauzeti značajne površine, uklanja se postojeća vegetacija, što dovodi do transformacije staništa na mikrolokaciji i do fragmentacije staništa na širem prostoru. Izgradnja hidroelektrana neminovno dovodi do značajnih hidroloških, hidromorfoloških i ekoloških promjena na vodotoku uzvodno i nizvodno od elektrane. Mogućnost smanjenja ovih utjecaja ovisi o veličini, tipu i dizajnu elektrane te bioekološkim i hidromorfološkim karakteristikama i stanju vodnog tijela i pripadajućeg sliva. Utjecaj vezan uz korištenje biomase ovisi prije svega o vrsti sirovine i području s kojeg se ista sakuplja, zauzeću površina, trenutnoj uporabi sirovine te ostvarivim uštedama emisija stakleničkih plinova. </w:t>
      </w:r>
    </w:p>
    <w:p w14:paraId="66B56635" w14:textId="6710BED9"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Kako bi se mogući nepovoljni utjecaji projekata OIE na okoliš i prirodu izbjegli, odnosno bili na prihvatljivoj razini, a zahtjevi za prostorom smanjili, novi proizvodni kapaciteti trebaju koristiti najnovija tehnološka dostignuća koja će povećati učinkovitost pretvorbe i gustoću energije, a postojeća postrojenja treba zamijeniti novima većih instaliranih snaga i učinkovitosti. Prilikom odabira prostora za smještaj projekata OIE, uz uvažavanje nacionalnih ciljeva zaštite prirode i okoliša, uključujući i vodni okoliš, od ključnog je značaja sagledati i socioekonomske karakteristike okolnog područja kako bi novi projekti doprinijeli razvoju lokalnih zajednica. </w:t>
      </w:r>
    </w:p>
    <w:p w14:paraId="581EE5FB"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Za ostvarenje strateških ciljeva uz zaštitu klime, prirode i održivog razvoja, u provedbi energetske strategije bit će neophodna uska međusektorska suradnja uz kontinuirani dijalog s lokalnom zajednicom.</w:t>
      </w:r>
    </w:p>
    <w:p w14:paraId="3469A926" w14:textId="77777777"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ind w:left="576" w:hanging="576"/>
        <w:textAlignment w:val="center"/>
        <w:outlineLvl w:val="1"/>
        <w:rPr>
          <w:rFonts w:ascii="Arial" w:eastAsia="Times New Roman" w:hAnsi="Arial" w:cs="Myriad Pro Cond"/>
          <w:b/>
          <w:bCs/>
          <w:color w:val="BE1D2D"/>
          <w:sz w:val="28"/>
          <w:szCs w:val="36"/>
          <w:lang w:eastAsia="hr-HR"/>
        </w:rPr>
      </w:pPr>
      <w:bookmarkStart w:id="68" w:name="_Toc2820367"/>
      <w:bookmarkStart w:id="69" w:name="_Toc2856651"/>
      <w:bookmarkStart w:id="70" w:name="_Toc17876365"/>
      <w:bookmarkEnd w:id="68"/>
      <w:bookmarkEnd w:id="69"/>
      <w:r w:rsidRPr="008F16D6">
        <w:rPr>
          <w:rFonts w:ascii="Arial" w:eastAsia="Times New Roman" w:hAnsi="Arial" w:cs="Myriad Pro Cond"/>
          <w:b/>
          <w:bCs/>
          <w:color w:val="BE1D2D"/>
          <w:sz w:val="28"/>
          <w:szCs w:val="36"/>
          <w:lang w:eastAsia="hr-HR"/>
        </w:rPr>
        <w:t>Procjene buduće potrošnje i opskrbe energijom</w:t>
      </w:r>
      <w:bookmarkEnd w:id="70"/>
    </w:p>
    <w:p w14:paraId="548ADDE9" w14:textId="77777777" w:rsidR="008F16D6" w:rsidRPr="008F16D6" w:rsidRDefault="008F16D6" w:rsidP="008F16D6">
      <w:pPr>
        <w:keepNext/>
        <w:widowControl w:val="0"/>
        <w:numPr>
          <w:ilvl w:val="2"/>
          <w:numId w:val="0"/>
        </w:numPr>
        <w:suppressAutoHyphens/>
        <w:autoSpaceDE w:val="0"/>
        <w:autoSpaceDN w:val="0"/>
        <w:adjustRightInd w:val="0"/>
        <w:spacing w:before="360" w:after="240" w:line="240" w:lineRule="auto"/>
        <w:ind w:left="1430" w:hanging="720"/>
        <w:textAlignment w:val="center"/>
        <w:outlineLvl w:val="2"/>
        <w:rPr>
          <w:rFonts w:ascii="Arial" w:eastAsia="Times New Roman" w:hAnsi="Arial" w:cs="Times New Roman"/>
          <w:b/>
          <w:bCs/>
          <w:iCs/>
          <w:color w:val="BE1D2D"/>
          <w:sz w:val="24"/>
          <w:lang w:eastAsia="hr-HR"/>
        </w:rPr>
      </w:pPr>
      <w:bookmarkStart w:id="71" w:name="_Toc17876366"/>
      <w:bookmarkStart w:id="72" w:name="_Hlk5967878"/>
      <w:r w:rsidRPr="008F16D6">
        <w:rPr>
          <w:rFonts w:ascii="Arial" w:eastAsia="Times New Roman" w:hAnsi="Arial" w:cs="Times New Roman"/>
          <w:b/>
          <w:bCs/>
          <w:iCs/>
          <w:color w:val="BE1D2D"/>
          <w:sz w:val="24"/>
          <w:lang w:eastAsia="hr-HR"/>
        </w:rPr>
        <w:t>Ukupna potrošnja energije</w:t>
      </w:r>
      <w:bookmarkEnd w:id="71"/>
    </w:p>
    <w:p w14:paraId="6E701BF1"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bookmarkStart w:id="73" w:name="_Hlk6335959"/>
      <w:bookmarkEnd w:id="72"/>
      <w:r w:rsidRPr="008F16D6">
        <w:rPr>
          <w:rFonts w:ascii="Arial" w:eastAsia="Times New Roman" w:hAnsi="Arial" w:cs="Times New Roman"/>
          <w:lang w:eastAsia="hr-HR"/>
        </w:rPr>
        <w:t xml:space="preserve">Ukupna potrošnja energije određuje se kao zbroj ukupne proizvodnje primarne energije i ukupnog uvoza primarne i transformirane energije koji se umanjuje za ukupni izvoz primarne i transformirane energije. </w:t>
      </w:r>
      <w:bookmarkEnd w:id="73"/>
      <w:r w:rsidRPr="008F16D6">
        <w:rPr>
          <w:rFonts w:ascii="Arial" w:eastAsia="Times New Roman" w:hAnsi="Arial" w:cs="Times New Roman"/>
          <w:lang w:eastAsia="hr-HR"/>
        </w:rPr>
        <w:t>U skladu s rezultatima analitičkih podloga iz Zelene i Bijele knjige ukupne potrebe za energijom u analiziranim scenarijima smanjuju se tijekom cijelog razdoblja. Ovisno o dinamici ostvarenja pojedinih pretpostavki i ciljeva, ukupna potrošnja u 2030. godini je za 1% manja u scenariju S2 i za 5% u scenariju S1 u odnosu na razinu iz 2017. godine, dok je u 2050. godini manja za 17% u scenariju S2 i za 26% u scenariju S1.</w:t>
      </w:r>
    </w:p>
    <w:p w14:paraId="5DECE6C2"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U strukturi oblika energije udio tekućih goriva se smanjuje sa 39,2% u 2017. godini na 35,8% u 2030. i na 24,2% u 2050. godini u scenariju S2 te na 36,6% u 2030. i na 20,6% u 2050. godini u scenariju S1. Udio prirodnog plina također opada sa 28,1% na 26,4% do 2030. da bi zatim blago porastao na 28,7% u 2050. godini u scenariju S2 te na 25,8% u 2030. i na 22,3% u 2050. godini u scenariju S1. Najveća promjena se očekuje na strani OIE čiji udio raste s 21,4% na početku promatranog razdoblja na 31,5% u 2030. godini i na 46,3% u 2050. godini u scenariju S2 te na 31,5% u 2030. godini i na 56,2% u 2050. godini u scenariju S1.</w:t>
      </w:r>
    </w:p>
    <w:p w14:paraId="645D8434" w14:textId="77777777" w:rsidR="008F16D6" w:rsidRPr="008F16D6" w:rsidRDefault="008F16D6" w:rsidP="008F16D6">
      <w:pPr>
        <w:suppressAutoHyphens/>
        <w:spacing w:before="240" w:after="120" w:line="288" w:lineRule="auto"/>
        <w:jc w:val="center"/>
        <w:rPr>
          <w:rFonts w:ascii="Arial" w:eastAsia="Times New Roman" w:hAnsi="Arial" w:cs="Times New Roman"/>
          <w:lang w:eastAsia="hr-HR"/>
        </w:rPr>
      </w:pPr>
      <w:r w:rsidRPr="008F16D6">
        <w:rPr>
          <w:rFonts w:ascii="Arial" w:eastAsia="Times New Roman" w:hAnsi="Arial" w:cs="Times New Roman"/>
          <w:noProof/>
          <w:lang w:eastAsia="hr-HR"/>
        </w:rPr>
        <w:drawing>
          <wp:inline distT="0" distB="0" distL="0" distR="0" wp14:anchorId="14DDE6E9" wp14:editId="1FF046F2">
            <wp:extent cx="5201107" cy="3954011"/>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32757" cy="3978072"/>
                    </a:xfrm>
                    <a:prstGeom prst="rect">
                      <a:avLst/>
                    </a:prstGeom>
                  </pic:spPr>
                </pic:pic>
              </a:graphicData>
            </a:graphic>
          </wp:inline>
        </w:drawing>
      </w:r>
    </w:p>
    <w:p w14:paraId="72A5B606" w14:textId="5E1BE849" w:rsidR="008F16D6" w:rsidRPr="008F16D6" w:rsidRDefault="008F16D6" w:rsidP="008F16D6">
      <w:pPr>
        <w:tabs>
          <w:tab w:val="left" w:pos="1021"/>
        </w:tabs>
        <w:suppressAutoHyphens/>
        <w:spacing w:before="120" w:after="240" w:line="288" w:lineRule="auto"/>
        <w:ind w:left="1021" w:hanging="1021"/>
        <w:jc w:val="center"/>
        <w:rPr>
          <w:rFonts w:ascii="Arial" w:eastAsia="Times New Roman" w:hAnsi="Arial" w:cs="Times New Roman"/>
          <w:b/>
          <w:sz w:val="20"/>
          <w:szCs w:val="28"/>
          <w:lang w:eastAsia="hr-HR"/>
        </w:rPr>
      </w:pPr>
      <w:r w:rsidRPr="008F16D6">
        <w:rPr>
          <w:rFonts w:ascii="Arial" w:eastAsia="Times New Roman" w:hAnsi="Arial" w:cs="Times New Roman"/>
          <w:b/>
          <w:sz w:val="20"/>
          <w:szCs w:val="28"/>
          <w:lang w:eastAsia="hr-HR"/>
        </w:rPr>
        <w:t xml:space="preserve">Slika </w:t>
      </w:r>
      <w:r w:rsidR="00C64CC0">
        <w:rPr>
          <w:rFonts w:ascii="Arial" w:eastAsia="Times New Roman" w:hAnsi="Arial" w:cs="Times New Roman"/>
          <w:b/>
          <w:noProof/>
          <w:sz w:val="20"/>
          <w:szCs w:val="28"/>
          <w:lang w:eastAsia="hr-HR"/>
        </w:rPr>
        <w:t>1</w:t>
      </w:r>
      <w:r w:rsidRPr="008F16D6">
        <w:rPr>
          <w:rFonts w:ascii="Arial" w:eastAsia="Times New Roman" w:hAnsi="Arial" w:cs="Times New Roman"/>
          <w:b/>
          <w:sz w:val="20"/>
          <w:szCs w:val="28"/>
          <w:lang w:eastAsia="hr-HR"/>
        </w:rPr>
        <w:t>. Ukupna potrošnja energije prema scenariju S2</w:t>
      </w:r>
    </w:p>
    <w:p w14:paraId="5A44FD0A"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p>
    <w:p w14:paraId="23AC4206" w14:textId="77777777" w:rsidR="008F16D6" w:rsidRPr="008F16D6" w:rsidRDefault="008F16D6" w:rsidP="008F16D6">
      <w:pPr>
        <w:suppressAutoHyphens/>
        <w:spacing w:before="240" w:after="120" w:line="288" w:lineRule="auto"/>
        <w:jc w:val="center"/>
        <w:rPr>
          <w:rFonts w:ascii="Arial" w:eastAsia="Times New Roman" w:hAnsi="Arial" w:cs="Times New Roman"/>
          <w:lang w:eastAsia="hr-HR"/>
        </w:rPr>
      </w:pPr>
      <w:r w:rsidRPr="008F16D6">
        <w:rPr>
          <w:rFonts w:ascii="Arial" w:eastAsia="Times New Roman" w:hAnsi="Arial" w:cs="Times New Roman"/>
          <w:noProof/>
          <w:lang w:eastAsia="hr-HR"/>
        </w:rPr>
        <w:drawing>
          <wp:inline distT="0" distB="0" distL="0" distR="0" wp14:anchorId="5FDE84A2" wp14:editId="76932911">
            <wp:extent cx="4769510" cy="37952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90048" cy="3811551"/>
                    </a:xfrm>
                    <a:prstGeom prst="rect">
                      <a:avLst/>
                    </a:prstGeom>
                  </pic:spPr>
                </pic:pic>
              </a:graphicData>
            </a:graphic>
          </wp:inline>
        </w:drawing>
      </w:r>
    </w:p>
    <w:p w14:paraId="226DAE68" w14:textId="53FE3D42" w:rsidR="008F16D6" w:rsidRPr="008F16D6" w:rsidRDefault="008F16D6" w:rsidP="008F16D6">
      <w:pPr>
        <w:tabs>
          <w:tab w:val="left" w:pos="1021"/>
        </w:tabs>
        <w:suppressAutoHyphens/>
        <w:spacing w:before="120" w:after="240" w:line="288" w:lineRule="auto"/>
        <w:ind w:left="1021" w:hanging="1021"/>
        <w:jc w:val="center"/>
        <w:rPr>
          <w:rFonts w:ascii="Arial" w:eastAsia="Times New Roman" w:hAnsi="Arial" w:cs="Times New Roman"/>
          <w:b/>
          <w:sz w:val="20"/>
          <w:szCs w:val="28"/>
          <w:lang w:eastAsia="hr-HR"/>
        </w:rPr>
      </w:pPr>
      <w:r w:rsidRPr="008F16D6">
        <w:rPr>
          <w:rFonts w:ascii="Arial" w:eastAsia="Times New Roman" w:hAnsi="Arial" w:cs="Times New Roman"/>
          <w:b/>
          <w:sz w:val="20"/>
          <w:szCs w:val="28"/>
          <w:lang w:eastAsia="hr-HR"/>
        </w:rPr>
        <w:t>Slika</w:t>
      </w:r>
      <w:r w:rsidR="00A81CC7">
        <w:rPr>
          <w:rFonts w:ascii="Arial" w:eastAsia="Times New Roman" w:hAnsi="Arial" w:cs="Times New Roman"/>
          <w:b/>
          <w:sz w:val="20"/>
          <w:szCs w:val="28"/>
          <w:lang w:eastAsia="hr-HR"/>
        </w:rPr>
        <w:t xml:space="preserve"> </w:t>
      </w:r>
      <w:r w:rsidR="00C64CC0">
        <w:rPr>
          <w:rFonts w:ascii="Arial" w:eastAsia="Times New Roman" w:hAnsi="Arial" w:cs="Times New Roman"/>
          <w:b/>
          <w:noProof/>
          <w:sz w:val="20"/>
          <w:szCs w:val="28"/>
          <w:lang w:eastAsia="hr-HR"/>
        </w:rPr>
        <w:t>2</w:t>
      </w:r>
      <w:r w:rsidRPr="008F16D6">
        <w:rPr>
          <w:rFonts w:ascii="Arial" w:eastAsia="Times New Roman" w:hAnsi="Arial" w:cs="Times New Roman"/>
          <w:b/>
          <w:sz w:val="20"/>
          <w:szCs w:val="28"/>
          <w:lang w:eastAsia="hr-HR"/>
        </w:rPr>
        <w:t>. Ukupna potrošnja energije prema scenariju S1</w:t>
      </w:r>
    </w:p>
    <w:p w14:paraId="64C89788" w14:textId="77777777" w:rsidR="008F16D6" w:rsidRPr="008F16D6" w:rsidRDefault="008F16D6" w:rsidP="008F16D6">
      <w:pPr>
        <w:keepNext/>
        <w:widowControl w:val="0"/>
        <w:numPr>
          <w:ilvl w:val="2"/>
          <w:numId w:val="0"/>
        </w:numPr>
        <w:suppressAutoHyphens/>
        <w:autoSpaceDE w:val="0"/>
        <w:autoSpaceDN w:val="0"/>
        <w:adjustRightInd w:val="0"/>
        <w:spacing w:before="360" w:after="240" w:line="240" w:lineRule="auto"/>
        <w:ind w:left="1430" w:hanging="720"/>
        <w:textAlignment w:val="center"/>
        <w:outlineLvl w:val="2"/>
        <w:rPr>
          <w:rFonts w:ascii="Arial" w:eastAsia="Times New Roman" w:hAnsi="Arial" w:cs="Times New Roman"/>
          <w:b/>
          <w:bCs/>
          <w:iCs/>
          <w:color w:val="BE1D2D"/>
          <w:sz w:val="24"/>
          <w:lang w:eastAsia="hr-HR"/>
        </w:rPr>
      </w:pPr>
      <w:bookmarkStart w:id="74" w:name="_Toc17876367"/>
      <w:bookmarkStart w:id="75" w:name="_Hlk6335784"/>
      <w:r w:rsidRPr="008F16D6">
        <w:rPr>
          <w:rFonts w:ascii="Arial" w:eastAsia="Times New Roman" w:hAnsi="Arial" w:cs="Times New Roman"/>
          <w:b/>
          <w:bCs/>
          <w:iCs/>
          <w:color w:val="BE1D2D"/>
          <w:sz w:val="24"/>
          <w:lang w:eastAsia="hr-HR"/>
        </w:rPr>
        <w:t>Neposredna potrošnja energije</w:t>
      </w:r>
      <w:bookmarkEnd w:id="74"/>
      <w:r w:rsidRPr="008F16D6">
        <w:rPr>
          <w:rFonts w:ascii="Arial" w:eastAsia="Times New Roman" w:hAnsi="Arial" w:cs="Times New Roman"/>
          <w:b/>
          <w:bCs/>
          <w:iCs/>
          <w:color w:val="BE1D2D"/>
          <w:sz w:val="24"/>
          <w:lang w:eastAsia="hr-HR"/>
        </w:rPr>
        <w:t xml:space="preserve"> </w:t>
      </w:r>
    </w:p>
    <w:bookmarkEnd w:id="75"/>
    <w:p w14:paraId="7E6A2EBE" w14:textId="521506FC"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Neposredna (finalna) potrošnja energije je ukupna potrošnja energije krajnjih kupaca</w:t>
      </w:r>
      <w:r w:rsidR="00D93B2B">
        <w:rPr>
          <w:rFonts w:ascii="Arial" w:eastAsia="Times New Roman" w:hAnsi="Arial" w:cs="Times New Roman"/>
          <w:lang w:eastAsia="hr-HR"/>
        </w:rPr>
        <w:t>,</w:t>
      </w:r>
      <w:r w:rsidRPr="008F16D6">
        <w:rPr>
          <w:rFonts w:ascii="Arial" w:eastAsia="Times New Roman" w:hAnsi="Arial" w:cs="Times New Roman"/>
          <w:lang w:eastAsia="hr-HR"/>
        </w:rPr>
        <w:t xml:space="preserve"> odnosno ukupna potrošnja energije u industriji, prometu, kućanstvima, sektoru usluga i poljoprivredi. U skladu s rezultatima analitičkih podloga iz Zelene i Bijele knjige, neposredna potrošnja energije do 2030. godine u scenariju S2 stagnira, a zatim se smanjuje za 20% do 2050. godine, dok se u scenariju S1 smanjuje za ukupno 4% do 2030. godine (u odnosu na 2017. godinu), a zatim za 30% do 2050. godine.</w:t>
      </w:r>
    </w:p>
    <w:p w14:paraId="4A903645"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Mijenja se struktura utrošenih oblika energije. Očekuje se porast udjela električne energije u ukupnim finalnim potrebama, s 20,3% u 2017. godini na </w:t>
      </w:r>
      <w:bookmarkStart w:id="76" w:name="_Hlk4854247"/>
      <w:r w:rsidRPr="008F16D6">
        <w:rPr>
          <w:rFonts w:ascii="Arial" w:eastAsia="Times New Roman" w:hAnsi="Arial" w:cs="Times New Roman"/>
          <w:lang w:eastAsia="hr-HR"/>
        </w:rPr>
        <w:t xml:space="preserve">22,1% u 2030. godini i na 35,7% u 2050. godini u scenariju S2 te na 23,8% u 2030. godini </w:t>
      </w:r>
      <w:bookmarkEnd w:id="76"/>
      <w:r w:rsidRPr="008F16D6">
        <w:rPr>
          <w:rFonts w:ascii="Arial" w:eastAsia="Times New Roman" w:hAnsi="Arial" w:cs="Times New Roman"/>
          <w:lang w:eastAsia="hr-HR"/>
        </w:rPr>
        <w:t xml:space="preserve">i 47,0% u 2050. godini u scenariju S1. Neposredna potrošnja električne energije u odnosu na 2017. godinu raste za 10% do 2030. godine te za ukupno 40% do 2050. godine u scenariju S2 te za 13% do 2030. godine i za ukupno 55% do 2050. godine u scenariju S1. </w:t>
      </w:r>
    </w:p>
    <w:p w14:paraId="197EC9AA"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Istovremeno se smanjuje udio tekućih fosilnih goriva s 42,1% u 2017. godini na 37,2% u 2030. i na 23,5% u 2050. godini u scenariju S2 te na 38,4% u 2030. i na 19,6% u 2050. godini u scenariju S1. Potrošnja prirodnog plina </w:t>
      </w:r>
      <w:bookmarkStart w:id="77" w:name="_Hlk4854551"/>
      <w:r w:rsidRPr="008F16D6">
        <w:rPr>
          <w:rFonts w:ascii="Arial" w:eastAsia="Times New Roman" w:hAnsi="Arial" w:cs="Times New Roman"/>
          <w:lang w:eastAsia="hr-HR"/>
        </w:rPr>
        <w:t>ostaje približno jednaka do 2030. godine i zatim opada za 15% do 2050. godine u scenariju S2 odnosno za 7% do 2030. godine i za 50% do 2050. godine u scenariju S1</w:t>
      </w:r>
      <w:bookmarkEnd w:id="77"/>
      <w:r w:rsidRPr="008F16D6">
        <w:rPr>
          <w:rFonts w:ascii="Arial" w:eastAsia="Times New Roman" w:hAnsi="Arial" w:cs="Times New Roman"/>
          <w:lang w:eastAsia="hr-HR"/>
        </w:rPr>
        <w:t xml:space="preserve">. Ukupni udio fosilnih goriva opada s </w:t>
      </w:r>
      <w:bookmarkStart w:id="78" w:name="_Hlk4854602"/>
      <w:r w:rsidRPr="008F16D6">
        <w:rPr>
          <w:rFonts w:ascii="Arial" w:eastAsia="Times New Roman" w:hAnsi="Arial" w:cs="Times New Roman"/>
          <w:lang w:eastAsia="hr-HR"/>
        </w:rPr>
        <w:t>59,1% na 54,0% u 2030. godini i na 41% u 2050. godini u scenariju S2 te na 54,6% u 2030. godini i na 32,0% u 2050. godini u scenariju S1</w:t>
      </w:r>
      <w:bookmarkEnd w:id="78"/>
      <w:r w:rsidRPr="008F16D6">
        <w:rPr>
          <w:rFonts w:ascii="Arial" w:eastAsia="Times New Roman" w:hAnsi="Arial" w:cs="Times New Roman"/>
          <w:lang w:eastAsia="hr-HR"/>
        </w:rPr>
        <w:t>.</w:t>
      </w:r>
    </w:p>
    <w:p w14:paraId="300B3502" w14:textId="77777777" w:rsidR="008F16D6" w:rsidRPr="008F16D6" w:rsidRDefault="008F16D6" w:rsidP="008F16D6">
      <w:pPr>
        <w:suppressAutoHyphens/>
        <w:spacing w:before="240" w:after="120" w:line="288" w:lineRule="auto"/>
        <w:jc w:val="center"/>
        <w:rPr>
          <w:rFonts w:ascii="Arial" w:eastAsia="Times New Roman" w:hAnsi="Arial" w:cs="Times New Roman"/>
          <w:lang w:eastAsia="hr-HR"/>
        </w:rPr>
      </w:pPr>
      <w:r w:rsidRPr="008F16D6">
        <w:rPr>
          <w:rFonts w:ascii="Arial" w:eastAsia="Times New Roman" w:hAnsi="Arial" w:cs="Times New Roman"/>
          <w:noProof/>
          <w:lang w:eastAsia="hr-HR"/>
        </w:rPr>
        <w:drawing>
          <wp:inline distT="0" distB="0" distL="0" distR="0" wp14:anchorId="069B78CD" wp14:editId="1575FB42">
            <wp:extent cx="4769511" cy="3729483"/>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00251" cy="3753520"/>
                    </a:xfrm>
                    <a:prstGeom prst="rect">
                      <a:avLst/>
                    </a:prstGeom>
                  </pic:spPr>
                </pic:pic>
              </a:graphicData>
            </a:graphic>
          </wp:inline>
        </w:drawing>
      </w:r>
    </w:p>
    <w:p w14:paraId="38FD54AF" w14:textId="49D1936A" w:rsidR="008F16D6" w:rsidRPr="008F16D6" w:rsidRDefault="008F16D6" w:rsidP="008F16D6">
      <w:pPr>
        <w:tabs>
          <w:tab w:val="left" w:pos="1021"/>
        </w:tabs>
        <w:suppressAutoHyphens/>
        <w:spacing w:before="120" w:after="240" w:line="288" w:lineRule="auto"/>
        <w:ind w:left="1021" w:hanging="1021"/>
        <w:jc w:val="center"/>
        <w:rPr>
          <w:rFonts w:ascii="Arial" w:eastAsia="Times New Roman" w:hAnsi="Arial" w:cs="Times New Roman"/>
          <w:b/>
          <w:sz w:val="20"/>
          <w:szCs w:val="28"/>
          <w:lang w:eastAsia="hr-HR"/>
        </w:rPr>
      </w:pPr>
      <w:bookmarkStart w:id="79" w:name="_Toc2341198"/>
      <w:bookmarkStart w:id="80" w:name="_Hlk4876206"/>
      <w:bookmarkStart w:id="81" w:name="_Hlk7089109"/>
      <w:r w:rsidRPr="008F16D6">
        <w:rPr>
          <w:rFonts w:ascii="Arial" w:eastAsia="Times New Roman" w:hAnsi="Arial" w:cs="Times New Roman"/>
          <w:b/>
          <w:sz w:val="20"/>
          <w:szCs w:val="28"/>
          <w:lang w:eastAsia="hr-HR"/>
        </w:rPr>
        <w:t>Slika</w:t>
      </w:r>
      <w:r w:rsidR="00A81CC7">
        <w:rPr>
          <w:rFonts w:ascii="Arial" w:eastAsia="Times New Roman" w:hAnsi="Arial" w:cs="Times New Roman"/>
          <w:b/>
          <w:bCs/>
          <w:noProof/>
          <w:sz w:val="20"/>
          <w:szCs w:val="28"/>
          <w:lang w:eastAsia="hr-HR"/>
        </w:rPr>
        <w:t xml:space="preserve"> </w:t>
      </w:r>
      <w:r w:rsidR="00C64CC0">
        <w:rPr>
          <w:rFonts w:ascii="Arial" w:eastAsia="Times New Roman" w:hAnsi="Arial" w:cs="Times New Roman"/>
          <w:b/>
          <w:sz w:val="20"/>
          <w:szCs w:val="28"/>
          <w:lang w:eastAsia="hr-HR"/>
        </w:rPr>
        <w:t>3</w:t>
      </w:r>
      <w:r w:rsidRPr="008F16D6">
        <w:rPr>
          <w:rFonts w:ascii="Arial" w:eastAsia="Times New Roman" w:hAnsi="Arial" w:cs="Times New Roman"/>
          <w:b/>
          <w:sz w:val="20"/>
          <w:szCs w:val="28"/>
          <w:lang w:eastAsia="hr-HR"/>
        </w:rPr>
        <w:t>. Neposredna potrošnja energije po oblicima energije</w:t>
      </w:r>
      <w:bookmarkEnd w:id="79"/>
      <w:bookmarkEnd w:id="80"/>
      <w:r w:rsidRPr="008F16D6">
        <w:rPr>
          <w:rFonts w:ascii="Arial" w:eastAsia="Times New Roman" w:hAnsi="Arial" w:cs="Times New Roman"/>
          <w:b/>
          <w:sz w:val="20"/>
          <w:szCs w:val="28"/>
          <w:lang w:eastAsia="hr-HR"/>
        </w:rPr>
        <w:t xml:space="preserve"> prema scenariju S2</w:t>
      </w:r>
      <w:bookmarkEnd w:id="81"/>
    </w:p>
    <w:p w14:paraId="69A697EF" w14:textId="77777777" w:rsidR="008F16D6" w:rsidRPr="008F16D6" w:rsidRDefault="008F16D6" w:rsidP="008F16D6">
      <w:pPr>
        <w:suppressAutoHyphens/>
        <w:spacing w:before="240" w:after="120" w:line="288" w:lineRule="auto"/>
        <w:jc w:val="center"/>
        <w:rPr>
          <w:rFonts w:ascii="Arial" w:eastAsia="Times New Roman" w:hAnsi="Arial" w:cs="Times New Roman"/>
          <w:lang w:eastAsia="hr-HR"/>
        </w:rPr>
      </w:pPr>
      <w:r w:rsidRPr="008F16D6">
        <w:rPr>
          <w:rFonts w:ascii="Arial" w:eastAsia="Times New Roman" w:hAnsi="Arial" w:cs="Times New Roman"/>
          <w:noProof/>
          <w:lang w:eastAsia="hr-HR"/>
        </w:rPr>
        <w:drawing>
          <wp:inline distT="0" distB="0" distL="0" distR="0" wp14:anchorId="6A34E1F3" wp14:editId="09CD125A">
            <wp:extent cx="4886553" cy="3785448"/>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06305" cy="3800749"/>
                    </a:xfrm>
                    <a:prstGeom prst="rect">
                      <a:avLst/>
                    </a:prstGeom>
                  </pic:spPr>
                </pic:pic>
              </a:graphicData>
            </a:graphic>
          </wp:inline>
        </w:drawing>
      </w:r>
    </w:p>
    <w:p w14:paraId="371FAE46" w14:textId="1C586C9B" w:rsidR="008F16D6" w:rsidRPr="008F16D6" w:rsidRDefault="008F16D6" w:rsidP="008F16D6">
      <w:pPr>
        <w:tabs>
          <w:tab w:val="left" w:pos="1021"/>
        </w:tabs>
        <w:suppressAutoHyphens/>
        <w:spacing w:before="120" w:after="240" w:line="288" w:lineRule="auto"/>
        <w:ind w:left="1021" w:hanging="1021"/>
        <w:jc w:val="center"/>
        <w:rPr>
          <w:rFonts w:ascii="Arial" w:eastAsia="Times New Roman" w:hAnsi="Arial" w:cs="Times New Roman"/>
          <w:b/>
          <w:sz w:val="20"/>
          <w:szCs w:val="28"/>
          <w:lang w:eastAsia="hr-HR"/>
        </w:rPr>
      </w:pPr>
      <w:r w:rsidRPr="008F16D6">
        <w:rPr>
          <w:rFonts w:ascii="Arial" w:eastAsia="Times New Roman" w:hAnsi="Arial" w:cs="Times New Roman"/>
          <w:b/>
          <w:sz w:val="20"/>
          <w:szCs w:val="28"/>
          <w:lang w:eastAsia="hr-HR"/>
        </w:rPr>
        <w:t xml:space="preserve">Slika </w:t>
      </w:r>
      <w:r w:rsidR="00C64CC0">
        <w:rPr>
          <w:rFonts w:ascii="Arial" w:eastAsia="Times New Roman" w:hAnsi="Arial" w:cs="Times New Roman"/>
          <w:b/>
          <w:sz w:val="20"/>
          <w:szCs w:val="28"/>
          <w:lang w:eastAsia="hr-HR"/>
        </w:rPr>
        <w:t>4</w:t>
      </w:r>
      <w:r w:rsidRPr="008F16D6">
        <w:rPr>
          <w:rFonts w:ascii="Arial" w:eastAsia="Times New Roman" w:hAnsi="Arial" w:cs="Times New Roman"/>
          <w:b/>
          <w:sz w:val="20"/>
          <w:szCs w:val="28"/>
          <w:lang w:eastAsia="hr-HR"/>
        </w:rPr>
        <w:t>. Neposredna potrošnja energije po oblicima energije prema scenariju S1</w:t>
      </w:r>
    </w:p>
    <w:p w14:paraId="556D9656" w14:textId="77777777" w:rsidR="008F16D6" w:rsidRPr="008F16D6" w:rsidRDefault="008F16D6" w:rsidP="008F16D6">
      <w:pPr>
        <w:keepNext/>
        <w:widowControl w:val="0"/>
        <w:numPr>
          <w:ilvl w:val="2"/>
          <w:numId w:val="0"/>
        </w:numPr>
        <w:suppressAutoHyphens/>
        <w:autoSpaceDE w:val="0"/>
        <w:autoSpaceDN w:val="0"/>
        <w:adjustRightInd w:val="0"/>
        <w:spacing w:before="360" w:after="240" w:line="240" w:lineRule="auto"/>
        <w:ind w:left="1430" w:hanging="720"/>
        <w:textAlignment w:val="center"/>
        <w:outlineLvl w:val="2"/>
        <w:rPr>
          <w:rFonts w:ascii="Arial" w:eastAsia="Times New Roman" w:hAnsi="Arial" w:cs="Times New Roman"/>
          <w:b/>
          <w:bCs/>
          <w:iCs/>
          <w:color w:val="BE1D2D"/>
          <w:sz w:val="24"/>
          <w:lang w:eastAsia="hr-HR"/>
        </w:rPr>
      </w:pPr>
      <w:bookmarkStart w:id="82" w:name="_Toc17876368"/>
      <w:r w:rsidRPr="008F16D6">
        <w:rPr>
          <w:rFonts w:ascii="Arial" w:eastAsia="Times New Roman" w:hAnsi="Arial" w:cs="Times New Roman"/>
          <w:b/>
          <w:bCs/>
          <w:iCs/>
          <w:color w:val="BE1D2D"/>
          <w:sz w:val="24"/>
          <w:lang w:eastAsia="hr-HR"/>
        </w:rPr>
        <w:t>Bruto neposredna potrošnja energije</w:t>
      </w:r>
      <w:bookmarkEnd w:id="82"/>
    </w:p>
    <w:p w14:paraId="682D3216"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Bruto neposredna potrošnja energije (engl. </w:t>
      </w:r>
      <w:r w:rsidRPr="008F16D6">
        <w:rPr>
          <w:rFonts w:ascii="Arial" w:eastAsia="Times New Roman" w:hAnsi="Arial" w:cs="Times New Roman"/>
          <w:i/>
          <w:lang w:eastAsia="hr-HR"/>
        </w:rPr>
        <w:t>Gross Final Energy Consumption</w:t>
      </w:r>
      <w:r w:rsidRPr="008F16D6">
        <w:rPr>
          <w:rFonts w:ascii="Arial" w:eastAsia="Times New Roman" w:hAnsi="Arial" w:cs="Times New Roman"/>
          <w:lang w:eastAsia="hr-HR"/>
        </w:rPr>
        <w:t>) je količina energije isporučena za energetske potrebe krajnjih kupaca u industriji, prijevozu, kućanstvima, uslugama, uključujući javne usluge, poljoprivredi, šumarstvu i ribarstvu, uključujući potrošnju energije u energetskom sektoru za potrebe proizvodnje električne i toplinske energije, kao i za gubitke električne i toplinske energije u prijenosu i distribuciji energije. U skladu s rezultatima analitičkih podloga iz Zelene i Bijele knjige, bruto neposredna potrošnja energije do 2030. godine u scenariju S2 stagnira, a zatim se smanjuje za 20% do 2050. godine, dok se u scenariju S1 smanjuje za ukupno 6% do 2030. godine, a zatim za 29% do 2050. godine, promatrano u odnosu na 2017. godinu. Udio obnovljivih izvora energije raste u oba promatrana scenarija sa 27,3% u 2017. godini na gotovo 37% u 2030. godini. Nakon 2030. godine porast je još izraženiji pri čemu taj udio u 2050. godini iznosi 53,3% prema scenariju S2, odnosno 65,4% prema scenariju S1.</w:t>
      </w:r>
    </w:p>
    <w:p w14:paraId="28E775D2" w14:textId="77777777" w:rsidR="008F16D6" w:rsidRPr="008F16D6" w:rsidRDefault="008F16D6" w:rsidP="008F16D6">
      <w:pPr>
        <w:suppressAutoHyphens/>
        <w:spacing w:before="240" w:after="120" w:line="288" w:lineRule="auto"/>
        <w:jc w:val="center"/>
        <w:rPr>
          <w:rFonts w:ascii="Arial" w:eastAsia="Times New Roman" w:hAnsi="Arial" w:cs="Times New Roman"/>
          <w:lang w:eastAsia="hr-HR"/>
        </w:rPr>
      </w:pPr>
      <w:r w:rsidRPr="008F16D6">
        <w:rPr>
          <w:rFonts w:ascii="Arial" w:eastAsia="Times New Roman" w:hAnsi="Arial" w:cs="Times New Roman"/>
          <w:noProof/>
          <w:lang w:eastAsia="hr-HR"/>
        </w:rPr>
        <w:drawing>
          <wp:inline distT="0" distB="0" distL="0" distR="0" wp14:anchorId="1B45CFD4" wp14:editId="7A584C71">
            <wp:extent cx="3916908" cy="2628832"/>
            <wp:effectExtent l="0" t="0" r="7620" b="635"/>
            <wp:docPr id="1517485355" name="Picture 1517485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35804" cy="2641514"/>
                    </a:xfrm>
                    <a:prstGeom prst="rect">
                      <a:avLst/>
                    </a:prstGeom>
                  </pic:spPr>
                </pic:pic>
              </a:graphicData>
            </a:graphic>
          </wp:inline>
        </w:drawing>
      </w:r>
    </w:p>
    <w:p w14:paraId="529FCE7B" w14:textId="661E4DAA" w:rsidR="008F16D6" w:rsidRPr="008F16D6" w:rsidRDefault="008F16D6" w:rsidP="008F16D6">
      <w:pPr>
        <w:tabs>
          <w:tab w:val="left" w:pos="1021"/>
        </w:tabs>
        <w:suppressAutoHyphens/>
        <w:spacing w:before="120" w:after="240" w:line="288" w:lineRule="auto"/>
        <w:ind w:left="1021" w:hanging="1021"/>
        <w:jc w:val="center"/>
        <w:rPr>
          <w:rFonts w:ascii="Arial" w:eastAsia="Times New Roman" w:hAnsi="Arial" w:cs="Times New Roman"/>
          <w:b/>
          <w:sz w:val="20"/>
          <w:szCs w:val="28"/>
          <w:lang w:eastAsia="hr-HR"/>
        </w:rPr>
      </w:pPr>
      <w:r w:rsidRPr="008F16D6">
        <w:rPr>
          <w:rFonts w:ascii="Arial" w:eastAsia="Times New Roman" w:hAnsi="Arial" w:cs="Times New Roman"/>
          <w:b/>
          <w:sz w:val="20"/>
          <w:szCs w:val="28"/>
          <w:lang w:eastAsia="hr-HR"/>
        </w:rPr>
        <w:t>Slika</w:t>
      </w:r>
      <w:r w:rsidR="009E7CA0">
        <w:rPr>
          <w:rFonts w:ascii="Arial" w:eastAsia="Times New Roman" w:hAnsi="Arial" w:cs="Times New Roman"/>
          <w:bCs/>
          <w:noProof/>
          <w:sz w:val="20"/>
          <w:szCs w:val="28"/>
          <w:lang w:eastAsia="hr-HR"/>
        </w:rPr>
        <w:t xml:space="preserve"> </w:t>
      </w:r>
      <w:r w:rsidR="00C64CC0">
        <w:rPr>
          <w:rFonts w:ascii="Arial" w:eastAsia="Times New Roman" w:hAnsi="Arial" w:cs="Times New Roman"/>
          <w:b/>
          <w:sz w:val="20"/>
          <w:szCs w:val="28"/>
          <w:lang w:eastAsia="hr-HR"/>
        </w:rPr>
        <w:t>5</w:t>
      </w:r>
      <w:r w:rsidRPr="008F16D6">
        <w:rPr>
          <w:rFonts w:ascii="Arial" w:eastAsia="Times New Roman" w:hAnsi="Arial" w:cs="Times New Roman"/>
          <w:b/>
          <w:sz w:val="20"/>
          <w:szCs w:val="28"/>
          <w:lang w:eastAsia="hr-HR"/>
        </w:rPr>
        <w:t>. Bruto neposredna potrošnja energije prema scenariju S2</w:t>
      </w:r>
    </w:p>
    <w:p w14:paraId="57C132AD" w14:textId="77777777" w:rsidR="008F16D6" w:rsidRPr="008F16D6" w:rsidRDefault="008F16D6" w:rsidP="009A4241">
      <w:pPr>
        <w:suppressAutoHyphens/>
        <w:spacing w:before="240" w:after="120" w:line="288" w:lineRule="auto"/>
        <w:jc w:val="center"/>
        <w:rPr>
          <w:rFonts w:ascii="Arial" w:eastAsia="Times New Roman" w:hAnsi="Arial" w:cs="Times New Roman"/>
          <w:lang w:eastAsia="hr-HR"/>
        </w:rPr>
      </w:pPr>
      <w:r w:rsidRPr="008F16D6">
        <w:rPr>
          <w:rFonts w:ascii="Arial" w:eastAsia="Times New Roman" w:hAnsi="Arial" w:cs="Times New Roman"/>
          <w:noProof/>
          <w:lang w:eastAsia="hr-HR"/>
        </w:rPr>
        <w:drawing>
          <wp:inline distT="0" distB="0" distL="0" distR="0" wp14:anchorId="7A57BFD2" wp14:editId="7AE6689F">
            <wp:extent cx="4333164" cy="2742919"/>
            <wp:effectExtent l="0" t="0" r="0" b="635"/>
            <wp:docPr id="1517485356" name="Picture 151748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56346" cy="2757593"/>
                    </a:xfrm>
                    <a:prstGeom prst="rect">
                      <a:avLst/>
                    </a:prstGeom>
                  </pic:spPr>
                </pic:pic>
              </a:graphicData>
            </a:graphic>
          </wp:inline>
        </w:drawing>
      </w:r>
    </w:p>
    <w:p w14:paraId="29C20991" w14:textId="518DC7F4" w:rsidR="008F16D6" w:rsidRPr="008F16D6" w:rsidRDefault="008F16D6" w:rsidP="008F16D6">
      <w:pPr>
        <w:tabs>
          <w:tab w:val="left" w:pos="1021"/>
        </w:tabs>
        <w:suppressAutoHyphens/>
        <w:spacing w:before="120" w:after="240" w:line="288" w:lineRule="auto"/>
        <w:ind w:left="1021" w:hanging="1021"/>
        <w:jc w:val="center"/>
        <w:rPr>
          <w:rFonts w:ascii="Arial" w:eastAsia="Times New Roman" w:hAnsi="Arial" w:cs="Times New Roman"/>
          <w:b/>
          <w:sz w:val="20"/>
          <w:szCs w:val="28"/>
          <w:lang w:eastAsia="hr-HR"/>
        </w:rPr>
      </w:pPr>
      <w:r w:rsidRPr="008F16D6">
        <w:rPr>
          <w:rFonts w:ascii="Arial" w:eastAsia="Times New Roman" w:hAnsi="Arial" w:cs="Times New Roman"/>
          <w:b/>
          <w:sz w:val="20"/>
          <w:szCs w:val="28"/>
          <w:lang w:eastAsia="hr-HR"/>
        </w:rPr>
        <w:t xml:space="preserve"> Slika</w:t>
      </w:r>
      <w:r w:rsidR="009E7CA0">
        <w:rPr>
          <w:rFonts w:ascii="Arial" w:eastAsia="Times New Roman" w:hAnsi="Arial" w:cs="Times New Roman"/>
          <w:bCs/>
          <w:noProof/>
          <w:sz w:val="20"/>
          <w:szCs w:val="28"/>
          <w:lang w:eastAsia="hr-HR"/>
        </w:rPr>
        <w:t xml:space="preserve"> </w:t>
      </w:r>
      <w:r w:rsidR="00C64CC0">
        <w:rPr>
          <w:rFonts w:ascii="Arial" w:eastAsia="Times New Roman" w:hAnsi="Arial" w:cs="Times New Roman"/>
          <w:b/>
          <w:sz w:val="20"/>
          <w:szCs w:val="28"/>
          <w:lang w:eastAsia="hr-HR"/>
        </w:rPr>
        <w:t>6</w:t>
      </w:r>
      <w:r w:rsidRPr="008F16D6">
        <w:rPr>
          <w:rFonts w:ascii="Arial" w:eastAsia="Times New Roman" w:hAnsi="Arial" w:cs="Times New Roman"/>
          <w:b/>
          <w:sz w:val="20"/>
          <w:szCs w:val="28"/>
          <w:lang w:eastAsia="hr-HR"/>
        </w:rPr>
        <w:t>. Bruto neposredna potrošnja energije prema scenariju S1</w:t>
      </w:r>
    </w:p>
    <w:p w14:paraId="13F5B6AD" w14:textId="77777777" w:rsidR="008F16D6" w:rsidRPr="008F16D6" w:rsidRDefault="008F16D6" w:rsidP="008F16D6">
      <w:pPr>
        <w:keepNext/>
        <w:widowControl w:val="0"/>
        <w:numPr>
          <w:ilvl w:val="2"/>
          <w:numId w:val="0"/>
        </w:numPr>
        <w:suppressAutoHyphens/>
        <w:autoSpaceDE w:val="0"/>
        <w:autoSpaceDN w:val="0"/>
        <w:adjustRightInd w:val="0"/>
        <w:spacing w:before="360" w:after="240" w:line="240" w:lineRule="auto"/>
        <w:ind w:left="1430" w:hanging="720"/>
        <w:textAlignment w:val="center"/>
        <w:outlineLvl w:val="2"/>
        <w:rPr>
          <w:rFonts w:ascii="Arial" w:eastAsia="Times New Roman" w:hAnsi="Arial" w:cs="Times New Roman"/>
          <w:b/>
          <w:bCs/>
          <w:iCs/>
          <w:color w:val="BE1D2D"/>
          <w:sz w:val="24"/>
          <w:lang w:eastAsia="hr-HR"/>
        </w:rPr>
      </w:pPr>
      <w:bookmarkStart w:id="83" w:name="_Toc17876369"/>
      <w:r w:rsidRPr="008F16D6">
        <w:rPr>
          <w:rFonts w:ascii="Arial" w:eastAsia="Times New Roman" w:hAnsi="Arial" w:cs="Times New Roman"/>
          <w:b/>
          <w:bCs/>
          <w:iCs/>
          <w:color w:val="BE1D2D"/>
          <w:sz w:val="24"/>
          <w:lang w:eastAsia="hr-HR"/>
        </w:rPr>
        <w:t>Proizvodnja električne energije</w:t>
      </w:r>
      <w:bookmarkEnd w:id="83"/>
    </w:p>
    <w:p w14:paraId="546DCAC3"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U promatranom razdoblju</w:t>
      </w:r>
      <w:r w:rsidRPr="008F16D6">
        <w:rPr>
          <w:rFonts w:ascii="Arial" w:eastAsia="Times New Roman" w:hAnsi="Arial" w:cs="Times New Roman"/>
          <w:b/>
          <w:bCs/>
          <w:i/>
          <w:iCs/>
          <w:lang w:eastAsia="hr-HR"/>
        </w:rPr>
        <w:t xml:space="preserve"> </w:t>
      </w:r>
      <w:r w:rsidRPr="008F16D6">
        <w:rPr>
          <w:rFonts w:ascii="Arial" w:eastAsia="Times New Roman" w:hAnsi="Arial" w:cs="Times New Roman"/>
          <w:lang w:eastAsia="hr-HR"/>
        </w:rPr>
        <w:t>očekuje se povećanje domaće proizvodnje i značajna promjena u strukturi proizvodnje električne energije. Povećava se udio OIE, a smanjuje udio proizvodnje termoelektrana (općenito – termoelektrane, javne toplane i industrijske kogeneracije). Do kraja promatranog razdoblja sve potrebne količine električne energije mogu se proizvesti iz domaćih elektrana, ali je moguća razmjena sa susjednim sustavima (tj. neto uvoz je jednak nuli). Prilikom postavljanje ove pretpostavke proizvodnja NE Krško je izuzeta iz neto uvoza s obzirom na njen poseban položaj (isporuka energije i snage temeljem 50% udjela u vlasništvu). Sama realizacija prikazanih ciljeva ovisiti će o komercijalnosti pojedinih projekata.</w:t>
      </w:r>
    </w:p>
    <w:p w14:paraId="1308725C" w14:textId="77777777" w:rsidR="008F16D6" w:rsidRPr="008F16D6" w:rsidRDefault="008F16D6" w:rsidP="008F16D6">
      <w:pPr>
        <w:suppressAutoHyphens/>
        <w:spacing w:before="240" w:after="120" w:line="288" w:lineRule="auto"/>
        <w:jc w:val="center"/>
        <w:rPr>
          <w:rFonts w:ascii="Arial" w:eastAsia="Times New Roman" w:hAnsi="Arial" w:cs="Times New Roman"/>
          <w:lang w:eastAsia="hr-HR"/>
        </w:rPr>
      </w:pPr>
      <w:r w:rsidRPr="008F16D6">
        <w:rPr>
          <w:rFonts w:ascii="Arial" w:eastAsia="Times New Roman" w:hAnsi="Arial" w:cs="Times New Roman"/>
          <w:noProof/>
          <w:lang w:eastAsia="hr-HR"/>
        </w:rPr>
        <w:drawing>
          <wp:inline distT="0" distB="0" distL="0" distR="0" wp14:anchorId="693C2255" wp14:editId="77CD6084">
            <wp:extent cx="4859216" cy="3808736"/>
            <wp:effectExtent l="0" t="0" r="0" b="1270"/>
            <wp:docPr id="1771669881" name="Picture 177166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59216" cy="3808736"/>
                    </a:xfrm>
                    <a:prstGeom prst="rect">
                      <a:avLst/>
                    </a:prstGeom>
                  </pic:spPr>
                </pic:pic>
              </a:graphicData>
            </a:graphic>
          </wp:inline>
        </w:drawing>
      </w:r>
    </w:p>
    <w:p w14:paraId="4617ECE4" w14:textId="32F6B805" w:rsidR="008F16D6" w:rsidRPr="008F16D6" w:rsidRDefault="008F16D6" w:rsidP="008F16D6">
      <w:pPr>
        <w:tabs>
          <w:tab w:val="left" w:pos="1021"/>
        </w:tabs>
        <w:suppressAutoHyphens/>
        <w:spacing w:before="120" w:after="360" w:line="288" w:lineRule="auto"/>
        <w:ind w:left="1021" w:hanging="1021"/>
        <w:jc w:val="center"/>
        <w:rPr>
          <w:rFonts w:ascii="Arial" w:eastAsia="Times New Roman" w:hAnsi="Arial" w:cs="Times New Roman"/>
          <w:b/>
          <w:sz w:val="20"/>
          <w:szCs w:val="28"/>
          <w:lang w:eastAsia="hr-HR"/>
        </w:rPr>
      </w:pPr>
      <w:bookmarkStart w:id="84" w:name="_Toc2341200"/>
      <w:r w:rsidRPr="008F16D6">
        <w:rPr>
          <w:rFonts w:ascii="Arial" w:eastAsia="Times New Roman" w:hAnsi="Arial" w:cs="Times New Roman"/>
          <w:b/>
          <w:sz w:val="20"/>
          <w:szCs w:val="28"/>
          <w:lang w:eastAsia="hr-HR"/>
        </w:rPr>
        <w:t>Slika</w:t>
      </w:r>
      <w:r w:rsidR="009E7CA0">
        <w:rPr>
          <w:rFonts w:ascii="Arial" w:eastAsia="Times New Roman" w:hAnsi="Arial" w:cs="Times New Roman"/>
          <w:bCs/>
          <w:noProof/>
          <w:sz w:val="20"/>
          <w:szCs w:val="28"/>
          <w:lang w:eastAsia="hr-HR"/>
        </w:rPr>
        <w:t xml:space="preserve"> </w:t>
      </w:r>
      <w:r w:rsidR="00C64CC0">
        <w:rPr>
          <w:rFonts w:ascii="Arial" w:eastAsia="Times New Roman" w:hAnsi="Arial" w:cs="Times New Roman"/>
          <w:b/>
          <w:noProof/>
          <w:sz w:val="20"/>
          <w:szCs w:val="28"/>
          <w:lang w:eastAsia="hr-HR"/>
        </w:rPr>
        <w:t>7</w:t>
      </w:r>
      <w:r w:rsidRPr="008F16D6">
        <w:rPr>
          <w:rFonts w:ascii="Arial" w:eastAsia="Times New Roman" w:hAnsi="Arial" w:cs="Times New Roman"/>
          <w:b/>
          <w:sz w:val="20"/>
          <w:szCs w:val="28"/>
          <w:lang w:eastAsia="hr-HR"/>
        </w:rPr>
        <w:t>. Proizvodnja električne energije</w:t>
      </w:r>
      <w:bookmarkEnd w:id="84"/>
      <w:r w:rsidRPr="008F16D6">
        <w:rPr>
          <w:rFonts w:ascii="Arial" w:eastAsia="Times New Roman" w:hAnsi="Arial" w:cs="Times New Roman"/>
          <w:b/>
          <w:sz w:val="20"/>
          <w:szCs w:val="28"/>
          <w:lang w:eastAsia="hr-HR"/>
        </w:rPr>
        <w:t xml:space="preserve"> prema scenariju S2 </w:t>
      </w:r>
    </w:p>
    <w:p w14:paraId="1EE7CCE2" w14:textId="77777777" w:rsidR="008F16D6" w:rsidRPr="008F16D6" w:rsidRDefault="008F16D6" w:rsidP="009A4241">
      <w:pPr>
        <w:suppressAutoHyphens/>
        <w:spacing w:before="240" w:after="120" w:line="288" w:lineRule="auto"/>
        <w:jc w:val="center"/>
        <w:rPr>
          <w:rFonts w:ascii="Arial" w:eastAsia="Times New Roman" w:hAnsi="Arial" w:cs="Times New Roman"/>
          <w:lang w:eastAsia="hr-HR"/>
        </w:rPr>
      </w:pPr>
      <w:r w:rsidRPr="008F16D6">
        <w:rPr>
          <w:rFonts w:ascii="Arial" w:eastAsia="Times New Roman" w:hAnsi="Arial" w:cs="Times New Roman"/>
          <w:noProof/>
          <w:lang w:eastAsia="hr-HR"/>
        </w:rPr>
        <w:drawing>
          <wp:inline distT="0" distB="0" distL="0" distR="0" wp14:anchorId="26754D13" wp14:editId="6496754F">
            <wp:extent cx="5087815" cy="4144962"/>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87815" cy="4144962"/>
                    </a:xfrm>
                    <a:prstGeom prst="rect">
                      <a:avLst/>
                    </a:prstGeom>
                  </pic:spPr>
                </pic:pic>
              </a:graphicData>
            </a:graphic>
          </wp:inline>
        </w:drawing>
      </w:r>
    </w:p>
    <w:p w14:paraId="3DABBCB7" w14:textId="151A5D33" w:rsidR="008F16D6" w:rsidRPr="008F16D6" w:rsidRDefault="008F16D6" w:rsidP="008F16D6">
      <w:pPr>
        <w:tabs>
          <w:tab w:val="left" w:pos="1021"/>
        </w:tabs>
        <w:suppressAutoHyphens/>
        <w:spacing w:before="120" w:after="360" w:line="288" w:lineRule="auto"/>
        <w:ind w:left="1021" w:hanging="1021"/>
        <w:jc w:val="center"/>
        <w:rPr>
          <w:rFonts w:ascii="Arial" w:eastAsia="Times New Roman" w:hAnsi="Arial" w:cs="Times New Roman"/>
          <w:b/>
          <w:sz w:val="20"/>
          <w:szCs w:val="28"/>
          <w:lang w:eastAsia="hr-HR"/>
        </w:rPr>
      </w:pPr>
      <w:r w:rsidRPr="008F16D6">
        <w:rPr>
          <w:rFonts w:ascii="Arial" w:eastAsia="Times New Roman" w:hAnsi="Arial" w:cs="Times New Roman"/>
          <w:b/>
          <w:sz w:val="20"/>
          <w:szCs w:val="28"/>
          <w:lang w:eastAsia="hr-HR"/>
        </w:rPr>
        <w:t>Slika</w:t>
      </w:r>
      <w:r w:rsidR="009E7CA0">
        <w:rPr>
          <w:rFonts w:ascii="Arial" w:eastAsia="Times New Roman" w:hAnsi="Arial" w:cs="Times New Roman"/>
          <w:bCs/>
          <w:noProof/>
          <w:sz w:val="20"/>
          <w:szCs w:val="28"/>
          <w:lang w:eastAsia="hr-HR"/>
        </w:rPr>
        <w:t xml:space="preserve"> </w:t>
      </w:r>
      <w:r w:rsidR="00C64CC0">
        <w:rPr>
          <w:rFonts w:ascii="Arial" w:eastAsia="Times New Roman" w:hAnsi="Arial" w:cs="Times New Roman"/>
          <w:b/>
          <w:noProof/>
          <w:sz w:val="20"/>
          <w:szCs w:val="28"/>
          <w:lang w:eastAsia="hr-HR"/>
        </w:rPr>
        <w:t>8</w:t>
      </w:r>
      <w:r w:rsidRPr="008F16D6">
        <w:rPr>
          <w:rFonts w:ascii="Arial" w:eastAsia="Times New Roman" w:hAnsi="Arial" w:cs="Times New Roman"/>
          <w:b/>
          <w:sz w:val="20"/>
          <w:szCs w:val="28"/>
          <w:lang w:eastAsia="hr-HR"/>
        </w:rPr>
        <w:t xml:space="preserve">. Proizvodnja električne energije prema scenariju S1 </w:t>
      </w:r>
    </w:p>
    <w:p w14:paraId="00737E51"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Unatoč gradnji novih hidroelektrana i apsolutnom povećanju njihove proizvodnje, udio hidroelektrana u domaćoj proizvodnji opada, jer se grade novi izvori i istovremeno se smanjuje neto uvoz. S razine od 46,0 % u 2017. godini, udio proizvodnje HE opada na 44,0 % u 2030. i na 32,3 % u 2050. godini u scenariju S2 i na 41,8 % u 2030. i na 33,1 % u 2050. godini u scenariju S1. Potrebno je dodati i da njihov udio može značajno varirati ovisno o hidrološkim prilikama pojedine godine. </w:t>
      </w:r>
    </w:p>
    <w:p w14:paraId="69C1A7FD"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Ukupna proizvodnja električne energije iz termoenergetskih postrojenja (termoelektrane, javne toplane i industrijske kogeneracije, kao i termoenergetska postrojenja koja koriste gorivo bio porijekla (bioplin i kruta biomasa), ali ne i geotermalne elektrane koje su prikazane odvojeno) u scenariju S2 ostaje na približno jednakoj razini te opada njihov udio u proizvodnji – s 43,3% u 2017. godini na 27,8 % u 2030. i na 21,1 % u 2050. godini, dok se u scenariju S1 ukupna proizvodnja smanjuje, kao i njihov udio u domaćoj proizvodnji – sa 43,3 % u 2017. godini na 24,9 % u 2030. i na 12,3 % u 2050. godini.</w:t>
      </w:r>
    </w:p>
    <w:p w14:paraId="45568873"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Proizvodnja VE i FN se povećava sa 1,3 TWh u 2017. na 4,6 TWh u 2030. i na 11,5 TWh u 2050. godini u scenariju S2 te na 5,7 TWh u 2030. i na 15,7 TWh u 2050. godini u scenariju S1. Udio njihove proizvodnje s 10,7 % u 2017. godini, raste na 27,4 % u 2030. i na 44,9 % u 2050. godini u scenariju S2 te na 32,6 % u 2030. i na 53,1 % u 2050. godini u scenariju S1.</w:t>
      </w:r>
    </w:p>
    <w:p w14:paraId="23BD8C87" w14:textId="77777777" w:rsidR="008F16D6" w:rsidRPr="008F16D6" w:rsidRDefault="008F16D6" w:rsidP="008F16D6">
      <w:pPr>
        <w:keepNext/>
        <w:widowControl w:val="0"/>
        <w:numPr>
          <w:ilvl w:val="2"/>
          <w:numId w:val="0"/>
        </w:numPr>
        <w:suppressAutoHyphens/>
        <w:autoSpaceDE w:val="0"/>
        <w:autoSpaceDN w:val="0"/>
        <w:adjustRightInd w:val="0"/>
        <w:spacing w:before="360" w:after="240" w:line="240" w:lineRule="auto"/>
        <w:ind w:left="1430" w:hanging="720"/>
        <w:textAlignment w:val="center"/>
        <w:outlineLvl w:val="2"/>
        <w:rPr>
          <w:rFonts w:ascii="Arial" w:eastAsia="Times New Roman" w:hAnsi="Arial" w:cs="Times New Roman"/>
          <w:b/>
          <w:bCs/>
          <w:iCs/>
          <w:color w:val="BE1D2D"/>
          <w:sz w:val="24"/>
          <w:lang w:eastAsia="hr-HR"/>
        </w:rPr>
      </w:pPr>
      <w:bookmarkStart w:id="85" w:name="_Toc17876370"/>
      <w:r w:rsidRPr="008F16D6">
        <w:rPr>
          <w:rFonts w:ascii="Arial" w:eastAsia="Times New Roman" w:hAnsi="Arial" w:cs="Times New Roman"/>
          <w:b/>
          <w:bCs/>
          <w:iCs/>
          <w:color w:val="BE1D2D"/>
          <w:sz w:val="24"/>
          <w:lang w:eastAsia="hr-HR"/>
        </w:rPr>
        <w:t>Obnovljivi izvori energije</w:t>
      </w:r>
      <w:bookmarkEnd w:id="85"/>
    </w:p>
    <w:p w14:paraId="39C4EE56"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U okviru energetske tranzicije očekuje se porast korištenja energije iz OIE i diversifikacija korištenih izvora energije. U scenariju S2 do 2030. korištenje OIE se povećava za 49%, a do 2050. godine za 81%, dok se u scenariju S1 do 2030. povećava za 42%, a do 2050. godine za 93%.</w:t>
      </w:r>
    </w:p>
    <w:p w14:paraId="52F8242B" w14:textId="2C21D32F"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U 2017. godini najveći udio u OIE imala je kruta biomasa sa 65,4 %, čiji će se udio smanjivati ovisno o dinamici ostvarenja</w:t>
      </w:r>
      <w:r w:rsidR="00A73DF3">
        <w:rPr>
          <w:rFonts w:ascii="Arial" w:eastAsia="Times New Roman" w:hAnsi="Arial" w:cs="Times New Roman"/>
          <w:lang w:eastAsia="hr-HR"/>
        </w:rPr>
        <w:t xml:space="preserve">, </w:t>
      </w:r>
      <w:r w:rsidRPr="008F16D6">
        <w:rPr>
          <w:rFonts w:ascii="Arial" w:eastAsia="Times New Roman" w:hAnsi="Arial" w:cs="Times New Roman"/>
          <w:lang w:eastAsia="hr-HR"/>
        </w:rPr>
        <w:t xml:space="preserve">odnosno povećanja korištenja energije iz OIE prema analiziranim scenarijima. Ovisno o dinamici ostvarenja pojedinih ciljeva u analiziranim scenarijima moguće je smanjenje na 45,9% do 2030. godine i 27,9% do 2050. godine u scenariju S2 te na 40,2% do 2030. i 17,9% do 2050. godine u scenariju S1, što je u izravnoj vezi s ostvarenjem ciljeva energetske obnove fonda zgrada. </w:t>
      </w:r>
    </w:p>
    <w:p w14:paraId="1490780A"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Udio proizvodnje električne energije iz hidroelektrana u ukupnoj proizvodnji električne energije iz OIE smanjit će se sa 24,1% u 2017. godini na 22,3% u 2030. godini i na 20,7% do 2050. godine u scenariju S2 te na 23,3% u 2030. godini i na 22,9% do 2050. godine u scenariju S1. U apsolutnom iznosu, korištenje vodnih snaga, odnosno proizvodnja električne energije iz hidroelektrana (velikih i malih) u odnosu na 2017. godinu raste za 38 % do 2030. godine u oba scenarija te za 84 % do 2050. godine u scenariju S1 i za 55% do 2050. godine u scenariju S2. Ovdje treba napomenuti da je 2017. godina bila hidrološki nepovoljna godina.</w:t>
      </w:r>
      <w:bookmarkStart w:id="86" w:name="_Hlk3538387"/>
      <w:r w:rsidRPr="008F16D6">
        <w:rPr>
          <w:rFonts w:ascii="Arial" w:eastAsia="Times New Roman" w:hAnsi="Arial" w:cs="Times New Roman"/>
          <w:lang w:eastAsia="hr-HR"/>
        </w:rPr>
        <w:t xml:space="preserve"> </w:t>
      </w:r>
      <w:bookmarkEnd w:id="86"/>
    </w:p>
    <w:p w14:paraId="0559D920"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Od ostalih OIE-a najveće promjene se opažaju u višestrukom povećanju udjela vjetra i sunca (proizvodnja električne i toplinske energije), dvostruko većem korištenju biogoriva (u prometu) i povećanju korištenja geotermalne energije.</w:t>
      </w:r>
    </w:p>
    <w:p w14:paraId="62EB4AA8" w14:textId="77777777" w:rsidR="008F16D6" w:rsidRPr="008F16D6" w:rsidRDefault="008F16D6" w:rsidP="008F16D6">
      <w:pPr>
        <w:tabs>
          <w:tab w:val="left" w:pos="1021"/>
        </w:tabs>
        <w:suppressAutoHyphens/>
        <w:spacing w:before="120" w:after="360" w:line="288" w:lineRule="auto"/>
        <w:ind w:left="1021" w:hanging="1021"/>
        <w:jc w:val="center"/>
        <w:rPr>
          <w:rFonts w:ascii="Arial" w:eastAsia="Times New Roman" w:hAnsi="Arial" w:cs="Times New Roman"/>
          <w:b/>
          <w:sz w:val="20"/>
          <w:szCs w:val="28"/>
          <w:lang w:eastAsia="hr-HR"/>
        </w:rPr>
      </w:pPr>
      <w:bookmarkStart w:id="87" w:name="_Toc2341202"/>
    </w:p>
    <w:p w14:paraId="779C0B69" w14:textId="77777777" w:rsidR="008F16D6" w:rsidRPr="008F16D6" w:rsidRDefault="008F16D6" w:rsidP="008F16D6">
      <w:pPr>
        <w:tabs>
          <w:tab w:val="left" w:pos="1021"/>
        </w:tabs>
        <w:suppressAutoHyphens/>
        <w:spacing w:before="120" w:after="240" w:line="288" w:lineRule="auto"/>
        <w:ind w:left="1021" w:hanging="1021"/>
        <w:jc w:val="center"/>
        <w:rPr>
          <w:rFonts w:ascii="Arial" w:eastAsia="Times New Roman" w:hAnsi="Arial" w:cs="Times New Roman"/>
          <w:b/>
          <w:sz w:val="20"/>
          <w:szCs w:val="28"/>
          <w:lang w:eastAsia="hr-HR"/>
        </w:rPr>
      </w:pPr>
      <w:r w:rsidRPr="008F16D6">
        <w:rPr>
          <w:rFonts w:ascii="Arial" w:eastAsia="Times New Roman" w:hAnsi="Arial" w:cs="Times New Roman"/>
          <w:b/>
          <w:noProof/>
          <w:sz w:val="20"/>
          <w:szCs w:val="28"/>
          <w:lang w:eastAsia="hr-HR"/>
        </w:rPr>
        <w:drawing>
          <wp:inline distT="0" distB="0" distL="0" distR="0" wp14:anchorId="7EC63D09" wp14:editId="1620748A">
            <wp:extent cx="5176658" cy="4147718"/>
            <wp:effectExtent l="0" t="0" r="508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00132" cy="4166526"/>
                    </a:xfrm>
                    <a:prstGeom prst="rect">
                      <a:avLst/>
                    </a:prstGeom>
                  </pic:spPr>
                </pic:pic>
              </a:graphicData>
            </a:graphic>
          </wp:inline>
        </w:drawing>
      </w:r>
    </w:p>
    <w:p w14:paraId="386EA911" w14:textId="66E2AF94" w:rsidR="008F16D6" w:rsidRPr="008F16D6" w:rsidRDefault="008F16D6" w:rsidP="008F16D6">
      <w:pPr>
        <w:tabs>
          <w:tab w:val="left" w:pos="1021"/>
        </w:tabs>
        <w:suppressAutoHyphens/>
        <w:spacing w:before="120" w:after="360" w:line="288" w:lineRule="auto"/>
        <w:ind w:left="1021" w:hanging="1021"/>
        <w:jc w:val="center"/>
        <w:rPr>
          <w:rFonts w:ascii="Arial" w:eastAsia="Times New Roman" w:hAnsi="Arial" w:cs="Times New Roman"/>
          <w:b/>
          <w:sz w:val="20"/>
          <w:szCs w:val="28"/>
          <w:lang w:eastAsia="hr-HR"/>
        </w:rPr>
      </w:pPr>
      <w:r w:rsidRPr="008F16D6">
        <w:rPr>
          <w:rFonts w:ascii="Arial" w:eastAsia="Times New Roman" w:hAnsi="Arial" w:cs="Times New Roman"/>
          <w:b/>
          <w:sz w:val="20"/>
          <w:szCs w:val="28"/>
          <w:lang w:eastAsia="hr-HR"/>
        </w:rPr>
        <w:t>Slika</w:t>
      </w:r>
      <w:r w:rsidR="009E7CA0">
        <w:rPr>
          <w:rFonts w:ascii="Arial" w:eastAsia="Times New Roman" w:hAnsi="Arial" w:cs="Times New Roman"/>
          <w:bCs/>
          <w:noProof/>
          <w:sz w:val="20"/>
          <w:szCs w:val="28"/>
          <w:lang w:eastAsia="hr-HR"/>
        </w:rPr>
        <w:t xml:space="preserve"> </w:t>
      </w:r>
      <w:r w:rsidR="00C64CC0">
        <w:rPr>
          <w:rFonts w:ascii="Arial" w:eastAsia="Times New Roman" w:hAnsi="Arial" w:cs="Times New Roman"/>
          <w:b/>
          <w:noProof/>
          <w:sz w:val="20"/>
          <w:szCs w:val="28"/>
          <w:lang w:eastAsia="hr-HR"/>
        </w:rPr>
        <w:t>9</w:t>
      </w:r>
      <w:r w:rsidRPr="008F16D6">
        <w:rPr>
          <w:rFonts w:ascii="Arial" w:eastAsia="Times New Roman" w:hAnsi="Arial" w:cs="Times New Roman"/>
          <w:b/>
          <w:sz w:val="20"/>
          <w:szCs w:val="28"/>
          <w:lang w:eastAsia="hr-HR"/>
        </w:rPr>
        <w:t>. Korištenje OIE-a prema scenariju S2</w:t>
      </w:r>
    </w:p>
    <w:p w14:paraId="0858B6A3" w14:textId="77777777" w:rsidR="008F16D6" w:rsidRPr="008F16D6" w:rsidRDefault="008F16D6" w:rsidP="008F16D6">
      <w:pPr>
        <w:tabs>
          <w:tab w:val="left" w:pos="1021"/>
        </w:tabs>
        <w:suppressAutoHyphens/>
        <w:spacing w:before="120" w:after="240" w:line="288" w:lineRule="auto"/>
        <w:ind w:left="1021" w:hanging="1021"/>
        <w:jc w:val="center"/>
        <w:rPr>
          <w:rFonts w:ascii="Arial" w:eastAsia="Times New Roman" w:hAnsi="Arial" w:cs="Times New Roman"/>
          <w:b/>
          <w:sz w:val="20"/>
          <w:szCs w:val="28"/>
          <w:lang w:eastAsia="hr-HR"/>
        </w:rPr>
      </w:pPr>
      <w:r w:rsidRPr="008F16D6">
        <w:rPr>
          <w:rFonts w:ascii="Arial" w:eastAsia="Times New Roman" w:hAnsi="Arial" w:cs="Times New Roman"/>
          <w:b/>
          <w:noProof/>
          <w:sz w:val="20"/>
          <w:szCs w:val="28"/>
          <w:lang w:eastAsia="hr-HR"/>
        </w:rPr>
        <w:drawing>
          <wp:inline distT="0" distB="0" distL="0" distR="0" wp14:anchorId="762385C1" wp14:editId="4BCF4316">
            <wp:extent cx="4853425" cy="3635654"/>
            <wp:effectExtent l="0" t="0" r="444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98044" cy="3669078"/>
                    </a:xfrm>
                    <a:prstGeom prst="rect">
                      <a:avLst/>
                    </a:prstGeom>
                  </pic:spPr>
                </pic:pic>
              </a:graphicData>
            </a:graphic>
          </wp:inline>
        </w:drawing>
      </w:r>
    </w:p>
    <w:p w14:paraId="4E634D4D" w14:textId="345E8F78" w:rsidR="008F16D6" w:rsidRPr="008F16D6" w:rsidRDefault="008F16D6" w:rsidP="008F16D6">
      <w:pPr>
        <w:tabs>
          <w:tab w:val="left" w:pos="1021"/>
        </w:tabs>
        <w:suppressAutoHyphens/>
        <w:spacing w:before="120" w:after="360" w:line="288" w:lineRule="auto"/>
        <w:ind w:left="1021" w:hanging="1021"/>
        <w:jc w:val="center"/>
        <w:rPr>
          <w:rFonts w:ascii="Arial" w:eastAsia="Times New Roman" w:hAnsi="Arial" w:cs="Times New Roman"/>
          <w:b/>
          <w:sz w:val="20"/>
          <w:szCs w:val="28"/>
          <w:lang w:eastAsia="hr-HR"/>
        </w:rPr>
      </w:pPr>
      <w:r w:rsidRPr="008F16D6">
        <w:rPr>
          <w:rFonts w:ascii="Arial" w:eastAsia="Times New Roman" w:hAnsi="Arial" w:cs="Times New Roman"/>
          <w:b/>
          <w:sz w:val="20"/>
          <w:szCs w:val="28"/>
          <w:lang w:eastAsia="hr-HR"/>
        </w:rPr>
        <w:t>Slika</w:t>
      </w:r>
      <w:r w:rsidR="009E7CA0">
        <w:rPr>
          <w:rFonts w:ascii="Arial" w:eastAsia="Times New Roman" w:hAnsi="Arial" w:cs="Times New Roman"/>
          <w:bCs/>
          <w:noProof/>
          <w:sz w:val="20"/>
          <w:szCs w:val="28"/>
          <w:lang w:eastAsia="hr-HR"/>
        </w:rPr>
        <w:t xml:space="preserve"> </w:t>
      </w:r>
      <w:r w:rsidR="009E7CA0">
        <w:rPr>
          <w:rFonts w:ascii="Arial" w:eastAsia="Times New Roman" w:hAnsi="Arial" w:cs="Times New Roman"/>
          <w:b/>
          <w:noProof/>
          <w:sz w:val="20"/>
          <w:szCs w:val="28"/>
          <w:lang w:eastAsia="hr-HR"/>
        </w:rPr>
        <w:t>1</w:t>
      </w:r>
      <w:r w:rsidR="00C64CC0">
        <w:rPr>
          <w:rFonts w:ascii="Arial" w:eastAsia="Times New Roman" w:hAnsi="Arial" w:cs="Times New Roman"/>
          <w:b/>
          <w:noProof/>
          <w:sz w:val="20"/>
          <w:szCs w:val="28"/>
          <w:lang w:eastAsia="hr-HR"/>
        </w:rPr>
        <w:t>0</w:t>
      </w:r>
      <w:r w:rsidRPr="008F16D6">
        <w:rPr>
          <w:rFonts w:ascii="Arial" w:eastAsia="Times New Roman" w:hAnsi="Arial" w:cs="Times New Roman"/>
          <w:b/>
          <w:sz w:val="20"/>
          <w:szCs w:val="28"/>
          <w:lang w:eastAsia="hr-HR"/>
        </w:rPr>
        <w:t>. Korištenje OIE-a</w:t>
      </w:r>
      <w:bookmarkEnd w:id="87"/>
      <w:r w:rsidRPr="008F16D6">
        <w:rPr>
          <w:rFonts w:ascii="Arial" w:eastAsia="Times New Roman" w:hAnsi="Arial" w:cs="Times New Roman"/>
          <w:b/>
          <w:sz w:val="20"/>
          <w:szCs w:val="28"/>
          <w:lang w:eastAsia="hr-HR"/>
        </w:rPr>
        <w:t xml:space="preserve"> prema scenariju S1</w:t>
      </w:r>
    </w:p>
    <w:p w14:paraId="529964C1" w14:textId="77777777" w:rsidR="008F16D6" w:rsidRPr="008F16D6" w:rsidRDefault="008F16D6" w:rsidP="008F16D6">
      <w:pPr>
        <w:keepNext/>
        <w:widowControl w:val="0"/>
        <w:numPr>
          <w:ilvl w:val="2"/>
          <w:numId w:val="0"/>
        </w:numPr>
        <w:suppressAutoHyphens/>
        <w:autoSpaceDE w:val="0"/>
        <w:autoSpaceDN w:val="0"/>
        <w:adjustRightInd w:val="0"/>
        <w:spacing w:before="360" w:after="240" w:line="240" w:lineRule="auto"/>
        <w:ind w:left="1430" w:hanging="720"/>
        <w:textAlignment w:val="center"/>
        <w:outlineLvl w:val="2"/>
        <w:rPr>
          <w:rFonts w:ascii="Arial" w:eastAsia="Times New Roman" w:hAnsi="Arial" w:cs="Times New Roman"/>
          <w:b/>
          <w:bCs/>
          <w:iCs/>
          <w:color w:val="BE1D2D"/>
          <w:sz w:val="24"/>
          <w:lang w:eastAsia="hr-HR"/>
        </w:rPr>
      </w:pPr>
      <w:bookmarkStart w:id="88" w:name="_Toc17876371"/>
      <w:r w:rsidRPr="008F16D6">
        <w:rPr>
          <w:rFonts w:ascii="Arial" w:eastAsia="Times New Roman" w:hAnsi="Arial" w:cs="Times New Roman"/>
          <w:b/>
          <w:bCs/>
          <w:iCs/>
          <w:color w:val="BE1D2D"/>
          <w:sz w:val="24"/>
          <w:lang w:eastAsia="hr-HR"/>
        </w:rPr>
        <w:t>Proizvodnja i uvoz energije</w:t>
      </w:r>
      <w:bookmarkEnd w:id="88"/>
    </w:p>
    <w:p w14:paraId="61BB1B86"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Udio domaće proizvodnje u ukupnoj potrošnji energije kontinuirano raste prema kraju razdoblja, što se objašnjava smanjenjem ukupnih potreba za energijom zbog snažnih mjera energetske učinkovitosti: obnove fonda zgrada i zamjene fosilnih goriva s električnom energijom i drugim oblicima energije. Istovremeno se povećava proizvodnja iz OIE te unatoč smanjenju proizvodnje fosilnih goriva, vlastita opskrbljenost raste s 53,3% u 2017. na 55,8% u 2030., da bi se nakon toga spustila na 51,7% u 2050. godinu scenariju S2, dok u scenariju S1 vlastita opskrbljenost raste na 56,8% u 2030. i na 62,0% u 2050. godini.</w:t>
      </w:r>
    </w:p>
    <w:p w14:paraId="621BD498" w14:textId="77777777" w:rsidR="008F16D6" w:rsidRPr="008F16D6" w:rsidRDefault="008F16D6" w:rsidP="008F16D6">
      <w:pPr>
        <w:keepNext/>
        <w:widowControl w:val="0"/>
        <w:numPr>
          <w:ilvl w:val="2"/>
          <w:numId w:val="0"/>
        </w:numPr>
        <w:suppressAutoHyphens/>
        <w:autoSpaceDE w:val="0"/>
        <w:autoSpaceDN w:val="0"/>
        <w:adjustRightInd w:val="0"/>
        <w:spacing w:before="360" w:after="240" w:line="240" w:lineRule="auto"/>
        <w:ind w:left="1430" w:hanging="720"/>
        <w:textAlignment w:val="center"/>
        <w:outlineLvl w:val="2"/>
        <w:rPr>
          <w:rFonts w:ascii="Arial" w:eastAsia="Times New Roman" w:hAnsi="Arial" w:cs="Times New Roman"/>
          <w:b/>
          <w:bCs/>
          <w:iCs/>
          <w:color w:val="BE1D2D"/>
          <w:sz w:val="24"/>
          <w:lang w:eastAsia="hr-HR"/>
        </w:rPr>
      </w:pPr>
      <w:bookmarkStart w:id="89" w:name="_Toc17876372"/>
      <w:r w:rsidRPr="008F16D6">
        <w:rPr>
          <w:rFonts w:ascii="Arial" w:eastAsia="Times New Roman" w:hAnsi="Arial" w:cs="Times New Roman"/>
          <w:b/>
          <w:bCs/>
          <w:iCs/>
          <w:color w:val="BE1D2D"/>
          <w:sz w:val="24"/>
          <w:lang w:eastAsia="hr-HR"/>
        </w:rPr>
        <w:t>Proizvodnja sirove nafte i prirodnog plina</w:t>
      </w:r>
      <w:bookmarkEnd w:id="89"/>
    </w:p>
    <w:p w14:paraId="60B7C127"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Sukladno analitičkim podlogama iz Zelene i Bijele knjige u oba scenarija nastavno na poznate geološke projekcije predviđena je buduća proizvodnja ugljikovodika kojom bi se djelomično nadomjestio negativan trend pada domaće proizvodnje kroz nove investicije u nova istraživanja, razradu i proizvodnju.</w:t>
      </w:r>
    </w:p>
    <w:p w14:paraId="0479F1A1" w14:textId="77777777"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ind w:left="576" w:hanging="576"/>
        <w:textAlignment w:val="center"/>
        <w:outlineLvl w:val="1"/>
        <w:rPr>
          <w:rFonts w:ascii="Arial" w:eastAsia="Times New Roman" w:hAnsi="Arial" w:cs="Myriad Pro Cond"/>
          <w:b/>
          <w:bCs/>
          <w:color w:val="BE1D2D"/>
          <w:sz w:val="28"/>
          <w:szCs w:val="36"/>
          <w:lang w:eastAsia="hr-HR"/>
        </w:rPr>
      </w:pPr>
      <w:bookmarkStart w:id="90" w:name="_Toc17876373"/>
      <w:r w:rsidRPr="008F16D6">
        <w:rPr>
          <w:rFonts w:ascii="Arial" w:eastAsia="Times New Roman" w:hAnsi="Arial" w:cs="Myriad Pro Cond"/>
          <w:b/>
          <w:bCs/>
          <w:color w:val="BE1D2D"/>
          <w:sz w:val="28"/>
          <w:szCs w:val="36"/>
          <w:lang w:eastAsia="hr-HR"/>
        </w:rPr>
        <w:t>Potrebe i izazovi razvoja</w:t>
      </w:r>
      <w:bookmarkEnd w:id="90"/>
    </w:p>
    <w:p w14:paraId="553755A6"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Značajna penetracija intermitentnih OIE u elektroenergetskom sustavu zahtijevat će povećanje fleksibilnosti sustava na strani proizvodnje i potrošnje. U tom je smislu nužno razviti tržišne mehanizme (razvoj platformi za regionalno trgovanje regulacijskim uslugama za uravnoteženje sustava, prema konceptu aktivacije zajedničkih rezervi temeljem liste ekonomskog prvenstva). Pristup tržištu treba omogućiti svim raspoloživim opcijama na strani proizvodnje i potrošnje pod jednakim uvjetima, kao i uvođenje mehanizama za razvoj proizvodnih kapaciteta (CRM) ukoliko isto bude potrebno za osiguranje dostatnosti proizvodnih kapaciteta koji nisu komercijalno / tržišno konkurentni, no nužni su zbog sigurnosti rada elektroenergetskog sustava i njegovog vođenja pri dominantnom udjelu OIE.</w:t>
      </w:r>
    </w:p>
    <w:p w14:paraId="46DDA8EE"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Razvoj alata za prognozu proizvodnje iz vjetroelektrana i sunčanih elektrana bitno pomaže integraciji ovih izvora u elektroenergetski sustav te smanjuje potrebu za regulacijom sustava. Zbog toga je nužno potaknuti razvoj i dogradnju prognostičkog sustava koji se operativno koristi u Republici Hrvatskoj radi minimiziranja pogreške prognoze.</w:t>
      </w:r>
    </w:p>
    <w:p w14:paraId="40A69451"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Povećana potreba za fleksibilnosti elektroenergetskog sustava zahtijevat će i integraciju značajnih kapaciteta spremnika energije, u smislu izgradnje reverzibilnih hidroelektrana i baterijskih sustava te uključenja novih tehnologija u sustave spremnika energije.</w:t>
      </w:r>
    </w:p>
    <w:p w14:paraId="5194C9CE"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Također, integraciji OIE pomaže i odgovarajući dizajn tržišta električne energije u kojem se unutardnevno trgovanje sve više približava trgovanju u realnom vremenu. </w:t>
      </w:r>
    </w:p>
    <w:p w14:paraId="540ED0A2"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Uravnoteženje proizvodnje i potrošnje u realnom vremenu u sustavu sa značajnom penetracijom intermitentnih izvora predstavlja izazov za budući razvoj prijenosne mreže te upravljanje i vođenje elektroenergetskih sustava. Bit će potrebna revitalizacija većeg broja objekata u prijenosnoj i distribucijskoj mreži zbog isteka životnog vijeka i potrebe za održavanjem postignute razine sigurnosti opskrbe. Također je potrebno sudjelovati u svim aktivnostima regionalne i paneuropske suradnje operatora prijenosnih sustava u cilju korištenja zajednički rezervi i ispomoći kako bi se smanjile potrebne rezerve koje svaki sustav pojedinačno treba osigurati. </w:t>
      </w:r>
    </w:p>
    <w:p w14:paraId="5766A6CD"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Integracija distribuiranih izvora te kupaca s vlastitom proizvodnjom (engl. prosumer) predstavlja značajan izazov razvoju distribucijskog sustava. Višestruko će se povećati broj aktivnih kupaca što zahtijeva izmjenu modela tržišta električne energije uz daljnji razvoj distribucijske mreže i uvođenje sustava naprednog mjerenja, modernizaciju i automatizaciju mreže te unapređenje informacijsko-komunikacijskih sustava.</w:t>
      </w:r>
    </w:p>
    <w:p w14:paraId="1819D90C"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Politika dekarbonizacije energetskog sektora uvjetuje značajne promjene u sektoru prometa i to prvenstveno za korištene energente, a kao posljedica toga i za korištene tehnologije. To podrazumijeva značajno smanjenje potrošnje fosilnih goriva u prometu uz istovremeno povećanje korištenja energije s nultom ili vrlo niskom emisijom CO</w:t>
      </w:r>
      <w:r w:rsidRPr="008F16D6">
        <w:rPr>
          <w:rFonts w:ascii="Arial" w:eastAsia="Times New Roman" w:hAnsi="Arial" w:cs="Times New Roman"/>
          <w:vertAlign w:val="subscript"/>
          <w:lang w:eastAsia="hr-HR"/>
        </w:rPr>
        <w:t>2</w:t>
      </w:r>
      <w:r w:rsidRPr="008F16D6">
        <w:rPr>
          <w:rFonts w:ascii="Arial" w:eastAsia="Times New Roman" w:hAnsi="Arial" w:cs="Times New Roman"/>
          <w:lang w:eastAsia="hr-HR"/>
        </w:rPr>
        <w:t xml:space="preserve">. </w:t>
      </w:r>
    </w:p>
    <w:p w14:paraId="32A85B48"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Osim intenzivne elektrifikacije voznog parka, osnovne odrednice promjena u sektoru prometa su razvoj infrastrukture za korištenje UPP-a u prometu uzimajući u obzir očekivano povećanje korištenja UPP-a u teškom teretnom prometu, pomorskom prometu i željezničkom prometu, kao i povećanje korištenja naprednih biogoriva, povećanje udjela teretnog prometa ostvarenog željezničkim prijevozom, povećanje udjela SPP/SBM te vodika.</w:t>
      </w:r>
    </w:p>
    <w:p w14:paraId="7FC29C4A"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Nastavak trenda povećanja instaliranih kapaciteta i proizvodnje električne energije iz OIE-a doprinijet će ostvarenju sveobuhvatnog cilja elektromobilnosti, omogućujući tako mobilnost s niskim  emisijama CO</w:t>
      </w:r>
      <w:r w:rsidRPr="008F16D6">
        <w:rPr>
          <w:rFonts w:ascii="Arial" w:eastAsia="Times New Roman" w:hAnsi="Arial" w:cs="Times New Roman"/>
          <w:vertAlign w:val="subscript"/>
          <w:lang w:eastAsia="hr-HR"/>
        </w:rPr>
        <w:t>2</w:t>
      </w:r>
      <w:r w:rsidRPr="008F16D6">
        <w:rPr>
          <w:rFonts w:ascii="Arial" w:eastAsia="Times New Roman" w:hAnsi="Arial" w:cs="Times New Roman"/>
          <w:lang w:eastAsia="hr-HR"/>
        </w:rPr>
        <w:t xml:space="preserve"> od izvora do potrošnje (engl. well-to-wheel). Međutim, isto tako postat će sve izraženiji izazovi postizanja trajne ravnoteže između proizvodnje i potrošnje električne energije. Električna vozila u tom kontekstu mogu predstavljati u određenoj mjeri distribuirani spremnik energije za intermitentne izvore energije, a zatim i potencijal za pružanje usluge fleksibilnosti. Za funkcioniranje takvog sustava potrebno je ispunjavanje preduvjeta koji se mogu podijeliti na tehničke, pravno-regulatorne te ekonomske. </w:t>
      </w:r>
    </w:p>
    <w:p w14:paraId="67F2B97E" w14:textId="101D6F8B"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U tehničkom pogledu, osnovni preduvjet za pružanje fleksibilnosti</w:t>
      </w:r>
      <w:r w:rsidR="00A73DF3">
        <w:rPr>
          <w:rFonts w:ascii="Arial" w:eastAsia="Times New Roman" w:hAnsi="Arial" w:cs="Times New Roman"/>
          <w:lang w:eastAsia="hr-HR"/>
        </w:rPr>
        <w:t>,</w:t>
      </w:r>
      <w:r w:rsidRPr="008F16D6">
        <w:rPr>
          <w:rFonts w:ascii="Arial" w:eastAsia="Times New Roman" w:hAnsi="Arial" w:cs="Times New Roman"/>
          <w:lang w:eastAsia="hr-HR"/>
        </w:rPr>
        <w:t xml:space="preserve"> odnosno regulacijskih usluga je postojanje infrastrukture, vozila i ostalih dijelova sustava koji podržavaju dvosmjerni protok električne energije te razmjenu podataka, pri čemu su svi elementi objedinjeni u koncept napredne mreže (engl. smart grid).</w:t>
      </w:r>
    </w:p>
    <w:p w14:paraId="65C3054A"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Na kraju, potreba za upravljanjem cijelim procesom pružanja usluga fleksibilnosti otvara prostor za stvaranje novih poslovnih modela kao što su primjerice agregatori, energetske zajednice, građanska energija i slično, a u kojima će razni dionici pronaći svoje interese, pri čemu je jedan od osnovnih uvjeta postojanje dovoljno regulacijske snage u proizvodnji i potrošnji električne energije te dovoljnog broja električnih automobila i odgovarajuće infrastrukture za ekonomsku opravdanost takvih procesa.</w:t>
      </w:r>
    </w:p>
    <w:p w14:paraId="2DA95FE6" w14:textId="55D0B9B8" w:rsidR="006A647B" w:rsidRDefault="008F16D6" w:rsidP="006A647B">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Promjene koje se dugoročno očekuju u sektoru prometa predstavljat će velike izazove za naftni sektor koji će biti suočen sa značajnim smanjenjem potražnje za naftnim derivatima. Kada je u pitanju proizvodnja naftnih derivata, od ključnog je značaja ubrzati dovršetak modernizacije rafinerijskog sektora radi povećanja konkurentnosti na domaćem i stranim tržištima, kao i razvoj biorafinerija.</w:t>
      </w:r>
      <w:r w:rsidR="006A647B">
        <w:rPr>
          <w:rFonts w:ascii="Arial" w:eastAsia="Times New Roman" w:hAnsi="Arial" w:cs="Times New Roman"/>
          <w:lang w:eastAsia="hr-HR"/>
        </w:rPr>
        <w:br w:type="page"/>
      </w:r>
    </w:p>
    <w:p w14:paraId="21948AF8" w14:textId="77777777" w:rsidR="008F16D6" w:rsidRPr="008F16D6" w:rsidRDefault="008F16D6" w:rsidP="008F16D6">
      <w:pPr>
        <w:keepNext/>
        <w:pBdr>
          <w:top w:val="single" w:sz="48" w:space="5" w:color="F5C1C6"/>
        </w:pBdr>
        <w:tabs>
          <w:tab w:val="left" w:pos="567"/>
        </w:tabs>
        <w:suppressAutoHyphens/>
        <w:autoSpaceDE w:val="0"/>
        <w:autoSpaceDN w:val="0"/>
        <w:adjustRightInd w:val="0"/>
        <w:spacing w:before="240" w:after="320" w:line="240" w:lineRule="auto"/>
        <w:ind w:left="360" w:hanging="360"/>
        <w:textAlignment w:val="center"/>
        <w:outlineLvl w:val="0"/>
        <w:rPr>
          <w:rFonts w:ascii="Arial" w:eastAsia="Times New Roman" w:hAnsi="Arial" w:cs="Times New Roman"/>
          <w:b/>
          <w:iCs/>
          <w:caps/>
          <w:color w:val="BE1D2D"/>
          <w:position w:val="24"/>
          <w:sz w:val="32"/>
          <w:szCs w:val="48"/>
          <w:lang w:eastAsia="hr-HR"/>
        </w:rPr>
      </w:pPr>
      <w:bookmarkStart w:id="91" w:name="_Toc17876374"/>
      <w:r w:rsidRPr="008F16D6">
        <w:rPr>
          <w:rFonts w:ascii="Arial" w:eastAsia="Times New Roman" w:hAnsi="Arial" w:cs="Times New Roman"/>
          <w:b/>
          <w:iCs/>
          <w:color w:val="BE1D2D"/>
          <w:position w:val="24"/>
          <w:sz w:val="32"/>
          <w:szCs w:val="48"/>
          <w:lang w:eastAsia="hr-HR"/>
        </w:rPr>
        <w:t>Strateški ciljevi energetskog razvoja Republike Hrvatske</w:t>
      </w:r>
      <w:bookmarkEnd w:id="91"/>
    </w:p>
    <w:p w14:paraId="5AA40EA1"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Arial"/>
          <w:lang w:eastAsia="hr-HR"/>
        </w:rPr>
        <w:t>Strateški ciljevi razvoja energetskog sektora Republike Hrvatske temelje se na osiguranju kvalitetne, sigurne i pristupačne opskrbe energijom uz postupno smanjenje emisija stakleničkih plinova u skladu s EU ciljevima.</w:t>
      </w:r>
      <w:r w:rsidRPr="008F16D6">
        <w:rPr>
          <w:rFonts w:ascii="Arial" w:eastAsia="Times New Roman" w:hAnsi="Arial" w:cs="Times New Roman"/>
          <w:lang w:eastAsia="hr-HR"/>
        </w:rPr>
        <w:t xml:space="preserve"> </w:t>
      </w:r>
    </w:p>
    <w:p w14:paraId="62D21BB7"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Arial"/>
          <w:lang w:eastAsia="hr-HR"/>
        </w:rPr>
        <w:t>Glavni strateški ciljevi energetskog razvoja Republike Hrvatske su:</w:t>
      </w:r>
    </w:p>
    <w:p w14:paraId="317E2488" w14:textId="777B1596" w:rsidR="008F16D6" w:rsidRPr="008F16D6" w:rsidRDefault="008F16D6" w:rsidP="00181F22">
      <w:pPr>
        <w:numPr>
          <w:ilvl w:val="0"/>
          <w:numId w:val="17"/>
        </w:numPr>
        <w:tabs>
          <w:tab w:val="left" w:pos="431"/>
        </w:tabs>
        <w:suppressAutoHyphens/>
        <w:spacing w:before="240" w:after="120" w:line="240" w:lineRule="auto"/>
        <w:jc w:val="both"/>
        <w:rPr>
          <w:rFonts w:ascii="Arial" w:eastAsia="Arial" w:hAnsi="Arial" w:cs="Arial"/>
          <w:lang w:eastAsia="ar-SA"/>
        </w:rPr>
      </w:pPr>
      <w:bookmarkStart w:id="92" w:name="_Hlk4864948"/>
      <w:r w:rsidRPr="008F16D6">
        <w:rPr>
          <w:rFonts w:ascii="Arial" w:eastAsia="Arial" w:hAnsi="Arial" w:cs="Arial"/>
          <w:lang w:eastAsia="ar-SA"/>
        </w:rPr>
        <w:t xml:space="preserve">rastuća, fleksibilna i održiva proizvodnja energije </w:t>
      </w:r>
      <w:bookmarkEnd w:id="92"/>
      <w:r w:rsidRPr="008F16D6">
        <w:rPr>
          <w:rFonts w:ascii="Arial" w:eastAsia="Arial" w:hAnsi="Arial" w:cs="Arial"/>
          <w:lang w:eastAsia="ar-SA"/>
        </w:rPr>
        <w:t>kroz smanjenje ovisnosti o uvozu energije zaustavljanjem pada domaće proizvodnje, optimalnim korištenjem postojećih kapaciteta za proizvodnju i ulaganjima u novu proizvodnju (osiguranje adekvatnog energetskog miksa s nižim emisijama stakleničkih plinova)</w:t>
      </w:r>
    </w:p>
    <w:p w14:paraId="4F4C4235" w14:textId="7ED35814" w:rsidR="008F16D6" w:rsidRPr="008F16D6" w:rsidRDefault="008F16D6" w:rsidP="00181F22">
      <w:pPr>
        <w:numPr>
          <w:ilvl w:val="0"/>
          <w:numId w:val="17"/>
        </w:numPr>
        <w:tabs>
          <w:tab w:val="left" w:pos="431"/>
        </w:tabs>
        <w:suppressAutoHyphens/>
        <w:spacing w:before="240" w:after="120" w:line="240" w:lineRule="auto"/>
        <w:jc w:val="both"/>
        <w:rPr>
          <w:rFonts w:ascii="Arial" w:eastAsia="Arial" w:hAnsi="Arial" w:cs="Arial"/>
          <w:lang w:eastAsia="ar-SA"/>
        </w:rPr>
      </w:pPr>
      <w:r w:rsidRPr="008F16D6">
        <w:rPr>
          <w:rFonts w:ascii="Arial" w:eastAsia="Arial" w:hAnsi="Arial" w:cs="Arial"/>
          <w:lang w:eastAsia="ar-SA"/>
        </w:rPr>
        <w:t>razvoj energetske infrastrukture i novih dobavnih pravaca energije</w:t>
      </w:r>
    </w:p>
    <w:p w14:paraId="3B94CC10" w14:textId="77777777" w:rsidR="008F16D6" w:rsidRPr="008F16D6" w:rsidRDefault="008F16D6" w:rsidP="00181F22">
      <w:pPr>
        <w:numPr>
          <w:ilvl w:val="0"/>
          <w:numId w:val="17"/>
        </w:numPr>
        <w:tabs>
          <w:tab w:val="left" w:pos="431"/>
        </w:tabs>
        <w:suppressAutoHyphens/>
        <w:spacing w:before="240" w:after="120" w:line="240" w:lineRule="auto"/>
        <w:jc w:val="both"/>
        <w:rPr>
          <w:rFonts w:ascii="Arial" w:eastAsia="Arial" w:hAnsi="Arial" w:cs="Arial"/>
          <w:lang w:eastAsia="ar-SA"/>
        </w:rPr>
      </w:pPr>
      <w:r w:rsidRPr="008F16D6">
        <w:rPr>
          <w:rFonts w:ascii="Arial" w:eastAsia="Arial" w:hAnsi="Arial" w:cs="Arial"/>
          <w:lang w:eastAsia="ar-SA"/>
        </w:rPr>
        <w:t>veća energetska učinkovitost.</w:t>
      </w:r>
    </w:p>
    <w:p w14:paraId="56654F5D"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 xml:space="preserve">Kako bi se ostvarili strateški ciljevi, potrebno je osnažiti energetsko tržište kao nosivu komponentu razvoja energetskog sektora, integrirati energetsko tržište u međunarodno tržište energije, razvoj temeljiti na komercijalno dostupnim tehnologijama, a financijske potpore usmjeriti na razvoj biogospodarstva, istraživanja i implementaciju novih tehnologija za proizvodnju i skladištenje energije. </w:t>
      </w:r>
    </w:p>
    <w:p w14:paraId="07A27C8E"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 xml:space="preserve">U </w:t>
      </w:r>
      <w:r w:rsidRPr="008F16D6">
        <w:rPr>
          <w:rFonts w:ascii="Arial" w:eastAsia="Arial" w:hAnsi="Arial" w:cs="Arial"/>
          <w:iCs/>
          <w:lang w:eastAsia="hr-HR"/>
        </w:rPr>
        <w:t>transformaciji energetskog sektora u sektor niskih emisija</w:t>
      </w:r>
      <w:r w:rsidRPr="008F16D6">
        <w:rPr>
          <w:rFonts w:ascii="Arial" w:eastAsia="Arial" w:hAnsi="Arial" w:cs="Arial"/>
          <w:lang w:eastAsia="hr-HR"/>
        </w:rPr>
        <w:t xml:space="preserve"> stakleničkih plinova, sudjelovat će svi sektori energetske potrošnje i proizvodnje, kao i sustavi koji energiju i energente prenose i dopremaju kupcima. U svojoj transformaciji, energetski sustavi moraju i dalje ispunjavati svoju osnovnu svrhu, a to je </w:t>
      </w:r>
      <w:r w:rsidRPr="008F16D6">
        <w:rPr>
          <w:rFonts w:ascii="Arial" w:eastAsia="Arial" w:hAnsi="Arial" w:cs="Arial"/>
          <w:iCs/>
          <w:lang w:eastAsia="hr-HR"/>
        </w:rPr>
        <w:t>sigurna opskrba energijom i energentima svih kupaca, po pristupačnim cijenama i uz minimalan utjecaj na okoliš</w:t>
      </w:r>
      <w:r w:rsidRPr="008F16D6">
        <w:rPr>
          <w:rFonts w:ascii="Arial" w:eastAsia="Arial" w:hAnsi="Arial" w:cs="Arial"/>
          <w:lang w:eastAsia="hr-HR"/>
        </w:rPr>
        <w:t xml:space="preserve">. </w:t>
      </w:r>
    </w:p>
    <w:p w14:paraId="7F90F7EC" w14:textId="77777777"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ind w:left="567" w:hanging="576"/>
        <w:jc w:val="both"/>
        <w:textAlignment w:val="center"/>
        <w:outlineLvl w:val="1"/>
        <w:rPr>
          <w:rFonts w:ascii="Arial" w:eastAsia="Times New Roman" w:hAnsi="Arial" w:cs="Myriad Pro Cond"/>
          <w:b/>
          <w:bCs/>
          <w:color w:val="BE1D2D"/>
          <w:sz w:val="28"/>
          <w:szCs w:val="36"/>
          <w:lang w:eastAsia="hr-HR"/>
        </w:rPr>
      </w:pPr>
      <w:bookmarkStart w:id="93" w:name="_Toc17876375"/>
      <w:r w:rsidRPr="008F16D6">
        <w:rPr>
          <w:rFonts w:ascii="Arial" w:eastAsia="Times New Roman" w:hAnsi="Arial" w:cs="Myriad Pro Cond"/>
          <w:b/>
          <w:bCs/>
          <w:color w:val="BE1D2D"/>
          <w:sz w:val="28"/>
          <w:szCs w:val="36"/>
          <w:lang w:eastAsia="hr-HR"/>
        </w:rPr>
        <w:t>Rastuća, fleksibilna i održiva proizvodnja energije</w:t>
      </w:r>
      <w:bookmarkEnd w:id="93"/>
    </w:p>
    <w:p w14:paraId="77841C9B" w14:textId="77777777" w:rsidR="008F16D6" w:rsidRPr="008F16D6" w:rsidRDefault="008F16D6" w:rsidP="008F16D6">
      <w:pPr>
        <w:keepNext/>
        <w:widowControl w:val="0"/>
        <w:numPr>
          <w:ilvl w:val="2"/>
          <w:numId w:val="0"/>
        </w:numPr>
        <w:suppressAutoHyphens/>
        <w:autoSpaceDE w:val="0"/>
        <w:autoSpaceDN w:val="0"/>
        <w:adjustRightInd w:val="0"/>
        <w:spacing w:before="360" w:after="240" w:line="240" w:lineRule="auto"/>
        <w:ind w:left="1430" w:hanging="720"/>
        <w:textAlignment w:val="center"/>
        <w:outlineLvl w:val="2"/>
        <w:rPr>
          <w:rFonts w:ascii="Arial" w:eastAsia="Times New Roman" w:hAnsi="Arial" w:cs="Times New Roman"/>
          <w:b/>
          <w:bCs/>
          <w:iCs/>
          <w:color w:val="BE1D2D"/>
          <w:sz w:val="24"/>
          <w:lang w:eastAsia="hr-HR"/>
        </w:rPr>
      </w:pPr>
      <w:bookmarkStart w:id="94" w:name="_Hlk956569"/>
      <w:r w:rsidRPr="008F16D6">
        <w:rPr>
          <w:rFonts w:ascii="Arial" w:eastAsia="Times New Roman" w:hAnsi="Arial" w:cs="Times New Roman"/>
          <w:b/>
          <w:bCs/>
          <w:iCs/>
          <w:color w:val="BE1D2D"/>
          <w:sz w:val="24"/>
          <w:lang w:eastAsia="hr-HR"/>
        </w:rPr>
        <w:t xml:space="preserve"> </w:t>
      </w:r>
      <w:bookmarkStart w:id="95" w:name="_Toc17876376"/>
      <w:r w:rsidRPr="008F16D6">
        <w:rPr>
          <w:rFonts w:ascii="Arial" w:eastAsia="Times New Roman" w:hAnsi="Arial" w:cs="Times New Roman"/>
          <w:b/>
          <w:bCs/>
          <w:iCs/>
          <w:color w:val="BE1D2D"/>
          <w:sz w:val="24"/>
          <w:lang w:eastAsia="hr-HR"/>
        </w:rPr>
        <w:t>Proizvodnja električne energije</w:t>
      </w:r>
      <w:bookmarkEnd w:id="95"/>
    </w:p>
    <w:p w14:paraId="224A5A86"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Temeljna odrednica razvoja proizvodnih postrojenja za električnu energiju je dekarbonizacija. Cilj je povećati domaću proizvodnju uz istodobno povećanje udjela OIE i smanjenje udjela termoelektrana na fosilna goriva. Do kraja promatranog razdoblja cilj je da uvoz električne energije isključivo bude rezultat ekonomskog interesa i slobode tržišnog natjecanja. </w:t>
      </w:r>
    </w:p>
    <w:p w14:paraId="197F9608"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Ukupna proizvodnja električne energije iz termoelektrana se smanjuje, kao i njihov udio u domaćoj proizvodnji. Teško loživo ulje se više ne koristi za proizvodnju električne energije (postojeće TE na teško loživo ulje koriste plin i plinsko ulje). Također se ne očekuje izgradnja novih TE na ugljen. Postojeća termoelektrana na ugljen radit će u skladu s važećim dozvolama do dekomisije odnosno odluke o budućem korištenju lokacije na kojoj se nalaze, a u skladu sa zahtjevima klimatsko-energetske politike. Rad NE Krško nakon 2043. ovisit će o odluci o produljenju dozvole i poslovnoj odluci suvlasnika. U prikazanim analizama konzervativno je pretpostavljen izlazak iz pogona koji ne prejudicira buduću odluku vlasnika/suvlasnika. Ovisno </w:t>
      </w:r>
      <w:r w:rsidR="00327EB9">
        <w:rPr>
          <w:rFonts w:ascii="Arial" w:eastAsia="Times New Roman" w:hAnsi="Arial" w:cs="Times New Roman"/>
          <w:lang w:eastAsia="hr-HR"/>
        </w:rPr>
        <w:t xml:space="preserve">o </w:t>
      </w:r>
      <w:r w:rsidRPr="008F16D6">
        <w:rPr>
          <w:rFonts w:ascii="Arial" w:eastAsia="Times New Roman" w:hAnsi="Arial" w:cs="Times New Roman"/>
          <w:lang w:eastAsia="hr-HR"/>
        </w:rPr>
        <w:t>rezultatima analize o potrebi energetske oporabe otpada u Republici Hrvatskoj</w:t>
      </w:r>
      <w:r w:rsidR="00101205">
        <w:rPr>
          <w:rFonts w:ascii="Arial" w:eastAsia="Times New Roman" w:hAnsi="Arial" w:cs="Times New Roman"/>
          <w:lang w:eastAsia="hr-HR"/>
        </w:rPr>
        <w:t xml:space="preserve">, koja je </w:t>
      </w:r>
      <w:r w:rsidRPr="008F16D6">
        <w:rPr>
          <w:rFonts w:ascii="Arial" w:eastAsia="Times New Roman" w:hAnsi="Arial" w:cs="Times New Roman"/>
          <w:lang w:eastAsia="hr-HR"/>
        </w:rPr>
        <w:t xml:space="preserve"> za proizvodnju energije moguće je koristiti gorivo iz otpada/otpad na lokacijama za koje analize pokažu okolišnu, ekonomsku i tehničku izvedivost. </w:t>
      </w:r>
      <w:r w:rsidR="00327EB9" w:rsidRPr="00327EB9">
        <w:rPr>
          <w:rFonts w:ascii="Arial" w:eastAsia="Times New Roman" w:hAnsi="Arial" w:cs="Times New Roman"/>
          <w:lang w:eastAsia="hr-HR"/>
        </w:rPr>
        <w:t>Navedena analiza je jedna od mjera propisanih Planom gospodarenja otpadom RH za razdoblje 2017</w:t>
      </w:r>
      <w:r w:rsidR="00101205">
        <w:rPr>
          <w:rFonts w:ascii="Arial" w:eastAsia="Times New Roman" w:hAnsi="Arial" w:cs="Times New Roman"/>
          <w:lang w:eastAsia="hr-HR"/>
        </w:rPr>
        <w:t>.</w:t>
      </w:r>
      <w:r w:rsidR="00327EB9" w:rsidRPr="00327EB9">
        <w:rPr>
          <w:rFonts w:ascii="Arial" w:eastAsia="Times New Roman" w:hAnsi="Arial" w:cs="Times New Roman"/>
          <w:lang w:eastAsia="hr-HR"/>
        </w:rPr>
        <w:t>-2022</w:t>
      </w:r>
      <w:r w:rsidR="00101205">
        <w:rPr>
          <w:rFonts w:ascii="Arial" w:eastAsia="Times New Roman" w:hAnsi="Arial" w:cs="Times New Roman"/>
          <w:lang w:eastAsia="hr-HR"/>
        </w:rPr>
        <w:t>. godine</w:t>
      </w:r>
      <w:r w:rsidR="00327EB9" w:rsidRPr="00327EB9">
        <w:rPr>
          <w:rFonts w:ascii="Arial" w:eastAsia="Times New Roman" w:hAnsi="Arial" w:cs="Times New Roman"/>
          <w:lang w:eastAsia="hr-HR"/>
        </w:rPr>
        <w:t>.</w:t>
      </w:r>
      <w:r w:rsidR="00327EB9">
        <w:rPr>
          <w:rFonts w:ascii="Arial" w:eastAsia="Times New Roman" w:hAnsi="Arial" w:cs="Times New Roman"/>
          <w:lang w:eastAsia="hr-HR"/>
        </w:rPr>
        <w:t xml:space="preserve"> </w:t>
      </w:r>
      <w:r w:rsidRPr="008F16D6">
        <w:rPr>
          <w:rFonts w:ascii="Arial" w:eastAsia="Times New Roman" w:hAnsi="Arial" w:cs="Times New Roman"/>
          <w:lang w:eastAsia="hr-HR"/>
        </w:rPr>
        <w:t>Proizvodnja VE i FN se višestruko povećava, kao i njihov udio u ukupnoj proizvodnji energije pod pretpostavkom tržišne konkurentnosti tehnologija u odnosu na ostale tehnologije.</w:t>
      </w:r>
    </w:p>
    <w:p w14:paraId="4EAB7218" w14:textId="030A73E4"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Ukoliko se ostvare preduvjeti iz analiziranih scenarija, procjena je da će se ukupna instalirana snaga elektrana povećati za oko 2 puta u scenariju S2</w:t>
      </w:r>
      <w:r w:rsidR="00A73DF3">
        <w:rPr>
          <w:rFonts w:ascii="Arial" w:eastAsia="Times New Roman" w:hAnsi="Arial" w:cs="Times New Roman"/>
          <w:lang w:eastAsia="hr-HR"/>
        </w:rPr>
        <w:t>,</w:t>
      </w:r>
      <w:r w:rsidRPr="008F16D6">
        <w:rPr>
          <w:rFonts w:ascii="Arial" w:eastAsia="Times New Roman" w:hAnsi="Arial" w:cs="Times New Roman"/>
          <w:lang w:eastAsia="hr-HR"/>
        </w:rPr>
        <w:t xml:space="preserve"> odnosno 2,6 puta u scenariju S1 do kraja promatranog razdoblja. Prosječno je godišnje potrebno izgraditi oko 170 MW novih elektrana u scenariju S2</w:t>
      </w:r>
      <w:r w:rsidR="00A73DF3">
        <w:rPr>
          <w:rFonts w:ascii="Arial" w:eastAsia="Times New Roman" w:hAnsi="Arial" w:cs="Times New Roman"/>
          <w:lang w:eastAsia="hr-HR"/>
        </w:rPr>
        <w:t>,</w:t>
      </w:r>
      <w:r w:rsidRPr="008F16D6">
        <w:rPr>
          <w:rFonts w:ascii="Arial" w:eastAsia="Times New Roman" w:hAnsi="Arial" w:cs="Times New Roman"/>
          <w:lang w:eastAsia="hr-HR"/>
        </w:rPr>
        <w:t xml:space="preserve"> odnosno 250 MW novih elektrana u scenariju S1. Osnovni razlog značajnom povećanju snage je promjena strukture, tj. izgradnja velikog broja elektrana na OIE s niskim faktorom opterećenja. S obzirom na tržišnu konkurentnost tehnologija sukladno analitičkim podlogama iz Zelene i Bijele knjige, pretpostavka je da će najveći broj elektrana na OIE u promatranom razdoblju biti VE i FN.</w:t>
      </w:r>
    </w:p>
    <w:p w14:paraId="2244DD9C"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Snage VE rastu na oko 1360 MW u 2030., tj. na oko 2800 MW u 2050. godini u scenariju S2, a što je oko 1000 MW manje u odnosu na scenarij S1. U prosjeku je tijekom tridesetogodišnjeg razdoblja potrebno izgraditi oko 80 MW novih VE godišnje u scenariju S2 odnosno oko 110 MW u scenariju S1, a što će uvelike ovisiti o komercijalnosti planiranih projekata.</w:t>
      </w:r>
    </w:p>
    <w:p w14:paraId="46F669CF"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Do 2030. godine predviđeno je priključenje oko 768 MW u FN projektima u scenariju S2 odnosno 1039 MW u scenariju S1. U oba scenarija, oko 350 MW se odnosi na integrirane FN projekte, a preostala snaga podjednako na objekte na mreži distribucije i prijenosa. Do 2050. godine ukupna snaga FN elektrana dostigla bi oko 2700 MW (1100 MW manje u odnosu na S1).</w:t>
      </w:r>
    </w:p>
    <w:p w14:paraId="7646169E"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 </w:t>
      </w:r>
      <w:r w:rsidRPr="008F16D6">
        <w:rPr>
          <w:rFonts w:ascii="Arial" w:eastAsia="Times New Roman" w:hAnsi="Arial" w:cs="Times New Roman"/>
          <w:noProof/>
          <w:lang w:eastAsia="hr-HR"/>
        </w:rPr>
        <w:drawing>
          <wp:inline distT="0" distB="0" distL="0" distR="0" wp14:anchorId="694D7423" wp14:editId="308EFCAA">
            <wp:extent cx="5601970" cy="3190875"/>
            <wp:effectExtent l="0" t="0" r="0" b="9525"/>
            <wp:docPr id="1517485353" name="Picture 151748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l="1540" t="1032" r="1168" b="1635"/>
                    <a:stretch/>
                  </pic:blipFill>
                  <pic:spPr bwMode="auto">
                    <a:xfrm>
                      <a:off x="0" y="0"/>
                      <a:ext cx="5602405" cy="3191123"/>
                    </a:xfrm>
                    <a:prstGeom prst="rect">
                      <a:avLst/>
                    </a:prstGeom>
                    <a:noFill/>
                    <a:ln>
                      <a:noFill/>
                    </a:ln>
                    <a:extLst>
                      <a:ext uri="{53640926-AAD7-44D8-BBD7-CCE9431645EC}">
                        <a14:shadowObscured xmlns:a14="http://schemas.microsoft.com/office/drawing/2010/main"/>
                      </a:ext>
                    </a:extLst>
                  </pic:spPr>
                </pic:pic>
              </a:graphicData>
            </a:graphic>
          </wp:inline>
        </w:drawing>
      </w:r>
    </w:p>
    <w:p w14:paraId="79DEA53B" w14:textId="04B7BB6E" w:rsidR="008F16D6" w:rsidRPr="008F16D6" w:rsidRDefault="008F16D6" w:rsidP="008F16D6">
      <w:pPr>
        <w:tabs>
          <w:tab w:val="left" w:pos="1021"/>
        </w:tabs>
        <w:suppressAutoHyphens/>
        <w:spacing w:before="120" w:after="360" w:line="288" w:lineRule="auto"/>
        <w:ind w:left="1021" w:hanging="1021"/>
        <w:jc w:val="center"/>
        <w:rPr>
          <w:rFonts w:ascii="Arial" w:eastAsia="Times New Roman" w:hAnsi="Arial" w:cs="Times New Roman"/>
          <w:b/>
          <w:sz w:val="20"/>
          <w:szCs w:val="28"/>
          <w:lang w:eastAsia="hr-HR"/>
        </w:rPr>
      </w:pPr>
      <w:r w:rsidRPr="008F16D6">
        <w:rPr>
          <w:rFonts w:ascii="Arial" w:eastAsia="Times New Roman" w:hAnsi="Arial" w:cs="Times New Roman"/>
          <w:b/>
          <w:sz w:val="20"/>
          <w:szCs w:val="28"/>
          <w:lang w:eastAsia="hr-HR"/>
        </w:rPr>
        <w:t>Slika</w:t>
      </w:r>
      <w:r w:rsidR="00515DA6">
        <w:rPr>
          <w:rFonts w:ascii="Arial" w:eastAsia="Times New Roman" w:hAnsi="Arial" w:cs="Times New Roman"/>
          <w:bCs/>
          <w:noProof/>
          <w:sz w:val="20"/>
          <w:szCs w:val="28"/>
          <w:lang w:eastAsia="hr-HR"/>
        </w:rPr>
        <w:t xml:space="preserve"> </w:t>
      </w:r>
      <w:r w:rsidR="00515DA6">
        <w:rPr>
          <w:rFonts w:ascii="Arial" w:eastAsia="Times New Roman" w:hAnsi="Arial" w:cs="Times New Roman"/>
          <w:b/>
          <w:sz w:val="20"/>
          <w:szCs w:val="28"/>
          <w:lang w:eastAsia="hr-HR"/>
        </w:rPr>
        <w:t>1</w:t>
      </w:r>
      <w:r w:rsidR="00C64CC0">
        <w:rPr>
          <w:rFonts w:ascii="Arial" w:eastAsia="Times New Roman" w:hAnsi="Arial" w:cs="Times New Roman"/>
          <w:b/>
          <w:sz w:val="20"/>
          <w:szCs w:val="28"/>
          <w:lang w:eastAsia="hr-HR"/>
        </w:rPr>
        <w:t>1</w:t>
      </w:r>
      <w:r w:rsidRPr="008F16D6">
        <w:rPr>
          <w:rFonts w:ascii="Arial" w:eastAsia="Times New Roman" w:hAnsi="Arial" w:cs="Times New Roman"/>
          <w:b/>
          <w:sz w:val="20"/>
          <w:szCs w:val="28"/>
          <w:lang w:eastAsia="hr-HR"/>
        </w:rPr>
        <w:t>. Snaga elektrana do 2050. godine prema scenariju S2</w:t>
      </w:r>
    </w:p>
    <w:p w14:paraId="6D75AFC2"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p>
    <w:p w14:paraId="56E491E6"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p>
    <w:bookmarkEnd w:id="94"/>
    <w:p w14:paraId="19BDF81A" w14:textId="77777777" w:rsidR="008F16D6" w:rsidRPr="008F16D6" w:rsidRDefault="008F16D6" w:rsidP="008F16D6">
      <w:pPr>
        <w:suppressAutoHyphens/>
        <w:spacing w:before="240" w:after="120" w:line="288" w:lineRule="auto"/>
        <w:jc w:val="center"/>
        <w:rPr>
          <w:rFonts w:ascii="Arial" w:eastAsia="Times New Roman" w:hAnsi="Arial" w:cs="Times New Roman"/>
          <w:lang w:eastAsia="hr-HR"/>
        </w:rPr>
      </w:pPr>
      <w:r w:rsidRPr="008F16D6">
        <w:rPr>
          <w:rFonts w:ascii="Arial" w:eastAsia="Times New Roman" w:hAnsi="Arial" w:cs="Times New Roman"/>
          <w:noProof/>
          <w:lang w:eastAsia="hr-HR"/>
        </w:rPr>
        <w:t xml:space="preserve"> </w:t>
      </w:r>
      <w:r w:rsidRPr="008F16D6">
        <w:rPr>
          <w:rFonts w:ascii="Arial" w:eastAsia="Times New Roman" w:hAnsi="Arial" w:cs="Times New Roman"/>
          <w:noProof/>
          <w:lang w:eastAsia="hr-HR"/>
        </w:rPr>
        <w:drawing>
          <wp:inline distT="0" distB="0" distL="0" distR="0" wp14:anchorId="0CD7D5CC" wp14:editId="4F31BC3D">
            <wp:extent cx="5609230" cy="3220720"/>
            <wp:effectExtent l="0" t="0" r="0" b="0"/>
            <wp:docPr id="1517485354" name="Picture 6">
              <a:extLst xmlns:a="http://schemas.openxmlformats.org/drawingml/2006/main">
                <a:ext uri="{FF2B5EF4-FFF2-40B4-BE49-F238E27FC236}">
                  <a16:creationId xmlns:a16="http://schemas.microsoft.com/office/drawing/2014/main" id="{C44229E9-D673-42CA-B2EF-691CCDBC6B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a:extLst>
                        <a:ext uri="{FF2B5EF4-FFF2-40B4-BE49-F238E27FC236}">
                          <a16:creationId xmlns:a16="http://schemas.microsoft.com/office/drawing/2014/main" id="{C44229E9-D673-42CA-B2EF-691CCDBC6B2F}"/>
                        </a:ext>
                      </a:extLst>
                    </pic:cNvPr>
                    <pic:cNvPicPr>
                      <a:picLocks noChangeAspect="1"/>
                    </pic:cNvPicPr>
                  </pic:nvPicPr>
                  <pic:blipFill rotWithShape="1">
                    <a:blip r:embed="rId32"/>
                    <a:srcRect l="1539" t="1236" r="1060" b="1524"/>
                    <a:stretch/>
                  </pic:blipFill>
                  <pic:spPr bwMode="auto">
                    <a:xfrm>
                      <a:off x="0" y="0"/>
                      <a:ext cx="5610301" cy="3221335"/>
                    </a:xfrm>
                    <a:prstGeom prst="rect">
                      <a:avLst/>
                    </a:prstGeom>
                    <a:noFill/>
                    <a:ln>
                      <a:noFill/>
                    </a:ln>
                    <a:extLst>
                      <a:ext uri="{53640926-AAD7-44D8-BBD7-CCE9431645EC}">
                        <a14:shadowObscured xmlns:a14="http://schemas.microsoft.com/office/drawing/2010/main"/>
                      </a:ext>
                    </a:extLst>
                  </pic:spPr>
                </pic:pic>
              </a:graphicData>
            </a:graphic>
          </wp:inline>
        </w:drawing>
      </w:r>
    </w:p>
    <w:p w14:paraId="27E3C53A" w14:textId="02FD3A9D" w:rsidR="008F16D6" w:rsidRPr="008F16D6" w:rsidRDefault="008F16D6" w:rsidP="008F16D6">
      <w:pPr>
        <w:tabs>
          <w:tab w:val="left" w:pos="1021"/>
        </w:tabs>
        <w:suppressAutoHyphens/>
        <w:spacing w:before="120" w:after="360" w:line="288" w:lineRule="auto"/>
        <w:ind w:left="1021" w:hanging="1021"/>
        <w:jc w:val="center"/>
        <w:rPr>
          <w:rFonts w:ascii="Arial" w:eastAsia="Times New Roman" w:hAnsi="Arial" w:cs="Times New Roman"/>
          <w:b/>
          <w:sz w:val="20"/>
          <w:szCs w:val="28"/>
          <w:lang w:eastAsia="hr-HR"/>
        </w:rPr>
      </w:pPr>
      <w:bookmarkStart w:id="96" w:name="_Ref1474994"/>
      <w:r w:rsidRPr="008F16D6">
        <w:rPr>
          <w:rFonts w:ascii="Arial" w:eastAsia="Times New Roman" w:hAnsi="Arial" w:cs="Times New Roman"/>
          <w:b/>
          <w:sz w:val="20"/>
          <w:szCs w:val="28"/>
          <w:lang w:eastAsia="hr-HR"/>
        </w:rPr>
        <w:t xml:space="preserve">Slika </w:t>
      </w:r>
      <w:r w:rsidR="00515DA6">
        <w:rPr>
          <w:rFonts w:ascii="Arial" w:eastAsia="Times New Roman" w:hAnsi="Arial" w:cs="Times New Roman"/>
          <w:b/>
          <w:sz w:val="20"/>
          <w:szCs w:val="28"/>
          <w:lang w:eastAsia="hr-HR"/>
        </w:rPr>
        <w:t>1</w:t>
      </w:r>
      <w:r w:rsidR="00C64CC0">
        <w:rPr>
          <w:rFonts w:ascii="Arial" w:eastAsia="Times New Roman" w:hAnsi="Arial" w:cs="Times New Roman"/>
          <w:b/>
          <w:sz w:val="20"/>
          <w:szCs w:val="28"/>
          <w:lang w:eastAsia="hr-HR"/>
        </w:rPr>
        <w:t>2</w:t>
      </w:r>
      <w:r w:rsidRPr="008F16D6">
        <w:rPr>
          <w:rFonts w:ascii="Arial" w:eastAsia="Times New Roman" w:hAnsi="Arial" w:cs="Times New Roman"/>
          <w:b/>
          <w:sz w:val="20"/>
          <w:szCs w:val="28"/>
          <w:lang w:eastAsia="hr-HR"/>
        </w:rPr>
        <w:t>.</w:t>
      </w:r>
      <w:bookmarkEnd w:id="96"/>
      <w:r w:rsidRPr="008F16D6">
        <w:rPr>
          <w:rFonts w:ascii="Arial" w:eastAsia="Times New Roman" w:hAnsi="Arial" w:cs="Times New Roman"/>
          <w:b/>
          <w:sz w:val="20"/>
          <w:szCs w:val="28"/>
          <w:lang w:eastAsia="hr-HR"/>
        </w:rPr>
        <w:t xml:space="preserve"> Snaga elektrana do 2050. godine prema scenariju S1</w:t>
      </w:r>
    </w:p>
    <w:p w14:paraId="68121C5B" w14:textId="77777777" w:rsidR="008F16D6" w:rsidRPr="008F16D6" w:rsidRDefault="008F16D6" w:rsidP="008F16D6">
      <w:pPr>
        <w:keepNext/>
        <w:widowControl w:val="0"/>
        <w:numPr>
          <w:ilvl w:val="2"/>
          <w:numId w:val="0"/>
        </w:numPr>
        <w:suppressAutoHyphens/>
        <w:autoSpaceDE w:val="0"/>
        <w:autoSpaceDN w:val="0"/>
        <w:adjustRightInd w:val="0"/>
        <w:spacing w:before="360" w:after="240" w:line="240" w:lineRule="auto"/>
        <w:ind w:left="1430" w:hanging="720"/>
        <w:textAlignment w:val="center"/>
        <w:outlineLvl w:val="2"/>
        <w:rPr>
          <w:rFonts w:ascii="Arial" w:eastAsia="Times New Roman" w:hAnsi="Arial" w:cs="Times New Roman"/>
          <w:b/>
          <w:bCs/>
          <w:iCs/>
          <w:color w:val="BE1D2D"/>
          <w:sz w:val="24"/>
          <w:lang w:eastAsia="hr-HR"/>
        </w:rPr>
      </w:pPr>
      <w:bookmarkStart w:id="97" w:name="_Toc17876377"/>
      <w:r w:rsidRPr="008F16D6">
        <w:rPr>
          <w:rFonts w:ascii="Arial" w:eastAsia="Times New Roman" w:hAnsi="Arial" w:cs="Times New Roman"/>
          <w:b/>
          <w:bCs/>
          <w:iCs/>
          <w:color w:val="BE1D2D"/>
          <w:sz w:val="24"/>
          <w:lang w:eastAsia="hr-HR"/>
        </w:rPr>
        <w:t>Toplinarstvo</w:t>
      </w:r>
      <w:bookmarkEnd w:id="97"/>
    </w:p>
    <w:p w14:paraId="19D6CA8B"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Times New Roman"/>
          <w:lang w:eastAsia="hr-HR"/>
        </w:rPr>
        <w:t xml:space="preserve">Preduvjet za daljnji razvoj centralnih toplinskih sustava (CTS) u Republici Hrvatskoj je </w:t>
      </w:r>
      <w:r w:rsidRPr="008F16D6">
        <w:rPr>
          <w:rFonts w:ascii="Arial" w:eastAsia="Times New Roman" w:hAnsi="Arial" w:cs="Times New Roman"/>
          <w:lang w:eastAsia="hr-HR"/>
        </w:rPr>
        <w:t>intenzivna obnova i tehnološko unaprjeđenje postojećih, zastarjelih  sustava s velikim tehničkim gubicima, posebice u smislu prelaska na niskotemperaturne sustave daljinskog grijanja putem kojih bi se isporučivala toplinska energija prethodno obnovljenom fondu stambenih zgrada. Toplinska opterećenja postojećih kupaca u CTS-ovima će se smanjivati te su nužna priključenja novih krajnjih kupaca za održivost toplinskih sustava uključujući i mogućnost isporuke rashladne energije. Planira se  razvoj sustava daljinskog grijanja četvrte generacije, odnosno priključenje toplinskih izvora različite tehnologije na različitim lokacijama u mreži (distribuirana proizvodnja). Potrebno je osnažiti uporabu OIE u CTS-ovima, u prvom redu sve oblike biomase i geotermalnu energiju. Također, sustav daljinskog grijanja potrebno je razmatrati kao sustav koji omogućava korištenje otpadne topline iz procesa proizvodnje električne energije te kao sustav za skladištenje energije, koja bi se u razdobljima viškova proizvodnje električne energije iz OIE koristila u električnim kotlovima, ili spremala u obliku topline u toplinske spremnike (akumulatore). Prvenstveno s obzirom na klimatske uvjete, tj. relativno nizak broj stupanj dana hlađenja, do sada nije zabilježen razvoj sustava daljinskog hlađenja u Republici Hrvatskoj, osim u specifičnom slučaju apsorpcijskog hlađenja tehnološkom parom iz parovoda distribucijskog sustava toplinarstva za jedan kliničko-bolnički centar. U budućnosti se može prepoznati dodatni potencijal za daljinsko hlađenje, zavisno o količini raspoložive otpadne energije u sezoni hlađenja, većinom za javni sektor, sektor usluga i industrije, a manjim dijelom za sektor kućanstva.</w:t>
      </w:r>
    </w:p>
    <w:p w14:paraId="6024F728" w14:textId="77777777" w:rsidR="008F16D6" w:rsidRPr="008F16D6" w:rsidRDefault="008F16D6" w:rsidP="008F16D6">
      <w:pPr>
        <w:keepNext/>
        <w:widowControl w:val="0"/>
        <w:numPr>
          <w:ilvl w:val="2"/>
          <w:numId w:val="0"/>
        </w:numPr>
        <w:suppressAutoHyphens/>
        <w:autoSpaceDE w:val="0"/>
        <w:autoSpaceDN w:val="0"/>
        <w:adjustRightInd w:val="0"/>
        <w:spacing w:before="360" w:after="240" w:line="240" w:lineRule="auto"/>
        <w:ind w:left="1430" w:hanging="720"/>
        <w:textAlignment w:val="center"/>
        <w:outlineLvl w:val="2"/>
        <w:rPr>
          <w:rFonts w:ascii="Arial" w:eastAsia="Times New Roman" w:hAnsi="Arial" w:cs="Times New Roman"/>
          <w:b/>
          <w:bCs/>
          <w:iCs/>
          <w:color w:val="BE1D2D"/>
          <w:sz w:val="24"/>
          <w:lang w:eastAsia="hr-HR"/>
        </w:rPr>
      </w:pPr>
      <w:bookmarkStart w:id="98" w:name="_Toc17876378"/>
      <w:r w:rsidRPr="008F16D6">
        <w:rPr>
          <w:rFonts w:ascii="Arial" w:eastAsia="Times New Roman" w:hAnsi="Arial" w:cs="Times New Roman"/>
          <w:b/>
          <w:bCs/>
          <w:iCs/>
          <w:color w:val="BE1D2D"/>
          <w:sz w:val="24"/>
          <w:lang w:eastAsia="hr-HR"/>
        </w:rPr>
        <w:t>Proizvodnja i prerada nafte i naftnih derivata</w:t>
      </w:r>
      <w:bookmarkEnd w:id="98"/>
    </w:p>
    <w:p w14:paraId="052AB05F"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Arial"/>
          <w:lang w:eastAsia="hr-HR"/>
        </w:rPr>
        <w:t>U nadolazećem razdoblju će se potrošnja naftnih derivata kontinuirano smanjivati zbog politike dekarbonizacije energetskog sektora i povećanja korištenja alternativnih goriva poput UPP-a, biogoriva, vodika, električne energije te povećanja energetske učinkovitosti. Još brže bi se mogla smanjivati opskrbljenost domaćom proizvodnjom nafte, pa je gospodarski i energetski opravdano potaknuti dodatna ulaganja u postojeće proizvodne kapacitete i u nova istraživanja te ubrzati modernizaciju rafinerijskog sektora radi povećanja konkurentnosti na domaćem i stranim tržištima.</w:t>
      </w:r>
    </w:p>
    <w:p w14:paraId="51BCE322" w14:textId="77777777" w:rsidR="008F16D6" w:rsidRPr="008F16D6" w:rsidRDefault="008F16D6" w:rsidP="008F16D6">
      <w:pPr>
        <w:keepNext/>
        <w:widowControl w:val="0"/>
        <w:numPr>
          <w:ilvl w:val="2"/>
          <w:numId w:val="0"/>
        </w:numPr>
        <w:suppressAutoHyphens/>
        <w:autoSpaceDE w:val="0"/>
        <w:autoSpaceDN w:val="0"/>
        <w:adjustRightInd w:val="0"/>
        <w:spacing w:before="360" w:after="240" w:line="240" w:lineRule="auto"/>
        <w:ind w:left="1430" w:hanging="720"/>
        <w:textAlignment w:val="center"/>
        <w:outlineLvl w:val="2"/>
        <w:rPr>
          <w:rFonts w:ascii="Arial" w:eastAsia="Times New Roman" w:hAnsi="Arial" w:cs="Times New Roman"/>
          <w:b/>
          <w:bCs/>
          <w:iCs/>
          <w:color w:val="BE1D2D"/>
          <w:sz w:val="24"/>
          <w:lang w:eastAsia="hr-HR"/>
        </w:rPr>
      </w:pPr>
      <w:bookmarkStart w:id="99" w:name="_Toc17876379"/>
      <w:r w:rsidRPr="008F16D6">
        <w:rPr>
          <w:rFonts w:ascii="Arial" w:eastAsia="Times New Roman" w:hAnsi="Arial" w:cs="Times New Roman"/>
          <w:b/>
          <w:bCs/>
          <w:iCs/>
          <w:color w:val="BE1D2D"/>
          <w:sz w:val="24"/>
          <w:lang w:eastAsia="hr-HR"/>
        </w:rPr>
        <w:t>Proizvodnja prirodnog plina</w:t>
      </w:r>
      <w:bookmarkEnd w:id="99"/>
    </w:p>
    <w:p w14:paraId="56627926"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Republika Hrvatska trenutno bilježi</w:t>
      </w:r>
      <w:r w:rsidRPr="008F16D6">
        <w:rPr>
          <w:rFonts w:ascii="Arial" w:eastAsia="Times New Roman" w:hAnsi="Arial" w:cs="Arial"/>
          <w:color w:val="BE1D2D"/>
          <w:kern w:val="32"/>
          <w:sz w:val="24"/>
          <w:szCs w:val="24"/>
          <w:lang w:eastAsia="hr-HR"/>
        </w:rPr>
        <w:t xml:space="preserve"> </w:t>
      </w:r>
      <w:r w:rsidRPr="008F16D6">
        <w:rPr>
          <w:rFonts w:ascii="Arial" w:eastAsia="Times New Roman" w:hAnsi="Arial" w:cs="Times New Roman"/>
          <w:lang w:eastAsia="hr-HR"/>
        </w:rPr>
        <w:t>trend smanjenja domaće proizvodnje prirodnog plina. Prema projekcijama buduće proizvodnje, uz pretpostavku otkrića novih eksploatacijskih polja, do 2050. godine moglo bi se pridobiti dodatnih 24,6 milijardi m</w:t>
      </w:r>
      <w:r w:rsidRPr="008F16D6">
        <w:rPr>
          <w:rFonts w:ascii="Arial" w:eastAsia="Times New Roman" w:hAnsi="Arial" w:cs="Times New Roman"/>
          <w:vertAlign w:val="superscript"/>
          <w:lang w:eastAsia="hr-HR"/>
        </w:rPr>
        <w:t>3</w:t>
      </w:r>
      <w:r w:rsidRPr="008F16D6">
        <w:rPr>
          <w:rFonts w:ascii="Arial" w:eastAsia="Times New Roman" w:hAnsi="Arial" w:cs="Times New Roman"/>
          <w:lang w:eastAsia="hr-HR"/>
        </w:rPr>
        <w:t xml:space="preserve"> plina, od toga iz Jadrana 12,5, a s kopna 12,1 milijardi m</w:t>
      </w:r>
      <w:r w:rsidRPr="008F16D6">
        <w:rPr>
          <w:rFonts w:ascii="Arial" w:eastAsia="Times New Roman" w:hAnsi="Arial" w:cs="Times New Roman"/>
          <w:vertAlign w:val="superscript"/>
          <w:lang w:eastAsia="hr-HR"/>
        </w:rPr>
        <w:t>3</w:t>
      </w:r>
      <w:r w:rsidRPr="008F16D6">
        <w:rPr>
          <w:rFonts w:ascii="Arial" w:eastAsia="Times New Roman" w:hAnsi="Arial" w:cs="Times New Roman"/>
          <w:lang w:eastAsia="hr-HR"/>
        </w:rPr>
        <w:t xml:space="preserve"> plina. </w:t>
      </w:r>
      <w:r w:rsidRPr="008F16D6">
        <w:rPr>
          <w:rFonts w:ascii="Arial" w:eastAsia="Arial" w:hAnsi="Arial" w:cs="Times New Roman"/>
          <w:lang w:eastAsia="hr-HR"/>
        </w:rPr>
        <w:t>U cilju zaustavljanja trendova smanjenja proizvodnje prirodnog plina potrebno je potaknuti dodatna ulaganja u postojeće proizvodne kapacitete te u što kraćem roku pokrenuti nova istraživanja.</w:t>
      </w:r>
    </w:p>
    <w:p w14:paraId="1ACE92EE" w14:textId="77777777"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ind w:left="567" w:hanging="576"/>
        <w:textAlignment w:val="center"/>
        <w:outlineLvl w:val="1"/>
        <w:rPr>
          <w:rFonts w:ascii="Arial" w:eastAsia="Times New Roman" w:hAnsi="Arial" w:cs="Myriad Pro Cond"/>
          <w:b/>
          <w:bCs/>
          <w:color w:val="BE1D2D"/>
          <w:sz w:val="28"/>
          <w:szCs w:val="36"/>
          <w:lang w:eastAsia="hr-HR"/>
        </w:rPr>
      </w:pPr>
      <w:bookmarkStart w:id="100" w:name="_Toc17876380"/>
      <w:r w:rsidRPr="008F16D6">
        <w:rPr>
          <w:rFonts w:ascii="Arial" w:eastAsia="Times New Roman" w:hAnsi="Arial" w:cs="Myriad Pro Cond"/>
          <w:b/>
          <w:bCs/>
          <w:color w:val="BE1D2D"/>
          <w:sz w:val="28"/>
          <w:szCs w:val="36"/>
          <w:lang w:eastAsia="hr-HR"/>
        </w:rPr>
        <w:t>Razvoj energetske infrastrukture</w:t>
      </w:r>
      <w:bookmarkEnd w:id="100"/>
    </w:p>
    <w:p w14:paraId="01E76C10" w14:textId="77777777" w:rsidR="008F16D6" w:rsidRPr="008F16D6" w:rsidRDefault="008F16D6" w:rsidP="008F16D6">
      <w:pPr>
        <w:keepNext/>
        <w:widowControl w:val="0"/>
        <w:numPr>
          <w:ilvl w:val="2"/>
          <w:numId w:val="0"/>
        </w:numPr>
        <w:suppressAutoHyphens/>
        <w:autoSpaceDE w:val="0"/>
        <w:autoSpaceDN w:val="0"/>
        <w:adjustRightInd w:val="0"/>
        <w:spacing w:before="360" w:after="240" w:line="240" w:lineRule="auto"/>
        <w:ind w:left="1430" w:hanging="720"/>
        <w:textAlignment w:val="center"/>
        <w:outlineLvl w:val="2"/>
        <w:rPr>
          <w:rFonts w:ascii="Arial" w:eastAsia="Times New Roman" w:hAnsi="Arial" w:cs="Times New Roman"/>
          <w:b/>
          <w:bCs/>
          <w:iCs/>
          <w:color w:val="BE1D2D"/>
          <w:sz w:val="24"/>
          <w:lang w:eastAsia="hr-HR"/>
        </w:rPr>
      </w:pPr>
      <w:bookmarkStart w:id="101" w:name="_Toc17876381"/>
      <w:bookmarkStart w:id="102" w:name="_Hlk950961"/>
      <w:r w:rsidRPr="008F16D6">
        <w:rPr>
          <w:rFonts w:ascii="Arial" w:eastAsia="Times New Roman" w:hAnsi="Arial" w:cs="Times New Roman"/>
          <w:b/>
          <w:bCs/>
          <w:iCs/>
          <w:color w:val="BE1D2D"/>
          <w:sz w:val="24"/>
          <w:lang w:eastAsia="hr-HR"/>
        </w:rPr>
        <w:t>Prijenos i distribucija električne energije</w:t>
      </w:r>
      <w:bookmarkEnd w:id="101"/>
    </w:p>
    <w:p w14:paraId="26294CC0" w14:textId="77777777" w:rsidR="008F16D6" w:rsidRPr="008F16D6" w:rsidRDefault="008F16D6" w:rsidP="008F16D6">
      <w:pPr>
        <w:widowControl w:val="0"/>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Arial"/>
          <w:lang w:eastAsia="hr-HR"/>
        </w:rPr>
        <w:t xml:space="preserve">Razvoj prijenosne mreže na području Republike Hrvatske bit će u budućem razdoblju određen stopama porasta potrošnje električne energije i vršnog opterećenja sustava, lokacijama i veličinom novih proizvodnih postrojenja, očekivanim prilikama na širem tržištu električne energije (Europske unije i Energetske zajednice) te potrebama da se kroz redovne aktivnosti na revitalizaciji objekata mreže zadrži njihova visoka pogonska spremnost. </w:t>
      </w:r>
      <w:r w:rsidRPr="008F16D6">
        <w:rPr>
          <w:rFonts w:ascii="Arial" w:eastAsia="Times New Roman" w:hAnsi="Arial" w:cs="Times New Roman"/>
          <w:lang w:eastAsia="hr-HR"/>
        </w:rPr>
        <w:t>Osnovni ciljevi infrastrukture za prijenos električne energije su sljedeći:</w:t>
      </w:r>
    </w:p>
    <w:p w14:paraId="1972184E" w14:textId="280A4034"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održavanje visoke pouzdanosti prijenosnog sustava i sigurnosti opskrbe kupaca električnom energijom propisane kvalitete</w:t>
      </w:r>
    </w:p>
    <w:p w14:paraId="491B1571" w14:textId="476DB5AA"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ubrzana integracija varijabilnih OIE u elektroenergetski sustav te veća dostupnost regulacijskih rezervi radi uravnoteženja njihove varijabilne proizvodnje</w:t>
      </w:r>
    </w:p>
    <w:p w14:paraId="2F12773A" w14:textId="485D06EF"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pravovremena realizacija investicijskih planova, posebno kapitalnih investicija koje omogućavaju integraciju OIE u EES</w:t>
      </w:r>
    </w:p>
    <w:p w14:paraId="7274CA7A" w14:textId="5A35D9AD"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podržavanje tržišnih transakcija na teritoriju države i u njenom okruženju tako da prijenosna mreža ne predstavlja ograničenje u nadmetanju</w:t>
      </w:r>
    </w:p>
    <w:p w14:paraId="0588A56E" w14:textId="20CC03BE"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revitalizacija i zamjena starijih/dotrajalih jedinica mreže</w:t>
      </w:r>
    </w:p>
    <w:p w14:paraId="663F3138" w14:textId="5C0126FB"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povećanje prijenosnih moći pojedinih vodova predviđenih za revitalizaciju korištenjem HTLS vodiča te smanjenje gubitaka u prijenosu električne energije</w:t>
      </w:r>
    </w:p>
    <w:p w14:paraId="21501D64" w14:textId="449E3843" w:rsidR="00A73DF3"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 xml:space="preserve">primjena novih tehnologija u prijenosu ako su iste tehno-ekonomski opravdane. </w:t>
      </w:r>
    </w:p>
    <w:p w14:paraId="04E130B8" w14:textId="77777777" w:rsidR="00A73DF3" w:rsidRDefault="00A73DF3">
      <w:pPr>
        <w:rPr>
          <w:rFonts w:ascii="Arial" w:eastAsia="Times New Roman" w:hAnsi="Arial" w:cs="Tahoma"/>
          <w:lang w:eastAsia="ar-SA"/>
        </w:rPr>
      </w:pPr>
      <w:r>
        <w:rPr>
          <w:rFonts w:ascii="Arial" w:eastAsia="Times New Roman" w:hAnsi="Arial" w:cs="Tahoma"/>
          <w:lang w:eastAsia="ar-SA"/>
        </w:rPr>
        <w:br w:type="page"/>
      </w:r>
    </w:p>
    <w:p w14:paraId="19845C53" w14:textId="77777777" w:rsidR="008F16D6" w:rsidRPr="008F16D6" w:rsidRDefault="008F16D6" w:rsidP="008F16D6">
      <w:pPr>
        <w:suppressAutoHyphens/>
        <w:spacing w:before="240" w:after="120" w:line="288" w:lineRule="auto"/>
        <w:contextualSpacing/>
        <w:jc w:val="both"/>
        <w:rPr>
          <w:rFonts w:ascii="Arial" w:eastAsia="Times New Roman" w:hAnsi="Arial" w:cs="Times New Roman"/>
          <w:lang w:eastAsia="hr-HR"/>
        </w:rPr>
      </w:pPr>
      <w:r w:rsidRPr="008F16D6">
        <w:rPr>
          <w:rFonts w:ascii="Arial" w:eastAsia="Times New Roman" w:hAnsi="Arial" w:cs="Times New Roman"/>
          <w:lang w:eastAsia="hr-HR"/>
        </w:rPr>
        <w:t>Intenzivna integracija distribuiranih izvora u distribucijsku mrežu, kao i razvoj usluga i tržišta električne energije, ubrzano mijenjaju značajke distribucijske mreže. Ključna opredjeljenja u pogledu razvoja djelatnosti distribucije električne energije su:</w:t>
      </w:r>
    </w:p>
    <w:p w14:paraId="05D68B36" w14:textId="4376535A"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bookmarkStart w:id="103" w:name="_Hlk532558427"/>
      <w:r w:rsidRPr="008F16D6">
        <w:rPr>
          <w:rFonts w:ascii="Arial" w:eastAsia="Times New Roman" w:hAnsi="Arial" w:cs="Tahoma"/>
          <w:lang w:eastAsia="ar-SA"/>
        </w:rPr>
        <w:t>jedinstveni ODS - s ciljem osiguravanja ujednačene kvalitete te uvjeta pristupa i korištenja distribucijske mreže</w:t>
      </w:r>
    </w:p>
    <w:bookmarkEnd w:id="103"/>
    <w:p w14:paraId="12A74CCB" w14:textId="0900B806"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napredni mjerni sustav - s ciljem omogućavanja fleksibilnosti korisnika mreže, vremenski promjenjivih tarifa i izravnog upravljanja potrošnjom</w:t>
      </w:r>
    </w:p>
    <w:p w14:paraId="3739C7BC" w14:textId="77777777"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napredna mreža - s ciljem inteligentne integracije proizvođača, kupaca i onih koji objedinjuju te dvije funkcije, kako bi se osigurala učinkovita, održiva i sigurna opskrba električne energije.</w:t>
      </w:r>
    </w:p>
    <w:p w14:paraId="3EB055C8" w14:textId="77777777" w:rsidR="008F16D6" w:rsidRPr="008F16D6" w:rsidRDefault="008F16D6" w:rsidP="008F16D6">
      <w:pPr>
        <w:keepNext/>
        <w:widowControl w:val="0"/>
        <w:numPr>
          <w:ilvl w:val="2"/>
          <w:numId w:val="0"/>
        </w:numPr>
        <w:suppressAutoHyphens/>
        <w:autoSpaceDE w:val="0"/>
        <w:autoSpaceDN w:val="0"/>
        <w:adjustRightInd w:val="0"/>
        <w:spacing w:before="360" w:after="240" w:line="240" w:lineRule="auto"/>
        <w:ind w:left="1430" w:hanging="720"/>
        <w:textAlignment w:val="center"/>
        <w:outlineLvl w:val="2"/>
        <w:rPr>
          <w:rFonts w:ascii="Arial" w:eastAsia="Times New Roman" w:hAnsi="Arial" w:cs="Times New Roman"/>
          <w:b/>
          <w:bCs/>
          <w:iCs/>
          <w:color w:val="BE1D2D"/>
          <w:sz w:val="24"/>
          <w:lang w:eastAsia="hr-HR"/>
        </w:rPr>
      </w:pPr>
      <w:bookmarkStart w:id="104" w:name="_Toc17876382"/>
      <w:r w:rsidRPr="008F16D6">
        <w:rPr>
          <w:rFonts w:ascii="Arial" w:eastAsia="Times New Roman" w:hAnsi="Arial" w:cs="Times New Roman"/>
          <w:b/>
          <w:bCs/>
          <w:iCs/>
          <w:color w:val="BE1D2D"/>
          <w:sz w:val="24"/>
          <w:lang w:eastAsia="hr-HR"/>
        </w:rPr>
        <w:t>Transport i skladištenje nafte i naftnih derivata</w:t>
      </w:r>
      <w:bookmarkEnd w:id="104"/>
    </w:p>
    <w:p w14:paraId="0DD7B55F"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 xml:space="preserve">Strateške smjernice razvoja naftovodno-skladišne infrastrukture, odnosno djelatnosti transporta nafte naftovodima i skladištenja nafte i naftnih derivata su: </w:t>
      </w:r>
    </w:p>
    <w:p w14:paraId="2755BD94" w14:textId="77777777"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 xml:space="preserve">optimalno iskorištavanje geostrateškog, tranzitnog i pomorskog položaja Republike Hrvatske, uz dogradnju naftovodno-skladišne infrastrukture, pružanje sigurnih i pouzdanih usluga te uspješno poslovanje, </w:t>
      </w:r>
    </w:p>
    <w:p w14:paraId="1F5695DC" w14:textId="77777777"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povećanje transporta nafte u uvjetima daljnje diversifikacije pravaca i izvora opskrbe rafinerija država jugoistočne i srednje Europe,</w:t>
      </w:r>
    </w:p>
    <w:p w14:paraId="57BFCA26" w14:textId="77777777"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daljnja optimizacija funkcionalnosti i korištenja kapaciteta naftovodno-skladišnog sustava te otvaranje novih poslovnih mogućnosti uz zaštitu i sigurnost okoliša, ljudi i opreme.</w:t>
      </w:r>
    </w:p>
    <w:p w14:paraId="73BAFA9A" w14:textId="77777777" w:rsidR="008F16D6" w:rsidRPr="008F16D6" w:rsidRDefault="008F16D6" w:rsidP="008F16D6">
      <w:pPr>
        <w:keepNext/>
        <w:widowControl w:val="0"/>
        <w:numPr>
          <w:ilvl w:val="2"/>
          <w:numId w:val="0"/>
        </w:numPr>
        <w:suppressAutoHyphens/>
        <w:autoSpaceDE w:val="0"/>
        <w:autoSpaceDN w:val="0"/>
        <w:adjustRightInd w:val="0"/>
        <w:spacing w:before="360" w:after="240" w:line="240" w:lineRule="auto"/>
        <w:ind w:left="1430" w:hanging="720"/>
        <w:textAlignment w:val="center"/>
        <w:outlineLvl w:val="2"/>
        <w:rPr>
          <w:rFonts w:ascii="Arial" w:eastAsia="Times New Roman" w:hAnsi="Arial" w:cs="Times New Roman"/>
          <w:b/>
          <w:bCs/>
          <w:iCs/>
          <w:color w:val="BE1D2D"/>
          <w:sz w:val="24"/>
          <w:lang w:eastAsia="hr-HR"/>
        </w:rPr>
      </w:pPr>
      <w:bookmarkStart w:id="105" w:name="_Toc17876383"/>
      <w:r w:rsidRPr="008F16D6">
        <w:rPr>
          <w:rFonts w:ascii="Arial" w:eastAsia="Times New Roman" w:hAnsi="Arial" w:cs="Times New Roman"/>
          <w:b/>
          <w:bCs/>
          <w:iCs/>
          <w:color w:val="BE1D2D"/>
          <w:sz w:val="24"/>
          <w:lang w:eastAsia="hr-HR"/>
        </w:rPr>
        <w:t>Transport i skladištenje prirodnog plina</w:t>
      </w:r>
      <w:bookmarkEnd w:id="105"/>
    </w:p>
    <w:p w14:paraId="672CEE3D"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Arial"/>
          <w:lang w:eastAsia="hr-HR"/>
        </w:rPr>
        <w:t xml:space="preserve">Strateške smjernice izgradnje </w:t>
      </w:r>
      <w:r w:rsidRPr="008F16D6">
        <w:rPr>
          <w:rFonts w:ascii="Arial" w:eastAsia="Times New Roman" w:hAnsi="Arial" w:cs="Times New Roman"/>
          <w:lang w:eastAsia="hr-HR"/>
        </w:rPr>
        <w:t>energetske infrastrukture za plin uključuju:</w:t>
      </w:r>
    </w:p>
    <w:p w14:paraId="41BC8396" w14:textId="1D419582"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plinovode za transport prirodnog plina i biometana koji su dio mreže koja uglavnom sadrži visokotlačne plinovode, isključujući visokotlačne plinovode koji se koriste za potrebe proizvodnje ili lokalne distribucije prirodnog plina</w:t>
      </w:r>
    </w:p>
    <w:p w14:paraId="7810DAC5" w14:textId="6D8839A4"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podzemna skladišta plina</w:t>
      </w:r>
    </w:p>
    <w:p w14:paraId="39A5AA22" w14:textId="02F3134D"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objekte za prihvat, skladištenje i uplinjavanje ili dekompresiju UPP-a i SPP-a/SBM-a</w:t>
      </w:r>
    </w:p>
    <w:p w14:paraId="237CA9DA" w14:textId="0959ED23" w:rsid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svu opremu važnu za zaštićen, siguran i učinkovit rad sustava ili omogućavanje dvosmjernog kapaciteta, uključujući kompresorske stanice.</w:t>
      </w:r>
    </w:p>
    <w:p w14:paraId="59EB0F76" w14:textId="77777777" w:rsidR="00A73DF3" w:rsidRPr="008F16D6" w:rsidRDefault="00A73DF3" w:rsidP="00A73DF3">
      <w:pPr>
        <w:suppressAutoHyphens/>
        <w:spacing w:before="240" w:after="160" w:line="259" w:lineRule="auto"/>
        <w:ind w:left="360"/>
        <w:contextualSpacing/>
        <w:jc w:val="both"/>
        <w:rPr>
          <w:rFonts w:ascii="Arial" w:eastAsia="Times New Roman" w:hAnsi="Arial" w:cs="Tahoma"/>
          <w:lang w:eastAsia="ar-SA"/>
        </w:rPr>
      </w:pPr>
    </w:p>
    <w:p w14:paraId="008CDF53" w14:textId="77777777" w:rsidR="008F16D6" w:rsidRPr="008F16D6" w:rsidRDefault="008F16D6" w:rsidP="008F16D6">
      <w:pPr>
        <w:spacing w:before="240" w:after="160" w:line="259" w:lineRule="auto"/>
        <w:contextualSpacing/>
        <w:jc w:val="both"/>
        <w:rPr>
          <w:rFonts w:ascii="Arial" w:eastAsia="Times New Roman" w:hAnsi="Arial" w:cs="Times New Roman"/>
          <w:lang w:eastAsia="hr-HR"/>
        </w:rPr>
      </w:pPr>
      <w:r w:rsidRPr="008F16D6">
        <w:rPr>
          <w:rFonts w:ascii="Arial" w:eastAsia="Times New Roman" w:hAnsi="Arial" w:cs="Times New Roman"/>
          <w:lang w:eastAsia="hr-HR"/>
        </w:rPr>
        <w:t>Razvoj sustava za skladištenje plina obuhvaća dogradnju postojećeg podzemnog skladišta plina, izgradnju i puštanje u rad novog (vršnog) podzemnog skladišta plina te potencijalnu izgradnju novog sezonskog skladišta plina sukladno mogućnostima i potrebama.</w:t>
      </w:r>
    </w:p>
    <w:p w14:paraId="37601F70"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bookmarkStart w:id="106" w:name="_Hlk946361"/>
      <w:r w:rsidRPr="008F16D6">
        <w:rPr>
          <w:rFonts w:ascii="Arial" w:eastAsia="Times New Roman" w:hAnsi="Arial" w:cs="Times New Roman"/>
          <w:lang w:eastAsia="hr-HR"/>
        </w:rPr>
        <w:t>Strateški je imperativ povećati diversifikaciju opskrbe plinom izgradnjom terminala za UPP odnosno razvojem projekata za dobavu plina iz Kaspijske regije ili istočnog Mediterana. Isto tako potrebno je razviti sve projekte koji mogu povećati transport plina preko hrvatskog transportnog plinskog sustava i učinkovitost samog transportnog plinskog sustava Republike Hrvatske. Strateški projekti kojima je moguće diversificirati dobavne pravce i učinkovitost transportnog sustava te osigurati sigurnost opskrbe plinom sukladno kriteriju N-1 su terminal za UPP u općini Omišalj na otoku Krku s evakuacijskim plinovodima prema domaćem tržištu, Sloveniji, Mađarskoj i Srbiji i Jadransko-jonski plinovod.</w:t>
      </w:r>
    </w:p>
    <w:p w14:paraId="7DA2CC93" w14:textId="77777777"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ind w:left="567" w:hanging="576"/>
        <w:textAlignment w:val="center"/>
        <w:outlineLvl w:val="1"/>
        <w:rPr>
          <w:rFonts w:ascii="Arial" w:eastAsia="Times New Roman" w:hAnsi="Arial" w:cs="Myriad Pro Cond"/>
          <w:b/>
          <w:bCs/>
          <w:color w:val="BE1D2D"/>
          <w:sz w:val="28"/>
          <w:szCs w:val="36"/>
          <w:lang w:eastAsia="hr-HR"/>
        </w:rPr>
      </w:pPr>
      <w:bookmarkStart w:id="107" w:name="_Toc17876384"/>
      <w:bookmarkEnd w:id="102"/>
      <w:r w:rsidRPr="008F16D6">
        <w:rPr>
          <w:rFonts w:ascii="Arial" w:eastAsia="Times New Roman" w:hAnsi="Arial" w:cs="Myriad Pro Cond"/>
          <w:b/>
          <w:bCs/>
          <w:color w:val="BE1D2D"/>
          <w:sz w:val="28"/>
          <w:szCs w:val="36"/>
          <w:lang w:eastAsia="hr-HR"/>
        </w:rPr>
        <w:t>Energetska učinkovitost</w:t>
      </w:r>
      <w:bookmarkEnd w:id="107"/>
    </w:p>
    <w:p w14:paraId="698F143E"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Povećanje energetske učinkovitosti je najvažniji mehanizam smanjenja potrošnje energije i jedno od temeljnih načela energetske tranzicije. Povećanje energetske učinkovitosti je nužno kako bi se osigurala cjenovna pristupačnost energije. Predviđa se povećanje energetske učinkovitosti u svim područjima potrošnje i u cijelom lancu od proizvodnje, prijenosa i transporta, distribucije i potrošnje. Primjenjivat će se sve metode smanjenja potrošnje od zakonske regulative, primjene standarda i normi, zamjene postrojenja i uređaja do zabrane korištenja neučinkovitih uređaja.</w:t>
      </w:r>
    </w:p>
    <w:p w14:paraId="31087DA5"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U zgradarstvu se predviđa intenziviranje dobre prakse energetske obnove svih zgrada (stambenih i nestambenih) s usmjeravanjem obnove prema nZEB standardu (zgrade gotovo nulte energije), koji podrazumijeva i snažnije iskorištavanje OIE (fotonaponski sustavi, toplinski sunčani kolektori, kotlovi na biomasu, dizalice topline). </w:t>
      </w:r>
    </w:p>
    <w:p w14:paraId="2DC8E4BB"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U razdoblju do 2030. godine u sektoru prometa će naglasak biti na izgradnji nove infrastrukture za korištenje alternativnih oblika energije u prometu (UPP i SPP/SBM, električna energija i vodik). Predviđa se povećanje udjela vozila na alternativni pogon, poglavito električnih, te elektrifikacija gradskog i međugradskog prometa, kao i povećanje korištenja UPP-a u teškom teretnom, pomorskom i željezničkom prometu. Razvojem naprednih mreža potrebno je omogućiti sudjelovanje sektora prometa u troškovno učinkovitom pružanju usluga fleksibilnosti i uravnoteženja elektroenergetskog sustava. Osim razvoja alternativnih goriva, nužne su i aktivnosti na poticanju intermodalnog i integriranog prometa na nacionalnoj i lokalnoj razini. </w:t>
      </w:r>
    </w:p>
    <w:p w14:paraId="0EFB9FD8"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Osim specifičnih mjera za pojedine sektore, scenarij razvoja uzima u obzir i učinke regulatornih mjera koji će imati međusektorske učinke. U prvom redu ovo se odnosi na uspostavu funkcionalnog sustava obveza energetske učinkovitosti za opskrbljivače energijom u skladu s važećim zakonodavnim okvirom EU i Republike Hrvatske. Očekuje se da će upravo ovaj mehanizam ostvariti veliki napredak u poboljšanju energetske učinkovitosti u svim sektorima neposredne potrošnje i to putem inovativnih tržišnih mehanizama koji angažiraju privatni kapital kako opskrbljivača tako i drugih sudionika na tržištu energetskih usluga.</w:t>
      </w:r>
    </w:p>
    <w:p w14:paraId="662FE700"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bookmarkStart w:id="108" w:name="_Hlk4569258"/>
      <w:r w:rsidRPr="008F16D6">
        <w:rPr>
          <w:rFonts w:ascii="Arial" w:eastAsia="Times New Roman" w:hAnsi="Arial" w:cs="Times New Roman"/>
          <w:lang w:eastAsia="hr-HR"/>
        </w:rPr>
        <w:t>Na strani prijenosa električne energije očekuje se zadržavanje, a na strani distribucije električne energije očekuje se daljnje smanjenje tehničkih gubitaka ispod prosjeka Europske unije do 2030. godine.</w:t>
      </w:r>
      <w:bookmarkEnd w:id="106"/>
      <w:bookmarkEnd w:id="108"/>
      <w:r w:rsidRPr="008F16D6">
        <w:rPr>
          <w:rFonts w:ascii="Arial" w:eastAsia="Times New Roman" w:hAnsi="Arial" w:cs="Times New Roman"/>
          <w:lang w:eastAsia="hr-HR"/>
        </w:rPr>
        <w:br w:type="page"/>
      </w:r>
    </w:p>
    <w:p w14:paraId="56BDDA6B" w14:textId="77777777" w:rsidR="008F16D6" w:rsidRPr="002D21E5" w:rsidRDefault="00FB2843" w:rsidP="002D21E5">
      <w:pPr>
        <w:keepNext/>
        <w:pageBreakBefore/>
        <w:pBdr>
          <w:top w:val="single" w:sz="48" w:space="5" w:color="F5C1C6"/>
        </w:pBdr>
        <w:tabs>
          <w:tab w:val="left" w:pos="567"/>
        </w:tabs>
        <w:suppressAutoHyphens/>
        <w:autoSpaceDE w:val="0"/>
        <w:autoSpaceDN w:val="0"/>
        <w:adjustRightInd w:val="0"/>
        <w:spacing w:before="240" w:after="320" w:line="240" w:lineRule="auto"/>
        <w:ind w:left="360" w:hanging="360"/>
        <w:textAlignment w:val="center"/>
        <w:outlineLvl w:val="0"/>
        <w:rPr>
          <w:rFonts w:ascii="Arial" w:eastAsia="Times New Roman" w:hAnsi="Arial" w:cs="Times New Roman"/>
          <w:b/>
          <w:iCs/>
          <w:color w:val="BE1D2D"/>
          <w:position w:val="24"/>
          <w:sz w:val="32"/>
          <w:szCs w:val="48"/>
          <w:lang w:eastAsia="hr-HR"/>
        </w:rPr>
      </w:pPr>
      <w:bookmarkStart w:id="109" w:name="_Toc526036"/>
      <w:bookmarkStart w:id="110" w:name="_Toc17876385"/>
      <w:r w:rsidRPr="002D21E5">
        <w:rPr>
          <w:rFonts w:ascii="Arial" w:eastAsia="Times New Roman" w:hAnsi="Arial" w:cs="Times New Roman"/>
          <w:b/>
          <w:iCs/>
          <w:color w:val="BE1D2D"/>
          <w:position w:val="24"/>
          <w:sz w:val="32"/>
          <w:szCs w:val="48"/>
          <w:lang w:eastAsia="hr-HR"/>
        </w:rPr>
        <w:t xml:space="preserve">Ključni pokazatelji i ciljane vrijednosti </w:t>
      </w:r>
      <w:bookmarkEnd w:id="109"/>
      <w:r w:rsidRPr="002D21E5">
        <w:rPr>
          <w:rFonts w:ascii="Arial" w:eastAsia="Times New Roman" w:hAnsi="Arial" w:cs="Times New Roman"/>
          <w:b/>
          <w:iCs/>
          <w:color w:val="BE1D2D"/>
          <w:position w:val="24"/>
          <w:sz w:val="32"/>
          <w:szCs w:val="48"/>
          <w:lang w:eastAsia="hr-HR"/>
        </w:rPr>
        <w:t>za provedbu strateških ciljeva</w:t>
      </w:r>
      <w:bookmarkEnd w:id="110"/>
    </w:p>
    <w:p w14:paraId="4C711888"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Ukupna dinamika energetske tranzicije ovisi o različitim unutarnjim i vanjskim čimbenicima, kao što su međunarodna suradnja u provođenju politike klimatskih promjena, tehnološki razvoj i istraživanja, ekonomska održivost i konkurentnost sektora i države u užoj i široj regiji, organizacija i sposobnost društva i gospodarstva da provede potrebne mjere te ih istovremeno iskoristi za jačanje ekonomskih aktivnosti i poboljšanje životnog standarda uz osiguranje konkurentnih i prihvatljivih cijena energije. </w:t>
      </w:r>
    </w:p>
    <w:p w14:paraId="29C6F532" w14:textId="77777777"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ind w:left="709" w:hanging="576"/>
        <w:textAlignment w:val="center"/>
        <w:outlineLvl w:val="1"/>
        <w:rPr>
          <w:rFonts w:ascii="Arial" w:eastAsia="Times New Roman" w:hAnsi="Arial" w:cs="Myriad Pro Cond"/>
          <w:b/>
          <w:bCs/>
          <w:color w:val="BE1D2D"/>
          <w:sz w:val="28"/>
          <w:szCs w:val="36"/>
          <w:lang w:eastAsia="hr-HR"/>
        </w:rPr>
      </w:pPr>
      <w:bookmarkStart w:id="111" w:name="_Toc536190028"/>
      <w:bookmarkStart w:id="112" w:name="_Toc536193753"/>
      <w:bookmarkStart w:id="113" w:name="_Ref536644899"/>
      <w:bookmarkStart w:id="114" w:name="_Toc536791974"/>
      <w:bookmarkStart w:id="115" w:name="_Toc17876386"/>
      <w:r w:rsidRPr="008F16D6">
        <w:rPr>
          <w:rFonts w:ascii="Arial" w:eastAsia="Times New Roman" w:hAnsi="Arial" w:cs="Myriad Pro Cond"/>
          <w:b/>
          <w:bCs/>
          <w:color w:val="BE1D2D"/>
          <w:sz w:val="28"/>
          <w:szCs w:val="36"/>
          <w:lang w:eastAsia="hr-HR"/>
        </w:rPr>
        <w:t>Emisije stakleničkih plinova</w:t>
      </w:r>
      <w:bookmarkEnd w:id="111"/>
      <w:bookmarkEnd w:id="112"/>
      <w:bookmarkEnd w:id="113"/>
      <w:bookmarkEnd w:id="114"/>
      <w:bookmarkEnd w:id="115"/>
    </w:p>
    <w:p w14:paraId="50B94632"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EU ima aktivnu ulogu u pronalaženju rješenja za klimatske promjene i preuzela je obvezu snažnog smanjenja antropogenih emisija stakleničkih plinova. U okviru Pariškog sporazuma, ciljano smanjenje emisije stakleničkih plinova na razini EU je najmanje 40 % do 2030., u odnosu na 1990. godinu. </w:t>
      </w:r>
    </w:p>
    <w:p w14:paraId="6EC6CD7E"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Ovaj zajednički EU cilj raspodijeljen je u dvije cjeline: prva obuhvaća velike izvore emisije stakleničkih plinova koji su obveznici europskog sustava trgovanja emisijskim jedinicama (ETS sektor), a druga sektore izvan ETS-a (ne-ETS sektori). EU zajednički cilj za ETS sektor je smanjenje emisije od najmanje 43 % do 2030. godine u usporedbi s 2005. godinom, dok je za ne-ETS sektore postavljen zajednički EU cilj do 2030. godinu od najmanje 30 % smanjenja emisija u odnosu na 2005. godinu, s obvezama u rasponu od -40 % do 0 % za različite zemlje članice EU-a (-7 % za Republiku Hrvatsku). </w:t>
      </w:r>
    </w:p>
    <w:p w14:paraId="5BC6591A" w14:textId="2753A3AB"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Do 2050. godine potrebna su znatno veća smanjenja emisija</w:t>
      </w:r>
      <w:r w:rsidR="00A73DF3">
        <w:rPr>
          <w:rFonts w:ascii="Arial" w:eastAsia="Times New Roman" w:hAnsi="Arial" w:cs="Times New Roman"/>
          <w:lang w:eastAsia="hr-HR"/>
        </w:rPr>
        <w:t>,</w:t>
      </w:r>
      <w:r w:rsidRPr="008F16D6">
        <w:rPr>
          <w:rFonts w:ascii="Arial" w:eastAsia="Times New Roman" w:hAnsi="Arial" w:cs="Times New Roman"/>
          <w:lang w:eastAsia="hr-HR"/>
        </w:rPr>
        <w:t xml:space="preserve"> pa EU sukladno preporukama Međunarodnog panela za klimatske promjene razmatra smanjivanje emisije stakleničkih plinova za najmanje 80-95%. Prema Europskoj dugoročnoj strateškoj viziji – Čist planet za sve – za uspješno, suvremeno, konkurentno i klimatski neutralno gospodarstvo, za očekivati je da će se do 2050. godine na razini EU postaviti i ambiciozniji ciljevi. </w:t>
      </w:r>
    </w:p>
    <w:p w14:paraId="63551DE0"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U namjeri da se u Republici Hrvatskoj do 2030. godine postigne smanjenje emisije stakleničkih plinova u skladu sa zajedničkim ciljem EU, odnosno do 2050. s očekivanim obvezama, razvijena su dva scenarija koja se razmatraju u ovoj Strategiji. Razmatrani scenariji su po svim osnovnim karakteristikama slični te će njihovo dostizanje smanjenja emisija stakleničkih plinova ovisiti o dinamici energetske obnove zgrada, implementaciji mjera u sektoru prometa te primjeni ostalih mjera za smanjenje emisije. </w:t>
      </w:r>
    </w:p>
    <w:p w14:paraId="5367F5A3" w14:textId="77777777" w:rsidR="008F16D6" w:rsidRPr="008F16D6" w:rsidRDefault="008F16D6" w:rsidP="008F16D6">
      <w:pPr>
        <w:suppressAutoHyphens/>
        <w:spacing w:before="240" w:after="120" w:line="288" w:lineRule="auto"/>
        <w:jc w:val="center"/>
        <w:rPr>
          <w:rFonts w:ascii="Arial" w:eastAsia="Times New Roman" w:hAnsi="Arial" w:cs="Times New Roman"/>
          <w:noProof/>
          <w:lang w:eastAsia="hr-HR"/>
        </w:rPr>
      </w:pPr>
      <w:r w:rsidRPr="008F16D6">
        <w:rPr>
          <w:rFonts w:ascii="Arial" w:eastAsia="Times New Roman" w:hAnsi="Arial" w:cs="Times New Roman"/>
          <w:noProof/>
          <w:lang w:eastAsia="hr-HR"/>
        </w:rPr>
        <w:drawing>
          <wp:inline distT="0" distB="0" distL="0" distR="0" wp14:anchorId="420F54CA" wp14:editId="6134A10C">
            <wp:extent cx="5287667" cy="2775165"/>
            <wp:effectExtent l="0" t="0" r="825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38405" cy="2801794"/>
                    </a:xfrm>
                    <a:prstGeom prst="rect">
                      <a:avLst/>
                    </a:prstGeom>
                    <a:noFill/>
                  </pic:spPr>
                </pic:pic>
              </a:graphicData>
            </a:graphic>
          </wp:inline>
        </w:drawing>
      </w:r>
    </w:p>
    <w:p w14:paraId="56475132" w14:textId="5682A04B" w:rsidR="008F16D6" w:rsidRPr="008F16D6" w:rsidRDefault="008F16D6" w:rsidP="008F16D6">
      <w:pPr>
        <w:spacing w:before="120" w:after="360" w:line="240" w:lineRule="auto"/>
        <w:jc w:val="center"/>
        <w:rPr>
          <w:rFonts w:ascii="Arial" w:eastAsia="Times New Roman" w:hAnsi="Arial" w:cs="Arial"/>
          <w:b/>
          <w:sz w:val="20"/>
          <w:szCs w:val="24"/>
        </w:rPr>
      </w:pPr>
      <w:bookmarkStart w:id="116" w:name="_Ref532464544"/>
      <w:bookmarkStart w:id="117" w:name="a002"/>
      <w:bookmarkStart w:id="118" w:name="_Toc532924351"/>
      <w:bookmarkStart w:id="119" w:name="_Toc536189169"/>
      <w:bookmarkStart w:id="120" w:name="_Toc536193694"/>
      <w:bookmarkStart w:id="121" w:name="_Toc536792058"/>
      <w:r w:rsidRPr="008F16D6">
        <w:rPr>
          <w:rFonts w:ascii="Arial" w:eastAsia="Times New Roman" w:hAnsi="Arial" w:cs="Arial"/>
          <w:b/>
          <w:sz w:val="20"/>
          <w:szCs w:val="24"/>
        </w:rPr>
        <w:t>Slika</w:t>
      </w:r>
      <w:bookmarkEnd w:id="116"/>
      <w:r w:rsidR="00FB2843">
        <w:rPr>
          <w:rFonts w:ascii="Arial" w:eastAsia="Times New Roman" w:hAnsi="Arial" w:cs="Arial"/>
          <w:bCs/>
          <w:noProof/>
          <w:sz w:val="20"/>
          <w:szCs w:val="24"/>
        </w:rPr>
        <w:t xml:space="preserve"> </w:t>
      </w:r>
      <w:r w:rsidR="00FB2843">
        <w:rPr>
          <w:rFonts w:ascii="Arial" w:eastAsia="Times New Roman" w:hAnsi="Arial" w:cs="Arial"/>
          <w:b/>
          <w:noProof/>
          <w:sz w:val="20"/>
          <w:szCs w:val="24"/>
        </w:rPr>
        <w:t>1</w:t>
      </w:r>
      <w:r w:rsidR="00C64CC0">
        <w:rPr>
          <w:rFonts w:ascii="Arial" w:eastAsia="Times New Roman" w:hAnsi="Arial" w:cs="Arial"/>
          <w:b/>
          <w:noProof/>
          <w:sz w:val="20"/>
          <w:szCs w:val="24"/>
        </w:rPr>
        <w:t>3</w:t>
      </w:r>
      <w:r w:rsidRPr="008F16D6">
        <w:rPr>
          <w:rFonts w:ascii="Arial" w:eastAsia="Times New Roman" w:hAnsi="Arial" w:cs="Arial"/>
          <w:b/>
          <w:sz w:val="20"/>
          <w:szCs w:val="24"/>
        </w:rPr>
        <w:t xml:space="preserve">. </w:t>
      </w:r>
      <w:bookmarkStart w:id="122" w:name="_Toc532924349"/>
      <w:bookmarkEnd w:id="117"/>
      <w:bookmarkEnd w:id="118"/>
      <w:r w:rsidRPr="008F16D6">
        <w:rPr>
          <w:rFonts w:ascii="Arial" w:eastAsia="Times New Roman" w:hAnsi="Arial" w:cs="Arial"/>
          <w:b/>
          <w:sz w:val="20"/>
          <w:szCs w:val="24"/>
        </w:rPr>
        <w:t xml:space="preserve">Projekcija ukupnih emisija stakleničkih plinova </w:t>
      </w:r>
      <w:bookmarkEnd w:id="122"/>
      <w:r w:rsidRPr="008F16D6">
        <w:rPr>
          <w:rFonts w:ascii="Arial" w:eastAsia="Times New Roman" w:hAnsi="Arial" w:cs="Arial"/>
          <w:b/>
          <w:sz w:val="20"/>
          <w:szCs w:val="24"/>
        </w:rPr>
        <w:t>u scenarijima S2 i S1</w:t>
      </w:r>
    </w:p>
    <w:bookmarkEnd w:id="119"/>
    <w:bookmarkEnd w:id="120"/>
    <w:bookmarkEnd w:id="121"/>
    <w:p w14:paraId="0902C2FC"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Pretpostavljen je porast cijena emisijskih jedinica stakleničkih plinova, do 34,3 EUR</w:t>
      </w:r>
      <w:r w:rsidRPr="008F16D6">
        <w:rPr>
          <w:rFonts w:ascii="Arial" w:eastAsia="Times New Roman" w:hAnsi="Arial" w:cs="Times New Roman"/>
          <w:vertAlign w:val="subscript"/>
          <w:lang w:eastAsia="hr-HR"/>
        </w:rPr>
        <w:t>2015</w:t>
      </w:r>
      <w:r w:rsidRPr="008F16D6">
        <w:rPr>
          <w:rFonts w:ascii="Arial" w:eastAsia="Times New Roman" w:hAnsi="Arial" w:cs="Times New Roman"/>
          <w:lang w:eastAsia="hr-HR"/>
        </w:rPr>
        <w:t>/t CO</w:t>
      </w:r>
      <w:r w:rsidRPr="008F16D6">
        <w:rPr>
          <w:rFonts w:ascii="Arial" w:eastAsia="Times New Roman" w:hAnsi="Arial" w:cs="Times New Roman"/>
          <w:vertAlign w:val="subscript"/>
          <w:lang w:eastAsia="hr-HR"/>
        </w:rPr>
        <w:t>2</w:t>
      </w:r>
      <w:r w:rsidRPr="008F16D6">
        <w:rPr>
          <w:rFonts w:ascii="Arial" w:eastAsia="Times New Roman" w:hAnsi="Arial" w:cs="Times New Roman"/>
          <w:lang w:eastAsia="hr-HR"/>
        </w:rPr>
        <w:t>e u 2030. i 92,1 EUR</w:t>
      </w:r>
      <w:r w:rsidRPr="008F16D6">
        <w:rPr>
          <w:rFonts w:ascii="Arial" w:eastAsia="Times New Roman" w:hAnsi="Arial" w:cs="Times New Roman"/>
          <w:vertAlign w:val="subscript"/>
          <w:lang w:eastAsia="hr-HR"/>
        </w:rPr>
        <w:t>2015</w:t>
      </w:r>
      <w:r w:rsidRPr="008F16D6">
        <w:rPr>
          <w:rFonts w:ascii="Arial" w:eastAsia="Times New Roman" w:hAnsi="Arial" w:cs="Times New Roman"/>
          <w:lang w:eastAsia="hr-HR"/>
        </w:rPr>
        <w:t>/t CO</w:t>
      </w:r>
      <w:r w:rsidRPr="008F16D6">
        <w:rPr>
          <w:rFonts w:ascii="Arial" w:eastAsia="Times New Roman" w:hAnsi="Arial" w:cs="Times New Roman"/>
          <w:vertAlign w:val="subscript"/>
          <w:lang w:eastAsia="hr-HR"/>
        </w:rPr>
        <w:t>2</w:t>
      </w:r>
      <w:r w:rsidRPr="008F16D6">
        <w:rPr>
          <w:rFonts w:ascii="Arial" w:eastAsia="Times New Roman" w:hAnsi="Arial" w:cs="Times New Roman"/>
          <w:lang w:eastAsia="hr-HR"/>
        </w:rPr>
        <w:t>e u 2050. godini, te snažne mjere povećanja energetske učinkovitosti i korištenja OIE-a, što bi trebalo dovesti do očekivanog smanjenja emisije za 35,4 % do 2030. i 64,3 % do 2050. godine u scenariju S2, odnosno za 37,5 % do 2030. i 74,4 % do 2050. godine u scenariju S1, u odnosu na razinu emisija iz 1990. godine. Odlučujući utjecaj na destimuliranje korištenja fosilnih goriva u odnosu na OIE, a posljedično i na smanjenje emisije, ima cijena emisijskih jedinica stakleničkih plinova. Cijenu emisijskih jedinica stakleničkih plinova definira ETS tržište, a razina cijene će u konačnici utjecati na dinamiku provedbe mjera i realizaciju predviđenih ciljeva.</w:t>
      </w:r>
    </w:p>
    <w:p w14:paraId="49FEEC87"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Potrebno je naglasiti kako Republika Hrvatska ima manje emisije stakleničkih plinova po stanovniku od prosjeka EU. U 2016. godini, Republika Hrvatska je imala 5,80 t CO</w:t>
      </w:r>
      <w:r w:rsidRPr="008F16D6">
        <w:rPr>
          <w:rFonts w:ascii="Arial" w:eastAsia="Times New Roman" w:hAnsi="Arial" w:cs="Times New Roman"/>
          <w:vertAlign w:val="subscript"/>
          <w:lang w:eastAsia="hr-HR"/>
        </w:rPr>
        <w:t>2</w:t>
      </w:r>
      <w:r w:rsidRPr="008F16D6">
        <w:rPr>
          <w:rFonts w:ascii="Arial" w:eastAsia="Times New Roman" w:hAnsi="Arial" w:cs="Times New Roman"/>
          <w:lang w:eastAsia="hr-HR"/>
        </w:rPr>
        <w:t>e/st, dok je prosjek na razini EU bio 8,44 t CO</w:t>
      </w:r>
      <w:r w:rsidRPr="008F16D6">
        <w:rPr>
          <w:rFonts w:ascii="Arial" w:eastAsia="Times New Roman" w:hAnsi="Arial" w:cs="Times New Roman"/>
          <w:vertAlign w:val="subscript"/>
          <w:lang w:eastAsia="hr-HR"/>
        </w:rPr>
        <w:t>2</w:t>
      </w:r>
      <w:r w:rsidRPr="008F16D6">
        <w:rPr>
          <w:rFonts w:ascii="Arial" w:eastAsia="Times New Roman" w:hAnsi="Arial" w:cs="Times New Roman"/>
          <w:lang w:eastAsia="hr-HR"/>
        </w:rPr>
        <w:t>e/st. Također, ukupne emisije sektora energetike u Republici Hrvatskoj su smanjenje s 21,8 mil. t CO</w:t>
      </w:r>
      <w:r w:rsidRPr="008F16D6">
        <w:rPr>
          <w:rFonts w:ascii="Arial" w:eastAsia="Times New Roman" w:hAnsi="Arial" w:cs="Times New Roman"/>
          <w:vertAlign w:val="subscript"/>
          <w:lang w:eastAsia="hr-HR"/>
        </w:rPr>
        <w:t>2</w:t>
      </w:r>
      <w:r w:rsidRPr="008F16D6">
        <w:rPr>
          <w:rFonts w:ascii="Arial" w:eastAsia="Times New Roman" w:hAnsi="Arial" w:cs="Times New Roman"/>
          <w:lang w:eastAsia="hr-HR"/>
        </w:rPr>
        <w:t>e u 1990. na 17,1 mil. t CO</w:t>
      </w:r>
      <w:r w:rsidRPr="008F16D6">
        <w:rPr>
          <w:rFonts w:ascii="Arial" w:eastAsia="Times New Roman" w:hAnsi="Arial" w:cs="Times New Roman"/>
          <w:vertAlign w:val="subscript"/>
          <w:lang w:eastAsia="hr-HR"/>
        </w:rPr>
        <w:t>2</w:t>
      </w:r>
      <w:r w:rsidRPr="008F16D6">
        <w:rPr>
          <w:rFonts w:ascii="Arial" w:eastAsia="Times New Roman" w:hAnsi="Arial" w:cs="Times New Roman"/>
          <w:lang w:eastAsia="hr-HR"/>
        </w:rPr>
        <w:t>e u 2016. godini, a što je manje od linearno transponiranog nacionalnog cilja do 2020. godine koji bi iznosio 21,5 mil. t CO</w:t>
      </w:r>
      <w:r w:rsidRPr="008F16D6">
        <w:rPr>
          <w:rFonts w:ascii="Arial" w:eastAsia="Times New Roman" w:hAnsi="Arial" w:cs="Times New Roman"/>
          <w:vertAlign w:val="subscript"/>
          <w:lang w:eastAsia="hr-HR"/>
        </w:rPr>
        <w:t>2</w:t>
      </w:r>
      <w:r w:rsidRPr="008F16D6">
        <w:rPr>
          <w:rFonts w:ascii="Arial" w:eastAsia="Times New Roman" w:hAnsi="Arial" w:cs="Times New Roman"/>
          <w:lang w:eastAsia="hr-HR"/>
        </w:rPr>
        <w:t>e, odnosno 17,2 mil. t CO</w:t>
      </w:r>
      <w:r w:rsidRPr="008F16D6">
        <w:rPr>
          <w:rFonts w:ascii="Arial" w:eastAsia="Times New Roman" w:hAnsi="Arial" w:cs="Times New Roman"/>
          <w:vertAlign w:val="subscript"/>
          <w:lang w:eastAsia="hr-HR"/>
        </w:rPr>
        <w:t>2</w:t>
      </w:r>
      <w:r w:rsidRPr="008F16D6">
        <w:rPr>
          <w:rFonts w:ascii="Arial" w:eastAsia="Times New Roman" w:hAnsi="Arial" w:cs="Times New Roman"/>
          <w:lang w:eastAsia="hr-HR"/>
        </w:rPr>
        <w:t>e do 2030. godine.</w:t>
      </w:r>
    </w:p>
    <w:p w14:paraId="53C4CC9C"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Ciljevi smanjenja emisija stakleničkih plinova za ETS sektor i ne-ETS sektore u Republici Hrvatskoj su prikazani u tablici 4.1, a odnose se na ukupne nacionalne emisije iz svih energetskih i ne-energetskih sektora. Cilj smanjenja emisija za ETS sektor do 2030. godine je definiran Direktivom (EU) 2018/410, dok je za ne-ETS sektore nacionalni cilj smanjenja emisije do 2030. godine postavljen Uredbom (EU) 2018/842.</w:t>
      </w:r>
    </w:p>
    <w:p w14:paraId="3FEA6725" w14:textId="77777777" w:rsidR="008F16D6" w:rsidRPr="008F16D6" w:rsidRDefault="008F16D6" w:rsidP="008F16D6">
      <w:pPr>
        <w:keepNext/>
        <w:tabs>
          <w:tab w:val="left" w:pos="1247"/>
        </w:tabs>
        <w:suppressAutoHyphens/>
        <w:spacing w:before="360" w:after="120" w:line="288" w:lineRule="auto"/>
        <w:ind w:left="1247" w:hanging="1247"/>
        <w:jc w:val="center"/>
        <w:rPr>
          <w:rFonts w:ascii="Arial" w:eastAsia="Times New Roman" w:hAnsi="Arial" w:cs="Arial"/>
          <w:b/>
          <w:sz w:val="20"/>
          <w:lang w:eastAsia="hr-HR"/>
        </w:rPr>
      </w:pPr>
      <w:bookmarkStart w:id="123" w:name="_Ref527377251"/>
      <w:bookmarkStart w:id="124" w:name="_Toc532924982"/>
      <w:bookmarkStart w:id="125" w:name="_Toc536792086"/>
      <w:r w:rsidRPr="008F16D6">
        <w:rPr>
          <w:rFonts w:ascii="Arial" w:eastAsia="Times New Roman" w:hAnsi="Arial" w:cs="Arial"/>
          <w:b/>
          <w:sz w:val="20"/>
          <w:lang w:eastAsia="hr-HR"/>
        </w:rPr>
        <w:t>Tablica</w:t>
      </w:r>
      <w:r w:rsidR="00FB2843">
        <w:rPr>
          <w:rFonts w:ascii="Arial" w:eastAsia="Times New Roman" w:hAnsi="Arial" w:cs="Arial"/>
          <w:bCs/>
          <w:noProof/>
          <w:sz w:val="20"/>
          <w:lang w:eastAsia="hr-HR"/>
        </w:rPr>
        <w:t xml:space="preserve"> </w:t>
      </w:r>
      <w:r w:rsidR="00FB2843">
        <w:rPr>
          <w:rFonts w:ascii="Arial" w:eastAsia="Times New Roman" w:hAnsi="Arial" w:cs="Arial"/>
          <w:b/>
          <w:noProof/>
          <w:sz w:val="20"/>
          <w:lang w:eastAsia="hr-HR"/>
        </w:rPr>
        <w:t>4</w:t>
      </w:r>
      <w:r w:rsidRPr="008F16D6">
        <w:rPr>
          <w:rFonts w:ascii="Arial" w:eastAsia="Times New Roman" w:hAnsi="Arial" w:cs="Arial"/>
          <w:b/>
          <w:sz w:val="20"/>
          <w:lang w:eastAsia="hr-HR"/>
        </w:rPr>
        <w:t xml:space="preserve">. Ciljevi smanjenja emisija stakleničkih plinova za ETS i ne-ETS sektore </w:t>
      </w:r>
    </w:p>
    <w:tbl>
      <w:tblPr>
        <w:tblW w:w="9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1887"/>
        <w:gridCol w:w="1406"/>
        <w:gridCol w:w="1406"/>
      </w:tblGrid>
      <w:tr w:rsidR="008F16D6" w:rsidRPr="008F16D6" w14:paraId="798E4595" w14:textId="77777777" w:rsidTr="00AF6B8C">
        <w:trPr>
          <w:cantSplit/>
          <w:trHeight w:val="690"/>
          <w:jc w:val="center"/>
        </w:trPr>
        <w:tc>
          <w:tcPr>
            <w:tcW w:w="4390" w:type="dxa"/>
            <w:shd w:val="clear" w:color="auto" w:fill="auto"/>
            <w:noWrap/>
            <w:vAlign w:val="center"/>
            <w:hideMark/>
          </w:tcPr>
          <w:bookmarkEnd w:id="123"/>
          <w:bookmarkEnd w:id="124"/>
          <w:bookmarkEnd w:id="125"/>
          <w:p w14:paraId="1E83D48E" w14:textId="77777777" w:rsidR="008F16D6" w:rsidRPr="008F16D6" w:rsidRDefault="008F16D6" w:rsidP="008F16D6">
            <w:pPr>
              <w:keepNext/>
              <w:spacing w:after="100" w:afterAutospacing="1" w:line="240" w:lineRule="auto"/>
              <w:jc w:val="center"/>
              <w:rPr>
                <w:rFonts w:ascii="Arial" w:eastAsia="Times New Roman" w:hAnsi="Arial" w:cs="Arial"/>
                <w:b/>
                <w:sz w:val="20"/>
                <w:szCs w:val="20"/>
                <w:lang w:eastAsia="hr-HR"/>
              </w:rPr>
            </w:pPr>
            <w:r w:rsidRPr="008F16D6">
              <w:rPr>
                <w:rFonts w:ascii="Arial" w:eastAsia="Times New Roman" w:hAnsi="Arial" w:cs="Arial"/>
                <w:b/>
                <w:sz w:val="20"/>
                <w:szCs w:val="20"/>
                <w:lang w:eastAsia="hr-HR"/>
              </w:rPr>
              <w:t>Emisije u odnosu na 2005. godinu (%)</w:t>
            </w:r>
          </w:p>
        </w:tc>
        <w:tc>
          <w:tcPr>
            <w:tcW w:w="1887" w:type="dxa"/>
            <w:shd w:val="clear" w:color="auto" w:fill="auto"/>
            <w:noWrap/>
            <w:vAlign w:val="center"/>
            <w:hideMark/>
          </w:tcPr>
          <w:p w14:paraId="427E0475" w14:textId="77777777" w:rsidR="008F16D6" w:rsidRPr="008F16D6" w:rsidRDefault="008F16D6" w:rsidP="008F16D6">
            <w:pPr>
              <w:keepNext/>
              <w:spacing w:after="100" w:afterAutospacing="1" w:line="240" w:lineRule="auto"/>
              <w:jc w:val="center"/>
              <w:rPr>
                <w:rFonts w:ascii="Arial" w:eastAsia="Times New Roman" w:hAnsi="Arial" w:cs="Arial"/>
                <w:b/>
                <w:sz w:val="20"/>
                <w:szCs w:val="20"/>
                <w:lang w:eastAsia="hr-HR"/>
              </w:rPr>
            </w:pPr>
            <w:r w:rsidRPr="008F16D6">
              <w:rPr>
                <w:rFonts w:ascii="Arial" w:eastAsia="Times New Roman" w:hAnsi="Arial" w:cs="Arial"/>
                <w:b/>
                <w:sz w:val="20"/>
                <w:szCs w:val="20"/>
                <w:lang w:eastAsia="hr-HR"/>
              </w:rPr>
              <w:t>Ostvareno 2016.</w:t>
            </w:r>
          </w:p>
        </w:tc>
        <w:tc>
          <w:tcPr>
            <w:tcW w:w="1406" w:type="dxa"/>
            <w:shd w:val="clear" w:color="auto" w:fill="auto"/>
            <w:noWrap/>
            <w:vAlign w:val="center"/>
            <w:hideMark/>
          </w:tcPr>
          <w:p w14:paraId="777DD12B" w14:textId="77777777" w:rsidR="008F16D6" w:rsidRPr="008F16D6" w:rsidRDefault="008F16D6" w:rsidP="008F16D6">
            <w:pPr>
              <w:keepNext/>
              <w:spacing w:after="100" w:afterAutospacing="1" w:line="240" w:lineRule="auto"/>
              <w:jc w:val="center"/>
              <w:rPr>
                <w:rFonts w:ascii="Arial" w:eastAsia="Times New Roman" w:hAnsi="Arial" w:cs="Arial"/>
                <w:b/>
                <w:sz w:val="20"/>
                <w:szCs w:val="20"/>
                <w:lang w:eastAsia="hr-HR"/>
              </w:rPr>
            </w:pPr>
            <w:r w:rsidRPr="008F16D6">
              <w:rPr>
                <w:rFonts w:ascii="Arial" w:eastAsia="Times New Roman" w:hAnsi="Arial" w:cs="Arial"/>
                <w:b/>
                <w:sz w:val="20"/>
                <w:szCs w:val="20"/>
                <w:lang w:eastAsia="hr-HR"/>
              </w:rPr>
              <w:t>Cilj za 2020.</w:t>
            </w:r>
          </w:p>
        </w:tc>
        <w:tc>
          <w:tcPr>
            <w:tcW w:w="1406" w:type="dxa"/>
            <w:shd w:val="clear" w:color="auto" w:fill="auto"/>
            <w:noWrap/>
            <w:vAlign w:val="center"/>
            <w:hideMark/>
          </w:tcPr>
          <w:p w14:paraId="30CE6891" w14:textId="77777777" w:rsidR="008F16D6" w:rsidRPr="008F16D6" w:rsidRDefault="008F16D6" w:rsidP="008F16D6">
            <w:pPr>
              <w:keepNext/>
              <w:spacing w:after="100" w:afterAutospacing="1" w:line="240" w:lineRule="auto"/>
              <w:jc w:val="center"/>
              <w:rPr>
                <w:rFonts w:ascii="Arial" w:eastAsia="Times New Roman" w:hAnsi="Arial" w:cs="Arial"/>
                <w:b/>
                <w:sz w:val="20"/>
                <w:szCs w:val="20"/>
                <w:lang w:eastAsia="hr-HR"/>
              </w:rPr>
            </w:pPr>
            <w:r w:rsidRPr="008F16D6">
              <w:rPr>
                <w:rFonts w:ascii="Arial" w:eastAsia="Times New Roman" w:hAnsi="Arial" w:cs="Arial"/>
                <w:b/>
                <w:sz w:val="20"/>
                <w:szCs w:val="20"/>
                <w:lang w:eastAsia="hr-HR"/>
              </w:rPr>
              <w:t>Cilj za 2030.</w:t>
            </w:r>
          </w:p>
        </w:tc>
      </w:tr>
      <w:tr w:rsidR="008F16D6" w:rsidRPr="008F16D6" w14:paraId="4D9491E9" w14:textId="77777777" w:rsidTr="00AF6B8C">
        <w:trPr>
          <w:cantSplit/>
          <w:trHeight w:val="340"/>
          <w:jc w:val="center"/>
        </w:trPr>
        <w:tc>
          <w:tcPr>
            <w:tcW w:w="4390" w:type="dxa"/>
            <w:shd w:val="clear" w:color="auto" w:fill="auto"/>
            <w:noWrap/>
            <w:vAlign w:val="center"/>
            <w:hideMark/>
          </w:tcPr>
          <w:p w14:paraId="62106D32" w14:textId="77777777" w:rsidR="008F16D6" w:rsidRPr="008F16D6" w:rsidRDefault="008F16D6" w:rsidP="008F16D6">
            <w:pPr>
              <w:keepNext/>
              <w:spacing w:after="100" w:afterAutospacing="1" w:line="240" w:lineRule="auto"/>
              <w:rPr>
                <w:rFonts w:ascii="Arial" w:eastAsia="Times New Roman" w:hAnsi="Arial" w:cs="Arial"/>
                <w:sz w:val="20"/>
                <w:szCs w:val="20"/>
                <w:lang w:eastAsia="hr-HR"/>
              </w:rPr>
            </w:pPr>
            <w:r w:rsidRPr="008F16D6">
              <w:rPr>
                <w:rFonts w:ascii="Arial" w:eastAsia="Times New Roman" w:hAnsi="Arial" w:cs="Arial"/>
                <w:sz w:val="20"/>
                <w:szCs w:val="20"/>
                <w:lang w:eastAsia="hr-HR"/>
              </w:rPr>
              <w:t>ETS sektor</w:t>
            </w:r>
          </w:p>
        </w:tc>
        <w:tc>
          <w:tcPr>
            <w:tcW w:w="1887" w:type="dxa"/>
            <w:shd w:val="clear" w:color="auto" w:fill="auto"/>
            <w:noWrap/>
            <w:vAlign w:val="center"/>
            <w:hideMark/>
          </w:tcPr>
          <w:p w14:paraId="2B3A11F9" w14:textId="77777777" w:rsidR="008F16D6" w:rsidRPr="008F16D6" w:rsidRDefault="008F16D6" w:rsidP="008F16D6">
            <w:pPr>
              <w:keepNext/>
              <w:spacing w:after="100" w:afterAutospacing="1" w:line="240" w:lineRule="auto"/>
              <w:jc w:val="right"/>
              <w:rPr>
                <w:rFonts w:ascii="Arial" w:eastAsia="Times New Roman" w:hAnsi="Arial" w:cs="Arial"/>
                <w:sz w:val="20"/>
                <w:szCs w:val="20"/>
                <w:lang w:eastAsia="hr-HR"/>
              </w:rPr>
            </w:pPr>
            <w:r w:rsidRPr="008F16D6">
              <w:rPr>
                <w:rFonts w:ascii="Arial" w:eastAsia="Times New Roman" w:hAnsi="Arial" w:cs="Arial"/>
                <w:sz w:val="20"/>
                <w:szCs w:val="20"/>
                <w:lang w:eastAsia="hr-HR"/>
              </w:rPr>
              <w:t>-22,2</w:t>
            </w:r>
          </w:p>
        </w:tc>
        <w:tc>
          <w:tcPr>
            <w:tcW w:w="1406" w:type="dxa"/>
            <w:shd w:val="clear" w:color="auto" w:fill="auto"/>
            <w:noWrap/>
            <w:vAlign w:val="center"/>
          </w:tcPr>
          <w:p w14:paraId="6DD04C21" w14:textId="77777777" w:rsidR="008F16D6" w:rsidRPr="008F16D6" w:rsidRDefault="008F16D6" w:rsidP="008F16D6">
            <w:pPr>
              <w:keepNext/>
              <w:spacing w:after="100" w:afterAutospacing="1" w:line="240" w:lineRule="auto"/>
              <w:jc w:val="right"/>
              <w:rPr>
                <w:rFonts w:ascii="Arial" w:eastAsia="Times New Roman" w:hAnsi="Arial" w:cs="Arial"/>
                <w:sz w:val="20"/>
                <w:szCs w:val="20"/>
                <w:lang w:eastAsia="hr-HR"/>
              </w:rPr>
            </w:pPr>
            <w:r w:rsidRPr="008F16D6">
              <w:rPr>
                <w:rFonts w:ascii="Arial" w:eastAsia="Times New Roman" w:hAnsi="Arial" w:cs="Arial"/>
                <w:sz w:val="20"/>
                <w:szCs w:val="20"/>
                <w:lang w:eastAsia="hr-HR"/>
              </w:rPr>
              <w:t>-21*</w:t>
            </w:r>
          </w:p>
        </w:tc>
        <w:tc>
          <w:tcPr>
            <w:tcW w:w="1406" w:type="dxa"/>
            <w:shd w:val="clear" w:color="auto" w:fill="auto"/>
            <w:noWrap/>
            <w:vAlign w:val="center"/>
          </w:tcPr>
          <w:p w14:paraId="6B05838C" w14:textId="77777777" w:rsidR="008F16D6" w:rsidRPr="008F16D6" w:rsidRDefault="008F16D6" w:rsidP="008F16D6">
            <w:pPr>
              <w:keepNext/>
              <w:spacing w:after="100" w:afterAutospacing="1" w:line="240" w:lineRule="auto"/>
              <w:jc w:val="right"/>
              <w:rPr>
                <w:rFonts w:ascii="Arial" w:eastAsia="Times New Roman" w:hAnsi="Arial" w:cs="Arial"/>
                <w:sz w:val="20"/>
                <w:szCs w:val="20"/>
                <w:lang w:eastAsia="hr-HR"/>
              </w:rPr>
            </w:pPr>
            <w:r w:rsidRPr="008F16D6">
              <w:rPr>
                <w:rFonts w:ascii="Arial" w:eastAsia="Times New Roman" w:hAnsi="Arial" w:cs="Arial"/>
                <w:sz w:val="20"/>
                <w:szCs w:val="20"/>
                <w:lang w:eastAsia="hr-HR"/>
              </w:rPr>
              <w:t>-43*</w:t>
            </w:r>
          </w:p>
        </w:tc>
      </w:tr>
      <w:tr w:rsidR="008F16D6" w:rsidRPr="008F16D6" w14:paraId="17DF3F87" w14:textId="77777777" w:rsidTr="00AF6B8C">
        <w:trPr>
          <w:cantSplit/>
          <w:trHeight w:val="340"/>
          <w:jc w:val="center"/>
        </w:trPr>
        <w:tc>
          <w:tcPr>
            <w:tcW w:w="4390" w:type="dxa"/>
            <w:shd w:val="clear" w:color="auto" w:fill="auto"/>
            <w:noWrap/>
            <w:vAlign w:val="center"/>
            <w:hideMark/>
          </w:tcPr>
          <w:p w14:paraId="57AE81D1" w14:textId="77777777" w:rsidR="008F16D6" w:rsidRPr="008F16D6" w:rsidRDefault="008F16D6" w:rsidP="008F16D6">
            <w:pPr>
              <w:keepNext/>
              <w:spacing w:after="100" w:afterAutospacing="1" w:line="240" w:lineRule="auto"/>
              <w:rPr>
                <w:rFonts w:ascii="Arial" w:eastAsia="Times New Roman" w:hAnsi="Arial" w:cs="Arial"/>
                <w:sz w:val="20"/>
                <w:szCs w:val="20"/>
                <w:lang w:eastAsia="hr-HR"/>
              </w:rPr>
            </w:pPr>
            <w:r w:rsidRPr="008F16D6">
              <w:rPr>
                <w:rFonts w:ascii="Arial" w:eastAsia="Times New Roman" w:hAnsi="Arial" w:cs="Arial"/>
                <w:sz w:val="20"/>
                <w:szCs w:val="20"/>
                <w:lang w:eastAsia="hr-HR"/>
              </w:rPr>
              <w:t>Ne-ETS sektori</w:t>
            </w:r>
          </w:p>
        </w:tc>
        <w:tc>
          <w:tcPr>
            <w:tcW w:w="1887" w:type="dxa"/>
            <w:shd w:val="clear" w:color="auto" w:fill="auto"/>
            <w:noWrap/>
            <w:vAlign w:val="center"/>
            <w:hideMark/>
          </w:tcPr>
          <w:p w14:paraId="5CB71786" w14:textId="77777777" w:rsidR="008F16D6" w:rsidRPr="008F16D6" w:rsidRDefault="008F16D6" w:rsidP="008F16D6">
            <w:pPr>
              <w:keepNext/>
              <w:spacing w:after="100" w:afterAutospacing="1" w:line="240" w:lineRule="auto"/>
              <w:jc w:val="right"/>
              <w:rPr>
                <w:rFonts w:ascii="Arial" w:eastAsia="Times New Roman" w:hAnsi="Arial" w:cs="Arial"/>
                <w:sz w:val="20"/>
                <w:szCs w:val="20"/>
                <w:lang w:eastAsia="hr-HR"/>
              </w:rPr>
            </w:pPr>
            <w:r w:rsidRPr="008F16D6">
              <w:rPr>
                <w:rFonts w:ascii="Arial" w:eastAsia="Times New Roman" w:hAnsi="Arial" w:cs="Arial"/>
                <w:sz w:val="20"/>
                <w:szCs w:val="20"/>
                <w:lang w:eastAsia="hr-HR"/>
              </w:rPr>
              <w:t>-16,9</w:t>
            </w:r>
          </w:p>
        </w:tc>
        <w:tc>
          <w:tcPr>
            <w:tcW w:w="1406" w:type="dxa"/>
            <w:shd w:val="clear" w:color="auto" w:fill="auto"/>
            <w:noWrap/>
            <w:vAlign w:val="center"/>
          </w:tcPr>
          <w:p w14:paraId="770E5F65" w14:textId="77777777" w:rsidR="008F16D6" w:rsidRPr="008F16D6" w:rsidRDefault="008F16D6" w:rsidP="008F16D6">
            <w:pPr>
              <w:keepNext/>
              <w:spacing w:after="100" w:afterAutospacing="1" w:line="240" w:lineRule="auto"/>
              <w:jc w:val="right"/>
              <w:rPr>
                <w:rFonts w:ascii="Arial" w:eastAsia="Times New Roman" w:hAnsi="Arial" w:cs="Arial"/>
                <w:sz w:val="20"/>
                <w:szCs w:val="20"/>
                <w:lang w:eastAsia="hr-HR"/>
              </w:rPr>
            </w:pPr>
            <w:r w:rsidRPr="008F16D6">
              <w:rPr>
                <w:rFonts w:ascii="Arial" w:eastAsia="Times New Roman" w:hAnsi="Arial" w:cs="Arial"/>
                <w:sz w:val="20"/>
                <w:szCs w:val="20"/>
                <w:lang w:eastAsia="hr-HR"/>
              </w:rPr>
              <w:t>+11</w:t>
            </w:r>
          </w:p>
        </w:tc>
        <w:tc>
          <w:tcPr>
            <w:tcW w:w="1406" w:type="dxa"/>
            <w:shd w:val="clear" w:color="auto" w:fill="auto"/>
            <w:noWrap/>
            <w:vAlign w:val="center"/>
          </w:tcPr>
          <w:p w14:paraId="7D6E9F39" w14:textId="77777777" w:rsidR="008F16D6" w:rsidRPr="008F16D6" w:rsidRDefault="008F16D6" w:rsidP="008F16D6">
            <w:pPr>
              <w:keepNext/>
              <w:spacing w:after="100" w:afterAutospacing="1" w:line="240" w:lineRule="auto"/>
              <w:jc w:val="right"/>
              <w:rPr>
                <w:rFonts w:ascii="Arial" w:eastAsia="Times New Roman" w:hAnsi="Arial" w:cs="Arial"/>
                <w:sz w:val="20"/>
                <w:szCs w:val="20"/>
                <w:lang w:eastAsia="hr-HR"/>
              </w:rPr>
            </w:pPr>
            <w:r w:rsidRPr="008F16D6">
              <w:rPr>
                <w:rFonts w:ascii="Arial" w:eastAsia="Times New Roman" w:hAnsi="Arial" w:cs="Arial"/>
                <w:sz w:val="20"/>
                <w:szCs w:val="20"/>
                <w:lang w:eastAsia="hr-HR"/>
              </w:rPr>
              <w:t>-7</w:t>
            </w:r>
          </w:p>
        </w:tc>
      </w:tr>
    </w:tbl>
    <w:p w14:paraId="6A94CE38" w14:textId="77777777" w:rsidR="008F16D6" w:rsidRPr="008F16D6" w:rsidRDefault="008F16D6" w:rsidP="008F16D6">
      <w:pPr>
        <w:suppressAutoHyphens/>
        <w:spacing w:before="60" w:after="120" w:line="288" w:lineRule="auto"/>
        <w:jc w:val="both"/>
        <w:rPr>
          <w:rFonts w:ascii="Arial" w:eastAsia="Times New Roman" w:hAnsi="Arial" w:cs="Arial"/>
          <w:lang w:eastAsia="hr-HR"/>
        </w:rPr>
      </w:pPr>
      <w:r w:rsidRPr="008F16D6">
        <w:rPr>
          <w:rFonts w:ascii="Arial" w:eastAsia="Times New Roman" w:hAnsi="Arial" w:cs="Arial"/>
          <w:lang w:eastAsia="hr-HR"/>
        </w:rPr>
        <w:t>* iskazan cilj za RH je indikativan, a obvezujući je na razini EU ETS sustava</w:t>
      </w:r>
    </w:p>
    <w:p w14:paraId="69B832AD"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U analizi mogućnosti ispunjavanja preuzetih obveza za ETS sektor i ne-ETS sektore, razmatran je samo dio vezan za energetiku, odnosno izgaranje goriva u nepokretnim i pokretnim energetskim izvorima te fugitivne emisije iz goriva. Republika Hrvatska scenarijima S1 i S2 vrlo vjerojatno ispunjava definiranu obvezu smanjenja emisije stakleničkih plinova iz ne-ETS sektora za 2030. i očekivanu obvezu za 2050. godinu. Treba napomenuti da ne-ETS sektori pokrivaju i značajan dio emisija iz neenergetskih izvora pa se ne može sa sigurnošću tvrditi da bi obveze bile ispunjene. Smanjenje energetskih emisija iz ne</w:t>
      </w:r>
      <w:r w:rsidRPr="008F16D6">
        <w:rPr>
          <w:rFonts w:ascii="Arial" w:eastAsia="Times New Roman" w:hAnsi="Arial" w:cs="Times New Roman"/>
          <w:lang w:eastAsia="hr-HR"/>
        </w:rPr>
        <w:noBreakHyphen/>
        <w:t xml:space="preserve">ETS sektora bi iznosilo 29-31 % do 2030. godine, odnosno 63-76 % do 2050. godine, u odnosu na emisiju iz 2005. godine. Smanjenje energetskih emisija iz ETS sektora bi 2030. godine bilo 45-48 %, što je više od prosječnog cilja za obveznike EU ETS sustava (43 %), a u 2050. godine 67-71 %, u odnosu na emisiju iz 2005. godine. </w:t>
      </w:r>
    </w:p>
    <w:p w14:paraId="5A7D0C1C" w14:textId="77777777" w:rsidR="008F16D6" w:rsidRPr="008F16D6" w:rsidRDefault="008F16D6" w:rsidP="008F16D6">
      <w:pPr>
        <w:suppressAutoHyphens/>
        <w:spacing w:before="240" w:after="120" w:line="288" w:lineRule="auto"/>
        <w:jc w:val="both"/>
        <w:rPr>
          <w:rFonts w:ascii="Arial" w:eastAsia="Times New Roman" w:hAnsi="Arial" w:cs="Arial"/>
          <w:iCs/>
          <w:lang w:eastAsia="hr-HR"/>
        </w:rPr>
      </w:pPr>
      <w:r w:rsidRPr="008F16D6">
        <w:rPr>
          <w:rFonts w:ascii="Arial" w:eastAsia="Times New Roman" w:hAnsi="Arial" w:cs="Arial"/>
          <w:iCs/>
          <w:lang w:eastAsia="hr-HR"/>
        </w:rPr>
        <w:t>Okruženje u kojem posluje i razvija se energetski sektor usmjerava buduće aktivnosti prema postupnoj i potpunoj dekarbonizaciji cjelokupnog lanca proizvodnje i potrošnje energije. Razvoj energetskog sektora u takvim uvjetima određen je raspoloživošću i tehno-ekonomskom konkurentnošću tehnologija za čistu proizvodnju sa smanjenom emisijom stakleničkih plinova, povećanjem energetske učinkovitosti i tranzicijom prema novim tehnologijama bez emisija stakleničkih plinova.</w:t>
      </w:r>
    </w:p>
    <w:p w14:paraId="0A467248" w14:textId="77777777"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ind w:left="709" w:hanging="576"/>
        <w:textAlignment w:val="center"/>
        <w:outlineLvl w:val="1"/>
        <w:rPr>
          <w:rFonts w:ascii="Arial" w:eastAsia="Times New Roman" w:hAnsi="Arial" w:cs="Myriad Pro Cond"/>
          <w:b/>
          <w:bCs/>
          <w:color w:val="BE1D2D"/>
          <w:sz w:val="28"/>
          <w:szCs w:val="36"/>
          <w:lang w:eastAsia="hr-HR"/>
        </w:rPr>
      </w:pPr>
      <w:bookmarkStart w:id="126" w:name="_Toc536190021"/>
      <w:bookmarkStart w:id="127" w:name="_Toc536193746"/>
      <w:bookmarkStart w:id="128" w:name="_Toc536791967"/>
      <w:bookmarkStart w:id="129" w:name="_Toc17876387"/>
      <w:r w:rsidRPr="008F16D6">
        <w:rPr>
          <w:rFonts w:ascii="Arial" w:eastAsia="Times New Roman" w:hAnsi="Arial" w:cs="Myriad Pro Cond"/>
          <w:b/>
          <w:bCs/>
          <w:color w:val="BE1D2D"/>
          <w:sz w:val="28"/>
          <w:szCs w:val="36"/>
          <w:lang w:eastAsia="hr-HR"/>
        </w:rPr>
        <w:t>Energetska učinkovitost</w:t>
      </w:r>
      <w:bookmarkEnd w:id="126"/>
      <w:bookmarkEnd w:id="127"/>
      <w:bookmarkEnd w:id="128"/>
      <w:bookmarkEnd w:id="129"/>
    </w:p>
    <w:p w14:paraId="4B9ADB0B"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Energetska tranzicija podrazumijeva povećanje energetske učinkovitosti cijelog energetskog lanca, uključujući proizvodnju, prijenos, distribuciju i neposrednu potrošnju energije. Pri tome se najsnažniji učinci očekuju u zgradarstvu i prometu, a posljedica su:</w:t>
      </w:r>
    </w:p>
    <w:p w14:paraId="0ED21941" w14:textId="77777777" w:rsidR="008F16D6" w:rsidRPr="008F16D6" w:rsidRDefault="008F16D6" w:rsidP="00181F22">
      <w:pPr>
        <w:numPr>
          <w:ilvl w:val="0"/>
          <w:numId w:val="7"/>
        </w:numPr>
        <w:tabs>
          <w:tab w:val="left" w:pos="431"/>
        </w:tabs>
        <w:suppressAutoHyphens/>
        <w:spacing w:before="240" w:after="120" w:line="240" w:lineRule="auto"/>
        <w:jc w:val="both"/>
        <w:rPr>
          <w:rFonts w:ascii="Arial" w:eastAsia="Times New Roman" w:hAnsi="Arial" w:cs="Tahoma"/>
          <w:lang w:eastAsia="ar-SA"/>
        </w:rPr>
      </w:pPr>
      <w:r w:rsidRPr="008F16D6">
        <w:rPr>
          <w:rFonts w:ascii="Arial" w:eastAsia="Times New Roman" w:hAnsi="Arial" w:cs="Tahoma"/>
          <w:lang w:eastAsia="ar-SA"/>
        </w:rPr>
        <w:t xml:space="preserve">energetske obnove fonda zgrada po prosječnoj godišnjoj stopi od 1,6 % u scenariju S2 odnosno od 3 % u scenariju S1 i </w:t>
      </w:r>
    </w:p>
    <w:p w14:paraId="2D1F8770" w14:textId="77777777" w:rsidR="008F16D6" w:rsidRPr="008F16D6" w:rsidRDefault="008F16D6" w:rsidP="00181F22">
      <w:pPr>
        <w:numPr>
          <w:ilvl w:val="0"/>
          <w:numId w:val="7"/>
        </w:numPr>
        <w:tabs>
          <w:tab w:val="left" w:pos="431"/>
        </w:tabs>
        <w:suppressAutoHyphens/>
        <w:spacing w:before="240" w:after="120" w:line="240" w:lineRule="auto"/>
        <w:jc w:val="both"/>
        <w:rPr>
          <w:rFonts w:ascii="Arial" w:eastAsia="Times New Roman" w:hAnsi="Arial" w:cs="Tahoma"/>
          <w:lang w:eastAsia="ar-SA"/>
        </w:rPr>
      </w:pPr>
      <w:r w:rsidRPr="008F16D6">
        <w:rPr>
          <w:rFonts w:ascii="Arial" w:eastAsia="Times New Roman" w:hAnsi="Arial" w:cs="Tahoma"/>
          <w:lang w:eastAsia="ar-SA"/>
        </w:rPr>
        <w:t>penetracije električnih i hibridnih vozila čiji udio u ukupnoj putničkoj aktivnosti u cestovnom prometu dostiže 3,5% u 2030., odnosno 65% u 2050. godini u scenariju S2 i 4,5% u 2030., odnosno 85% u 2050. godini u scenariju S1.</w:t>
      </w:r>
    </w:p>
    <w:p w14:paraId="2D9BAFB3" w14:textId="56EB834C"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Sukladno okvirnim ciljevima Republike Hrvatske, izraženim u apsolutnim vrijednostima primarne i neposredne potrošnje energije, prema EU direktivi o energetskoj učinkovitosti (</w:t>
      </w:r>
      <w:r w:rsidRPr="008F16D6">
        <w:rPr>
          <w:rFonts w:ascii="Arial" w:eastAsia="Times New Roman" w:hAnsi="Arial" w:cs="Times New Roman"/>
          <w:lang w:eastAsia="hr-HR"/>
        </w:rPr>
        <w:fldChar w:fldCharType="begin"/>
      </w:r>
      <w:r w:rsidRPr="008F16D6">
        <w:rPr>
          <w:rFonts w:ascii="Arial" w:eastAsia="Times New Roman" w:hAnsi="Arial" w:cs="Times New Roman"/>
          <w:lang w:eastAsia="hr-HR"/>
        </w:rPr>
        <w:instrText xml:space="preserve"> REF _Ref536014157 \h  \* MERGEFORMAT </w:instrText>
      </w:r>
      <w:r w:rsidRPr="008F16D6">
        <w:rPr>
          <w:rFonts w:ascii="Arial" w:eastAsia="Times New Roman" w:hAnsi="Arial" w:cs="Times New Roman"/>
          <w:lang w:eastAsia="hr-HR"/>
        </w:rPr>
      </w:r>
      <w:r w:rsidRPr="008F16D6">
        <w:rPr>
          <w:rFonts w:ascii="Arial" w:eastAsia="Times New Roman" w:hAnsi="Arial" w:cs="Times New Roman"/>
          <w:lang w:eastAsia="hr-HR"/>
        </w:rPr>
        <w:fldChar w:fldCharType="separate"/>
      </w:r>
      <w:r w:rsidR="00956178" w:rsidRPr="00956178">
        <w:rPr>
          <w:rFonts w:ascii="Arial" w:eastAsia="Times New Roman" w:hAnsi="Arial" w:cs="Times New Roman"/>
          <w:lang w:eastAsia="hr-HR"/>
        </w:rPr>
        <w:t>Tablica 5.</w:t>
      </w:r>
      <w:r w:rsidRPr="008F16D6">
        <w:rPr>
          <w:rFonts w:ascii="Arial" w:eastAsia="Times New Roman" w:hAnsi="Arial" w:cs="Times New Roman"/>
          <w:lang w:eastAsia="hr-HR"/>
        </w:rPr>
        <w:fldChar w:fldCharType="end"/>
      </w:r>
      <w:r w:rsidRPr="008F16D6">
        <w:rPr>
          <w:rFonts w:ascii="Arial" w:eastAsia="Times New Roman" w:hAnsi="Arial" w:cs="Times New Roman"/>
          <w:lang w:eastAsia="hr-HR"/>
        </w:rPr>
        <w:t>), smanjenje potrošnje primarne energije do 2030. godine iznosilo bi 1% i 18% do 2050. u odnosu na razinu potrošnje iz 2017. godine u scenariju S2 te 6% do 2030. i 28% do 2050. u scenariju S1.</w:t>
      </w:r>
    </w:p>
    <w:p w14:paraId="48B041F7" w14:textId="77777777" w:rsidR="008F16D6" w:rsidRPr="008F16D6" w:rsidRDefault="008F16D6" w:rsidP="008F16D6">
      <w:pPr>
        <w:keepNext/>
        <w:tabs>
          <w:tab w:val="left" w:pos="1247"/>
        </w:tabs>
        <w:suppressAutoHyphens/>
        <w:spacing w:before="360" w:after="120" w:line="288" w:lineRule="auto"/>
        <w:ind w:left="1247" w:hanging="1247"/>
        <w:jc w:val="center"/>
        <w:rPr>
          <w:rFonts w:ascii="Arial" w:eastAsia="Times New Roman" w:hAnsi="Arial" w:cs="Arial"/>
          <w:b/>
          <w:sz w:val="20"/>
          <w:szCs w:val="20"/>
          <w:lang w:eastAsia="hr-HR"/>
        </w:rPr>
      </w:pPr>
      <w:bookmarkStart w:id="130" w:name="_Ref536014157"/>
      <w:bookmarkStart w:id="131" w:name="_Toc536785252"/>
      <w:r w:rsidRPr="008F16D6">
        <w:rPr>
          <w:rFonts w:ascii="Arial" w:eastAsia="Times New Roman" w:hAnsi="Arial" w:cs="Arial"/>
          <w:b/>
          <w:sz w:val="20"/>
          <w:lang w:eastAsia="hr-HR"/>
        </w:rPr>
        <w:t>Tablica</w:t>
      </w:r>
      <w:r w:rsidR="00FB2843">
        <w:rPr>
          <w:rFonts w:ascii="Arial" w:eastAsia="Times New Roman" w:hAnsi="Arial" w:cs="Arial"/>
          <w:bCs/>
          <w:noProof/>
          <w:sz w:val="20"/>
          <w:lang w:eastAsia="hr-HR"/>
        </w:rPr>
        <w:t xml:space="preserve"> </w:t>
      </w:r>
      <w:r w:rsidR="00FB2843">
        <w:rPr>
          <w:rFonts w:ascii="Arial" w:eastAsia="Times New Roman" w:hAnsi="Arial" w:cs="Arial"/>
          <w:b/>
          <w:noProof/>
          <w:sz w:val="20"/>
          <w:lang w:eastAsia="hr-HR"/>
        </w:rPr>
        <w:t>5</w:t>
      </w:r>
      <w:r w:rsidRPr="008F16D6">
        <w:rPr>
          <w:rFonts w:ascii="Arial" w:eastAsia="Times New Roman" w:hAnsi="Arial" w:cs="Arial"/>
          <w:b/>
          <w:sz w:val="20"/>
          <w:szCs w:val="20"/>
          <w:lang w:eastAsia="hr-HR"/>
        </w:rPr>
        <w:t>.</w:t>
      </w:r>
      <w:bookmarkEnd w:id="130"/>
      <w:r w:rsidRPr="008F16D6">
        <w:rPr>
          <w:rFonts w:ascii="Arial" w:eastAsia="Times New Roman" w:hAnsi="Arial" w:cs="Arial"/>
          <w:b/>
          <w:sz w:val="20"/>
          <w:szCs w:val="20"/>
          <w:lang w:eastAsia="hr-HR"/>
        </w:rPr>
        <w:t xml:space="preserve"> Okvirni nacionalni ciljevi energetske učinkovitosti </w:t>
      </w:r>
      <w:bookmarkEnd w:id="131"/>
    </w:p>
    <w:tbl>
      <w:tblPr>
        <w:tblStyle w:val="GridTable1Light1"/>
        <w:tblW w:w="4915"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9"/>
        <w:gridCol w:w="1113"/>
        <w:gridCol w:w="714"/>
        <w:gridCol w:w="678"/>
        <w:gridCol w:w="833"/>
        <w:gridCol w:w="833"/>
        <w:gridCol w:w="833"/>
        <w:gridCol w:w="829"/>
      </w:tblGrid>
      <w:tr w:rsidR="008F16D6" w:rsidRPr="008F16D6" w14:paraId="0588A941" w14:textId="77777777" w:rsidTr="00AF6B8C">
        <w:trPr>
          <w:cnfStyle w:val="100000000000" w:firstRow="1" w:lastRow="0" w:firstColumn="0" w:lastColumn="0" w:oddVBand="0" w:evenVBand="0" w:oddHBand="0"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750" w:type="pct"/>
            <w:vMerge w:val="restart"/>
            <w:tcMar>
              <w:left w:w="28" w:type="dxa"/>
              <w:right w:w="28" w:type="dxa"/>
            </w:tcMar>
            <w:vAlign w:val="center"/>
          </w:tcPr>
          <w:p w14:paraId="2CDF75B3" w14:textId="77777777" w:rsidR="008F16D6" w:rsidRPr="008F16D6" w:rsidRDefault="008F16D6" w:rsidP="008F16D6">
            <w:pPr>
              <w:suppressAutoHyphens/>
              <w:rPr>
                <w:rFonts w:cs="Arial"/>
                <w:sz w:val="20"/>
                <w:szCs w:val="20"/>
              </w:rPr>
            </w:pPr>
          </w:p>
          <w:p w14:paraId="13B32D1F" w14:textId="77777777" w:rsidR="008F16D6" w:rsidRPr="008F16D6" w:rsidRDefault="008F16D6" w:rsidP="008F16D6">
            <w:pPr>
              <w:suppressAutoHyphens/>
              <w:rPr>
                <w:rFonts w:cs="Arial"/>
                <w:sz w:val="20"/>
                <w:szCs w:val="20"/>
              </w:rPr>
            </w:pPr>
          </w:p>
        </w:tc>
        <w:tc>
          <w:tcPr>
            <w:tcW w:w="620" w:type="pct"/>
            <w:tcMar>
              <w:left w:w="28" w:type="dxa"/>
              <w:right w:w="28" w:type="dxa"/>
            </w:tcMar>
            <w:vAlign w:val="center"/>
          </w:tcPr>
          <w:p w14:paraId="5BD6B09D" w14:textId="77777777" w:rsidR="008F16D6" w:rsidRPr="008F16D6" w:rsidRDefault="008F16D6" w:rsidP="008F16D6">
            <w:pPr>
              <w:suppressAutoHyphens/>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8F16D6">
              <w:rPr>
                <w:rFonts w:cs="Arial"/>
                <w:sz w:val="20"/>
                <w:szCs w:val="20"/>
              </w:rPr>
              <w:t>Polazna godina</w:t>
            </w:r>
          </w:p>
        </w:tc>
        <w:tc>
          <w:tcPr>
            <w:tcW w:w="1240" w:type="pct"/>
            <w:gridSpan w:val="3"/>
            <w:tcMar>
              <w:left w:w="28" w:type="dxa"/>
              <w:right w:w="28" w:type="dxa"/>
            </w:tcMar>
            <w:vAlign w:val="center"/>
          </w:tcPr>
          <w:p w14:paraId="56425345" w14:textId="77777777" w:rsidR="008F16D6" w:rsidRPr="008F16D6" w:rsidRDefault="008F16D6" w:rsidP="008F16D6">
            <w:pPr>
              <w:suppressAutoHyphens/>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8F16D6">
              <w:rPr>
                <w:rFonts w:cs="Arial"/>
                <w:sz w:val="20"/>
                <w:szCs w:val="20"/>
              </w:rPr>
              <w:t>Scenarij S1 (PJ)</w:t>
            </w:r>
          </w:p>
        </w:tc>
        <w:tc>
          <w:tcPr>
            <w:tcW w:w="1390" w:type="pct"/>
            <w:gridSpan w:val="3"/>
            <w:tcMar>
              <w:left w:w="28" w:type="dxa"/>
              <w:right w:w="28" w:type="dxa"/>
            </w:tcMar>
            <w:vAlign w:val="center"/>
          </w:tcPr>
          <w:p w14:paraId="49816EE8" w14:textId="77777777" w:rsidR="008F16D6" w:rsidRPr="008F16D6" w:rsidRDefault="008F16D6" w:rsidP="008F16D6">
            <w:pPr>
              <w:suppressAutoHyphens/>
              <w:jc w:val="center"/>
              <w:cnfStyle w:val="100000000000" w:firstRow="1" w:lastRow="0" w:firstColumn="0" w:lastColumn="0" w:oddVBand="0" w:evenVBand="0" w:oddHBand="0" w:evenHBand="0" w:firstRowFirstColumn="0" w:firstRowLastColumn="0" w:lastRowFirstColumn="0" w:lastRowLastColumn="0"/>
              <w:rPr>
                <w:rFonts w:cs="Arial"/>
                <w:sz w:val="20"/>
                <w:szCs w:val="20"/>
              </w:rPr>
            </w:pPr>
            <w:r w:rsidRPr="008F16D6">
              <w:rPr>
                <w:rFonts w:cs="Arial"/>
                <w:sz w:val="20"/>
                <w:szCs w:val="20"/>
              </w:rPr>
              <w:t>Scenarij S2 (PJ)</w:t>
            </w:r>
          </w:p>
        </w:tc>
      </w:tr>
      <w:tr w:rsidR="008F16D6" w:rsidRPr="008F16D6" w14:paraId="557B0D9E" w14:textId="77777777" w:rsidTr="00AF6B8C">
        <w:trPr>
          <w:trHeight w:val="418"/>
        </w:trPr>
        <w:tc>
          <w:tcPr>
            <w:cnfStyle w:val="001000000000" w:firstRow="0" w:lastRow="0" w:firstColumn="1" w:lastColumn="0" w:oddVBand="0" w:evenVBand="0" w:oddHBand="0" w:evenHBand="0" w:firstRowFirstColumn="0" w:firstRowLastColumn="0" w:lastRowFirstColumn="0" w:lastRowLastColumn="0"/>
            <w:tcW w:w="1750" w:type="pct"/>
            <w:vMerge/>
            <w:tcMar>
              <w:left w:w="28" w:type="dxa"/>
              <w:right w:w="28" w:type="dxa"/>
            </w:tcMar>
            <w:vAlign w:val="center"/>
          </w:tcPr>
          <w:p w14:paraId="66D1D676" w14:textId="77777777" w:rsidR="008F16D6" w:rsidRPr="008F16D6" w:rsidRDefault="008F16D6" w:rsidP="008F16D6">
            <w:pPr>
              <w:suppressAutoHyphens/>
              <w:rPr>
                <w:rFonts w:cs="Arial"/>
                <w:sz w:val="20"/>
                <w:szCs w:val="20"/>
              </w:rPr>
            </w:pPr>
          </w:p>
        </w:tc>
        <w:tc>
          <w:tcPr>
            <w:tcW w:w="620" w:type="pct"/>
            <w:tcMar>
              <w:left w:w="28" w:type="dxa"/>
              <w:right w:w="28" w:type="dxa"/>
            </w:tcMar>
            <w:vAlign w:val="center"/>
          </w:tcPr>
          <w:p w14:paraId="1B1D6162" w14:textId="77777777" w:rsidR="008F16D6" w:rsidRPr="008F16D6" w:rsidRDefault="008F16D6" w:rsidP="008F16D6">
            <w:pPr>
              <w:suppressAutoHyphens/>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F16D6">
              <w:rPr>
                <w:rFonts w:cs="Arial"/>
                <w:sz w:val="20"/>
                <w:szCs w:val="20"/>
              </w:rPr>
              <w:t>2017.</w:t>
            </w:r>
          </w:p>
        </w:tc>
        <w:tc>
          <w:tcPr>
            <w:tcW w:w="398" w:type="pct"/>
            <w:tcMar>
              <w:left w:w="28" w:type="dxa"/>
              <w:right w:w="28" w:type="dxa"/>
            </w:tcMar>
            <w:vAlign w:val="center"/>
          </w:tcPr>
          <w:p w14:paraId="512DB163" w14:textId="77777777" w:rsidR="008F16D6" w:rsidRPr="008F16D6" w:rsidRDefault="008F16D6" w:rsidP="008F16D6">
            <w:pPr>
              <w:suppressAutoHyphens/>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F16D6">
              <w:rPr>
                <w:rFonts w:cs="Arial"/>
                <w:sz w:val="20"/>
                <w:szCs w:val="20"/>
              </w:rPr>
              <w:t>2030.</w:t>
            </w:r>
          </w:p>
        </w:tc>
        <w:tc>
          <w:tcPr>
            <w:tcW w:w="378" w:type="pct"/>
            <w:tcMar>
              <w:left w:w="28" w:type="dxa"/>
              <w:right w:w="28" w:type="dxa"/>
            </w:tcMar>
            <w:vAlign w:val="center"/>
          </w:tcPr>
          <w:p w14:paraId="60FAF310" w14:textId="77777777" w:rsidR="008F16D6" w:rsidRPr="008F16D6" w:rsidRDefault="008F16D6" w:rsidP="008F16D6">
            <w:pPr>
              <w:suppressAutoHyphens/>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F16D6">
              <w:rPr>
                <w:rFonts w:cs="Arial"/>
                <w:sz w:val="20"/>
                <w:szCs w:val="20"/>
              </w:rPr>
              <w:t>2040.</w:t>
            </w:r>
          </w:p>
        </w:tc>
        <w:tc>
          <w:tcPr>
            <w:tcW w:w="464" w:type="pct"/>
            <w:tcMar>
              <w:left w:w="28" w:type="dxa"/>
              <w:right w:w="28" w:type="dxa"/>
            </w:tcMar>
            <w:vAlign w:val="center"/>
          </w:tcPr>
          <w:p w14:paraId="164B8D53" w14:textId="77777777" w:rsidR="008F16D6" w:rsidRPr="008F16D6" w:rsidRDefault="008F16D6" w:rsidP="008F16D6">
            <w:pPr>
              <w:suppressAutoHyphens/>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F16D6">
              <w:rPr>
                <w:rFonts w:cs="Arial"/>
                <w:sz w:val="20"/>
                <w:szCs w:val="20"/>
              </w:rPr>
              <w:t>2050.</w:t>
            </w:r>
          </w:p>
        </w:tc>
        <w:tc>
          <w:tcPr>
            <w:tcW w:w="464" w:type="pct"/>
            <w:tcMar>
              <w:left w:w="28" w:type="dxa"/>
              <w:right w:w="28" w:type="dxa"/>
            </w:tcMar>
            <w:vAlign w:val="center"/>
          </w:tcPr>
          <w:p w14:paraId="6B795AD4" w14:textId="77777777" w:rsidR="008F16D6" w:rsidRPr="008F16D6" w:rsidRDefault="008F16D6" w:rsidP="008F16D6">
            <w:pPr>
              <w:suppressAutoHyphens/>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F16D6">
              <w:rPr>
                <w:rFonts w:cs="Arial"/>
                <w:sz w:val="20"/>
                <w:szCs w:val="20"/>
              </w:rPr>
              <w:t>2030.</w:t>
            </w:r>
          </w:p>
        </w:tc>
        <w:tc>
          <w:tcPr>
            <w:tcW w:w="464" w:type="pct"/>
            <w:tcMar>
              <w:left w:w="28" w:type="dxa"/>
              <w:right w:w="28" w:type="dxa"/>
            </w:tcMar>
            <w:vAlign w:val="center"/>
          </w:tcPr>
          <w:p w14:paraId="299E6144" w14:textId="77777777" w:rsidR="008F16D6" w:rsidRPr="008F16D6" w:rsidRDefault="008F16D6" w:rsidP="008F16D6">
            <w:pPr>
              <w:suppressAutoHyphens/>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F16D6">
              <w:rPr>
                <w:rFonts w:cs="Arial"/>
                <w:sz w:val="20"/>
                <w:szCs w:val="20"/>
              </w:rPr>
              <w:t>2040.</w:t>
            </w:r>
          </w:p>
        </w:tc>
        <w:tc>
          <w:tcPr>
            <w:tcW w:w="462" w:type="pct"/>
            <w:tcMar>
              <w:left w:w="28" w:type="dxa"/>
              <w:right w:w="28" w:type="dxa"/>
            </w:tcMar>
            <w:vAlign w:val="center"/>
          </w:tcPr>
          <w:p w14:paraId="3C06370F" w14:textId="77777777" w:rsidR="008F16D6" w:rsidRPr="008F16D6" w:rsidRDefault="008F16D6" w:rsidP="008F16D6">
            <w:pPr>
              <w:suppressAutoHyphens/>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F16D6">
              <w:rPr>
                <w:rFonts w:cs="Arial"/>
                <w:sz w:val="20"/>
                <w:szCs w:val="20"/>
              </w:rPr>
              <w:t>2050.</w:t>
            </w:r>
          </w:p>
        </w:tc>
      </w:tr>
      <w:tr w:rsidR="008F16D6" w:rsidRPr="008F16D6" w14:paraId="18871680" w14:textId="77777777" w:rsidTr="00AF6B8C">
        <w:trPr>
          <w:trHeight w:val="308"/>
        </w:trPr>
        <w:tc>
          <w:tcPr>
            <w:cnfStyle w:val="001000000000" w:firstRow="0" w:lastRow="0" w:firstColumn="1" w:lastColumn="0" w:oddVBand="0" w:evenVBand="0" w:oddHBand="0" w:evenHBand="0" w:firstRowFirstColumn="0" w:firstRowLastColumn="0" w:lastRowFirstColumn="0" w:lastRowLastColumn="0"/>
            <w:tcW w:w="1750" w:type="pct"/>
            <w:tcMar>
              <w:left w:w="28" w:type="dxa"/>
              <w:right w:w="28" w:type="dxa"/>
            </w:tcMar>
            <w:vAlign w:val="center"/>
          </w:tcPr>
          <w:p w14:paraId="6CC65810" w14:textId="77777777" w:rsidR="008F16D6" w:rsidRPr="008F16D6" w:rsidRDefault="008F16D6" w:rsidP="008F16D6">
            <w:pPr>
              <w:suppressAutoHyphens/>
              <w:rPr>
                <w:rFonts w:cs="Arial"/>
                <w:sz w:val="20"/>
                <w:szCs w:val="20"/>
              </w:rPr>
            </w:pPr>
            <w:r w:rsidRPr="008F16D6">
              <w:rPr>
                <w:rFonts w:cs="Arial"/>
                <w:sz w:val="20"/>
                <w:szCs w:val="20"/>
              </w:rPr>
              <w:t>Potrošnja primarne energije*</w:t>
            </w:r>
          </w:p>
        </w:tc>
        <w:tc>
          <w:tcPr>
            <w:tcW w:w="620" w:type="pct"/>
            <w:tcMar>
              <w:left w:w="28" w:type="dxa"/>
              <w:right w:w="28" w:type="dxa"/>
            </w:tcMar>
            <w:vAlign w:val="center"/>
          </w:tcPr>
          <w:p w14:paraId="102D4CB6" w14:textId="77777777" w:rsidR="008F16D6" w:rsidRPr="008F16D6" w:rsidRDefault="008F16D6" w:rsidP="008F16D6">
            <w:pPr>
              <w:suppressAutoHyphens/>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F16D6">
              <w:rPr>
                <w:rFonts w:cs="Arial"/>
                <w:sz w:val="20"/>
                <w:szCs w:val="20"/>
              </w:rPr>
              <w:t>349,4</w:t>
            </w:r>
          </w:p>
        </w:tc>
        <w:tc>
          <w:tcPr>
            <w:tcW w:w="398" w:type="pct"/>
            <w:tcMar>
              <w:left w:w="28" w:type="dxa"/>
              <w:right w:w="28" w:type="dxa"/>
            </w:tcMar>
            <w:vAlign w:val="center"/>
          </w:tcPr>
          <w:p w14:paraId="34E48F00" w14:textId="77777777" w:rsidR="008F16D6" w:rsidRPr="008F16D6" w:rsidRDefault="008F16D6" w:rsidP="008F16D6">
            <w:pPr>
              <w:suppressAutoHyphens/>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F16D6">
              <w:rPr>
                <w:rFonts w:cs="Arial"/>
                <w:color w:val="000000"/>
                <w:sz w:val="20"/>
                <w:szCs w:val="20"/>
              </w:rPr>
              <w:t>328,7</w:t>
            </w:r>
          </w:p>
        </w:tc>
        <w:tc>
          <w:tcPr>
            <w:tcW w:w="378" w:type="pct"/>
            <w:tcMar>
              <w:left w:w="28" w:type="dxa"/>
              <w:right w:w="28" w:type="dxa"/>
            </w:tcMar>
            <w:vAlign w:val="center"/>
          </w:tcPr>
          <w:p w14:paraId="3F4EC546" w14:textId="77777777" w:rsidR="008F16D6" w:rsidRPr="008F16D6" w:rsidRDefault="008F16D6" w:rsidP="008F16D6">
            <w:pPr>
              <w:suppressAutoHyphens/>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F16D6">
              <w:rPr>
                <w:rFonts w:cs="Arial"/>
                <w:color w:val="000000"/>
                <w:sz w:val="20"/>
                <w:szCs w:val="20"/>
              </w:rPr>
              <w:t>292,2</w:t>
            </w:r>
          </w:p>
        </w:tc>
        <w:tc>
          <w:tcPr>
            <w:tcW w:w="464" w:type="pct"/>
            <w:tcMar>
              <w:left w:w="28" w:type="dxa"/>
              <w:right w:w="28" w:type="dxa"/>
            </w:tcMar>
            <w:vAlign w:val="center"/>
          </w:tcPr>
          <w:p w14:paraId="4BF2D2D7" w14:textId="77777777" w:rsidR="008F16D6" w:rsidRPr="008F16D6" w:rsidRDefault="008F16D6" w:rsidP="008F16D6">
            <w:pPr>
              <w:suppressAutoHyphens/>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F16D6">
              <w:rPr>
                <w:rFonts w:cs="Arial"/>
                <w:color w:val="000000"/>
                <w:sz w:val="20"/>
                <w:szCs w:val="20"/>
              </w:rPr>
              <w:t>251,0</w:t>
            </w:r>
          </w:p>
        </w:tc>
        <w:tc>
          <w:tcPr>
            <w:tcW w:w="464" w:type="pct"/>
            <w:tcMar>
              <w:left w:w="28" w:type="dxa"/>
              <w:right w:w="28" w:type="dxa"/>
            </w:tcMar>
            <w:vAlign w:val="center"/>
          </w:tcPr>
          <w:p w14:paraId="3D8F55BA" w14:textId="77777777" w:rsidR="008F16D6" w:rsidRPr="008F16D6" w:rsidRDefault="008F16D6" w:rsidP="008F16D6">
            <w:pPr>
              <w:suppressAutoHyphens/>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F16D6">
              <w:rPr>
                <w:rFonts w:cs="Arial"/>
                <w:color w:val="000000"/>
                <w:sz w:val="20"/>
                <w:szCs w:val="20"/>
              </w:rPr>
              <w:t>344,4</w:t>
            </w:r>
          </w:p>
        </w:tc>
        <w:tc>
          <w:tcPr>
            <w:tcW w:w="464" w:type="pct"/>
            <w:tcMar>
              <w:left w:w="28" w:type="dxa"/>
              <w:right w:w="28" w:type="dxa"/>
            </w:tcMar>
            <w:vAlign w:val="center"/>
          </w:tcPr>
          <w:p w14:paraId="3ED88F52" w14:textId="77777777" w:rsidR="008F16D6" w:rsidRPr="008F16D6" w:rsidRDefault="008F16D6" w:rsidP="008F16D6">
            <w:pPr>
              <w:suppressAutoHyphens/>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F16D6">
              <w:rPr>
                <w:rFonts w:cs="Arial"/>
                <w:color w:val="000000"/>
                <w:sz w:val="20"/>
                <w:szCs w:val="20"/>
              </w:rPr>
              <w:t>325,7</w:t>
            </w:r>
          </w:p>
        </w:tc>
        <w:tc>
          <w:tcPr>
            <w:tcW w:w="462" w:type="pct"/>
            <w:tcMar>
              <w:left w:w="28" w:type="dxa"/>
              <w:right w:w="28" w:type="dxa"/>
            </w:tcMar>
            <w:vAlign w:val="center"/>
          </w:tcPr>
          <w:p w14:paraId="14FF12F6" w14:textId="77777777" w:rsidR="008F16D6" w:rsidRPr="008F16D6" w:rsidRDefault="008F16D6" w:rsidP="008F16D6">
            <w:pPr>
              <w:suppressAutoHyphens/>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F16D6">
              <w:rPr>
                <w:rFonts w:cs="Arial"/>
                <w:color w:val="000000"/>
                <w:sz w:val="20"/>
                <w:szCs w:val="20"/>
              </w:rPr>
              <w:t>287,4</w:t>
            </w:r>
          </w:p>
        </w:tc>
      </w:tr>
      <w:tr w:rsidR="008F16D6" w:rsidRPr="008F16D6" w14:paraId="0FC8C677" w14:textId="77777777" w:rsidTr="00AF6B8C">
        <w:trPr>
          <w:trHeight w:val="308"/>
        </w:trPr>
        <w:tc>
          <w:tcPr>
            <w:cnfStyle w:val="001000000000" w:firstRow="0" w:lastRow="0" w:firstColumn="1" w:lastColumn="0" w:oddVBand="0" w:evenVBand="0" w:oddHBand="0" w:evenHBand="0" w:firstRowFirstColumn="0" w:firstRowLastColumn="0" w:lastRowFirstColumn="0" w:lastRowLastColumn="0"/>
            <w:tcW w:w="1750" w:type="pct"/>
            <w:tcMar>
              <w:left w:w="28" w:type="dxa"/>
              <w:right w:w="28" w:type="dxa"/>
            </w:tcMar>
            <w:vAlign w:val="center"/>
          </w:tcPr>
          <w:p w14:paraId="1176E9A5" w14:textId="77777777" w:rsidR="008F16D6" w:rsidRPr="008F16D6" w:rsidRDefault="008F16D6" w:rsidP="008F16D6">
            <w:pPr>
              <w:suppressAutoHyphens/>
              <w:rPr>
                <w:rFonts w:cs="Arial"/>
                <w:sz w:val="20"/>
                <w:szCs w:val="20"/>
              </w:rPr>
            </w:pPr>
            <w:r w:rsidRPr="008F16D6">
              <w:rPr>
                <w:rFonts w:cs="Arial"/>
                <w:sz w:val="20"/>
                <w:szCs w:val="20"/>
              </w:rPr>
              <w:t>Neposredna potrošnja energije</w:t>
            </w:r>
          </w:p>
        </w:tc>
        <w:tc>
          <w:tcPr>
            <w:tcW w:w="620" w:type="pct"/>
            <w:tcMar>
              <w:left w:w="28" w:type="dxa"/>
              <w:right w:w="28" w:type="dxa"/>
            </w:tcMar>
            <w:vAlign w:val="center"/>
          </w:tcPr>
          <w:p w14:paraId="19EE1AD0" w14:textId="77777777" w:rsidR="008F16D6" w:rsidRPr="008F16D6" w:rsidRDefault="008F16D6" w:rsidP="008F16D6">
            <w:pPr>
              <w:suppressAutoHyphens/>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F16D6">
              <w:rPr>
                <w:rFonts w:cs="Arial"/>
                <w:sz w:val="20"/>
                <w:szCs w:val="20"/>
              </w:rPr>
              <w:t>289,9</w:t>
            </w:r>
          </w:p>
        </w:tc>
        <w:tc>
          <w:tcPr>
            <w:tcW w:w="398" w:type="pct"/>
            <w:tcMar>
              <w:left w:w="28" w:type="dxa"/>
              <w:right w:w="28" w:type="dxa"/>
            </w:tcMar>
            <w:vAlign w:val="center"/>
          </w:tcPr>
          <w:p w14:paraId="5E87560F" w14:textId="77777777" w:rsidR="008F16D6" w:rsidRPr="008F16D6" w:rsidRDefault="008F16D6" w:rsidP="008F16D6">
            <w:pPr>
              <w:suppressAutoHyphens/>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F16D6">
              <w:rPr>
                <w:rFonts w:cs="Arial"/>
                <w:sz w:val="20"/>
                <w:szCs w:val="20"/>
              </w:rPr>
              <w:t>272,5</w:t>
            </w:r>
          </w:p>
        </w:tc>
        <w:tc>
          <w:tcPr>
            <w:tcW w:w="378" w:type="pct"/>
            <w:tcMar>
              <w:left w:w="28" w:type="dxa"/>
              <w:right w:w="28" w:type="dxa"/>
            </w:tcMar>
            <w:vAlign w:val="center"/>
          </w:tcPr>
          <w:p w14:paraId="08FD55A5" w14:textId="77777777" w:rsidR="008F16D6" w:rsidRPr="008F16D6" w:rsidRDefault="008F16D6" w:rsidP="008F16D6">
            <w:pPr>
              <w:suppressAutoHyphens/>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F16D6">
              <w:rPr>
                <w:rFonts w:cs="Arial"/>
                <w:sz w:val="20"/>
                <w:szCs w:val="20"/>
              </w:rPr>
              <w:t>238,3</w:t>
            </w:r>
          </w:p>
        </w:tc>
        <w:tc>
          <w:tcPr>
            <w:tcW w:w="464" w:type="pct"/>
            <w:tcMar>
              <w:left w:w="28" w:type="dxa"/>
              <w:right w:w="28" w:type="dxa"/>
            </w:tcMar>
            <w:vAlign w:val="center"/>
          </w:tcPr>
          <w:p w14:paraId="79CB4666" w14:textId="77777777" w:rsidR="008F16D6" w:rsidRPr="008F16D6" w:rsidRDefault="008F16D6" w:rsidP="008F16D6">
            <w:pPr>
              <w:suppressAutoHyphens/>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F16D6">
              <w:rPr>
                <w:rFonts w:cs="Arial"/>
                <w:sz w:val="20"/>
                <w:szCs w:val="20"/>
              </w:rPr>
              <w:t>189,6</w:t>
            </w:r>
          </w:p>
        </w:tc>
        <w:tc>
          <w:tcPr>
            <w:tcW w:w="464" w:type="pct"/>
            <w:tcMar>
              <w:left w:w="28" w:type="dxa"/>
              <w:right w:w="28" w:type="dxa"/>
            </w:tcMar>
            <w:vAlign w:val="center"/>
          </w:tcPr>
          <w:p w14:paraId="06589E62" w14:textId="77777777" w:rsidR="008F16D6" w:rsidRPr="008F16D6" w:rsidRDefault="008F16D6" w:rsidP="008F16D6">
            <w:pPr>
              <w:suppressAutoHyphens/>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F16D6">
              <w:rPr>
                <w:rFonts w:cs="Arial"/>
                <w:color w:val="000000"/>
                <w:sz w:val="20"/>
                <w:szCs w:val="20"/>
              </w:rPr>
              <w:t>286,9</w:t>
            </w:r>
          </w:p>
        </w:tc>
        <w:tc>
          <w:tcPr>
            <w:tcW w:w="464" w:type="pct"/>
            <w:tcMar>
              <w:left w:w="28" w:type="dxa"/>
              <w:right w:w="28" w:type="dxa"/>
            </w:tcMar>
            <w:vAlign w:val="center"/>
          </w:tcPr>
          <w:p w14:paraId="10C0DBAA" w14:textId="77777777" w:rsidR="008F16D6" w:rsidRPr="008F16D6" w:rsidRDefault="008F16D6" w:rsidP="008F16D6">
            <w:pPr>
              <w:suppressAutoHyphens/>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F16D6">
              <w:rPr>
                <w:rFonts w:cs="Arial"/>
                <w:color w:val="000000"/>
                <w:sz w:val="20"/>
                <w:szCs w:val="20"/>
              </w:rPr>
              <w:t>265,2</w:t>
            </w:r>
          </w:p>
        </w:tc>
        <w:tc>
          <w:tcPr>
            <w:tcW w:w="462" w:type="pct"/>
            <w:tcMar>
              <w:left w:w="28" w:type="dxa"/>
              <w:right w:w="28" w:type="dxa"/>
            </w:tcMar>
            <w:vAlign w:val="center"/>
          </w:tcPr>
          <w:p w14:paraId="51B7B5DD" w14:textId="77777777" w:rsidR="008F16D6" w:rsidRPr="008F16D6" w:rsidRDefault="008F16D6" w:rsidP="008F16D6">
            <w:pPr>
              <w:suppressAutoHyphens/>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8F16D6">
              <w:rPr>
                <w:rFonts w:cs="Arial"/>
                <w:color w:val="000000"/>
                <w:sz w:val="20"/>
                <w:szCs w:val="20"/>
              </w:rPr>
              <w:t>225,6</w:t>
            </w:r>
          </w:p>
        </w:tc>
      </w:tr>
    </w:tbl>
    <w:p w14:paraId="24727B47" w14:textId="77777777" w:rsidR="008F16D6" w:rsidRPr="008F16D6" w:rsidRDefault="008F16D6" w:rsidP="008F16D6">
      <w:pPr>
        <w:suppressAutoHyphens/>
        <w:spacing w:before="120" w:after="120" w:line="240" w:lineRule="auto"/>
        <w:jc w:val="both"/>
        <w:rPr>
          <w:rFonts w:ascii="Arial" w:eastAsia="Times New Roman" w:hAnsi="Arial" w:cs="Times New Roman"/>
          <w:i/>
          <w:sz w:val="18"/>
          <w:szCs w:val="18"/>
          <w:lang w:eastAsia="hr-HR"/>
        </w:rPr>
      </w:pPr>
      <w:r w:rsidRPr="008F16D6">
        <w:rPr>
          <w:rFonts w:ascii="Arial" w:eastAsia="Times New Roman" w:hAnsi="Arial" w:cs="Times New Roman"/>
          <w:i/>
          <w:sz w:val="18"/>
          <w:szCs w:val="18"/>
          <w:lang w:eastAsia="hr-HR"/>
        </w:rPr>
        <w:t>* - ukupna potrošnja energije bez neenergetske potrošnje</w:t>
      </w:r>
    </w:p>
    <w:p w14:paraId="56F02789"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Povećanjem energetske učinkovitosti ostvarit će se koristi za okoliš, smanjiti emisije stakleničkih plinova, poboljšati energetska sigurnost, sniziti troškovi energije te ublažiti energetsko siromaštvo. To će dovesti do veće konkurentnosti, povećanja zaposlenosti i povećane gospodarske aktivnosti, čime će se poboljšati kvaliteta života građana.</w:t>
      </w:r>
    </w:p>
    <w:p w14:paraId="56299D51" w14:textId="77777777"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ind w:left="576" w:hanging="576"/>
        <w:textAlignment w:val="center"/>
        <w:outlineLvl w:val="1"/>
        <w:rPr>
          <w:rFonts w:ascii="Arial" w:eastAsia="Times New Roman" w:hAnsi="Arial" w:cs="Myriad Pro Cond"/>
          <w:b/>
          <w:bCs/>
          <w:color w:val="BE1D2D"/>
          <w:sz w:val="28"/>
          <w:szCs w:val="36"/>
          <w:lang w:eastAsia="hr-HR"/>
        </w:rPr>
      </w:pPr>
      <w:bookmarkStart w:id="132" w:name="_Ref4569129"/>
      <w:bookmarkStart w:id="133" w:name="_Toc17876388"/>
      <w:r w:rsidRPr="008F16D6">
        <w:rPr>
          <w:rFonts w:ascii="Arial" w:eastAsia="Times New Roman" w:hAnsi="Arial" w:cs="Myriad Pro Cond"/>
          <w:b/>
          <w:bCs/>
          <w:color w:val="BE1D2D"/>
          <w:sz w:val="28"/>
          <w:szCs w:val="36"/>
          <w:lang w:eastAsia="hr-HR"/>
        </w:rPr>
        <w:t>Obnovljivi izvori energije</w:t>
      </w:r>
      <w:bookmarkEnd w:id="132"/>
      <w:bookmarkEnd w:id="133"/>
    </w:p>
    <w:p w14:paraId="15851182"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RED II direktiva</w:t>
      </w:r>
      <w:r w:rsidRPr="008F16D6" w:rsidDel="00AA25E7">
        <w:rPr>
          <w:rFonts w:ascii="Arial" w:eastAsia="Times New Roman" w:hAnsi="Arial" w:cs="Times New Roman"/>
          <w:lang w:eastAsia="hr-HR"/>
        </w:rPr>
        <w:t xml:space="preserve"> </w:t>
      </w:r>
      <w:r w:rsidRPr="008F16D6">
        <w:rPr>
          <w:rFonts w:ascii="Arial" w:eastAsia="Times New Roman" w:hAnsi="Arial" w:cs="Times New Roman"/>
          <w:lang w:eastAsia="hr-HR"/>
        </w:rPr>
        <w:t>o promicanju uporabe energije iz OIE definira zajednički cilj na razini EU do 2030. godine u iznosu od 32% udjela OIE u bruto neposrednoj potrošnji energije. Republika Hrvatska će svakako sukladno preuzetim obvezama težiti ka ostvarenju cilja od 32% udjela OIE u bruto neposrednoj potrošnji energije do 2030. godine. Međutim, sukladno provedenim analizama u razmatranim scenarijima, ovisno o ispunjenju pojedinih pretpostavki očekivani udio OIE u Republici Hrvatskoj može biti veći od ciljanog prosjeka za EU.</w:t>
      </w:r>
    </w:p>
    <w:p w14:paraId="2CFD5CFA"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U slučaju ostvarenja svih pretpostavki koje su analizirane u razmatranim scenarijima, moguće je u oba scenarija ostvariti cilj od oko 37% udjela OIE do 2030. godine odnosno veći cilj od EU cilja, a što će omogućiti korištenje dodatnih mehanizama iz EU direktive</w:t>
      </w:r>
      <w:r w:rsidRPr="008F16D6" w:rsidDel="00AA25E7">
        <w:rPr>
          <w:rFonts w:ascii="Arial" w:eastAsia="Times New Roman" w:hAnsi="Arial" w:cs="Times New Roman"/>
          <w:lang w:eastAsia="hr-HR"/>
        </w:rPr>
        <w:t xml:space="preserve"> </w:t>
      </w:r>
      <w:r w:rsidRPr="008F16D6">
        <w:rPr>
          <w:rFonts w:ascii="Arial" w:eastAsia="Times New Roman" w:hAnsi="Arial" w:cs="Times New Roman"/>
          <w:lang w:eastAsia="hr-HR"/>
        </w:rPr>
        <w:t>o promicanju uporabe energije iz OIE kao što je mogućnost izvoza certifikata „zelene“ energije iz OIE. Povećanje udjela OIE je posljedica povećanja udjela potrošnje električne energije, povećanja proizvodnje električne energije iz OIE-a i smanjenja ukupne potrošnje energije.</w:t>
      </w:r>
    </w:p>
    <w:p w14:paraId="0EE4B7DE" w14:textId="77777777" w:rsidR="008F16D6" w:rsidRPr="008F16D6" w:rsidRDefault="008F16D6" w:rsidP="008F16D6">
      <w:pPr>
        <w:suppressAutoHyphens/>
        <w:spacing w:before="240" w:after="120" w:line="288" w:lineRule="auto"/>
        <w:jc w:val="center"/>
        <w:rPr>
          <w:rFonts w:ascii="Arial" w:eastAsia="Times New Roman" w:hAnsi="Arial" w:cs="Times New Roman"/>
          <w:lang w:eastAsia="hr-HR"/>
        </w:rPr>
      </w:pPr>
      <w:r w:rsidRPr="008F16D6">
        <w:rPr>
          <w:rFonts w:ascii="Arial" w:eastAsia="Times New Roman" w:hAnsi="Arial" w:cs="Times New Roman"/>
          <w:noProof/>
          <w:lang w:eastAsia="hr-HR"/>
        </w:rPr>
        <w:drawing>
          <wp:inline distT="0" distB="0" distL="0" distR="0" wp14:anchorId="3B133721" wp14:editId="55ED3992">
            <wp:extent cx="4625340" cy="2931621"/>
            <wp:effectExtent l="0" t="0" r="3810" b="2540"/>
            <wp:docPr id="1517485345" name="Picture 151748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1255" t="1444" r="966" b="1415"/>
                    <a:stretch/>
                  </pic:blipFill>
                  <pic:spPr bwMode="auto">
                    <a:xfrm>
                      <a:off x="0" y="0"/>
                      <a:ext cx="4640334" cy="2941124"/>
                    </a:xfrm>
                    <a:prstGeom prst="rect">
                      <a:avLst/>
                    </a:prstGeom>
                    <a:noFill/>
                    <a:ln>
                      <a:noFill/>
                    </a:ln>
                    <a:extLst>
                      <a:ext uri="{53640926-AAD7-44D8-BBD7-CCE9431645EC}">
                        <a14:shadowObscured xmlns:a14="http://schemas.microsoft.com/office/drawing/2010/main"/>
                      </a:ext>
                    </a:extLst>
                  </pic:spPr>
                </pic:pic>
              </a:graphicData>
            </a:graphic>
          </wp:inline>
        </w:drawing>
      </w:r>
    </w:p>
    <w:p w14:paraId="776E7957" w14:textId="0E269D32" w:rsidR="008F16D6" w:rsidRPr="008F16D6" w:rsidRDefault="008F16D6" w:rsidP="008F16D6">
      <w:pPr>
        <w:spacing w:before="120" w:after="360" w:line="240" w:lineRule="auto"/>
        <w:jc w:val="center"/>
        <w:rPr>
          <w:rFonts w:ascii="Arial" w:eastAsia="Times New Roman" w:hAnsi="Arial" w:cs="Arial"/>
          <w:b/>
          <w:sz w:val="20"/>
          <w:szCs w:val="24"/>
        </w:rPr>
      </w:pPr>
      <w:bookmarkStart w:id="134" w:name="_Ref2625352"/>
      <w:r w:rsidRPr="008F16D6">
        <w:rPr>
          <w:rFonts w:ascii="Arial" w:eastAsia="Times New Roman" w:hAnsi="Arial" w:cs="Arial"/>
          <w:b/>
          <w:sz w:val="20"/>
          <w:szCs w:val="24"/>
        </w:rPr>
        <w:t>Slika</w:t>
      </w:r>
      <w:bookmarkEnd w:id="134"/>
      <w:r w:rsidR="00FB2843">
        <w:rPr>
          <w:rFonts w:ascii="Arial" w:eastAsia="Times New Roman" w:hAnsi="Arial" w:cs="Arial"/>
          <w:b/>
          <w:sz w:val="20"/>
          <w:szCs w:val="24"/>
        </w:rPr>
        <w:t xml:space="preserve"> 1</w:t>
      </w:r>
      <w:r w:rsidR="00C64CC0">
        <w:rPr>
          <w:rFonts w:ascii="Arial" w:eastAsia="Times New Roman" w:hAnsi="Arial" w:cs="Arial"/>
          <w:b/>
          <w:sz w:val="20"/>
          <w:szCs w:val="24"/>
        </w:rPr>
        <w:t>4</w:t>
      </w:r>
      <w:r w:rsidRPr="008F16D6">
        <w:rPr>
          <w:rFonts w:ascii="Arial" w:eastAsia="Times New Roman" w:hAnsi="Arial" w:cs="Arial"/>
          <w:b/>
          <w:sz w:val="20"/>
          <w:szCs w:val="24"/>
        </w:rPr>
        <w:t>. Udio OIE u bruto neposrednoj potrošnji energije – S1, S2</w:t>
      </w:r>
    </w:p>
    <w:p w14:paraId="6431F990"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U energetskoj politici EU i Energetske unije jedan od glavnih ciljeva jest povećanje udjela OIE čime se pozitivno utječe na smanjenje ovisnosti o uvozu energije i energenata, smanjenje emisija stakleničkih plinova, zbrinjavanje organskog otpada (bioplinska postrojenja i postrojenja na biomasu), pojavu novih djelatnosti u uslužnom i industrijskom sektoru vezanom za tehnološki razvoj i instalaciju postrojenja na obnovljive izvore, što u konačnici doprinosi i povećanoj stopi zaposlenosti.</w:t>
      </w:r>
    </w:p>
    <w:p w14:paraId="6C3FE5FF" w14:textId="77777777"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textAlignment w:val="center"/>
        <w:outlineLvl w:val="1"/>
        <w:rPr>
          <w:rFonts w:ascii="Arial" w:eastAsia="Times New Roman" w:hAnsi="Arial" w:cs="Myriad Pro Cond"/>
          <w:b/>
          <w:bCs/>
          <w:color w:val="BE1D2D"/>
          <w:sz w:val="28"/>
          <w:szCs w:val="36"/>
          <w:lang w:eastAsia="hr-HR"/>
        </w:rPr>
      </w:pPr>
      <w:bookmarkStart w:id="135" w:name="_Toc536190023"/>
      <w:bookmarkStart w:id="136" w:name="_Toc536193748"/>
      <w:bookmarkStart w:id="137" w:name="_Toc536785138"/>
      <w:bookmarkStart w:id="138" w:name="_Toc17876389"/>
      <w:r w:rsidRPr="008F16D6">
        <w:rPr>
          <w:rFonts w:ascii="Arial" w:eastAsia="Times New Roman" w:hAnsi="Arial" w:cs="Myriad Pro Cond"/>
          <w:b/>
          <w:bCs/>
          <w:color w:val="BE1D2D"/>
          <w:sz w:val="28"/>
          <w:szCs w:val="36"/>
          <w:lang w:eastAsia="hr-HR"/>
        </w:rPr>
        <w:t>Vlastita opskrbljenost</w:t>
      </w:r>
      <w:bookmarkEnd w:id="135"/>
      <w:bookmarkEnd w:id="136"/>
      <w:bookmarkEnd w:id="137"/>
      <w:bookmarkEnd w:id="138"/>
    </w:p>
    <w:p w14:paraId="6A675BEC" w14:textId="77777777" w:rsidR="008F16D6" w:rsidRPr="008F16D6" w:rsidRDefault="008F16D6" w:rsidP="008F16D6">
      <w:pPr>
        <w:suppressAutoHyphens/>
        <w:spacing w:before="240" w:after="120" w:line="288" w:lineRule="auto"/>
        <w:jc w:val="both"/>
        <w:rPr>
          <w:rFonts w:ascii="Arial" w:eastAsia="Times New Roman" w:hAnsi="Arial" w:cs="Times New Roman"/>
          <w:strike/>
          <w:lang w:eastAsia="hr-HR"/>
        </w:rPr>
      </w:pPr>
      <w:r w:rsidRPr="008F16D6">
        <w:rPr>
          <w:rFonts w:ascii="Arial" w:eastAsia="Times New Roman" w:hAnsi="Arial" w:cs="Times New Roman"/>
          <w:lang w:eastAsia="hr-HR"/>
        </w:rPr>
        <w:t>U scenariju S2 vlastita opskrbljenost se najprije povećava sa 47,4% u 2017. godini na 55,2% u 2030. godini te se zatim smanjuje na 51,7% u 2050. godini. U scenariju S1 vlastita opskrbljenost energijom se stalno povećava i s 47,4 % u 2017. godini dostiže 56,3 % u 2030. godini odnosno 62,0 % u 2050. godini. S obzirom da je u scenariju S1 bruto neposredna potrošnja energije manja, udio domaće proizvodnje je veći na kraju razdoblja.</w:t>
      </w:r>
    </w:p>
    <w:p w14:paraId="1A3E6958" w14:textId="77777777" w:rsidR="008F16D6" w:rsidRPr="008F16D6" w:rsidRDefault="008F16D6" w:rsidP="008F16D6">
      <w:pPr>
        <w:suppressAutoHyphens/>
        <w:spacing w:before="240" w:after="120" w:line="288" w:lineRule="auto"/>
        <w:jc w:val="center"/>
        <w:rPr>
          <w:rFonts w:ascii="Arial" w:eastAsia="Times New Roman" w:hAnsi="Arial" w:cs="Times New Roman"/>
          <w:lang w:eastAsia="hr-HR"/>
        </w:rPr>
      </w:pPr>
      <w:r w:rsidRPr="008F16D6">
        <w:rPr>
          <w:rFonts w:ascii="Arial" w:eastAsia="Times New Roman" w:hAnsi="Arial" w:cs="Times New Roman"/>
          <w:noProof/>
          <w:lang w:eastAsia="hr-HR"/>
        </w:rPr>
        <w:drawing>
          <wp:inline distT="0" distB="0" distL="0" distR="0" wp14:anchorId="300EDDD6" wp14:editId="4561199B">
            <wp:extent cx="4742597" cy="2690766"/>
            <wp:effectExtent l="0" t="0" r="1270" b="0"/>
            <wp:docPr id="1517485350" name="Picture 151748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54917" cy="2697756"/>
                    </a:xfrm>
                    <a:prstGeom prst="rect">
                      <a:avLst/>
                    </a:prstGeom>
                    <a:noFill/>
                    <a:ln>
                      <a:noFill/>
                    </a:ln>
                  </pic:spPr>
                </pic:pic>
              </a:graphicData>
            </a:graphic>
          </wp:inline>
        </w:drawing>
      </w:r>
    </w:p>
    <w:p w14:paraId="675C0B11" w14:textId="29E9AB33" w:rsidR="008F16D6" w:rsidRPr="008F16D6" w:rsidRDefault="008F16D6" w:rsidP="008F16D6">
      <w:pPr>
        <w:spacing w:before="120" w:after="360" w:line="240" w:lineRule="auto"/>
        <w:jc w:val="center"/>
        <w:rPr>
          <w:rFonts w:ascii="Arial" w:eastAsia="Times New Roman" w:hAnsi="Arial" w:cs="Arial"/>
          <w:b/>
          <w:sz w:val="20"/>
          <w:szCs w:val="20"/>
        </w:rPr>
      </w:pPr>
      <w:r w:rsidRPr="008F16D6">
        <w:rPr>
          <w:rFonts w:ascii="Arial" w:eastAsia="Times New Roman" w:hAnsi="Arial" w:cs="Arial"/>
          <w:b/>
          <w:sz w:val="20"/>
          <w:szCs w:val="24"/>
        </w:rPr>
        <w:t>Slika</w:t>
      </w:r>
      <w:r w:rsidR="00FB2843">
        <w:rPr>
          <w:rFonts w:ascii="Arial" w:eastAsia="Times New Roman" w:hAnsi="Arial" w:cs="Arial"/>
          <w:bCs/>
          <w:noProof/>
          <w:sz w:val="20"/>
          <w:szCs w:val="20"/>
        </w:rPr>
        <w:t xml:space="preserve"> </w:t>
      </w:r>
      <w:r w:rsidR="00FB2843">
        <w:rPr>
          <w:rFonts w:ascii="Arial" w:eastAsia="Times New Roman" w:hAnsi="Arial" w:cs="Arial"/>
          <w:b/>
          <w:sz w:val="20"/>
          <w:szCs w:val="24"/>
        </w:rPr>
        <w:t>1</w:t>
      </w:r>
      <w:r w:rsidR="00C64CC0">
        <w:rPr>
          <w:rFonts w:ascii="Arial" w:eastAsia="Times New Roman" w:hAnsi="Arial" w:cs="Arial"/>
          <w:b/>
          <w:sz w:val="20"/>
          <w:szCs w:val="24"/>
        </w:rPr>
        <w:t>5</w:t>
      </w:r>
      <w:r w:rsidRPr="008F16D6">
        <w:rPr>
          <w:rFonts w:ascii="Arial" w:eastAsia="Times New Roman" w:hAnsi="Arial" w:cs="Arial"/>
          <w:b/>
          <w:sz w:val="20"/>
          <w:szCs w:val="20"/>
        </w:rPr>
        <w:t>. Vlastita opskrbljenost energijom prema Scenariju S2</w:t>
      </w:r>
    </w:p>
    <w:p w14:paraId="51216A8F" w14:textId="77777777" w:rsidR="008F16D6" w:rsidRPr="008F16D6" w:rsidRDefault="008F16D6" w:rsidP="008F16D6">
      <w:pPr>
        <w:spacing w:before="120" w:after="360" w:line="240" w:lineRule="auto"/>
        <w:jc w:val="center"/>
        <w:rPr>
          <w:rFonts w:ascii="Arial" w:eastAsia="Times New Roman" w:hAnsi="Arial" w:cs="Arial"/>
          <w:sz w:val="20"/>
          <w:szCs w:val="20"/>
        </w:rPr>
      </w:pPr>
      <w:r w:rsidRPr="008F16D6">
        <w:rPr>
          <w:rFonts w:ascii="Arial" w:eastAsia="Times New Roman" w:hAnsi="Arial" w:cs="Arial"/>
          <w:b/>
          <w:noProof/>
          <w:sz w:val="20"/>
          <w:szCs w:val="24"/>
          <w:lang w:eastAsia="hr-HR"/>
        </w:rPr>
        <w:drawing>
          <wp:inline distT="0" distB="0" distL="0" distR="0" wp14:anchorId="3920385C" wp14:editId="1C6D55D2">
            <wp:extent cx="4749041" cy="2366356"/>
            <wp:effectExtent l="0" t="0" r="0" b="0"/>
            <wp:docPr id="1517485351" name="Picture 151748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0458" cy="2372045"/>
                    </a:xfrm>
                    <a:prstGeom prst="rect">
                      <a:avLst/>
                    </a:prstGeom>
                    <a:noFill/>
                    <a:ln>
                      <a:noFill/>
                    </a:ln>
                  </pic:spPr>
                </pic:pic>
              </a:graphicData>
            </a:graphic>
          </wp:inline>
        </w:drawing>
      </w:r>
    </w:p>
    <w:p w14:paraId="0A01D28F" w14:textId="580DA8E6" w:rsidR="008F16D6" w:rsidRPr="008F16D6" w:rsidRDefault="008F16D6" w:rsidP="008F16D6">
      <w:pPr>
        <w:spacing w:before="120" w:after="360" w:line="240" w:lineRule="auto"/>
        <w:jc w:val="center"/>
        <w:rPr>
          <w:rFonts w:ascii="Arial" w:eastAsia="Times New Roman" w:hAnsi="Arial" w:cs="Arial"/>
          <w:b/>
          <w:sz w:val="20"/>
          <w:szCs w:val="20"/>
        </w:rPr>
      </w:pPr>
      <w:r w:rsidRPr="008F16D6">
        <w:rPr>
          <w:rFonts w:ascii="Arial" w:eastAsia="Times New Roman" w:hAnsi="Arial" w:cs="Arial"/>
          <w:b/>
          <w:sz w:val="20"/>
          <w:szCs w:val="24"/>
        </w:rPr>
        <w:t>Slika</w:t>
      </w:r>
      <w:r w:rsidR="00FB2843">
        <w:rPr>
          <w:rFonts w:ascii="Arial" w:eastAsia="Times New Roman" w:hAnsi="Arial" w:cs="Arial"/>
          <w:b/>
          <w:sz w:val="20"/>
          <w:szCs w:val="24"/>
        </w:rPr>
        <w:t xml:space="preserve"> 1</w:t>
      </w:r>
      <w:r w:rsidR="00C64CC0">
        <w:rPr>
          <w:rFonts w:ascii="Arial" w:eastAsia="Times New Roman" w:hAnsi="Arial" w:cs="Arial"/>
          <w:b/>
          <w:sz w:val="20"/>
          <w:szCs w:val="24"/>
        </w:rPr>
        <w:t>6</w:t>
      </w:r>
      <w:r w:rsidRPr="008F16D6">
        <w:rPr>
          <w:rFonts w:ascii="Arial" w:eastAsia="Times New Roman" w:hAnsi="Arial" w:cs="Arial"/>
          <w:b/>
          <w:sz w:val="20"/>
          <w:szCs w:val="20"/>
        </w:rPr>
        <w:t>. Vlastita opskrbljenost energijom prema Scenariju S1</w:t>
      </w:r>
    </w:p>
    <w:p w14:paraId="02F76CED"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Na razinu vlastite opskrbljenosti utječe prije svega razvoj OIE, kao i pretpostavke o nastavku proizvodnje nafte i plina iz domaćih ležišta. Osim toga, mjerama energetske učinkovitosti doprinosi se smanjenju ukupnih potreba za energijom, što također pozitivno utječe na poboljšanje vlastite opskrbljenosti. S druge strane, očekivanim povećanjem vlastite opskrbljenosti smanjuje se uvoz energije i povećava sigurnost opskrbe energijom kućanstava i industrije. </w:t>
      </w:r>
    </w:p>
    <w:p w14:paraId="691A83AE" w14:textId="77777777"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ind w:left="567" w:hanging="576"/>
        <w:textAlignment w:val="center"/>
        <w:outlineLvl w:val="1"/>
        <w:rPr>
          <w:rFonts w:ascii="Arial" w:eastAsia="Times New Roman" w:hAnsi="Arial" w:cs="Myriad Pro Cond"/>
          <w:b/>
          <w:bCs/>
          <w:color w:val="BE1D2D"/>
          <w:sz w:val="28"/>
          <w:szCs w:val="36"/>
          <w:lang w:eastAsia="hr-HR"/>
        </w:rPr>
      </w:pPr>
      <w:bookmarkStart w:id="139" w:name="_Toc17876390"/>
      <w:r w:rsidRPr="008F16D6">
        <w:rPr>
          <w:rFonts w:ascii="Arial" w:eastAsia="Times New Roman" w:hAnsi="Arial" w:cs="Myriad Pro Cond"/>
          <w:b/>
          <w:bCs/>
          <w:color w:val="BE1D2D"/>
          <w:sz w:val="28"/>
          <w:szCs w:val="36"/>
          <w:lang w:eastAsia="hr-HR"/>
        </w:rPr>
        <w:t>Sigurnost opskrbe energijom</w:t>
      </w:r>
      <w:bookmarkEnd w:id="139"/>
    </w:p>
    <w:p w14:paraId="393AA446"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Sustav sigurnosti opskrbe energijom treba odgovoriti na političke, ratne i terorističke prijetnje, pogonske probleme i incidente, procese digitalizacije i izloženost internetskim napadima, klimatske utjecaje, karakteristike proizvodnje i potrošnje, uzimajući u obzir međuovisnosti pojedinih dijelova energetskih podsustava. Sigurnost opskrbe energijom u razdoblju tranzicije suočavat će se i s dodatnim izazovima s obzirom na dinamiku i prirodu promjena u cijelom lancu proizvodnje, transporta/prijenosa, distribucije i potrošnje energije. U europskom zakonodavstvu problematika sigurnosti dobiva sve kvalitetniju sadržajnu dimenziju i obvezu i to je jedan od razloga osnivanja Energetske unije.</w:t>
      </w:r>
    </w:p>
    <w:p w14:paraId="19BCD7CA"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Vlastita opskrbljenost energijom Republike Hrvatske (odnos ukupne proizvodnje energije i ukupne potrošnje energije je u 2017. godini iznosio 47,5 %) jedna je od komponenti sigurnosti opskrbe. Druge komponente su kvalitetna uključenost u međunarodno tržište energije, raspoloživost i dovoljni kapaciteti mreža i izvora. Snažnija povezanost svih umreženih sustava s okruženjem, jačanje regionalne suradnje i uključivanje u regionalne projekte važne su karike u doprinosu sigurnosti opskrbe energijom. Diversifikacija dobavnih pravaca kao i dobavljača energije ključni su za poboljšanje sigurnosti opskrbe. </w:t>
      </w:r>
    </w:p>
    <w:p w14:paraId="7CAF295C"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Nužna mjera povećanja sigurnosti i kvalitete opskrbe je uspostava sustava planiranja, mjerenja i analize sigurnosti opskrbe i to za svaki od sektora i energetski sustav u cijelosti. U sustav planiranja, mjerenja i analiza sigurnosti i kvalitete opskrbe potrebno je uključiti sve operatore transporta ili prijenosa, distribucije, regulatora, tijelo nadležno za upravljanje zalihama te ministarstvo nadležno za energetiku. Problemi u sigurnosti i kvaliteti opskrbe su realni događaji te je potrebno kontinuirano ažurirati plan mjera, kako bi se ublažio ili smanjio negativni utjecaj na gospodarstvo i život ljudi.</w:t>
      </w:r>
    </w:p>
    <w:p w14:paraId="66D2AB7A"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Dostatnost proizvodnih kapaciteta u dugoročnom razdoblju te učinkoviti mehanizmi za sprječavanje i uklanjanje neravnoteža u dnevnom planiranju i vođenju rada sustava, uz odgovarajuću unutrašnju i prekograničnu povezanost, nužne su pretpostavke sigurnosti pogona elektroenergetskog sustava. U tom smislu mjere i aktivnosti usmjerene na razvoj kratkoročnog tržišta električne energije i uključivanje većeg broja sudionika u pružanje usluge fleksibilnosti korespondira s povećanjem sigurnosti opskrbe.</w:t>
      </w:r>
    </w:p>
    <w:p w14:paraId="3B09474E"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Temeljem izvršenih analiza o dostatnosti proizvodnih kapaciteta u elektroenergetskom sustavu Republike Hrvatske zaključeno je da dostatnost proizvodnih kapaciteta nije dovoljna za zadovoljenje potreba elektroenergetskog sustava Republike Hrvatske za energijom. Sagledavajući sustav u cjelini, očekuje se da će dostatnost biti na zadovoljavajućoj razini prvenstveno radi iznimno snažne interkonekcijske povezanosti prijenosnih mreža Republici Hrvatskoj i država u okruženju, ali uz izraženu ovisnost o iznosu i alokaciji prijenosne snage prekograničnih vodova na sučelju elektroenergetskog sustava Republike Hrvatske s okruženjem. </w:t>
      </w:r>
    </w:p>
    <w:p w14:paraId="6E0148F6"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Izgradnja novih proizvodnih kapaciteta i spremnika energije poput akumulacijskih i reverzibilnih hidroelektrana, plinskih elektrana i baterijskih sustava, kao i uvođenje mehanizama za razvoj proizvodnih kapaciteta (CRM) smanjit će postojeću nedostatnost kapaciteta i povećati fleksibilnost sustava te će značajno pridonijeti povećanju sigurnosti opskrbe. Planiranje i dimenzioniranje prijenosne mreže, uključujući prekogranične prijenosne kapacitete, treba omogućiti optimalne tokove snaga, prihvat proizvodnje elektrana te prekograničnu trgovinu, uz </w:t>
      </w:r>
      <w:r w:rsidRPr="008F16D6">
        <w:rPr>
          <w:rFonts w:ascii="Arial" w:eastAsia="Times New Roman" w:hAnsi="Arial" w:cs="Times New Roman"/>
          <w:color w:val="000000"/>
          <w:lang w:eastAsia="hr-HR"/>
        </w:rPr>
        <w:t>eliminiranje</w:t>
      </w:r>
      <w:r w:rsidRPr="008F16D6">
        <w:rPr>
          <w:rFonts w:ascii="Arial" w:eastAsia="Times New Roman" w:hAnsi="Arial" w:cs="Times New Roman"/>
          <w:lang w:eastAsia="hr-HR"/>
        </w:rPr>
        <w:t xml:space="preserve"> zagušenja u mreži i smanjenje gubitaka.</w:t>
      </w:r>
    </w:p>
    <w:p w14:paraId="4258E61A"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Neophodno je osigurati unutarnju operativnu sigurnost opskrbe plinom, kao i sigurnost dobave plina te razmotriti mogućnost određivanja obveznih ili strateških zaliha plina. Republika Hrvatska se u ovom trenutku opskrbljuje plinom iz domaće proizvodnje i iz uvoza. Dobavne je pravce potrebno diversificirati te povećati kapacitete skladišta plina. </w:t>
      </w:r>
    </w:p>
    <w:p w14:paraId="67803A1A"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Sigurnost opskrbe plinom je cilj koji je pred države članice EU postavila Europska komisija sukladno Uredbi (EU) 2017/1938 Europskog parlamenta i Vijeća od 25. listopada 2017. o mjerama zaštite sigurnosti opskrbe plinom. Naime, veliki poremećaji u opskrbi plinom mogu ozbiljno našteti gospodarstvu EU i njezinih država  članica, pa tako i Republike Hrvatske i gravitirajuće regije. Sigurnost opskrbe plinom kvantificira se N-1 indikatorom. N-1 indikator se temelji na omjeru tehničkog kapaciteta ulaznih točaka (ulazne interkonekcije, terminala za UPP, skladišta i domaće proizvodnje) umanjenog za tehnički kapacitet najvećeg pojedinačnog plinskog infrastrukturnog objekta i ukupne dnevne potražnje za plinom kakva se prema statističkoj vjerojatnosti javlja jedanput u 20 godina. Sigurnost opskrbe zadovoljena je kad je N-1 ≥ 1 odnosno kada je N-1 ≥ 100 %. U 2016. godini N-1 indikator sigurnosti opskrbe za Republiku Hrvatsku iznosio je 89 %, što ukazuje na potrebu za novim dobavnim pravcima. Budući da predviđena potrošnja prirodnog plina u narednom razdoblju ostaje na istoj razini ili raste, a domaća proizvodnja pada, nužno je ulagati  u nove dobavne pravce plina kako bi se sigurnost opskrbe održala na postojećoj razini, odnosno povećala sukladno zahtjevima iz Uredbe (EU) 2017/1938 s infrastrukturnim standardom N-1 većim od 1 odnosno 100 %.</w:t>
      </w:r>
    </w:p>
    <w:p w14:paraId="3D41DC4D"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Istraživanje novih rezervi ugljikovodika i povećanje njihove proizvodnje iz domaćih izvora jedan je od načina povećanja sigurnosti opskrbe. U skladu s time, potrebno je osigurati investicije u nova istraživanja i eksploataciju ugljikovodika. Bitan element u povećanju sigurnosti opskrbe su obvezne zalihe nafte i naftnih derivata koje se formiraju radi osiguranja njihove opskrbe u slučaju prijetnje energetskoj sigurnosti države i uslijed izvanrednih poremećaja opskrbe. Sustav obveznih zaliha treba uključivati analizu sigurnosti i kvalitete opskrbe naftom i naftnim derivatima, analizu potencijalnih prijetnji sigurnosti opskrbe te postupke, kriterije i odgovornosti za utvrđivanje izvanrednog poremećaja opskrbe te za normalizaciju opskrbe tržišta nafte i naftnih derivata.</w:t>
      </w:r>
    </w:p>
    <w:p w14:paraId="59B7B388" w14:textId="77777777" w:rsidR="00577069" w:rsidRDefault="00577069">
      <w:pPr>
        <w:rPr>
          <w:rFonts w:ascii="Arial" w:eastAsia="Times New Roman" w:hAnsi="Arial" w:cs="Times New Roman"/>
          <w:lang w:eastAsia="hr-HR"/>
        </w:rPr>
      </w:pPr>
      <w:r>
        <w:rPr>
          <w:rFonts w:ascii="Arial" w:eastAsia="Times New Roman" w:hAnsi="Arial" w:cs="Times New Roman"/>
          <w:lang w:eastAsia="hr-HR"/>
        </w:rPr>
        <w:br w:type="page"/>
      </w:r>
    </w:p>
    <w:p w14:paraId="27E3775F" w14:textId="76814EC4" w:rsidR="006A647B" w:rsidRDefault="008F16D6" w:rsidP="006A647B">
      <w:pPr>
        <w:suppressAutoHyphens/>
        <w:spacing w:before="240" w:after="120" w:line="288" w:lineRule="auto"/>
        <w:jc w:val="both"/>
        <w:rPr>
          <w:rFonts w:ascii="Arial" w:eastAsia="Times New Roman" w:hAnsi="Arial" w:cs="Arial"/>
          <w:lang w:eastAsia="hr-HR"/>
        </w:rPr>
      </w:pPr>
      <w:r w:rsidRPr="008F16D6">
        <w:rPr>
          <w:rFonts w:ascii="Arial" w:eastAsia="Times New Roman" w:hAnsi="Arial" w:cs="Times New Roman"/>
          <w:lang w:eastAsia="hr-HR"/>
        </w:rPr>
        <w:t xml:space="preserve">Naftovodno skladišni sustav je dio sustava sigurnosti opskrbe energijom pa ga je potrebno kontinuirano modernizirati i dograđivati. </w:t>
      </w:r>
      <w:r w:rsidRPr="008F16D6">
        <w:rPr>
          <w:rFonts w:ascii="Arial" w:eastAsia="Times New Roman" w:hAnsi="Arial" w:cs="Arial"/>
          <w:lang w:eastAsia="hr-HR"/>
        </w:rPr>
        <w:t>Također je potrebno uspostaviti kontinuiranu analizu naftnog sektora i to kako sa strane opskrbe tržišta tako i sa strane postojeće i buduće potrošnje, a sve radi pravovremene procjene eventualnih rizika vezanih za sigurnost opskrbe.</w:t>
      </w:r>
      <w:bookmarkStart w:id="140" w:name="_Toc17876391"/>
      <w:r w:rsidR="006A647B">
        <w:rPr>
          <w:rFonts w:ascii="Arial" w:eastAsia="Times New Roman" w:hAnsi="Arial" w:cs="Arial"/>
          <w:lang w:eastAsia="hr-HR"/>
        </w:rPr>
        <w:br w:type="page"/>
      </w:r>
    </w:p>
    <w:p w14:paraId="6AEA921E" w14:textId="53504C24" w:rsidR="008F16D6" w:rsidRPr="000A77F7" w:rsidRDefault="008F16D6" w:rsidP="000A77F7">
      <w:pPr>
        <w:keepNext/>
        <w:pageBreakBefore/>
        <w:pBdr>
          <w:top w:val="single" w:sz="48" w:space="5" w:color="F5C1C6"/>
        </w:pBdr>
        <w:tabs>
          <w:tab w:val="left" w:pos="567"/>
        </w:tabs>
        <w:suppressAutoHyphens/>
        <w:autoSpaceDE w:val="0"/>
        <w:autoSpaceDN w:val="0"/>
        <w:adjustRightInd w:val="0"/>
        <w:spacing w:before="240" w:after="320" w:line="240" w:lineRule="auto"/>
        <w:ind w:left="360" w:hanging="360"/>
        <w:textAlignment w:val="center"/>
        <w:outlineLvl w:val="0"/>
        <w:rPr>
          <w:rFonts w:ascii="Arial" w:eastAsia="Times New Roman" w:hAnsi="Arial" w:cs="Times New Roman"/>
          <w:b/>
          <w:iCs/>
          <w:color w:val="BE1D2D"/>
          <w:position w:val="24"/>
          <w:sz w:val="32"/>
          <w:szCs w:val="48"/>
          <w:lang w:eastAsia="hr-HR"/>
        </w:rPr>
      </w:pPr>
      <w:r w:rsidRPr="008F16D6">
        <w:rPr>
          <w:rFonts w:ascii="Arial" w:eastAsia="Times New Roman" w:hAnsi="Arial" w:cs="Times New Roman"/>
          <w:b/>
          <w:iCs/>
          <w:color w:val="BE1D2D"/>
          <w:position w:val="24"/>
          <w:sz w:val="32"/>
          <w:szCs w:val="48"/>
          <w:lang w:eastAsia="hr-HR"/>
        </w:rPr>
        <w:t>Područja intervencije prilikom provedbe strateških ciljeva</w:t>
      </w:r>
      <w:bookmarkEnd w:id="140"/>
      <w:r w:rsidRPr="008F16D6">
        <w:rPr>
          <w:rFonts w:ascii="Arial" w:eastAsia="Times New Roman" w:hAnsi="Arial" w:cs="Times New Roman"/>
          <w:b/>
          <w:iCs/>
          <w:color w:val="BE1D2D"/>
          <w:position w:val="24"/>
          <w:sz w:val="32"/>
          <w:szCs w:val="48"/>
          <w:lang w:eastAsia="hr-HR"/>
        </w:rPr>
        <w:t xml:space="preserve"> </w:t>
      </w:r>
    </w:p>
    <w:p w14:paraId="43F467D5"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Energetska tranzicija prema niskougljičnoj energetici zahtjeva značajne promjene u energetskom sektoru. Ostvarenje tih ciljeva u razdoblju do 2050. godine zahtijeva ubrzano provođenje tranzicijskih procesa u energetskom sektoru, ali i u drugim povezanim sektorima poput obrazovanja, industrije i prometa. Poseban izazov predstavlja smanjenje emisije stakleničkih plinova uz povećanje potrošnje energije iz OIE i postupno smanjenje potrošnje fosilnih goriva te istovremeno osiguranje dostupne, sigurne, pristupačne i konkurentne energije. U skladu s time, energetska tranzicija podrazumijeva velike tehničke, tehnološke i društvene promjene u svim sektorima gospodarstva. </w:t>
      </w:r>
    </w:p>
    <w:p w14:paraId="1240359E"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Prelazak prema niskougljičnoj energetici zahtijeva inovativan pristup i to s tehničkog, društvenog i političkog stanovišta. U skladu s time, aktivnosti se moraju usmjeriti na daljnji razvoj i organizaciju tržišta energije koje će omogućiti da se potrebne promjene odvijaju u uvjetima konkurentnog gospodarstva bez narušavanja sigurnosti opskrbe energijom.</w:t>
      </w:r>
    </w:p>
    <w:p w14:paraId="44559CB4" w14:textId="77777777"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ind w:left="576" w:hanging="576"/>
        <w:textAlignment w:val="center"/>
        <w:outlineLvl w:val="1"/>
        <w:rPr>
          <w:rFonts w:ascii="Arial" w:eastAsia="Times New Roman" w:hAnsi="Arial" w:cs="Myriad Pro Cond"/>
          <w:b/>
          <w:bCs/>
          <w:color w:val="BE1D2D"/>
          <w:sz w:val="28"/>
          <w:szCs w:val="36"/>
          <w:lang w:eastAsia="hr-HR"/>
        </w:rPr>
      </w:pPr>
      <w:bookmarkStart w:id="141" w:name="_Toc17876392"/>
      <w:bookmarkStart w:id="142" w:name="_Hlk4868573"/>
      <w:r w:rsidRPr="008F16D6">
        <w:rPr>
          <w:rFonts w:ascii="Arial" w:eastAsia="Times New Roman" w:hAnsi="Arial" w:cs="Myriad Pro Cond"/>
          <w:b/>
          <w:bCs/>
          <w:color w:val="BE1D2D"/>
          <w:sz w:val="28"/>
          <w:szCs w:val="36"/>
          <w:lang w:eastAsia="hr-HR"/>
        </w:rPr>
        <w:t>Razvoj tržišta energije</w:t>
      </w:r>
      <w:bookmarkEnd w:id="141"/>
    </w:p>
    <w:bookmarkEnd w:id="142"/>
    <w:p w14:paraId="236988F9" w14:textId="1D5F0AEB"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Times New Roman" w:hAnsi="Arial" w:cs="Times New Roman"/>
          <w:lang w:eastAsia="hr-HR"/>
        </w:rPr>
        <w:t xml:space="preserve">Tranziciju energetskog sektora potrebno je ostvariti u cijelosti putem otvorenog tržišta energije, </w:t>
      </w:r>
      <w:r w:rsidRPr="008F16D6">
        <w:rPr>
          <w:rFonts w:ascii="Arial" w:eastAsia="Arial" w:hAnsi="Arial" w:cs="Arial"/>
          <w:lang w:eastAsia="hr-HR"/>
        </w:rPr>
        <w:t>čiji će nositelji biti energetske tvrtke te korisnici energije, zbog čega su mjere za unapr</w:t>
      </w:r>
      <w:r w:rsidR="00577069">
        <w:rPr>
          <w:rFonts w:ascii="Arial" w:eastAsia="Arial" w:hAnsi="Arial" w:cs="Arial"/>
          <w:lang w:eastAsia="hr-HR"/>
        </w:rPr>
        <w:t>je</w:t>
      </w:r>
      <w:r w:rsidRPr="008F16D6">
        <w:rPr>
          <w:rFonts w:ascii="Arial" w:eastAsia="Arial" w:hAnsi="Arial" w:cs="Arial"/>
          <w:lang w:eastAsia="hr-HR"/>
        </w:rPr>
        <w:t>đenje modela energetskog tržišta prioritetne. Aktivnosti se trebaju usmjeriti na pojednostavljenje pristupa tržištu i omogućavanje pristupa mrežnoj infrastrukturi svim subjektima na jednak i nediskriminirajući način.</w:t>
      </w:r>
    </w:p>
    <w:p w14:paraId="22B87B4C"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U sektoru električne energije nužno je nastaviti započete procese prekograničnog povezivanja sa susjednim tržištima koji će omogućiti veću dostupnost i mogućnost plasmana električne energije uz manje transakcijske troškove, kao i učinkovito korištenje prekograničnih kapaciteta. Likvidno i transparentno tržište slat će jasne cjenovne signale za nova ulaganja i racionalnu alokaciju energetskih resursa. Kao dodatnu i privremenu mjeru moguće je za slučaj potrebe osiguranja dostatnosti proizvodnih kapaciteta koji nisu komercijalno / tržišno konkurentni uvesti neki od mehanizama za razvoj proizvodnih kapaciteta (CRM). Daljnji razvoj tržišta električne energije, uključujući unutardnevna tržišta i njihovo prekogranično povezivanje, povećat će funkcionalnost tržišta te omogućiti efikasno uravnoteženje sustava. Tržišni mehanizmi trebaju se dizajnirati na način da svi sudionici snose odgovornost za uzrokovane neravnoteže, ali i osigurati dostupnost regulacijskih usluga prema tržišnim kriterijima, kako bi sudionici mogli pravodobno ublažiti ili ukloniti moguća odstupanja. Na takav će se način smanjiti potrebne intervencije operatora sustava i troškovi upravljanja elektroenergetskim sustavom.</w:t>
      </w:r>
    </w:p>
    <w:p w14:paraId="1A5EC6FD"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Mjere i aktivnosti na uvođenju naprednih brojila potaknut će razvoj kvalitetnog maloprodajnog tržišta energije, povećati mogućnosti trgovanja energijom i omogućiti samoopskrbu i proizvodnju energije na strani krajnjih kupaca, ali i povećati mogućnosti upravljanja troškovima koristeći digitalne mogućnosti. Novi poslovni modeli, uključujući agregatore potrošnje i razvoj i pružanje usluga regulacije potrošnjom pridonijet će učinkovitosti tržišta, ali i sigurnosti sustava kroz povećanje njegove fleksibilnosti.</w:t>
      </w:r>
    </w:p>
    <w:p w14:paraId="41048A1D"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Za razvoj sektora plina neophodno je nastaviti započete procese povezivanja sa susjednim tržištima i razviti alternativne dobavne pravce koji će omogućiti veću dostupnost i mogućnost plasmana plina uz manje troškove, kao i učinkovitije korištenje postojećeg plinskog transportnog sustava i prekograničnih kapaciteta. </w:t>
      </w:r>
    </w:p>
    <w:p w14:paraId="663348D5"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Sektor toplinarstva vezan je uz energetsku infrastrukturu pojedinih gradova u funkciji proizvodnje i distribucije ogrjevne topline i tehnološke pare, a ovisno o konkurentnosti i budućoj distribuciji rashladne energije. Po karakteru obuhvata sektor toplinarstva je lokalnog, domicilnog karaktera (engl. district) i njegov će razvoj ovisiti o nizu tehnoloških i ekonomskih utjecajnih faktora, odnosno spremnosti i brzini integracije novih tehnoloških rješenja u centralizirane toplinske sustave velikih gradova.</w:t>
      </w:r>
    </w:p>
    <w:p w14:paraId="587E0C76"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Jedna od očekivanih promjena u tranzicijskom razdoblju (2021.-2030.) je promjena u tržišnom statusu OIE tehnologija u odnosu na druge tehnologije, odnosno njihova postepena i sve veća tržišna konkurentnost. To se posebno odnosi na sunčane elektrane i vjetroelektrane. Što promjena u tržišnom statusu bude brža, to će više vremena preostati za ostvarenje dekarbonizacijskih ciljeva energetskog sektora, a time i za bolju prilagodbu i detaljnije podešavanje tranzicijskih mjera. Djelovanje na vanjske rizike i time na percepciju rizika direktno utječe na smanjenje niveliranih troškova OIE i jačanje njihova statusa na tržištu. </w:t>
      </w:r>
    </w:p>
    <w:p w14:paraId="76B0F915" w14:textId="77777777"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ind w:left="576" w:hanging="576"/>
        <w:textAlignment w:val="center"/>
        <w:outlineLvl w:val="1"/>
        <w:rPr>
          <w:rFonts w:ascii="Arial" w:eastAsia="Times New Roman" w:hAnsi="Arial" w:cs="Myriad Pro Cond"/>
          <w:b/>
          <w:bCs/>
          <w:color w:val="BE1D2D"/>
          <w:sz w:val="28"/>
          <w:szCs w:val="36"/>
          <w:lang w:eastAsia="hr-HR"/>
        </w:rPr>
      </w:pPr>
      <w:bookmarkStart w:id="143" w:name="_Toc17876393"/>
      <w:bookmarkStart w:id="144" w:name="_Hlk5273767"/>
      <w:r w:rsidRPr="008F16D6">
        <w:rPr>
          <w:rFonts w:ascii="Arial" w:eastAsia="Times New Roman" w:hAnsi="Arial" w:cs="Myriad Pro Cond"/>
          <w:b/>
          <w:bCs/>
          <w:color w:val="BE1D2D"/>
          <w:sz w:val="28"/>
          <w:szCs w:val="36"/>
          <w:lang w:eastAsia="hr-HR"/>
        </w:rPr>
        <w:t>Proizvodnja energije</w:t>
      </w:r>
      <w:bookmarkEnd w:id="143"/>
      <w:r w:rsidRPr="008F16D6">
        <w:rPr>
          <w:rFonts w:ascii="Arial" w:eastAsia="Times New Roman" w:hAnsi="Arial" w:cs="Myriad Pro Cond"/>
          <w:b/>
          <w:bCs/>
          <w:color w:val="BE1D2D"/>
          <w:sz w:val="28"/>
          <w:szCs w:val="36"/>
          <w:lang w:eastAsia="hr-HR"/>
        </w:rPr>
        <w:t xml:space="preserve"> </w:t>
      </w:r>
    </w:p>
    <w:p w14:paraId="7E50A23F"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Sukladno strateškim ciljevima energetskog razvoja Republike Hrvatske, energetska tranzicija u djelatnosti proizvodnje električne energije treba omogućiti postupno smanjenje uvoza električne energije za potrebe pokrivanja rastuće potrošnje Republike Hrvatske. Za nazivnu 2050. godinu, planira se domicilnom proizvodnjom u cijelosti (100%) pokriti potrošnju električne energije uvažavajući kretanje cijena energije i energenata na međunarodnom tržištu. </w:t>
      </w:r>
    </w:p>
    <w:bookmarkEnd w:id="144"/>
    <w:p w14:paraId="68D1A9E2" w14:textId="77777777" w:rsidR="00482A41"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Oba scenarija energetske tranzicije su potpuno otvorena prema novim tehnologijama proizvodnje električne energije. Također, oba scenarija podržavaju i klasične tehnologije hidroelektrana i visokoučinkovitih kombi-kogeneracijskih postrojenja radi efikasnog iskorištenja preostalih energetskih resursa temeljem energetsko-ekonomskih analiza isplativosti uvažavajući zahtjeve zaštite okoliša. U oba scenarija energetske tranzicije pretpostavljena je postupna dekomisija starijih termo blokova radi isteka životnog vijeka, tržišne nekonkurentnosti ili ograničenja pogona uslijed objedinjenih uvjeta zaštite okoliša.</w:t>
      </w:r>
    </w:p>
    <w:p w14:paraId="3350A104" w14:textId="44454782" w:rsidR="00482A41" w:rsidRDefault="008F16D6" w:rsidP="00482A41">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Između ostalih proizvodnih postrojenja, scenariji pretpostavljaju i izgradnju zamjenskih plinskih blokova značajne dodatne snage radi sigurnosti opskrbe, odnosno dostatnosti domicilne proizvodnje u izvanrednim okolnostima. </w:t>
      </w:r>
      <w:r w:rsidR="00482A41">
        <w:rPr>
          <w:rFonts w:ascii="Arial" w:eastAsia="Times New Roman" w:hAnsi="Arial" w:cs="Times New Roman"/>
          <w:lang w:eastAsia="hr-HR"/>
        </w:rPr>
        <w:t>B</w:t>
      </w:r>
      <w:r w:rsidRPr="008F16D6">
        <w:rPr>
          <w:rFonts w:ascii="Arial" w:eastAsia="Times New Roman" w:hAnsi="Arial" w:cs="Times New Roman"/>
          <w:lang w:eastAsia="hr-HR"/>
        </w:rPr>
        <w:t>uduća dinamika ulaganja u proizvodna</w:t>
      </w:r>
      <w:r w:rsidR="00482A41">
        <w:rPr>
          <w:rFonts w:ascii="Arial" w:eastAsia="Times New Roman" w:hAnsi="Arial" w:cs="Times New Roman"/>
          <w:lang w:eastAsia="hr-HR"/>
        </w:rPr>
        <w:t xml:space="preserve"> </w:t>
      </w:r>
      <w:r w:rsidRPr="008F16D6">
        <w:rPr>
          <w:rFonts w:ascii="Arial" w:eastAsia="Times New Roman" w:hAnsi="Arial" w:cs="Times New Roman"/>
          <w:lang w:eastAsia="hr-HR"/>
        </w:rPr>
        <w:t>postrojenja</w:t>
      </w:r>
      <w:r w:rsidR="00482A41">
        <w:rPr>
          <w:rFonts w:ascii="Arial" w:eastAsia="Times New Roman" w:hAnsi="Arial" w:cs="Times New Roman"/>
          <w:lang w:eastAsia="hr-HR"/>
        </w:rPr>
        <w:t xml:space="preserve"> </w:t>
      </w:r>
      <w:r w:rsidRPr="008F16D6">
        <w:rPr>
          <w:rFonts w:ascii="Arial" w:eastAsia="Times New Roman" w:hAnsi="Arial" w:cs="Times New Roman"/>
          <w:lang w:eastAsia="hr-HR"/>
        </w:rPr>
        <w:t>za</w:t>
      </w:r>
      <w:r w:rsidR="00482A41">
        <w:rPr>
          <w:rFonts w:ascii="Arial" w:eastAsia="Times New Roman" w:hAnsi="Arial" w:cs="Times New Roman"/>
          <w:lang w:eastAsia="hr-HR"/>
        </w:rPr>
        <w:t xml:space="preserve"> </w:t>
      </w:r>
      <w:r w:rsidRPr="008F16D6">
        <w:rPr>
          <w:rFonts w:ascii="Arial" w:eastAsia="Times New Roman" w:hAnsi="Arial" w:cs="Times New Roman"/>
          <w:lang w:eastAsia="hr-HR"/>
        </w:rPr>
        <w:t>regulaciju</w:t>
      </w:r>
      <w:r w:rsidR="00482A41">
        <w:rPr>
          <w:rFonts w:ascii="Arial" w:eastAsia="Times New Roman" w:hAnsi="Arial" w:cs="Times New Roman"/>
          <w:lang w:eastAsia="hr-HR"/>
        </w:rPr>
        <w:t xml:space="preserve"> </w:t>
      </w:r>
      <w:r w:rsidRPr="008F16D6">
        <w:rPr>
          <w:rFonts w:ascii="Arial" w:eastAsia="Times New Roman" w:hAnsi="Arial" w:cs="Times New Roman"/>
          <w:lang w:eastAsia="hr-HR"/>
        </w:rPr>
        <w:t>sustava koja mogu pružati uslugu uravnoteženja</w:t>
      </w:r>
      <w:r w:rsidR="00482A41">
        <w:rPr>
          <w:rFonts w:ascii="Arial" w:eastAsia="Times New Roman" w:hAnsi="Arial" w:cs="Times New Roman"/>
          <w:lang w:eastAsia="hr-HR"/>
        </w:rPr>
        <w:t xml:space="preserve"> e</w:t>
      </w:r>
      <w:r w:rsidRPr="008F16D6">
        <w:rPr>
          <w:rFonts w:ascii="Arial" w:eastAsia="Times New Roman" w:hAnsi="Arial" w:cs="Times New Roman"/>
          <w:lang w:eastAsia="hr-HR"/>
        </w:rPr>
        <w:t>lektroenergetskog sustava s visokim udjelom OIE bit</w:t>
      </w:r>
      <w:r w:rsidR="00482A41">
        <w:rPr>
          <w:rFonts w:ascii="Arial" w:eastAsia="Times New Roman" w:hAnsi="Arial" w:cs="Times New Roman"/>
          <w:lang w:eastAsia="hr-HR"/>
        </w:rPr>
        <w:t xml:space="preserve"> </w:t>
      </w:r>
      <w:r w:rsidRPr="008F16D6">
        <w:rPr>
          <w:rFonts w:ascii="Arial" w:eastAsia="Times New Roman" w:hAnsi="Arial" w:cs="Times New Roman"/>
          <w:lang w:eastAsia="hr-HR"/>
        </w:rPr>
        <w:t>će</w:t>
      </w:r>
      <w:r w:rsidR="00482A41">
        <w:rPr>
          <w:rFonts w:ascii="Arial" w:eastAsia="Times New Roman" w:hAnsi="Arial" w:cs="Times New Roman"/>
          <w:lang w:eastAsia="hr-HR"/>
        </w:rPr>
        <w:t xml:space="preserve"> </w:t>
      </w:r>
      <w:r w:rsidRPr="008F16D6">
        <w:rPr>
          <w:rFonts w:ascii="Arial" w:eastAsia="Times New Roman" w:hAnsi="Arial" w:cs="Times New Roman"/>
          <w:lang w:eastAsia="hr-HR"/>
        </w:rPr>
        <w:t>uvjetovana tržišnom konkurentnošću pružanja regulacijskih usluga.</w:t>
      </w:r>
    </w:p>
    <w:p w14:paraId="03586191" w14:textId="04CC7928"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Za potrebe povećanja sigurnosti opskrbe, odnosno dostatnosti domicilne proizvodnje u izvanrednim okolnostima, potrebno je regulatorno osigurati sredstva za izgradnju i hladnih pogon klasičnih proizvodnih jedinica ako iste nisu tržišno konkurentne u analiziranom razdoblju. </w:t>
      </w:r>
    </w:p>
    <w:p w14:paraId="70A39D4A"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Predloženi scenariji prepoznaju potrebu osiguranja fleksibilnosti pogona radi uravnoteženja sustava s velikim udjelom varijabilne proizvodnje iz OIE, odnosno u oba scenarija planira se izgradnja spremnika energije različitih tehnoloških rješenja.</w:t>
      </w:r>
    </w:p>
    <w:p w14:paraId="4FD600C4"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Dinamika izgradnje novih proizvodnih postrojenja ovisit će o kretanju cijena električne energije uključujući i kretanje cijena emisijskih jedinca na regionalnim burzama, tržišnoj konkurentnosti domicilnih elektrana te dinamici rasta potrošnje električne energije.</w:t>
      </w:r>
    </w:p>
    <w:p w14:paraId="5FE833CC" w14:textId="77777777" w:rsidR="008F16D6" w:rsidRPr="008F16D6" w:rsidRDefault="008F16D6" w:rsidP="008F16D6">
      <w:pPr>
        <w:suppressAutoHyphens/>
        <w:spacing w:before="240" w:after="120" w:line="288" w:lineRule="auto"/>
        <w:jc w:val="both"/>
        <w:rPr>
          <w:rFonts w:ascii="Arial" w:eastAsia="Times New Roman" w:hAnsi="Arial" w:cs="Arial"/>
          <w:lang w:eastAsia="hr-HR"/>
        </w:rPr>
      </w:pPr>
      <w:r w:rsidRPr="008F16D6">
        <w:rPr>
          <w:rFonts w:ascii="Arial" w:eastAsia="Times New Roman" w:hAnsi="Arial" w:cs="Arial"/>
          <w:lang w:eastAsia="hr-HR"/>
        </w:rPr>
        <w:t xml:space="preserve">Temeljna razlika između postojeće strukture proizvodnog portfelja u Republici Hrvatskoj (2017. godina) i buduće strukture proizvodnog portfelja (2030. i 2050. godina) za oba scenarija je u omjerima moguće proizvodnje i instalirane snage kako sadašnjeg tako i budućeg proizvodnog portfelja. Prosječna iskorištenost instaliranog MW u 2017. godini iznosi cca 3440 sati, dok prosječna iskorištenost instaliranog MW u 2050. iznosi 2210 sati u scenariju S1 odnosno 2362 sata godišnje u scenariju S2. </w:t>
      </w:r>
    </w:p>
    <w:p w14:paraId="6A17F5B8" w14:textId="791DB715" w:rsidR="008F16D6" w:rsidRPr="008F16D6" w:rsidRDefault="00482A41" w:rsidP="008F16D6">
      <w:pPr>
        <w:suppressAutoHyphens/>
        <w:spacing w:before="240" w:after="120" w:line="288" w:lineRule="auto"/>
        <w:jc w:val="both"/>
        <w:rPr>
          <w:rFonts w:ascii="Arial" w:eastAsia="Times New Roman" w:hAnsi="Arial" w:cs="Arial"/>
          <w:lang w:eastAsia="hr-HR"/>
        </w:rPr>
      </w:pPr>
      <w:r>
        <w:rPr>
          <w:rFonts w:ascii="Arial" w:eastAsia="Times New Roman" w:hAnsi="Arial" w:cs="Arial"/>
          <w:lang w:eastAsia="hr-HR"/>
        </w:rPr>
        <w:t>S o</w:t>
      </w:r>
      <w:r w:rsidR="008F16D6" w:rsidRPr="008F16D6">
        <w:rPr>
          <w:rFonts w:ascii="Arial" w:eastAsia="Times New Roman" w:hAnsi="Arial" w:cs="Arial"/>
          <w:lang w:eastAsia="hr-HR"/>
        </w:rPr>
        <w:t xml:space="preserve">bzirom na varijabilnost hidroloških okolnosti uz značajno povećanje udjela ostalih OIE koje također karakterizira visoka razina varijabilnosti proizvodnje (prvenstveno VE i FN), oba scenarija predviđaju višestruko povećanje snage uz značajno manje povećanje moguće proizvodnje. </w:t>
      </w:r>
    </w:p>
    <w:p w14:paraId="343A812A" w14:textId="77777777" w:rsidR="008F16D6" w:rsidRPr="008F16D6" w:rsidRDefault="008F16D6" w:rsidP="008F16D6">
      <w:pPr>
        <w:suppressAutoHyphens/>
        <w:spacing w:before="240" w:after="120" w:line="288" w:lineRule="auto"/>
        <w:jc w:val="both"/>
        <w:rPr>
          <w:rFonts w:ascii="Arial" w:eastAsia="Times New Roman" w:hAnsi="Arial" w:cs="Arial"/>
          <w:lang w:eastAsia="hr-HR"/>
        </w:rPr>
      </w:pPr>
      <w:r w:rsidRPr="008F16D6">
        <w:rPr>
          <w:rFonts w:ascii="Arial" w:eastAsia="Times New Roman" w:hAnsi="Arial" w:cs="Arial"/>
          <w:lang w:eastAsia="hr-HR"/>
        </w:rPr>
        <w:t>U svim razmatranim scenarijima potrebno je omogućiti realizaciju projekata koji će osigurati raspoloživost i sigurnost opskrbe električnom energijom. Dinamiku planiranog povećanja snage po strukturi elektrana za proizvodnju električne energije uvjetovat će cijena dostupne tehnologije te energenata za proizvodnju električne energije čiji će osnovni pokretač biti očekivan porast cijene emisija CO</w:t>
      </w:r>
      <w:r w:rsidRPr="008F16D6">
        <w:rPr>
          <w:rFonts w:ascii="Arial" w:eastAsia="Times New Roman" w:hAnsi="Arial" w:cs="Arial"/>
          <w:vertAlign w:val="subscript"/>
          <w:lang w:eastAsia="hr-HR"/>
        </w:rPr>
        <w:t>2</w:t>
      </w:r>
      <w:r w:rsidRPr="008F16D6">
        <w:rPr>
          <w:rFonts w:ascii="Arial" w:eastAsia="Times New Roman" w:hAnsi="Arial" w:cs="Arial"/>
          <w:lang w:eastAsia="hr-HR"/>
        </w:rPr>
        <w:t>, na temelju kojeg su izrađeni scenariji porasta potrošnje i promjene strukture proizvodnje električne energije. Razvoj novih proizvodnih kapaciteta temeljit će se na tržišnim principima, dok će se utjecaj države u strukturi proizvodnje energije očitovati samo u definiranju mehanizama koji će i osigurati financijsk</w:t>
      </w:r>
      <w:r w:rsidR="00924DC0">
        <w:rPr>
          <w:rFonts w:ascii="Arial" w:eastAsia="Times New Roman" w:hAnsi="Arial" w:cs="Arial"/>
          <w:lang w:eastAsia="hr-HR"/>
        </w:rPr>
        <w:t>a</w:t>
      </w:r>
      <w:r w:rsidR="00564764">
        <w:rPr>
          <w:rFonts w:ascii="Arial" w:eastAsia="Times New Roman" w:hAnsi="Arial" w:cs="Arial"/>
          <w:lang w:eastAsia="hr-HR"/>
        </w:rPr>
        <w:t xml:space="preserve"> </w:t>
      </w:r>
      <w:r w:rsidRPr="008F16D6">
        <w:rPr>
          <w:rFonts w:ascii="Arial" w:eastAsia="Times New Roman" w:hAnsi="Arial" w:cs="Arial"/>
          <w:lang w:eastAsia="hr-HR"/>
        </w:rPr>
        <w:t>sredstva za objekte nužne za sigurnost opskrbe električnom energijom i uravnoteženje elektroenergetskog sustava.</w:t>
      </w:r>
    </w:p>
    <w:p w14:paraId="437A029F" w14:textId="77777777" w:rsidR="008F16D6" w:rsidRPr="008F16D6" w:rsidRDefault="008F16D6" w:rsidP="008F16D6">
      <w:pPr>
        <w:suppressAutoHyphens/>
        <w:spacing w:before="240" w:after="120" w:line="288" w:lineRule="auto"/>
        <w:jc w:val="both"/>
        <w:rPr>
          <w:rFonts w:ascii="Arial" w:eastAsia="Times New Roman" w:hAnsi="Arial" w:cs="Arial"/>
          <w:lang w:eastAsia="hr-HR"/>
        </w:rPr>
      </w:pPr>
      <w:r w:rsidRPr="008F16D6">
        <w:rPr>
          <w:rFonts w:ascii="Arial" w:eastAsia="Times New Roman" w:hAnsi="Arial" w:cs="Arial"/>
          <w:lang w:eastAsia="hr-HR"/>
        </w:rPr>
        <w:t>Ukupno povećanje snage novoizgrađenih i revitaliziranih elektrana  u scenariju S2 iznosi 1522 MW do 2030., odnosno povećanje od 5288 MW do 2050. godine u odnosu na 2017. godinu. Ukupna instalirana snaga elektrana 2050. godine prema scenariju S2 iznosi 10337 MW u odnosu na instaliranih 5049 MW 2017. godine, što čini povećanje instalirane snage za nešto više od 100% uz približno 25% povećanje potrošnje do 2050. godine.</w:t>
      </w:r>
    </w:p>
    <w:p w14:paraId="3AC369D9" w14:textId="77777777" w:rsidR="008F16D6" w:rsidRPr="008F16D6" w:rsidRDefault="008F16D6" w:rsidP="008F16D6">
      <w:pPr>
        <w:suppressAutoHyphens/>
        <w:spacing w:before="240" w:after="120" w:line="288" w:lineRule="auto"/>
        <w:jc w:val="both"/>
        <w:rPr>
          <w:rFonts w:ascii="Arial" w:eastAsia="Times New Roman" w:hAnsi="Arial" w:cs="Arial"/>
          <w:lang w:eastAsia="hr-HR"/>
        </w:rPr>
      </w:pPr>
      <w:r w:rsidRPr="008F16D6">
        <w:rPr>
          <w:rFonts w:ascii="Arial" w:eastAsia="Times New Roman" w:hAnsi="Arial" w:cs="Arial"/>
          <w:lang w:eastAsia="hr-HR"/>
        </w:rPr>
        <w:t xml:space="preserve">Ukupno povećanje snage novoizgrađenih i revitaliziranih elektrana  u scenariju S1 iznosi 2063 MW do 2030., odnosno povećanje od 7816 MW do 2050. godine u odnosu na 2017. godinu. Zaključno, raspoloživa snaga za proizvodnju 2050. godine prema scenariju S1 iznosi 12901 MW u odnosu na  instaliranih 5049 MW 2017. godine, što čini povećanje instalirane snage za 160 % uz približno povećanje potrošnje za 60% do 2050 godine.      </w:t>
      </w:r>
    </w:p>
    <w:p w14:paraId="75C08CBC" w14:textId="77777777" w:rsidR="008F16D6" w:rsidRPr="008F16D6" w:rsidRDefault="008F16D6" w:rsidP="008F16D6">
      <w:pPr>
        <w:suppressAutoHyphens/>
        <w:spacing w:before="240" w:after="120" w:line="288" w:lineRule="auto"/>
        <w:jc w:val="both"/>
        <w:rPr>
          <w:rFonts w:ascii="Arial" w:eastAsia="Times New Roman" w:hAnsi="Arial" w:cs="Arial"/>
          <w:lang w:eastAsia="hr-HR"/>
        </w:rPr>
      </w:pPr>
      <w:r w:rsidRPr="008F16D6">
        <w:rPr>
          <w:rFonts w:ascii="Arial" w:eastAsia="Times New Roman" w:hAnsi="Arial" w:cs="Arial"/>
          <w:lang w:eastAsia="hr-HR"/>
        </w:rPr>
        <w:t xml:space="preserve">Prema scenariju S2 planira se izgradnja spremnika (baterije) snage 100 MW do 2030. godine, odnosno 400 MW do 2050. godine, što je također planirano i u scenariju S1. Zadržavanjem jednakih snaga spremnika energije u S2 scenariju, kao u scenariju S1 je posljedica manje instalirane snage reverzibilnih HE i plinskih TE u scenariju S2 u odnosu na S1. </w:t>
      </w:r>
    </w:p>
    <w:p w14:paraId="76E3FF81" w14:textId="77777777" w:rsidR="008F16D6" w:rsidRPr="008F16D6" w:rsidRDefault="008F16D6" w:rsidP="008F16D6">
      <w:pPr>
        <w:suppressAutoHyphens/>
        <w:spacing w:before="240" w:after="120" w:line="288" w:lineRule="auto"/>
        <w:jc w:val="both"/>
        <w:rPr>
          <w:rFonts w:ascii="Arial" w:eastAsia="Times New Roman" w:hAnsi="Arial" w:cs="Arial"/>
          <w:lang w:eastAsia="hr-HR"/>
        </w:rPr>
      </w:pPr>
      <w:r w:rsidRPr="008F16D6">
        <w:rPr>
          <w:rFonts w:ascii="Arial" w:eastAsia="Times New Roman" w:hAnsi="Arial" w:cs="Arial"/>
          <w:lang w:eastAsia="hr-HR"/>
        </w:rPr>
        <w:t xml:space="preserve">Zaključno, prema scenariju S2 u odnosu na scenarij S1 do 2050. godine, planira se manja instalirana snaga elektrana za 2564 MW, odnosno prema scenariju S2 u odnosu na S1 planira se približno manje instalirane snage: za 196 MW u HE i RHE, za 300 MW u plinskim TE, za 945 MW u VE te za 1123 MW u FN elektranama. </w:t>
      </w:r>
    </w:p>
    <w:p w14:paraId="23CDF7C5"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U skladu s rezultatima analitičkih podloga ove Strategije (Zelena i Bijela knjiga), u svim razmatranim scenarijima potrebno je omogućiti realizaciju projekata istraživanja i eksploatacije ugljikovodika, a koji će dovesti do eksploatacije ugljikovodika i na taj način smanjiti pad proizvodnje. </w:t>
      </w:r>
    </w:p>
    <w:p w14:paraId="2FA6F671"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Potencijal geotermalne energije potrebno je poticati kroz nova nadmetanja za istraživanje i eksploataciju geotermalne vode za energetske svrhe na postojećim poznatim lokacijama. Dodatno je potrebno poticati istraživanja na područjima na kojima se predviđa visok geotermalni gradijent, a na kojima treba dodatno istražnim aktivnostima potvrditi geotermalni potencijal, te na takvim područjima pronaći modele podrške istraživanju i smanjenju rizika istraživanja. Također, potrebno je detektirati eksploatacijska polja ugljikovodika koja bi mogla biti iskorištena za geotermalnu energiju, a čija iscrpljenost je dosegnula svoj maksimum. </w:t>
      </w:r>
      <w:r w:rsidRPr="008F16D6">
        <w:rPr>
          <w:rFonts w:ascii="Arial" w:eastAsia="Times New Roman" w:hAnsi="Arial" w:cs="Arial"/>
          <w:lang w:eastAsia="hr-HR"/>
        </w:rPr>
        <w:t xml:space="preserve"> </w:t>
      </w:r>
    </w:p>
    <w:p w14:paraId="33491788"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Dugoročno promatrano, važnu ulogu u ostvarenju energetske tranzicije imat će nove tehnologije proizvodnje vodika, metana i tekućih goriva iz električne energije proizvedene iz obnovljivih izvora. To su </w:t>
      </w:r>
      <w:r w:rsidRPr="008F16D6">
        <w:rPr>
          <w:rFonts w:ascii="Arial" w:eastAsia="Times New Roman" w:hAnsi="Arial" w:cs="Times New Roman"/>
          <w:i/>
          <w:iCs/>
          <w:lang w:eastAsia="hr-HR"/>
        </w:rPr>
        <w:t>power to liquids</w:t>
      </w:r>
      <w:r w:rsidRPr="008F16D6">
        <w:rPr>
          <w:rFonts w:ascii="Arial" w:eastAsia="Times New Roman" w:hAnsi="Arial" w:cs="Times New Roman"/>
          <w:lang w:eastAsia="hr-HR"/>
        </w:rPr>
        <w:t xml:space="preserve"> (PtL) tehnologija za proizvodnju tekućih goriva poput npr. mlaznog ili dizelskog goriva, odnosno </w:t>
      </w:r>
      <w:r w:rsidRPr="008F16D6">
        <w:rPr>
          <w:rFonts w:ascii="Arial" w:eastAsia="Times New Roman" w:hAnsi="Arial" w:cs="Times New Roman"/>
          <w:i/>
          <w:iCs/>
          <w:lang w:eastAsia="hr-HR"/>
        </w:rPr>
        <w:t>power to gas</w:t>
      </w:r>
      <w:r w:rsidRPr="008F16D6">
        <w:rPr>
          <w:rFonts w:ascii="Arial" w:eastAsia="Times New Roman" w:hAnsi="Arial" w:cs="Times New Roman"/>
          <w:lang w:eastAsia="hr-HR"/>
        </w:rPr>
        <w:t xml:space="preserve"> (P2G) tehnologija za proizvodnju vodika i metana, korištenjem električne energije proizvedene iz obnovljivih izvora. Plinovita i tekuća goriva proizvedena spomenutim tehnologijama bit će neizostavni oblici energije u onim područjima gdje je direktno korištenje električne energije ograničeno, poput avionskog, pomorskog i cestovnog teretnog prometa te u određenim industrijskim procesima. Trenutno se ove tehnologije primjenjuju na razini pilot i demonstracijskih projekata, a može se očekivati da će u budućnosti imati važnu ulogu, prije svega u segmentu uporabe plina. </w:t>
      </w:r>
    </w:p>
    <w:p w14:paraId="16188504" w14:textId="77777777" w:rsidR="008F16D6" w:rsidRPr="008F16D6" w:rsidRDefault="008F16D6" w:rsidP="008F16D6">
      <w:pPr>
        <w:suppressAutoHyphens/>
        <w:spacing w:before="240" w:after="120" w:line="288" w:lineRule="auto"/>
        <w:jc w:val="center"/>
        <w:rPr>
          <w:rFonts w:ascii="Arial" w:eastAsia="Times New Roman" w:hAnsi="Arial" w:cs="Times New Roman"/>
          <w:lang w:eastAsia="hr-HR"/>
        </w:rPr>
      </w:pPr>
      <w:r w:rsidRPr="008F16D6">
        <w:rPr>
          <w:rFonts w:ascii="Arial" w:eastAsia="Times New Roman" w:hAnsi="Arial" w:cs="Times New Roman"/>
          <w:noProof/>
          <w:lang w:eastAsia="hr-HR"/>
        </w:rPr>
        <w:drawing>
          <wp:inline distT="0" distB="0" distL="0" distR="0" wp14:anchorId="51A5E183" wp14:editId="63C95281">
            <wp:extent cx="5237501" cy="2770505"/>
            <wp:effectExtent l="0" t="0" r="1270" b="0"/>
            <wp:docPr id="31" name="Picture 31" descr="C:\Users\santesevic\Desktop\slik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esevic\Desktop\slika 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45974" cy="2774987"/>
                    </a:xfrm>
                    <a:prstGeom prst="rect">
                      <a:avLst/>
                    </a:prstGeom>
                    <a:noFill/>
                    <a:ln>
                      <a:noFill/>
                    </a:ln>
                  </pic:spPr>
                </pic:pic>
              </a:graphicData>
            </a:graphic>
          </wp:inline>
        </w:drawing>
      </w:r>
    </w:p>
    <w:p w14:paraId="45B39E4E" w14:textId="1E5CFC68" w:rsidR="008F16D6" w:rsidRPr="008F16D6" w:rsidRDefault="008F16D6" w:rsidP="008F16D6">
      <w:pPr>
        <w:spacing w:before="120" w:after="360" w:line="240" w:lineRule="auto"/>
        <w:jc w:val="center"/>
        <w:rPr>
          <w:rFonts w:ascii="Arial" w:eastAsia="Times New Roman" w:hAnsi="Arial" w:cs="Arial"/>
          <w:b/>
          <w:sz w:val="20"/>
          <w:szCs w:val="20"/>
        </w:rPr>
      </w:pPr>
      <w:r w:rsidRPr="008F16D6">
        <w:rPr>
          <w:rFonts w:ascii="Arial" w:eastAsia="Times New Roman" w:hAnsi="Arial" w:cs="Arial"/>
          <w:b/>
          <w:sz w:val="20"/>
          <w:szCs w:val="20"/>
        </w:rPr>
        <w:t xml:space="preserve">Slika </w:t>
      </w:r>
      <w:r w:rsidR="00740FC7">
        <w:rPr>
          <w:rFonts w:ascii="Arial" w:eastAsia="Times New Roman" w:hAnsi="Arial" w:cs="Arial"/>
          <w:b/>
          <w:sz w:val="20"/>
          <w:szCs w:val="20"/>
        </w:rPr>
        <w:t>1</w:t>
      </w:r>
      <w:r w:rsidR="00C64CC0">
        <w:rPr>
          <w:rFonts w:ascii="Arial" w:eastAsia="Times New Roman" w:hAnsi="Arial" w:cs="Arial"/>
          <w:b/>
          <w:sz w:val="20"/>
          <w:szCs w:val="20"/>
        </w:rPr>
        <w:t>7</w:t>
      </w:r>
      <w:r w:rsidR="00740FC7">
        <w:rPr>
          <w:rFonts w:ascii="Arial" w:eastAsia="Times New Roman" w:hAnsi="Arial" w:cs="Arial"/>
          <w:b/>
          <w:sz w:val="20"/>
          <w:szCs w:val="20"/>
        </w:rPr>
        <w:t xml:space="preserve">. </w:t>
      </w:r>
      <w:r w:rsidRPr="008F16D6">
        <w:rPr>
          <w:rFonts w:ascii="Arial" w:eastAsia="Times New Roman" w:hAnsi="Arial" w:cs="Arial"/>
          <w:b/>
          <w:sz w:val="20"/>
          <w:szCs w:val="20"/>
        </w:rPr>
        <w:t xml:space="preserve">Shematski prikaz </w:t>
      </w:r>
      <w:r w:rsidRPr="008F16D6">
        <w:rPr>
          <w:rFonts w:ascii="Arial" w:eastAsia="Times New Roman" w:hAnsi="Arial" w:cs="Arial"/>
          <w:b/>
          <w:i/>
          <w:sz w:val="20"/>
          <w:szCs w:val="20"/>
        </w:rPr>
        <w:t>power to gas</w:t>
      </w:r>
      <w:r w:rsidRPr="008F16D6">
        <w:rPr>
          <w:rFonts w:ascii="Arial" w:eastAsia="Times New Roman" w:hAnsi="Arial" w:cs="Arial"/>
          <w:b/>
          <w:sz w:val="20"/>
          <w:szCs w:val="20"/>
        </w:rPr>
        <w:t xml:space="preserve"> i </w:t>
      </w:r>
      <w:r w:rsidRPr="008F16D6">
        <w:rPr>
          <w:rFonts w:ascii="Arial" w:eastAsia="Times New Roman" w:hAnsi="Arial" w:cs="Arial"/>
          <w:b/>
          <w:i/>
          <w:sz w:val="20"/>
          <w:szCs w:val="20"/>
        </w:rPr>
        <w:t>power to liquid</w:t>
      </w:r>
      <w:r w:rsidRPr="008F16D6">
        <w:rPr>
          <w:rFonts w:ascii="Arial" w:eastAsia="Times New Roman" w:hAnsi="Arial" w:cs="Arial"/>
          <w:b/>
          <w:sz w:val="20"/>
          <w:szCs w:val="20"/>
        </w:rPr>
        <w:t xml:space="preserve"> tehnologija</w:t>
      </w:r>
    </w:p>
    <w:p w14:paraId="16CCE47D"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Općenito, na putu prema energiji bez emisija, vodik treba uzeti u obzir kao važno gorivo budućnosti. Pri tome i CCS tehnologija (izdvajanja i spremanja ugljikovog dioksida) može imati značajnu ulogu u tranziciji. Usprkos dosadašnjim, ne sasvim zadovoljavajućim rezultatima u istraživanjima korištenja CCS tehnologije, realno je očekivati da će povećanje cijena emisijskih jedinica ohrabriti novu etapu istraživanja i rezultirati sigurnosno i komercijalno zadovoljavajućim rezultatima, otvarajući dalje prostor dugoročnom razvoju održive globalne energetike na bazi vodika.</w:t>
      </w:r>
    </w:p>
    <w:p w14:paraId="4D665432" w14:textId="77777777"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ind w:left="576" w:hanging="576"/>
        <w:textAlignment w:val="center"/>
        <w:outlineLvl w:val="1"/>
        <w:rPr>
          <w:rFonts w:ascii="Arial" w:eastAsia="Times New Roman" w:hAnsi="Arial" w:cs="Myriad Pro Cond"/>
          <w:b/>
          <w:bCs/>
          <w:color w:val="BE1D2D"/>
          <w:sz w:val="28"/>
          <w:szCs w:val="36"/>
          <w:lang w:eastAsia="hr-HR"/>
        </w:rPr>
      </w:pPr>
      <w:bookmarkStart w:id="145" w:name="_Toc17876394"/>
      <w:r w:rsidRPr="008F16D6">
        <w:rPr>
          <w:rFonts w:ascii="Arial" w:eastAsia="Times New Roman" w:hAnsi="Arial" w:cs="Myriad Pro Cond"/>
          <w:b/>
          <w:bCs/>
          <w:color w:val="BE1D2D"/>
          <w:sz w:val="28"/>
          <w:szCs w:val="36"/>
          <w:lang w:eastAsia="hr-HR"/>
        </w:rPr>
        <w:t>Energetska infrastruktura</w:t>
      </w:r>
      <w:bookmarkEnd w:id="145"/>
    </w:p>
    <w:p w14:paraId="69B8D243" w14:textId="77777777" w:rsidR="008F16D6" w:rsidRPr="008F16D6" w:rsidRDefault="008F16D6" w:rsidP="008F16D6">
      <w:pPr>
        <w:suppressAutoHyphens/>
        <w:spacing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U skladu s rezultatima analitičkih podloga ove Strategije (Zelena i Bijela knjiga), u okviru razmatranih scenarija, potrebno je omogućiti razvoj energetske infrastrukture s ciljem osiguranja pouzdane i kvalitetne opskrbe energentima, smanjenja gubitaka energije prilikom prijenosa i distribucije, kao i povezanosti s državama u okruženju. </w:t>
      </w:r>
    </w:p>
    <w:p w14:paraId="726734D8" w14:textId="77777777" w:rsidR="008F16D6" w:rsidRPr="008F16D6" w:rsidRDefault="008F16D6" w:rsidP="008F16D6">
      <w:pPr>
        <w:suppressAutoHyphens/>
        <w:spacing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U svim razmatranim scenarijima razvoja prijenosne elektroenergetske mreže potrebno je realizirati projekte kojima se zadržava visoka pouzdanost i sigurnost rada elektroenergetskog sustava i opskrbe kupaca električnom energijom, integracija OIE i ostalih izvora. </w:t>
      </w:r>
    </w:p>
    <w:p w14:paraId="7C6340DF" w14:textId="77777777" w:rsidR="008F16D6" w:rsidRPr="008F16D6" w:rsidRDefault="008F16D6" w:rsidP="008F16D6">
      <w:pPr>
        <w:suppressAutoHyphens/>
        <w:spacing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Razvoj distribucijske elektroenergetske mreže potrebno je temeljiti na sustavnom razvoju napredne distribucijske mreže i uvođenju naprednog mjernog sustava, koji  će omogućiti razvoj tržišta električne energije i poboljšati kvalitetu opskrbe električnom energijom.</w:t>
      </w:r>
    </w:p>
    <w:p w14:paraId="06BC9557"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U svim razmatranim scenarijima potrebno je omogućiti realizaciju projekata kojima će se povećati, tržišna prilagođenost, pouzdanost i sigurnost opskrbe prirodnim plinom, kao i učinkovitost i tehnička sigurnost cjelokupnog plinskog transportnog sustava. Naglasak je na projektima plinskog transportnog sustava koji su u funkciji diversifikacije opskrbe i povećanja učinkovitosti transportnog sustava, unutarnje operativne sigurnosti opskrbe i izvoza plina.</w:t>
      </w:r>
    </w:p>
    <w:p w14:paraId="0BB9D47E"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U sektoru toplinarstva očekuju se investicije u revitalizaciju postojećih sustava sa sustavima više energetske učinkovitosti i prelazak na tehnologije četvrte generacije u dijelu proizvodnje, distribucije i opskrbe.</w:t>
      </w:r>
    </w:p>
    <w:p w14:paraId="7319ADDA"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Sigurna i pouzdana opskrba tržišta naftom i naftnim derivatima osigurat će se realizacijom spremnika za skladištenje nafte i naftnih derivata s pratećom infrastrukturom, dogradnjom i modernizacijom infrastrukture za transport nafte i naftnih derivata, dogradnjom i modernizacijom sustava zaštite i sigurnosti. Dinamika gradnje projekata usklađivat će se s potrebama sigurnosti opskrbe i tržišnom potražnjom.</w:t>
      </w:r>
    </w:p>
    <w:p w14:paraId="27CD949C" w14:textId="14CAEE67" w:rsidR="006A647B" w:rsidRDefault="008F16D6" w:rsidP="006A647B">
      <w:pPr>
        <w:suppressAutoHyphens/>
        <w:spacing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Detaljniji popis potrebnih projekata razvoja energetske infrastrukture sadržan je u Zelenoj i Bijeloj knjizi ove Strategije te u službenim desetogodišnjim planovima razvoja.</w:t>
      </w:r>
      <w:r w:rsidR="006A647B">
        <w:rPr>
          <w:rFonts w:ascii="Arial" w:eastAsia="Times New Roman" w:hAnsi="Arial" w:cs="Times New Roman"/>
          <w:lang w:eastAsia="hr-HR"/>
        </w:rPr>
        <w:br w:type="page"/>
      </w:r>
    </w:p>
    <w:p w14:paraId="2775E022" w14:textId="77777777" w:rsidR="008F16D6" w:rsidRPr="008F16D6" w:rsidRDefault="008F16D6" w:rsidP="008F16D6">
      <w:pPr>
        <w:keepNext/>
        <w:pageBreakBefore/>
        <w:pBdr>
          <w:top w:val="single" w:sz="48" w:space="5" w:color="F5C1C6"/>
        </w:pBdr>
        <w:tabs>
          <w:tab w:val="left" w:pos="567"/>
        </w:tabs>
        <w:suppressAutoHyphens/>
        <w:autoSpaceDE w:val="0"/>
        <w:autoSpaceDN w:val="0"/>
        <w:adjustRightInd w:val="0"/>
        <w:spacing w:before="240" w:after="320" w:line="240" w:lineRule="auto"/>
        <w:ind w:left="360" w:hanging="360"/>
        <w:textAlignment w:val="center"/>
        <w:outlineLvl w:val="0"/>
        <w:rPr>
          <w:rFonts w:ascii="Arial" w:eastAsia="Times New Roman" w:hAnsi="Arial" w:cs="Times New Roman"/>
          <w:b/>
          <w:iCs/>
          <w:caps/>
          <w:color w:val="BE1D2D"/>
          <w:position w:val="24"/>
          <w:sz w:val="32"/>
          <w:szCs w:val="48"/>
          <w:lang w:eastAsia="hr-HR"/>
        </w:rPr>
      </w:pPr>
      <w:bookmarkStart w:id="146" w:name="_Toc2820402"/>
      <w:bookmarkStart w:id="147" w:name="_Toc2856686"/>
      <w:bookmarkStart w:id="148" w:name="_Toc526038"/>
      <w:bookmarkStart w:id="149" w:name="_Toc17876395"/>
      <w:bookmarkEnd w:id="146"/>
      <w:bookmarkEnd w:id="147"/>
      <w:r w:rsidRPr="008F16D6">
        <w:rPr>
          <w:rFonts w:ascii="Arial" w:eastAsia="Times New Roman" w:hAnsi="Arial" w:cs="Times New Roman"/>
          <w:b/>
          <w:iCs/>
          <w:color w:val="BE1D2D"/>
          <w:position w:val="24"/>
          <w:sz w:val="32"/>
          <w:szCs w:val="48"/>
          <w:lang w:eastAsia="hr-HR"/>
        </w:rPr>
        <w:t>Financijski aspekti i pokazatelji energetske tranzicije</w:t>
      </w:r>
      <w:bookmarkEnd w:id="148"/>
      <w:bookmarkEnd w:id="149"/>
    </w:p>
    <w:p w14:paraId="7024417B" w14:textId="77777777" w:rsidR="008F16D6" w:rsidRPr="008F16D6" w:rsidRDefault="008F16D6" w:rsidP="008F16D6">
      <w:pPr>
        <w:suppressAutoHyphens/>
        <w:spacing w:before="240" w:after="120" w:line="288" w:lineRule="auto"/>
        <w:jc w:val="both"/>
        <w:rPr>
          <w:rFonts w:ascii="Arial" w:eastAsia="Times New Roman" w:hAnsi="Arial" w:cs="Arial"/>
          <w:lang w:eastAsia="hr-HR"/>
        </w:rPr>
      </w:pPr>
      <w:bookmarkStart w:id="150" w:name="_Hlk2248076"/>
      <w:r w:rsidRPr="008F16D6">
        <w:rPr>
          <w:rFonts w:ascii="Arial" w:eastAsia="Times New Roman" w:hAnsi="Arial" w:cs="Arial"/>
          <w:lang w:eastAsia="hr-HR"/>
        </w:rPr>
        <w:t xml:space="preserve">Energetska tranzicija potiče korištenje potencijala OIE i smanjenje uvozne ovisnosti o fosilnim gorivima i energiji te time pridonosi gospodarskom rastu i modernizaciji, povećanju zaposlenosti i boljem životnom standardu građana. Krajnji rezultat energetske tranzicije je sigurna, cjenovno dostupna i ekološki prihvatljiva energija. Brzina tranzicije i razina potrebnih ulaganja povezani su i ovise o tehnološkom razvoju na međunarodnoj razini. </w:t>
      </w:r>
    </w:p>
    <w:p w14:paraId="39F0F050" w14:textId="77777777"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ind w:left="567" w:hanging="576"/>
        <w:textAlignment w:val="center"/>
        <w:outlineLvl w:val="1"/>
        <w:rPr>
          <w:rFonts w:ascii="Arial" w:eastAsia="Times New Roman" w:hAnsi="Arial" w:cs="Myriad Pro Cond"/>
          <w:b/>
          <w:bCs/>
          <w:color w:val="BE1D2D"/>
          <w:sz w:val="28"/>
          <w:szCs w:val="36"/>
          <w:lang w:eastAsia="hr-HR"/>
        </w:rPr>
      </w:pPr>
      <w:bookmarkStart w:id="151" w:name="_Toc17876396"/>
      <w:bookmarkStart w:id="152" w:name="_Hlk4868544"/>
      <w:bookmarkEnd w:id="150"/>
      <w:r w:rsidRPr="008F16D6">
        <w:rPr>
          <w:rFonts w:ascii="Arial" w:eastAsia="Times New Roman" w:hAnsi="Arial" w:cs="Myriad Pro Cond"/>
          <w:b/>
          <w:bCs/>
          <w:color w:val="BE1D2D"/>
          <w:sz w:val="28"/>
          <w:szCs w:val="36"/>
          <w:lang w:eastAsia="hr-HR"/>
        </w:rPr>
        <w:t>Procjena ulaganja</w:t>
      </w:r>
      <w:bookmarkEnd w:id="151"/>
      <w:r w:rsidRPr="008F16D6">
        <w:rPr>
          <w:rFonts w:ascii="Arial" w:eastAsia="Times New Roman" w:hAnsi="Arial" w:cs="Myriad Pro Cond"/>
          <w:b/>
          <w:bCs/>
          <w:color w:val="BE1D2D"/>
          <w:sz w:val="28"/>
          <w:szCs w:val="36"/>
          <w:lang w:eastAsia="hr-HR"/>
        </w:rPr>
        <w:t xml:space="preserve"> </w:t>
      </w:r>
    </w:p>
    <w:p w14:paraId="6B4004CD" w14:textId="77777777" w:rsidR="008F16D6" w:rsidRPr="008F16D6" w:rsidRDefault="008F16D6" w:rsidP="008F16D6">
      <w:pPr>
        <w:suppressAutoHyphens/>
        <w:spacing w:before="240" w:after="120" w:line="288" w:lineRule="auto"/>
        <w:jc w:val="both"/>
        <w:rPr>
          <w:rFonts w:ascii="Arial" w:eastAsia="Times New Roman" w:hAnsi="Arial" w:cs="Arial"/>
          <w:lang w:eastAsia="hr-HR"/>
        </w:rPr>
      </w:pPr>
      <w:r w:rsidRPr="008F16D6">
        <w:rPr>
          <w:rFonts w:ascii="Arial" w:eastAsia="Times New Roman" w:hAnsi="Arial" w:cs="Arial"/>
          <w:lang w:eastAsia="hr-HR"/>
        </w:rPr>
        <w:t xml:space="preserve">Energetska tranzicija zahtjeva značajna ulaganja na svim razinama energetskog sustava. Intenzitet investicija povećava se prema kraju razdoblja s obzirom na sve veću potrebu smanjenja emisija stakleničkih plinova. Potrebno je osigurati postupni prelazak na nove oblike </w:t>
      </w:r>
      <w:bookmarkEnd w:id="152"/>
      <w:r w:rsidRPr="008F16D6">
        <w:rPr>
          <w:rFonts w:ascii="Arial" w:eastAsia="Times New Roman" w:hAnsi="Arial" w:cs="Arial"/>
          <w:lang w:eastAsia="hr-HR"/>
        </w:rPr>
        <w:t>energije i tehnologije uz istovremeno očuvanje stabilnosti opskrbe.</w:t>
      </w:r>
    </w:p>
    <w:p w14:paraId="12052137" w14:textId="77777777" w:rsidR="008F16D6" w:rsidRPr="008F16D6" w:rsidRDefault="008F16D6" w:rsidP="008F16D6">
      <w:pPr>
        <w:suppressAutoHyphens/>
        <w:spacing w:before="240" w:after="120" w:line="288" w:lineRule="auto"/>
        <w:jc w:val="both"/>
        <w:rPr>
          <w:rFonts w:ascii="Arial" w:eastAsia="Times New Roman" w:hAnsi="Arial" w:cs="Arial"/>
          <w:lang w:eastAsia="hr-HR"/>
        </w:rPr>
      </w:pPr>
      <w:r w:rsidRPr="008F16D6">
        <w:rPr>
          <w:rFonts w:ascii="Arial" w:eastAsia="Times New Roman" w:hAnsi="Arial" w:cs="Arial"/>
          <w:lang w:eastAsia="hr-HR"/>
        </w:rPr>
        <w:t>Prema scenariju S2, ukupna ulaganja iznose 378,9 milijardi kuna u razdoblju od 2021.-2050. što u prosijeku iznosi 12,6 milijardi kuna godišnje. Ulaganja u energetsku obnovu zgrada i izgradnju zgrada gotovo nulte energije procijenjena su na 183,7 milijardi kuna, što je 48,5 % ukupnih ulaganja. Dio ulaganja koji se odnosi na EES iznosi 101,0 milijardu kuna (26,7 % od ukupnih ulaganja). Ostala ulaganja se odnose na prometnu infrastrukturu, napredna biogoriva, toplinarstvo, sunčane toplinske sustave te ulaganja u infrastrukturu fosilnih goriva: plina i nafte i naftnih derivata.</w:t>
      </w:r>
    </w:p>
    <w:p w14:paraId="69D7EE74" w14:textId="77777777" w:rsidR="008F16D6" w:rsidRPr="008F16D6" w:rsidRDefault="008F16D6" w:rsidP="008F16D6">
      <w:pPr>
        <w:suppressAutoHyphens/>
        <w:spacing w:before="240" w:after="120" w:line="288" w:lineRule="auto"/>
        <w:jc w:val="both"/>
        <w:rPr>
          <w:rFonts w:ascii="Arial" w:eastAsia="Times New Roman" w:hAnsi="Arial" w:cs="Arial"/>
          <w:lang w:eastAsia="hr-HR"/>
        </w:rPr>
      </w:pPr>
    </w:p>
    <w:p w14:paraId="1BE3D02E" w14:textId="77777777" w:rsidR="008F16D6" w:rsidRPr="008F16D6" w:rsidRDefault="008F16D6" w:rsidP="008F16D6">
      <w:pPr>
        <w:suppressAutoHyphens/>
        <w:spacing w:before="240" w:after="120" w:line="288" w:lineRule="auto"/>
        <w:jc w:val="both"/>
        <w:rPr>
          <w:rFonts w:ascii="Arial" w:eastAsia="Times New Roman" w:hAnsi="Arial" w:cs="Arial"/>
          <w:lang w:eastAsia="hr-HR"/>
        </w:rPr>
      </w:pPr>
      <w:r w:rsidRPr="008F16D6">
        <w:rPr>
          <w:rFonts w:ascii="Arial" w:eastAsia="Times New Roman" w:hAnsi="Arial" w:cs="Times New Roman"/>
          <w:noProof/>
          <w:lang w:eastAsia="hr-HR"/>
        </w:rPr>
        <w:drawing>
          <wp:inline distT="0" distB="0" distL="0" distR="0" wp14:anchorId="3D6EF8A1" wp14:editId="65450331">
            <wp:extent cx="5851103" cy="2363712"/>
            <wp:effectExtent l="0" t="0" r="0" b="0"/>
            <wp:docPr id="1517485357" name="Picture 1517485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b="1571"/>
                    <a:stretch/>
                  </pic:blipFill>
                  <pic:spPr bwMode="auto">
                    <a:xfrm>
                      <a:off x="0" y="0"/>
                      <a:ext cx="5851103" cy="2363712"/>
                    </a:xfrm>
                    <a:prstGeom prst="rect">
                      <a:avLst/>
                    </a:prstGeom>
                    <a:ln>
                      <a:noFill/>
                    </a:ln>
                    <a:extLst>
                      <a:ext uri="{53640926-AAD7-44D8-BBD7-CCE9431645EC}">
                        <a14:shadowObscured xmlns:a14="http://schemas.microsoft.com/office/drawing/2010/main"/>
                      </a:ext>
                    </a:extLst>
                  </pic:spPr>
                </pic:pic>
              </a:graphicData>
            </a:graphic>
          </wp:inline>
        </w:drawing>
      </w:r>
    </w:p>
    <w:p w14:paraId="0DB627BE" w14:textId="5BD6439C" w:rsidR="008F16D6" w:rsidRPr="008F16D6" w:rsidRDefault="008F16D6" w:rsidP="008F16D6">
      <w:pPr>
        <w:spacing w:before="120" w:after="360" w:line="240" w:lineRule="auto"/>
        <w:jc w:val="center"/>
        <w:rPr>
          <w:rFonts w:ascii="Arial" w:eastAsia="Times New Roman" w:hAnsi="Arial" w:cs="Arial"/>
          <w:b/>
          <w:sz w:val="20"/>
          <w:szCs w:val="24"/>
        </w:rPr>
      </w:pPr>
      <w:r w:rsidRPr="008F16D6">
        <w:rPr>
          <w:rFonts w:ascii="Arial" w:eastAsia="Times New Roman" w:hAnsi="Arial" w:cs="Arial"/>
          <w:b/>
          <w:sz w:val="20"/>
          <w:szCs w:val="24"/>
        </w:rPr>
        <w:t>Slika</w:t>
      </w:r>
      <w:r w:rsidR="00740FC7">
        <w:rPr>
          <w:rFonts w:ascii="Arial" w:eastAsia="Times New Roman" w:hAnsi="Arial" w:cs="Arial"/>
          <w:b/>
          <w:sz w:val="20"/>
          <w:szCs w:val="24"/>
        </w:rPr>
        <w:t xml:space="preserve"> 1</w:t>
      </w:r>
      <w:r w:rsidR="00C64CC0">
        <w:rPr>
          <w:rFonts w:ascii="Arial" w:eastAsia="Times New Roman" w:hAnsi="Arial" w:cs="Arial"/>
          <w:b/>
          <w:sz w:val="20"/>
          <w:szCs w:val="24"/>
        </w:rPr>
        <w:t>8</w:t>
      </w:r>
      <w:r w:rsidRPr="008F16D6">
        <w:rPr>
          <w:rFonts w:ascii="Arial" w:eastAsia="Times New Roman" w:hAnsi="Arial" w:cs="Arial"/>
          <w:b/>
          <w:sz w:val="20"/>
          <w:szCs w:val="24"/>
        </w:rPr>
        <w:t>. Ukupna ulaganja u energetskom sektoru od 2021.-2050. godine prema Scenariju S2</w:t>
      </w:r>
    </w:p>
    <w:p w14:paraId="201F4BE3" w14:textId="77777777" w:rsidR="008F16D6" w:rsidRPr="008F16D6" w:rsidRDefault="008F16D6" w:rsidP="008F16D6">
      <w:pPr>
        <w:suppressAutoHyphens/>
        <w:spacing w:before="240" w:after="120" w:line="288" w:lineRule="auto"/>
        <w:jc w:val="both"/>
        <w:rPr>
          <w:rFonts w:ascii="Arial" w:eastAsia="Times New Roman" w:hAnsi="Arial" w:cs="Arial"/>
          <w:lang w:eastAsia="hr-HR"/>
        </w:rPr>
      </w:pPr>
    </w:p>
    <w:p w14:paraId="6BAF0F37" w14:textId="77777777" w:rsidR="008F16D6" w:rsidRPr="008F16D6" w:rsidRDefault="008F16D6" w:rsidP="008F16D6">
      <w:pPr>
        <w:suppressAutoHyphens/>
        <w:spacing w:before="240" w:after="120" w:line="288" w:lineRule="auto"/>
        <w:jc w:val="both"/>
        <w:rPr>
          <w:rFonts w:ascii="Arial" w:eastAsia="Times New Roman" w:hAnsi="Arial" w:cs="Arial"/>
          <w:lang w:eastAsia="hr-HR"/>
        </w:rPr>
      </w:pPr>
    </w:p>
    <w:p w14:paraId="35E7A352"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noProof/>
          <w:lang w:eastAsia="hr-HR"/>
        </w:rPr>
        <w:t xml:space="preserve"> </w:t>
      </w:r>
      <w:r w:rsidRPr="008F16D6">
        <w:rPr>
          <w:rFonts w:ascii="Arial" w:eastAsia="Times New Roman" w:hAnsi="Arial" w:cs="Times New Roman"/>
          <w:noProof/>
          <w:lang w:eastAsia="hr-HR"/>
        </w:rPr>
        <w:drawing>
          <wp:inline distT="0" distB="0" distL="0" distR="0" wp14:anchorId="23984C50" wp14:editId="24B466EA">
            <wp:extent cx="5563589" cy="2284071"/>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78688" cy="2290270"/>
                    </a:xfrm>
                    <a:prstGeom prst="rect">
                      <a:avLst/>
                    </a:prstGeom>
                  </pic:spPr>
                </pic:pic>
              </a:graphicData>
            </a:graphic>
          </wp:inline>
        </w:drawing>
      </w:r>
    </w:p>
    <w:p w14:paraId="127161D3" w14:textId="7D1D3C0C" w:rsidR="008F16D6" w:rsidRPr="008F16D6" w:rsidRDefault="008F16D6" w:rsidP="008F16D6">
      <w:pPr>
        <w:spacing w:before="120" w:after="360" w:line="240" w:lineRule="auto"/>
        <w:jc w:val="center"/>
        <w:rPr>
          <w:rFonts w:ascii="Arial" w:eastAsia="Times New Roman" w:hAnsi="Arial" w:cs="Arial"/>
          <w:b/>
          <w:sz w:val="20"/>
          <w:szCs w:val="24"/>
        </w:rPr>
      </w:pPr>
      <w:r w:rsidRPr="008F16D6">
        <w:rPr>
          <w:rFonts w:ascii="Arial" w:eastAsia="Times New Roman" w:hAnsi="Arial" w:cs="Arial"/>
          <w:b/>
          <w:sz w:val="20"/>
          <w:szCs w:val="24"/>
        </w:rPr>
        <w:t>Slika</w:t>
      </w:r>
      <w:r w:rsidR="00740FC7">
        <w:rPr>
          <w:rFonts w:ascii="Arial" w:eastAsia="Times New Roman" w:hAnsi="Arial" w:cs="Arial"/>
          <w:b/>
          <w:sz w:val="20"/>
          <w:szCs w:val="24"/>
        </w:rPr>
        <w:t xml:space="preserve"> </w:t>
      </w:r>
      <w:r w:rsidR="00C64CC0">
        <w:rPr>
          <w:rFonts w:ascii="Arial" w:eastAsia="Times New Roman" w:hAnsi="Arial" w:cs="Arial"/>
          <w:b/>
          <w:sz w:val="20"/>
          <w:szCs w:val="24"/>
        </w:rPr>
        <w:t>19</w:t>
      </w:r>
      <w:r w:rsidRPr="008F16D6">
        <w:rPr>
          <w:rFonts w:ascii="Arial" w:eastAsia="Times New Roman" w:hAnsi="Arial" w:cs="Arial"/>
          <w:b/>
          <w:sz w:val="20"/>
          <w:szCs w:val="24"/>
        </w:rPr>
        <w:t>. Ukupna ulaganja u energetskom sektoru od 2021.-2050. godine prema Scenariju S1</w:t>
      </w:r>
    </w:p>
    <w:p w14:paraId="22C297BF" w14:textId="77777777" w:rsidR="008F16D6" w:rsidRPr="008F16D6" w:rsidRDefault="008F16D6" w:rsidP="008F16D6">
      <w:pPr>
        <w:suppressAutoHyphens/>
        <w:spacing w:before="240" w:after="120" w:line="288" w:lineRule="auto"/>
        <w:jc w:val="both"/>
        <w:rPr>
          <w:rFonts w:ascii="Arial" w:eastAsia="Times New Roman" w:hAnsi="Arial" w:cs="Arial"/>
          <w:lang w:eastAsia="hr-HR"/>
        </w:rPr>
      </w:pPr>
      <w:r w:rsidRPr="008F16D6">
        <w:rPr>
          <w:rFonts w:ascii="Arial" w:eastAsia="Times New Roman" w:hAnsi="Arial" w:cs="Arial"/>
          <w:lang w:eastAsia="hr-HR"/>
        </w:rPr>
        <w:t>Prema scenariju S1, ukupna ulaganja iznose 461,7 milijardi kuna u razdoblju od 2021.-2050. što u prosijeku iznosi 15,4 milijarde kuna godišnje. Ulaganja u energetsku obnovu zgrada i izgradnju zgrada gotovo nulte energije procijenjena su na 239,5 milijardi kuna, što je 51,9 % ukupnih ulaganja, kako bi se ispunila predviđena stopa obnove zgrada od 3 % godišnje. Dio ulaganja koji se odnosi na EES iznosi 121,8 milijardi kuna (26,4 % od ukupnih ulaganja). Ostala ulaganja se odnose na prometnu infrastrukturu, napredna biogoriva, toplinarstvo, sunčane toplinske sustave te ulaganja u infrastrukturu fosilnih goriva: plina i nafte i naftnih derivata.</w:t>
      </w:r>
    </w:p>
    <w:p w14:paraId="1E4447CA" w14:textId="77777777" w:rsidR="008F16D6" w:rsidRPr="008F16D6" w:rsidRDefault="008F16D6" w:rsidP="008F16D6">
      <w:pPr>
        <w:suppressAutoHyphens/>
        <w:spacing w:before="240" w:after="120" w:line="288" w:lineRule="auto"/>
        <w:jc w:val="both"/>
        <w:rPr>
          <w:rFonts w:ascii="Arial" w:eastAsia="Times New Roman" w:hAnsi="Arial" w:cs="Arial"/>
          <w:lang w:eastAsia="hr-HR"/>
        </w:rPr>
      </w:pPr>
      <w:r w:rsidRPr="008F16D6">
        <w:rPr>
          <w:rFonts w:ascii="Arial" w:eastAsia="Times New Roman" w:hAnsi="Arial" w:cs="Arial"/>
          <w:lang w:eastAsia="hr-HR"/>
        </w:rPr>
        <w:t xml:space="preserve">Ulaganja u istraživanje i eksploataciju ugljikovodika povećat će vlastitu opskrbljenosti i sigurnost opskrbe energijom, dok će cijene plina, sirove nafte i naftnih derivata biti tržišno uvjetovane. </w:t>
      </w:r>
    </w:p>
    <w:p w14:paraId="3C82DC36" w14:textId="77777777" w:rsidR="008F16D6" w:rsidRPr="008F16D6" w:rsidRDefault="008F16D6" w:rsidP="008F16D6">
      <w:pPr>
        <w:suppressAutoHyphens/>
        <w:spacing w:before="240" w:after="120" w:line="288" w:lineRule="auto"/>
        <w:jc w:val="both"/>
        <w:rPr>
          <w:rFonts w:ascii="Arial" w:eastAsia="Times New Roman" w:hAnsi="Arial" w:cs="Arial"/>
          <w:lang w:eastAsia="hr-HR"/>
        </w:rPr>
      </w:pPr>
      <w:r w:rsidRPr="008F16D6">
        <w:rPr>
          <w:rFonts w:ascii="Arial" w:eastAsia="Times New Roman" w:hAnsi="Arial" w:cs="Arial"/>
          <w:lang w:eastAsia="hr-HR"/>
        </w:rPr>
        <w:t>Udio potrebnih prosječnih godišnjih ulaganja za ostvarenje energetske tranzicije, prema scenariju S1, u odnosu na prosječeni godišnji kumulativni BDP u promatranom razdoblju (od 2021. do 2050. godine) iznosi 3,5 % BDP-a, dok prema scenariju S2 iznosi 2,9 % BDP-a.</w:t>
      </w:r>
    </w:p>
    <w:p w14:paraId="0346D691" w14:textId="77777777"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ind w:left="576" w:hanging="576"/>
        <w:textAlignment w:val="center"/>
        <w:outlineLvl w:val="1"/>
        <w:rPr>
          <w:rFonts w:ascii="Arial" w:eastAsia="Times New Roman" w:hAnsi="Arial" w:cs="Myriad Pro Cond"/>
          <w:b/>
          <w:bCs/>
          <w:color w:val="BE1D2D"/>
          <w:sz w:val="28"/>
          <w:szCs w:val="36"/>
          <w:lang w:eastAsia="hr-HR"/>
        </w:rPr>
      </w:pPr>
      <w:bookmarkStart w:id="153" w:name="_Toc17876397"/>
      <w:r w:rsidRPr="008F16D6">
        <w:rPr>
          <w:rFonts w:ascii="Arial" w:eastAsia="Times New Roman" w:hAnsi="Arial" w:cs="Myriad Pro Cond"/>
          <w:b/>
          <w:bCs/>
          <w:color w:val="BE1D2D"/>
          <w:sz w:val="28"/>
          <w:szCs w:val="36"/>
          <w:lang w:eastAsia="hr-HR"/>
        </w:rPr>
        <w:t>Izvori financiranja</w:t>
      </w:r>
      <w:bookmarkEnd w:id="153"/>
      <w:r w:rsidRPr="008F16D6">
        <w:rPr>
          <w:rFonts w:ascii="Arial" w:eastAsia="Times New Roman" w:hAnsi="Arial" w:cs="Myriad Pro Cond"/>
          <w:b/>
          <w:bCs/>
          <w:color w:val="BE1D2D"/>
          <w:sz w:val="28"/>
          <w:szCs w:val="36"/>
          <w:lang w:eastAsia="hr-HR"/>
        </w:rPr>
        <w:t xml:space="preserve"> </w:t>
      </w:r>
    </w:p>
    <w:p w14:paraId="4FA22F13" w14:textId="2998DFA6"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Visoki stupanj dekarbonizacije društva zahtjeva provedbu izrazito složenog i kapitalno intenzivnog procesa energetske tranzicije. Tranzicija energetskog sektora imat će znatnog utjecaja na financijski sektor kao glavni izvor financijskih sredstava potrebnih za njenu provedbu te zahtijevati njegovu prilagodbu. </w:t>
      </w:r>
    </w:p>
    <w:p w14:paraId="1BF4C0CD"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Prelazak na OIE dugoročno osigurava povećanje vlastite opskrbljenosti, ali zahtjeva velika ulaganja tijekom prijelaznog razdoblja. Postizanje ciljeva poboljšanja energetske učinkovitosti u proizvodnji, prijenosu, distribuciji i potrošnji energije, zahtjeva dodatna ulaganja koja su najveća u zgradarstvu. </w:t>
      </w:r>
    </w:p>
    <w:p w14:paraId="17953B3D"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Trenutni trendovi na razvijenim tržištima pokazuju da je tržišna održivost OIE projekata sve veća, jednako kao i njihova konkurentnost u odnosu na druge tehnologije. Posljedično, kao dio energetske tranzicije, već su započeli procesi ispravljanja distorzije tržišnih mehanizama te sustavno približavanje potpuno tržišnim načelima uključujući i financijske mehanizme. Razumno je očekivati da će te promjene rezultirati većim angažmanom privatnog sektora, pa tako i privatnog kapitala u smislu financiranja projekata OIE.</w:t>
      </w:r>
    </w:p>
    <w:p w14:paraId="530E4091"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Nužno je ostvariti financiranje energetske tranzicije bez poticajnih mjera u smislu državnih potpora. </w:t>
      </w:r>
    </w:p>
    <w:p w14:paraId="64CFD75C"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Financiranje energetske tranzicije prvenstveno treba očekivati sredstvima:</w:t>
      </w:r>
    </w:p>
    <w:p w14:paraId="1485D8B7" w14:textId="2A3FCB0D" w:rsidR="008F16D6" w:rsidRPr="008F16D6" w:rsidRDefault="008F16D6" w:rsidP="00181F22">
      <w:pPr>
        <w:numPr>
          <w:ilvl w:val="0"/>
          <w:numId w:val="17"/>
        </w:numPr>
        <w:tabs>
          <w:tab w:val="left" w:pos="431"/>
        </w:tabs>
        <w:suppressAutoHyphens/>
        <w:spacing w:before="240" w:after="120" w:line="240" w:lineRule="auto"/>
        <w:jc w:val="both"/>
        <w:rPr>
          <w:rFonts w:ascii="Arial" w:eastAsia="Times New Roman" w:hAnsi="Arial" w:cs="Tahoma"/>
          <w:lang w:eastAsia="ar-SA"/>
        </w:rPr>
      </w:pPr>
      <w:r w:rsidRPr="008F16D6">
        <w:rPr>
          <w:rFonts w:ascii="Arial" w:eastAsia="Times New Roman" w:hAnsi="Arial" w:cs="Tahoma"/>
          <w:lang w:eastAsia="ar-SA"/>
        </w:rPr>
        <w:t>zainteresiranih tvrtki koje će prepoznati priliku za ulaganje</w:t>
      </w:r>
    </w:p>
    <w:p w14:paraId="6DD7945B" w14:textId="77777777" w:rsidR="008F16D6" w:rsidRPr="008F16D6" w:rsidRDefault="008F16D6" w:rsidP="00181F22">
      <w:pPr>
        <w:numPr>
          <w:ilvl w:val="0"/>
          <w:numId w:val="17"/>
        </w:numPr>
        <w:tabs>
          <w:tab w:val="left" w:pos="431"/>
        </w:tabs>
        <w:suppressAutoHyphens/>
        <w:spacing w:before="240" w:after="120" w:line="240" w:lineRule="auto"/>
        <w:jc w:val="both"/>
        <w:rPr>
          <w:rFonts w:ascii="Arial" w:eastAsia="Times New Roman" w:hAnsi="Arial" w:cs="Tahoma"/>
          <w:lang w:eastAsia="ar-SA"/>
        </w:rPr>
      </w:pPr>
      <w:r w:rsidRPr="008F16D6">
        <w:rPr>
          <w:rFonts w:ascii="Arial" w:eastAsia="Times New Roman" w:hAnsi="Arial" w:cs="Tahoma"/>
          <w:lang w:eastAsia="ar-SA"/>
        </w:rPr>
        <w:t>financijskih institucija i fondova (uključujući mirovinske fondove) koji će pratiti poduzetnički sektor i koji će svoje proizvode prilagoditi tranziciji energetskog sektora</w:t>
      </w:r>
    </w:p>
    <w:p w14:paraId="026369E3" w14:textId="2E74EFB2" w:rsidR="008F16D6" w:rsidRPr="008F16D6" w:rsidRDefault="008F16D6" w:rsidP="00181F22">
      <w:pPr>
        <w:numPr>
          <w:ilvl w:val="0"/>
          <w:numId w:val="17"/>
        </w:numPr>
        <w:tabs>
          <w:tab w:val="left" w:pos="431"/>
        </w:tabs>
        <w:suppressAutoHyphens/>
        <w:spacing w:before="240" w:after="120" w:line="240" w:lineRule="auto"/>
        <w:jc w:val="both"/>
        <w:rPr>
          <w:rFonts w:ascii="Arial" w:eastAsia="Times New Roman" w:hAnsi="Arial" w:cs="Tahoma"/>
          <w:lang w:eastAsia="ar-SA"/>
        </w:rPr>
      </w:pPr>
      <w:r w:rsidRPr="008F16D6">
        <w:rPr>
          <w:rFonts w:ascii="Arial" w:eastAsia="Times New Roman" w:hAnsi="Arial" w:cs="Tahoma"/>
          <w:lang w:eastAsia="ar-SA"/>
        </w:rPr>
        <w:t>EU iz programa kohezijske politike i drugih programa</w:t>
      </w:r>
    </w:p>
    <w:p w14:paraId="3AE1E2A3" w14:textId="77777777" w:rsidR="008F16D6" w:rsidRPr="008F16D6" w:rsidRDefault="008F16D6" w:rsidP="00181F22">
      <w:pPr>
        <w:numPr>
          <w:ilvl w:val="0"/>
          <w:numId w:val="17"/>
        </w:numPr>
        <w:tabs>
          <w:tab w:val="left" w:pos="431"/>
        </w:tabs>
        <w:suppressAutoHyphens/>
        <w:spacing w:before="240" w:after="120" w:line="240" w:lineRule="auto"/>
        <w:jc w:val="both"/>
        <w:rPr>
          <w:rFonts w:ascii="Arial" w:eastAsia="Times New Roman" w:hAnsi="Arial" w:cs="Tahoma"/>
          <w:lang w:eastAsia="ar-SA"/>
        </w:rPr>
      </w:pPr>
      <w:r w:rsidRPr="008F16D6">
        <w:rPr>
          <w:rFonts w:ascii="Arial" w:eastAsia="Times New Roman" w:hAnsi="Arial" w:cs="Tahoma"/>
          <w:lang w:eastAsia="ar-SA"/>
        </w:rPr>
        <w:t>fondova sukladno odredbama EU-ETS direktive – Fond za modernizaciju, Inovacijski fond,</w:t>
      </w:r>
    </w:p>
    <w:p w14:paraId="06C05166" w14:textId="77777777" w:rsidR="008F16D6" w:rsidRPr="008F16D6" w:rsidRDefault="008F16D6" w:rsidP="00181F22">
      <w:pPr>
        <w:numPr>
          <w:ilvl w:val="0"/>
          <w:numId w:val="17"/>
        </w:numPr>
        <w:tabs>
          <w:tab w:val="left" w:pos="431"/>
        </w:tabs>
        <w:suppressAutoHyphens/>
        <w:spacing w:before="240" w:after="120" w:line="240" w:lineRule="auto"/>
        <w:jc w:val="both"/>
        <w:rPr>
          <w:rFonts w:ascii="Arial" w:eastAsia="Times New Roman" w:hAnsi="Arial" w:cs="Tahoma"/>
          <w:lang w:eastAsia="ar-SA"/>
        </w:rPr>
      </w:pPr>
      <w:r w:rsidRPr="008F16D6">
        <w:rPr>
          <w:rFonts w:ascii="Arial" w:eastAsia="Times New Roman" w:hAnsi="Arial" w:cs="Tahoma"/>
          <w:lang w:eastAsia="ar-SA"/>
        </w:rPr>
        <w:t>prikupljenim od dražbe emisijskih jedinica i naknade na emisiju CO</w:t>
      </w:r>
      <w:r w:rsidRPr="008F16D6">
        <w:rPr>
          <w:rFonts w:ascii="Arial" w:eastAsia="Times New Roman" w:hAnsi="Arial" w:cs="Tahoma"/>
          <w:vertAlign w:val="subscript"/>
          <w:lang w:eastAsia="ar-SA"/>
        </w:rPr>
        <w:t>2</w:t>
      </w:r>
      <w:r w:rsidRPr="008F16D6">
        <w:rPr>
          <w:rFonts w:ascii="Arial" w:eastAsia="Times New Roman" w:hAnsi="Arial" w:cs="Tahoma"/>
          <w:lang w:eastAsia="ar-SA"/>
        </w:rPr>
        <w:t>.</w:t>
      </w:r>
    </w:p>
    <w:p w14:paraId="1AFF79CB" w14:textId="30F8A539"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U procesu tranzicije, već je evidentno, da dolazi do segmentacije tržišta na uvjetno velike, kapitalno intenzivne, projekte te na one manje projekte OIE i energetske učinkovitosti u kojima aktivnu ulogu preuzimaju kupci/proizvođači (</w:t>
      </w:r>
      <w:r w:rsidRPr="008F16D6">
        <w:rPr>
          <w:rFonts w:ascii="Arial" w:eastAsia="Times New Roman" w:hAnsi="Arial" w:cs="Times New Roman"/>
          <w:i/>
          <w:lang w:eastAsia="hr-HR"/>
        </w:rPr>
        <w:t>prosumers</w:t>
      </w:r>
      <w:r w:rsidRPr="008F16D6">
        <w:rPr>
          <w:rFonts w:ascii="Arial" w:eastAsia="Times New Roman" w:hAnsi="Arial" w:cs="Times New Roman"/>
          <w:lang w:eastAsia="hr-HR"/>
        </w:rPr>
        <w:t xml:space="preserve">) i decentralizirana proizvodnja. Za ovakve manje tržišne segmente za očekivati je veliku dinamiku pojave tehnički i financijski inovativnih mehanizama financiranja kao što su energetsko zadrugarstvo, </w:t>
      </w:r>
      <w:r w:rsidRPr="008F16D6">
        <w:rPr>
          <w:rFonts w:ascii="Arial" w:eastAsia="Times New Roman" w:hAnsi="Arial" w:cs="Times New Roman"/>
          <w:i/>
          <w:lang w:eastAsia="hr-HR"/>
        </w:rPr>
        <w:t>crowdfunding</w:t>
      </w:r>
      <w:r w:rsidRPr="008F16D6">
        <w:rPr>
          <w:rFonts w:ascii="Arial" w:eastAsia="Times New Roman" w:hAnsi="Arial" w:cs="Times New Roman"/>
          <w:lang w:eastAsia="hr-HR"/>
        </w:rPr>
        <w:t xml:space="preserve">, </w:t>
      </w:r>
      <w:r w:rsidRPr="008F16D6">
        <w:rPr>
          <w:rFonts w:ascii="Arial" w:eastAsia="Times New Roman" w:hAnsi="Arial" w:cs="Times New Roman"/>
          <w:i/>
          <w:lang w:eastAsia="hr-HR"/>
        </w:rPr>
        <w:t>blockchain</w:t>
      </w:r>
      <w:r w:rsidRPr="008F16D6">
        <w:rPr>
          <w:rFonts w:ascii="Arial" w:eastAsia="Times New Roman" w:hAnsi="Arial" w:cs="Times New Roman"/>
          <w:lang w:eastAsia="hr-HR"/>
        </w:rPr>
        <w:t xml:space="preserve"> tehnologija, i sl. Ovakvi modaliteti financiranja u apsolutnom smislu kapitalne intenzivnosti (u smislu mogućnosti financiranja) bit će važna komplementarna komponenta energetske tranzicije, no njihovo djelovanje tek treba prepoznati, poticati i stvoriti sve nužne preduvjete potrebne za njihovo uklapanje u sveobuhvatnu energetsku tranziciju. Njihova uloga bit će najveća na lokalnoj razini pa stoga treba pristupiti njihovu poticanju na toj razini, uklopljenoj i sinkroniziranoj s nacionalnom politikom.</w:t>
      </w:r>
    </w:p>
    <w:p w14:paraId="55F01C03" w14:textId="51A5EAE6"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Kod velikih projekata koji će u relativnom smislu biti nositelji energetske tranzicije s aspekta kapitalne i investicijske aktivnosti uloga nacionalne politike bit će primarno usmjerena na stvaranju nužnih preduvjeta za privlačenje privatnih investicija i privatnog kapitala kao primarnih izvora financiranja. To uključuje transparentno definiranje smjera razvoja sektora, ulaganje napora u unaprijeđenije opće investicijske klime, te aktivno promicanje investicijskih prilika. U tom procesu od krucijalne važnosti je uključiti komercijalni financijski sektor te privatne investitore u strateški i akcijski diskurs s ciljem prepoznavanja svih rizika i barijera koje privatni kapital prepoznaje kao ograničavajući faktor za njihovu aktivniju participaciju i podjelu ukupnih financijskih rizika.</w:t>
      </w:r>
    </w:p>
    <w:p w14:paraId="776F92ED" w14:textId="77777777" w:rsidR="008F16D6" w:rsidRPr="008F16D6" w:rsidRDefault="008F16D6" w:rsidP="008F16D6">
      <w:pPr>
        <w:suppressAutoHyphens/>
        <w:spacing w:before="240" w:after="120" w:line="288" w:lineRule="auto"/>
        <w:jc w:val="both"/>
        <w:rPr>
          <w:rFonts w:ascii="Arial" w:eastAsia="Times New Roman" w:hAnsi="Arial" w:cs="Arial"/>
          <w:lang w:eastAsia="hr-HR"/>
        </w:rPr>
      </w:pPr>
      <w:r w:rsidRPr="008F16D6">
        <w:rPr>
          <w:rFonts w:ascii="Arial" w:eastAsia="Times New Roman" w:hAnsi="Arial" w:cs="Times New Roman"/>
          <w:lang w:eastAsia="hr-HR"/>
        </w:rPr>
        <w:t>Energetska tranzicija je proces u kojem je realno očekivati da do promjene punih načela slobodnog tržišta ne može doći u kratkom roku i uz nagle institucionalno-regulatorne promjene.  Stoga je u tranzitornom razdoblju do pune integracije mehanizama slobodnog tržišta s promjenama potrebno upravljati, istodobno osiguravajući isplativost investicija kroz mehanizme zaštite od vanjskih rizika na koje investitor i/ili institucije ne mogu utjecati.</w:t>
      </w:r>
      <w:bookmarkStart w:id="154" w:name="_Toc2820408"/>
      <w:bookmarkStart w:id="155" w:name="_Hlk1123962"/>
      <w:bookmarkEnd w:id="154"/>
    </w:p>
    <w:p w14:paraId="0E648743" w14:textId="77777777"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ind w:left="576" w:hanging="576"/>
        <w:textAlignment w:val="center"/>
        <w:outlineLvl w:val="1"/>
        <w:rPr>
          <w:rFonts w:ascii="Arial" w:eastAsia="Times New Roman" w:hAnsi="Arial" w:cs="Arial"/>
          <w:b/>
          <w:bCs/>
          <w:color w:val="BE1D2D"/>
          <w:sz w:val="28"/>
          <w:szCs w:val="36"/>
          <w:lang w:eastAsia="hr-HR"/>
        </w:rPr>
      </w:pPr>
      <w:bookmarkStart w:id="156" w:name="_Toc17876398"/>
      <w:r w:rsidRPr="008F16D6">
        <w:rPr>
          <w:rFonts w:ascii="Arial" w:eastAsia="Times New Roman" w:hAnsi="Arial" w:cs="Arial"/>
          <w:b/>
          <w:bCs/>
          <w:color w:val="BE1D2D"/>
          <w:sz w:val="28"/>
          <w:szCs w:val="36"/>
          <w:lang w:eastAsia="hr-HR"/>
        </w:rPr>
        <w:t>Procjena utjecaja OIE na gospodarstvo</w:t>
      </w:r>
      <w:bookmarkEnd w:id="156"/>
    </w:p>
    <w:p w14:paraId="41A5BDE0" w14:textId="77777777" w:rsidR="008F16D6" w:rsidRPr="008F16D6" w:rsidRDefault="008F16D6" w:rsidP="008F16D6">
      <w:pPr>
        <w:suppressAutoHyphens/>
        <w:spacing w:before="240" w:after="120" w:line="288" w:lineRule="auto"/>
        <w:jc w:val="both"/>
        <w:rPr>
          <w:rFonts w:ascii="Arial" w:eastAsia="Times New Roman" w:hAnsi="Arial" w:cs="Arial"/>
          <w:lang w:eastAsia="hr-HR"/>
        </w:rPr>
      </w:pPr>
      <w:r w:rsidRPr="008F16D6">
        <w:rPr>
          <w:rFonts w:ascii="Arial" w:eastAsia="Times New Roman" w:hAnsi="Arial" w:cs="Times New Roman"/>
          <w:lang w:eastAsia="hr-HR"/>
        </w:rPr>
        <w:t>Budući razvoj energetskog sustava temeljit će se na iskorištavanju potencijala OIE u velikim i malim postrojenjima, koji odgovara regionalnim i lokalnim potrebama za energijom u skladu s tehnološkim dostignućima.</w:t>
      </w:r>
      <w:r w:rsidRPr="008F16D6">
        <w:rPr>
          <w:rFonts w:ascii="Arial" w:eastAsia="Times New Roman" w:hAnsi="Arial" w:cs="Arial"/>
          <w:lang w:eastAsia="hr-HR"/>
        </w:rPr>
        <w:t xml:space="preserve"> Svi obnovljivi izvori imaju multiplikativne učinke no intenziteti učinaka se razlikuju. </w:t>
      </w:r>
    </w:p>
    <w:p w14:paraId="0E721E7C" w14:textId="77777777" w:rsidR="008F16D6" w:rsidRPr="008F16D6" w:rsidRDefault="008F16D6" w:rsidP="008F16D6">
      <w:pPr>
        <w:suppressAutoHyphens/>
        <w:spacing w:before="240" w:after="120" w:line="288" w:lineRule="auto"/>
        <w:jc w:val="both"/>
        <w:rPr>
          <w:rFonts w:ascii="Arial" w:eastAsia="Times New Roman" w:hAnsi="Arial" w:cs="Arial"/>
          <w:lang w:eastAsia="hr-HR"/>
        </w:rPr>
      </w:pPr>
      <w:r w:rsidRPr="008F16D6">
        <w:rPr>
          <w:rFonts w:ascii="Arial" w:eastAsia="Times New Roman" w:hAnsi="Arial" w:cs="Arial"/>
          <w:noProof/>
          <w:lang w:eastAsia="hr-HR"/>
        </w:rPr>
        <w:drawing>
          <wp:inline distT="0" distB="0" distL="0" distR="0" wp14:anchorId="37DCEE48" wp14:editId="31AE20BD">
            <wp:extent cx="5822315" cy="387159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22315" cy="3871595"/>
                    </a:xfrm>
                    <a:prstGeom prst="rect">
                      <a:avLst/>
                    </a:prstGeom>
                    <a:noFill/>
                  </pic:spPr>
                </pic:pic>
              </a:graphicData>
            </a:graphic>
          </wp:inline>
        </w:drawing>
      </w:r>
    </w:p>
    <w:p w14:paraId="4B0821EF" w14:textId="0495B263" w:rsidR="008F16D6" w:rsidRPr="008F16D6" w:rsidRDefault="008F16D6" w:rsidP="008F16D6">
      <w:pPr>
        <w:spacing w:before="120" w:after="360" w:line="240" w:lineRule="auto"/>
        <w:jc w:val="center"/>
        <w:rPr>
          <w:rFonts w:ascii="Arial" w:eastAsia="Times New Roman" w:hAnsi="Arial" w:cs="Arial"/>
          <w:b/>
          <w:sz w:val="20"/>
          <w:szCs w:val="24"/>
        </w:rPr>
      </w:pPr>
      <w:r w:rsidRPr="008F16D6">
        <w:rPr>
          <w:rFonts w:ascii="Arial" w:eastAsia="Times New Roman" w:hAnsi="Arial" w:cs="Arial"/>
          <w:b/>
          <w:sz w:val="20"/>
          <w:szCs w:val="24"/>
        </w:rPr>
        <w:t>Slika</w:t>
      </w:r>
      <w:r w:rsidR="00740FC7">
        <w:rPr>
          <w:rFonts w:ascii="Arial" w:eastAsia="Times New Roman" w:hAnsi="Arial" w:cs="Arial"/>
          <w:b/>
          <w:sz w:val="20"/>
          <w:szCs w:val="24"/>
        </w:rPr>
        <w:t xml:space="preserve"> 2</w:t>
      </w:r>
      <w:r w:rsidR="00C64CC0">
        <w:rPr>
          <w:rFonts w:ascii="Arial" w:eastAsia="Times New Roman" w:hAnsi="Arial" w:cs="Arial"/>
          <w:b/>
          <w:sz w:val="20"/>
          <w:szCs w:val="24"/>
        </w:rPr>
        <w:t>0</w:t>
      </w:r>
      <w:r w:rsidRPr="008F16D6">
        <w:rPr>
          <w:rFonts w:ascii="Arial" w:eastAsia="Times New Roman" w:hAnsi="Arial" w:cs="Arial"/>
          <w:b/>
          <w:sz w:val="20"/>
          <w:szCs w:val="24"/>
        </w:rPr>
        <w:t>. Ukupni učinci (izravni, neizravni i inducirani) dosadašnjeg investiranja u OIE postrojenja u Republici Hrvatskoj na BDP i broj zaposlenih, na 1 milijun eura ukupnih investicija</w:t>
      </w:r>
    </w:p>
    <w:p w14:paraId="120AB215" w14:textId="56AE0EFC" w:rsidR="008F16D6" w:rsidRPr="008F16D6" w:rsidRDefault="008F16D6" w:rsidP="008F16D6">
      <w:pPr>
        <w:suppressAutoHyphens/>
        <w:spacing w:before="240" w:after="120" w:line="288" w:lineRule="auto"/>
        <w:jc w:val="both"/>
        <w:rPr>
          <w:rFonts w:ascii="Arial" w:eastAsia="Times New Roman" w:hAnsi="Arial" w:cs="Arial"/>
          <w:lang w:eastAsia="hr-HR"/>
        </w:rPr>
      </w:pPr>
      <w:bookmarkStart w:id="157" w:name="OLE_LINK8"/>
      <w:r w:rsidRPr="008F16D6">
        <w:rPr>
          <w:rFonts w:ascii="Arial" w:eastAsia="Times New Roman" w:hAnsi="Arial" w:cs="Arial"/>
          <w:lang w:eastAsia="hr-HR"/>
        </w:rPr>
        <w:t xml:space="preserve">Ukupni učinci (izravni, neizravni i inducirani) dosadašnjeg investiranja u OIE postrojenja na BDP i broj zaposlenih </w:t>
      </w:r>
      <w:bookmarkEnd w:id="157"/>
      <w:r w:rsidRPr="008F16D6">
        <w:rPr>
          <w:rFonts w:ascii="Arial" w:eastAsia="Times New Roman" w:hAnsi="Arial" w:cs="Arial"/>
          <w:lang w:eastAsia="hr-HR"/>
        </w:rPr>
        <w:t>kreću se u rasponu od oko 350 000 kuna i 1,9 novo zaposlenih na milijun kuna ukupnih investicija u vjetroelektrane do 670 000 kuna i 3,7 novo zaposlenih na milijun kuna ukupnih investicija u elektrane na bioplin. Ovi pokazatelji nisu fiksni jer ovise o investicijskim troškovima pojedinih tehnologija, ali i gospodarskoj strukturi zemlje. Kod tehnologija kod kojih je došlo do pada specifičnih troškova (a očekuje se i daljnji pad), prvenstveno sunčanih elektrana i vjetroelektrana, doći će do dodatnih učinaka u odnosu na povijesne podatke, jer će svaki milijun eura investicija omogućiti veću količinu roba i usluga, a time inducirati i veće učinke. Procijenjeni ukupni učinci na BDP od investiranja u OIE elektrane (za proizvodnju električne energije) do 2030.</w:t>
      </w:r>
      <w:r w:rsidR="009F5F59">
        <w:rPr>
          <w:rFonts w:ascii="Arial" w:eastAsia="Times New Roman" w:hAnsi="Arial" w:cs="Arial"/>
          <w:lang w:eastAsia="hr-HR"/>
        </w:rPr>
        <w:t xml:space="preserve"> </w:t>
      </w:r>
      <w:r w:rsidRPr="008F16D6">
        <w:rPr>
          <w:rFonts w:ascii="Arial" w:eastAsia="Times New Roman" w:hAnsi="Arial" w:cs="Arial"/>
          <w:lang w:eastAsia="hr-HR"/>
        </w:rPr>
        <w:t>g</w:t>
      </w:r>
      <w:r w:rsidR="009F5F59">
        <w:rPr>
          <w:rFonts w:ascii="Arial" w:eastAsia="Times New Roman" w:hAnsi="Arial" w:cs="Arial"/>
          <w:lang w:eastAsia="hr-HR"/>
        </w:rPr>
        <w:t>odine</w:t>
      </w:r>
      <w:r w:rsidRPr="008F16D6">
        <w:rPr>
          <w:rFonts w:ascii="Arial" w:eastAsia="Times New Roman" w:hAnsi="Arial" w:cs="Arial"/>
          <w:lang w:eastAsia="hr-HR"/>
        </w:rPr>
        <w:t xml:space="preserve"> kreću se na razini oko 6-10 milijardi kuna ovisno o scenariju, a ukupno do 2050.</w:t>
      </w:r>
      <w:r w:rsidR="009F5F59">
        <w:rPr>
          <w:rFonts w:ascii="Arial" w:eastAsia="Times New Roman" w:hAnsi="Arial" w:cs="Arial"/>
          <w:lang w:eastAsia="hr-HR"/>
        </w:rPr>
        <w:t xml:space="preserve"> </w:t>
      </w:r>
      <w:r w:rsidRPr="008F16D6">
        <w:rPr>
          <w:rFonts w:ascii="Arial" w:eastAsia="Times New Roman" w:hAnsi="Arial" w:cs="Arial"/>
          <w:lang w:eastAsia="hr-HR"/>
        </w:rPr>
        <w:t>g</w:t>
      </w:r>
      <w:r w:rsidR="009F5F59">
        <w:rPr>
          <w:rFonts w:ascii="Arial" w:eastAsia="Times New Roman" w:hAnsi="Arial" w:cs="Arial"/>
          <w:lang w:eastAsia="hr-HR"/>
        </w:rPr>
        <w:t xml:space="preserve">odine </w:t>
      </w:r>
      <w:r w:rsidRPr="008F16D6">
        <w:rPr>
          <w:rFonts w:ascii="Arial" w:eastAsia="Times New Roman" w:hAnsi="Arial" w:cs="Arial"/>
          <w:lang w:eastAsia="hr-HR"/>
        </w:rPr>
        <w:t>u rasponu 21-35 milijardi kuna.</w:t>
      </w:r>
    </w:p>
    <w:p w14:paraId="3F5E8474" w14:textId="77777777" w:rsidR="008F16D6" w:rsidRPr="008F16D6" w:rsidRDefault="008F16D6" w:rsidP="008F16D6">
      <w:pPr>
        <w:suppressAutoHyphens/>
        <w:spacing w:before="240" w:after="120" w:line="288" w:lineRule="auto"/>
        <w:jc w:val="both"/>
        <w:rPr>
          <w:rFonts w:ascii="Arial" w:eastAsia="Times New Roman" w:hAnsi="Arial" w:cs="Arial"/>
          <w:lang w:eastAsia="hr-HR"/>
        </w:rPr>
      </w:pPr>
      <w:r w:rsidRPr="008F16D6">
        <w:rPr>
          <w:rFonts w:ascii="Arial" w:eastAsia="Times New Roman" w:hAnsi="Arial" w:cs="Arial"/>
          <w:lang w:eastAsia="hr-HR"/>
        </w:rPr>
        <w:t xml:space="preserve">OIE postrojenja imaju još i veće učinke u fazi operativnog pogona koji su najveći kod elektrana na biomasu i bioplin, budući da se za pogon koristi sirovina koju isporučuju domaći proizvođači, što u fazi pogona povećava multiplikativne učinke u odnosu na tehnologije koje ne trebaju sirovinu. </w:t>
      </w:r>
    </w:p>
    <w:p w14:paraId="280C3228"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Ekonomska isplativost korištenja OIE uključuje i koristi za cijelu zajednicu, prvenstveno kroz smanjenje emisija stakleničkih plinova.</w:t>
      </w:r>
    </w:p>
    <w:p w14:paraId="76ECDE1A" w14:textId="77777777"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ind w:left="576" w:hanging="576"/>
        <w:textAlignment w:val="center"/>
        <w:outlineLvl w:val="1"/>
        <w:rPr>
          <w:rFonts w:ascii="Arial" w:eastAsia="Times New Roman" w:hAnsi="Arial" w:cs="Myriad Pro Cond"/>
          <w:b/>
          <w:bCs/>
          <w:color w:val="BE1D2D"/>
          <w:sz w:val="28"/>
          <w:szCs w:val="36"/>
          <w:lang w:eastAsia="hr-HR"/>
        </w:rPr>
      </w:pPr>
      <w:bookmarkStart w:id="158" w:name="_Toc2856691"/>
      <w:bookmarkStart w:id="159" w:name="_Toc17876399"/>
      <w:bookmarkEnd w:id="158"/>
      <w:r w:rsidRPr="008F16D6">
        <w:rPr>
          <w:rFonts w:ascii="Arial" w:eastAsia="Times New Roman" w:hAnsi="Arial" w:cs="Myriad Pro Cond"/>
          <w:b/>
          <w:bCs/>
          <w:color w:val="BE1D2D"/>
          <w:sz w:val="28"/>
          <w:szCs w:val="36"/>
          <w:lang w:eastAsia="hr-HR"/>
        </w:rPr>
        <w:t>Financiranje OIE i izazovi tržišta</w:t>
      </w:r>
      <w:bookmarkEnd w:id="159"/>
    </w:p>
    <w:p w14:paraId="781186C6" w14:textId="77777777" w:rsidR="008F16D6" w:rsidRPr="008F16D6" w:rsidRDefault="008F16D6" w:rsidP="008F16D6">
      <w:pPr>
        <w:suppressAutoHyphens/>
        <w:spacing w:before="240" w:after="120" w:line="288" w:lineRule="auto"/>
        <w:jc w:val="both"/>
        <w:rPr>
          <w:rFonts w:ascii="Arial" w:eastAsia="Times New Roman" w:hAnsi="Arial" w:cs="Arial"/>
          <w:lang w:eastAsia="hr-HR"/>
        </w:rPr>
      </w:pPr>
      <w:r w:rsidRPr="008F16D6">
        <w:rPr>
          <w:rFonts w:ascii="Arial" w:eastAsia="Times New Roman" w:hAnsi="Arial" w:cs="Arial"/>
          <w:lang w:eastAsia="hr-HR"/>
        </w:rPr>
        <w:t>Nivelirani troškovi proizvodnje električne energije (LCOE), prikazani u analitičkim podlogama (Zelena i Bijela knjiga) ove Strategije, predstavljaju mjeru nominalnih troškova pojedinih tehnologija svedenih na trošak proizvodnje jedinične količine električne energije (kWh, MWh itd.) koja primarno služi za međusobnu usporedbu pojedinih tehnologija. LCOE proizlazi iz ekonomske analize kumulativnih učinaka u životnom vijeku projekta. Kako bi projekti bili realizirani, osim ekonomske opravdanosti, moraju demonstrirati i financijsku održivost te time steći ocjenu prihvatljivosti za financiranje. Ako projekti nisu prihvatljivi za financiranje ("</w:t>
      </w:r>
      <w:r w:rsidRPr="008F16D6">
        <w:rPr>
          <w:rFonts w:ascii="Arial" w:eastAsia="Times New Roman" w:hAnsi="Arial" w:cs="Arial"/>
          <w:i/>
          <w:iCs/>
          <w:lang w:eastAsia="hr-HR"/>
        </w:rPr>
        <w:t>bankabilni</w:t>
      </w:r>
      <w:r w:rsidRPr="008F16D6">
        <w:rPr>
          <w:rFonts w:ascii="Arial" w:eastAsia="Times New Roman" w:hAnsi="Arial" w:cs="Arial"/>
          <w:lang w:eastAsia="hr-HR"/>
        </w:rPr>
        <w:t>"), neovisno koliko su tehnički optimirani i ekonomski opravdani, u modelu projektnog financiranja neće moći sklopiti ugovor o financiranju kod komercijalnih banaka.</w:t>
      </w:r>
    </w:p>
    <w:p w14:paraId="536C5988" w14:textId="77777777" w:rsidR="008F16D6" w:rsidRPr="008F16D6" w:rsidRDefault="008F16D6" w:rsidP="008F16D6">
      <w:pPr>
        <w:suppressAutoHyphens/>
        <w:spacing w:before="240" w:after="120" w:line="288" w:lineRule="auto"/>
        <w:jc w:val="both"/>
        <w:rPr>
          <w:rFonts w:ascii="Arial" w:eastAsia="Times New Roman" w:hAnsi="Arial" w:cs="Arial"/>
          <w:lang w:eastAsia="hr-HR"/>
        </w:rPr>
      </w:pPr>
      <w:r w:rsidRPr="008F16D6">
        <w:rPr>
          <w:rFonts w:ascii="Arial" w:eastAsia="Times New Roman" w:hAnsi="Arial" w:cs="Arial"/>
          <w:lang w:eastAsia="hr-HR"/>
        </w:rPr>
        <w:t>Dosadašnja praksa realiziranih projekata u Republici Hrvatskoj pokazuje da projekti postaju prihvatljivi za financiranje kada su slobodna novčana sredstva projekta dostupna za servisiranje duga (DSCR) na minimalnoj razini od 1,20 u svakoj godini otplate duga. Uz definirane investicijske i operativne troškove te planirane sate rada, ovaj se uvjet ostvaruje ako je prosječna prodajna cijena jedinične količine energije veća od neke granične prodajne cijene. Pokazalo se da je ova granična cijena u nekim slučajevima i do 30 % veća od LCOE. Stoga LCOE ne treba miješati s minimalno potrebnom prodajnom cijenom (po jediničnoj količini energije) koju projekti moraju osigurati kako bi ostvarili uvjete financijske održivosti.</w:t>
      </w:r>
    </w:p>
    <w:p w14:paraId="7EB39D21" w14:textId="77777777" w:rsidR="008F16D6" w:rsidRPr="008F16D6" w:rsidRDefault="008F16D6" w:rsidP="008F16D6">
      <w:pPr>
        <w:suppressAutoHyphens/>
        <w:spacing w:before="240" w:after="120" w:line="288" w:lineRule="auto"/>
        <w:jc w:val="both"/>
        <w:rPr>
          <w:rFonts w:ascii="Arial" w:eastAsia="Times New Roman" w:hAnsi="Arial" w:cs="Arial"/>
          <w:lang w:eastAsia="hr-HR"/>
        </w:rPr>
      </w:pPr>
      <w:r w:rsidRPr="008F16D6">
        <w:rPr>
          <w:rFonts w:ascii="Arial" w:eastAsia="Times New Roman" w:hAnsi="Arial" w:cs="Arial"/>
          <w:lang w:eastAsia="hr-HR"/>
        </w:rPr>
        <w:t xml:space="preserve">Financijska održivost projekata iz perspektive financijskih institucija osim o projektno-specifičnim značajkama ovisi i o vanjskom okruženju u kojem se projekti realiziraju. U definiranju tog okruženja ključnu ulogu imaju odluke na državnoj razini koje se očituju kroz jasnu stratešku opredijeljenost i vođenje politike OIE, stabilnost uvjeta privređivanja, uređenost i jednostavnost propisa, funkcionalno institucionalno okruženje i dr. To sve zajedno formira percepciju </w:t>
      </w:r>
      <w:r w:rsidRPr="008F16D6">
        <w:rPr>
          <w:rFonts w:ascii="Arial" w:eastAsia="Times New Roman" w:hAnsi="Arial" w:cs="Arial"/>
          <w:iCs/>
          <w:lang w:eastAsia="hr-HR"/>
        </w:rPr>
        <w:t>vanjskih rizika</w:t>
      </w:r>
      <w:r w:rsidRPr="008F16D6">
        <w:rPr>
          <w:rFonts w:ascii="Arial" w:eastAsia="Times New Roman" w:hAnsi="Arial" w:cs="Arial"/>
          <w:i/>
          <w:iCs/>
          <w:lang w:eastAsia="hr-HR"/>
        </w:rPr>
        <w:t xml:space="preserve"> </w:t>
      </w:r>
      <w:r w:rsidRPr="008F16D6">
        <w:rPr>
          <w:rFonts w:ascii="Arial" w:eastAsia="Times New Roman" w:hAnsi="Arial" w:cs="Arial"/>
          <w:lang w:eastAsia="hr-HR"/>
        </w:rPr>
        <w:t>u kojem dominantnu ulogu imaju</w:t>
      </w:r>
      <w:r w:rsidRPr="008F16D6">
        <w:rPr>
          <w:rFonts w:ascii="Arial" w:eastAsia="Times New Roman" w:hAnsi="Arial" w:cs="Arial"/>
          <w:i/>
          <w:iCs/>
          <w:lang w:eastAsia="hr-HR"/>
        </w:rPr>
        <w:t xml:space="preserve"> </w:t>
      </w:r>
      <w:r w:rsidRPr="008F16D6">
        <w:rPr>
          <w:rFonts w:ascii="Arial" w:eastAsia="Times New Roman" w:hAnsi="Arial" w:cs="Arial"/>
          <w:lang w:eastAsia="hr-HR"/>
        </w:rPr>
        <w:t xml:space="preserve">političko-zakonodavni rizici i rizik države. </w:t>
      </w:r>
    </w:p>
    <w:p w14:paraId="4B9FFC50" w14:textId="77777777" w:rsidR="008F16D6" w:rsidRPr="008F16D6" w:rsidRDefault="008F16D6" w:rsidP="008F16D6">
      <w:pPr>
        <w:suppressAutoHyphens/>
        <w:spacing w:before="240" w:after="120" w:line="288" w:lineRule="auto"/>
        <w:jc w:val="both"/>
        <w:rPr>
          <w:rFonts w:ascii="Arial" w:eastAsia="Times New Roman" w:hAnsi="Arial" w:cs="Arial"/>
          <w:lang w:eastAsia="hr-HR"/>
        </w:rPr>
      </w:pPr>
      <w:r w:rsidRPr="008F16D6">
        <w:rPr>
          <w:rFonts w:ascii="Arial" w:eastAsia="Times New Roman" w:hAnsi="Arial" w:cs="Arial"/>
          <w:lang w:eastAsia="hr-HR"/>
        </w:rPr>
        <w:t xml:space="preserve">Za smanjenje vanjskih rizika, a time i ukupnih troškova OIE i društva u cjelini, a kako bi se potaknula realizacije OIE projekata na tržišnim osnovama potrebno je uspostaviti transparentan regulatorni okvir kojim će se smanjiti administrativne barijere prilikom realizacije OIE projekata i poboljšati investicijska klima, a koji izravno utječu na </w:t>
      </w:r>
      <w:r w:rsidRPr="008F16D6">
        <w:rPr>
          <w:rFonts w:ascii="Arial" w:eastAsia="Times New Roman" w:hAnsi="Arial" w:cs="Arial"/>
          <w:i/>
          <w:lang w:eastAsia="hr-HR"/>
        </w:rPr>
        <w:t>bankabilnost</w:t>
      </w:r>
      <w:r w:rsidRPr="008F16D6">
        <w:rPr>
          <w:rFonts w:ascii="Arial" w:eastAsia="Times New Roman" w:hAnsi="Arial" w:cs="Arial"/>
          <w:lang w:eastAsia="hr-HR"/>
        </w:rPr>
        <w:t xml:space="preserve"> projekata. </w:t>
      </w:r>
    </w:p>
    <w:p w14:paraId="2ECA35D0" w14:textId="77777777" w:rsidR="000C0018" w:rsidRDefault="000C0018">
      <w:pPr>
        <w:rPr>
          <w:rFonts w:ascii="Arial" w:eastAsia="Times New Roman" w:hAnsi="Arial" w:cs="Arial"/>
          <w:lang w:eastAsia="hr-HR"/>
        </w:rPr>
      </w:pPr>
      <w:r>
        <w:rPr>
          <w:rFonts w:ascii="Arial" w:eastAsia="Times New Roman" w:hAnsi="Arial" w:cs="Arial"/>
          <w:lang w:eastAsia="hr-HR"/>
        </w:rPr>
        <w:br w:type="page"/>
      </w:r>
    </w:p>
    <w:p w14:paraId="539F76AF" w14:textId="5DD42632" w:rsidR="008F16D6" w:rsidRPr="008F16D6" w:rsidRDefault="008F16D6" w:rsidP="008F16D6">
      <w:pPr>
        <w:suppressAutoHyphens/>
        <w:spacing w:before="240" w:after="120" w:line="288" w:lineRule="auto"/>
        <w:jc w:val="both"/>
        <w:rPr>
          <w:rFonts w:ascii="Arial" w:eastAsia="Times New Roman" w:hAnsi="Arial" w:cs="Arial"/>
          <w:lang w:eastAsia="hr-HR"/>
        </w:rPr>
      </w:pPr>
      <w:r w:rsidRPr="008F16D6">
        <w:rPr>
          <w:rFonts w:ascii="Arial" w:eastAsia="Times New Roman" w:hAnsi="Arial" w:cs="Arial"/>
          <w:lang w:eastAsia="hr-HR"/>
        </w:rPr>
        <w:t>Vizija prezentirana u nastavku polazi od prve i osnovne premise da će politika korištenja OIE u dužem razdoblju kontinuirano i nedvosmisleno pokazati interes njihovog daljnjeg razvoja kroz:</w:t>
      </w:r>
    </w:p>
    <w:p w14:paraId="2798E773" w14:textId="35770408" w:rsidR="008F16D6" w:rsidRPr="008F16D6" w:rsidRDefault="008F16D6" w:rsidP="00181F22">
      <w:pPr>
        <w:numPr>
          <w:ilvl w:val="0"/>
          <w:numId w:val="9"/>
        </w:numPr>
        <w:tabs>
          <w:tab w:val="left" w:pos="431"/>
        </w:tabs>
        <w:suppressAutoHyphens/>
        <w:spacing w:before="240" w:after="120" w:line="240" w:lineRule="auto"/>
        <w:jc w:val="both"/>
        <w:rPr>
          <w:rFonts w:ascii="Arial" w:eastAsia="Times New Roman" w:hAnsi="Arial" w:cs="Tahoma"/>
          <w:lang w:eastAsia="ar-SA"/>
        </w:rPr>
      </w:pPr>
      <w:r w:rsidRPr="008F16D6">
        <w:rPr>
          <w:rFonts w:ascii="Arial" w:eastAsia="Times New Roman" w:hAnsi="Arial" w:cs="Tahoma"/>
          <w:lang w:eastAsia="ar-SA"/>
        </w:rPr>
        <w:t>pojednostavljenje administrativnih postupaka i uklanjanje prepreka</w:t>
      </w:r>
    </w:p>
    <w:p w14:paraId="2FF3F262" w14:textId="2EB54046" w:rsidR="008F16D6" w:rsidRPr="008F16D6" w:rsidRDefault="008F16D6" w:rsidP="00181F22">
      <w:pPr>
        <w:numPr>
          <w:ilvl w:val="0"/>
          <w:numId w:val="9"/>
        </w:numPr>
        <w:tabs>
          <w:tab w:val="left" w:pos="431"/>
        </w:tabs>
        <w:suppressAutoHyphens/>
        <w:spacing w:before="240" w:after="120" w:line="240" w:lineRule="auto"/>
        <w:jc w:val="both"/>
        <w:rPr>
          <w:rFonts w:ascii="Arial" w:eastAsia="Times New Roman" w:hAnsi="Arial" w:cs="Tahoma"/>
          <w:lang w:eastAsia="ar-SA"/>
        </w:rPr>
      </w:pPr>
      <w:bookmarkStart w:id="160" w:name="_Hlk2174701"/>
      <w:r w:rsidRPr="008F16D6">
        <w:rPr>
          <w:rFonts w:ascii="Arial" w:eastAsia="Times New Roman" w:hAnsi="Arial" w:cs="Tahoma"/>
          <w:lang w:eastAsia="ar-SA"/>
        </w:rPr>
        <w:t>stabilnost zakonodavnog okvira i uvjeta privređivanja za realizirane projekte</w:t>
      </w:r>
      <w:bookmarkEnd w:id="160"/>
    </w:p>
    <w:p w14:paraId="3CA657A5" w14:textId="27943B07" w:rsidR="008F16D6" w:rsidRPr="008F16D6" w:rsidRDefault="008F16D6" w:rsidP="00181F22">
      <w:pPr>
        <w:numPr>
          <w:ilvl w:val="0"/>
          <w:numId w:val="9"/>
        </w:numPr>
        <w:tabs>
          <w:tab w:val="left" w:pos="431"/>
        </w:tabs>
        <w:suppressAutoHyphens/>
        <w:spacing w:before="240" w:after="120" w:line="240" w:lineRule="auto"/>
        <w:jc w:val="both"/>
        <w:rPr>
          <w:rFonts w:ascii="Arial" w:eastAsia="Times New Roman" w:hAnsi="Arial" w:cs="Tahoma"/>
          <w:lang w:eastAsia="ar-SA"/>
        </w:rPr>
      </w:pPr>
      <w:bookmarkStart w:id="161" w:name="_Hlk2174762"/>
      <w:r w:rsidRPr="008F16D6">
        <w:rPr>
          <w:rFonts w:ascii="Arial" w:eastAsia="Times New Roman" w:hAnsi="Arial" w:cs="Tahoma"/>
          <w:lang w:eastAsia="ar-SA"/>
        </w:rPr>
        <w:t>rasterećenje OIE projekata od dijela nameta radi povećanja njihove konkurentnosti</w:t>
      </w:r>
      <w:bookmarkEnd w:id="161"/>
    </w:p>
    <w:p w14:paraId="547D17B4" w14:textId="487D3B52" w:rsidR="008F16D6" w:rsidRPr="008F16D6" w:rsidRDefault="008F16D6" w:rsidP="00181F22">
      <w:pPr>
        <w:numPr>
          <w:ilvl w:val="0"/>
          <w:numId w:val="9"/>
        </w:numPr>
        <w:tabs>
          <w:tab w:val="left" w:pos="431"/>
        </w:tabs>
        <w:suppressAutoHyphens/>
        <w:spacing w:before="240" w:after="120" w:line="240" w:lineRule="auto"/>
        <w:jc w:val="both"/>
        <w:rPr>
          <w:rFonts w:ascii="Arial" w:eastAsia="Times New Roman" w:hAnsi="Arial" w:cs="Tahoma"/>
          <w:lang w:eastAsia="ar-SA"/>
        </w:rPr>
      </w:pPr>
      <w:r w:rsidRPr="008F16D6">
        <w:rPr>
          <w:rFonts w:ascii="Arial" w:eastAsia="Times New Roman" w:hAnsi="Arial" w:cs="Tahoma"/>
          <w:lang w:eastAsia="ar-SA"/>
        </w:rPr>
        <w:t xml:space="preserve">uređenje i </w:t>
      </w:r>
      <w:bookmarkStart w:id="162" w:name="_Hlk2174797"/>
      <w:r w:rsidRPr="008F16D6">
        <w:rPr>
          <w:rFonts w:ascii="Arial" w:eastAsia="Times New Roman" w:hAnsi="Arial" w:cs="Tahoma"/>
          <w:lang w:eastAsia="ar-SA"/>
        </w:rPr>
        <w:t>razvoj tržišta energije i infrastrukture</w:t>
      </w:r>
      <w:bookmarkEnd w:id="162"/>
    </w:p>
    <w:p w14:paraId="5E032829" w14:textId="3A99AD42" w:rsidR="008F16D6" w:rsidRPr="008F16D6" w:rsidRDefault="008F16D6" w:rsidP="00181F22">
      <w:pPr>
        <w:numPr>
          <w:ilvl w:val="0"/>
          <w:numId w:val="9"/>
        </w:numPr>
        <w:tabs>
          <w:tab w:val="left" w:pos="431"/>
        </w:tabs>
        <w:suppressAutoHyphens/>
        <w:spacing w:before="240" w:after="120" w:line="240" w:lineRule="auto"/>
        <w:jc w:val="both"/>
        <w:rPr>
          <w:rFonts w:ascii="Arial" w:eastAsia="Times New Roman" w:hAnsi="Arial" w:cs="Tahoma"/>
          <w:lang w:eastAsia="ar-SA"/>
        </w:rPr>
      </w:pPr>
      <w:r w:rsidRPr="008F16D6">
        <w:rPr>
          <w:rFonts w:ascii="Arial" w:eastAsia="Times New Roman" w:hAnsi="Arial" w:cs="Tahoma"/>
          <w:lang w:eastAsia="ar-SA"/>
        </w:rPr>
        <w:t>koherentno djelovanje i koordinaciju različitih politika</w:t>
      </w:r>
    </w:p>
    <w:p w14:paraId="3A288995" w14:textId="77777777" w:rsidR="008F16D6" w:rsidRPr="008F16D6" w:rsidRDefault="008F16D6" w:rsidP="00181F22">
      <w:pPr>
        <w:numPr>
          <w:ilvl w:val="0"/>
          <w:numId w:val="9"/>
        </w:numPr>
        <w:tabs>
          <w:tab w:val="left" w:pos="431"/>
        </w:tabs>
        <w:suppressAutoHyphens/>
        <w:spacing w:before="240" w:after="120" w:line="240" w:lineRule="auto"/>
        <w:jc w:val="both"/>
        <w:rPr>
          <w:rFonts w:ascii="Arial" w:eastAsia="Times New Roman" w:hAnsi="Arial" w:cs="Tahoma"/>
          <w:lang w:eastAsia="ar-SA"/>
        </w:rPr>
      </w:pPr>
      <w:r w:rsidRPr="008F16D6">
        <w:rPr>
          <w:rFonts w:ascii="Arial" w:eastAsia="Times New Roman" w:hAnsi="Arial" w:cs="Tahoma"/>
          <w:lang w:eastAsia="ar-SA"/>
        </w:rPr>
        <w:t>pripremu prostorno-okolišnih i drugih podloga, izrada smjernica i preporuka za široku implementaciju, primjenu najboljih praksi, tehničkih propisa, normi i tehnologija u implementaciji OIE na urbanim prostorima.</w:t>
      </w:r>
    </w:p>
    <w:p w14:paraId="4032E70E" w14:textId="77777777" w:rsidR="008F16D6" w:rsidRPr="008F16D6" w:rsidRDefault="008F16D6" w:rsidP="008F16D6">
      <w:pPr>
        <w:suppressAutoHyphens/>
        <w:spacing w:before="240" w:after="120" w:line="288" w:lineRule="auto"/>
        <w:jc w:val="both"/>
        <w:rPr>
          <w:rFonts w:ascii="Arial" w:eastAsia="Times New Roman" w:hAnsi="Arial" w:cs="Arial"/>
          <w:lang w:eastAsia="hr-HR"/>
        </w:rPr>
      </w:pPr>
      <w:r w:rsidRPr="008F16D6">
        <w:rPr>
          <w:rFonts w:ascii="Arial" w:eastAsia="Times New Roman" w:hAnsi="Arial" w:cs="Arial"/>
          <w:noProof/>
          <w:lang w:eastAsia="hr-HR"/>
        </w:rPr>
        <w:drawing>
          <wp:inline distT="0" distB="0" distL="0" distR="0" wp14:anchorId="002AD1AC" wp14:editId="05BA7341">
            <wp:extent cx="5830834" cy="26797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81704" cy="2703079"/>
                    </a:xfrm>
                    <a:prstGeom prst="rect">
                      <a:avLst/>
                    </a:prstGeom>
                    <a:noFill/>
                  </pic:spPr>
                </pic:pic>
              </a:graphicData>
            </a:graphic>
          </wp:inline>
        </w:drawing>
      </w:r>
    </w:p>
    <w:p w14:paraId="7BD6DA53" w14:textId="5DB565A9" w:rsidR="008F16D6" w:rsidRPr="008F16D6" w:rsidRDefault="008F16D6" w:rsidP="008F16D6">
      <w:pPr>
        <w:spacing w:before="120" w:after="360" w:line="240" w:lineRule="auto"/>
        <w:jc w:val="center"/>
        <w:rPr>
          <w:rFonts w:ascii="Arial" w:eastAsia="Times New Roman" w:hAnsi="Arial" w:cs="Arial"/>
          <w:sz w:val="20"/>
          <w:szCs w:val="20"/>
        </w:rPr>
      </w:pPr>
      <w:r w:rsidRPr="008F16D6">
        <w:rPr>
          <w:rFonts w:ascii="Arial" w:eastAsia="Times New Roman" w:hAnsi="Arial" w:cs="Arial"/>
          <w:b/>
          <w:sz w:val="20"/>
          <w:szCs w:val="24"/>
        </w:rPr>
        <w:t>Slika</w:t>
      </w:r>
      <w:r w:rsidR="002D21E5">
        <w:rPr>
          <w:rFonts w:ascii="Arial" w:eastAsia="Times New Roman" w:hAnsi="Arial" w:cs="Arial"/>
          <w:b/>
          <w:sz w:val="20"/>
          <w:szCs w:val="24"/>
        </w:rPr>
        <w:t xml:space="preserve"> 2</w:t>
      </w:r>
      <w:r w:rsidR="00C64CC0">
        <w:rPr>
          <w:rFonts w:ascii="Arial" w:eastAsia="Times New Roman" w:hAnsi="Arial" w:cs="Arial"/>
          <w:b/>
          <w:sz w:val="20"/>
          <w:szCs w:val="24"/>
        </w:rPr>
        <w:t>1</w:t>
      </w:r>
      <w:r w:rsidRPr="008F16D6">
        <w:rPr>
          <w:rFonts w:ascii="Arial" w:eastAsia="Times New Roman" w:hAnsi="Arial" w:cs="Arial"/>
          <w:b/>
          <w:sz w:val="20"/>
          <w:szCs w:val="20"/>
        </w:rPr>
        <w:t xml:space="preserve">. Razvoj minimalno potrebne prodajne cijene električne energije i očekivani razvoj cijena na tržištu električne energije </w:t>
      </w:r>
    </w:p>
    <w:p w14:paraId="7C82A4F9" w14:textId="77777777" w:rsidR="008F16D6" w:rsidRPr="008F16D6" w:rsidRDefault="008F16D6" w:rsidP="008F16D6">
      <w:pPr>
        <w:suppressAutoHyphens/>
        <w:spacing w:before="240" w:after="120" w:line="288" w:lineRule="auto"/>
        <w:jc w:val="both"/>
        <w:rPr>
          <w:rFonts w:ascii="Arial" w:eastAsia="Times New Roman" w:hAnsi="Arial" w:cs="Arial"/>
          <w:lang w:eastAsia="hr-HR"/>
        </w:rPr>
      </w:pPr>
      <w:r w:rsidRPr="008F16D6">
        <w:rPr>
          <w:rFonts w:ascii="Arial" w:eastAsia="Times New Roman" w:hAnsi="Arial" w:cs="Arial"/>
          <w:lang w:eastAsia="hr-HR"/>
        </w:rPr>
        <w:t xml:space="preserve">Jedna od temeljnih premisa energetske tranzicije je jačanje uloge tržišta i izbjegavanje intervencija na cijenu proizvodnje ili dodatnih troškova za kupca. Za sve tehnologije, pa i OIE, to znači formiranje cijena za proizvod (električnu energiju) na tržištu. </w:t>
      </w:r>
    </w:p>
    <w:p w14:paraId="3AFFEA5B" w14:textId="77777777" w:rsidR="008F16D6" w:rsidRPr="008F16D6" w:rsidRDefault="008F16D6" w:rsidP="008F16D6">
      <w:pPr>
        <w:suppressAutoHyphens/>
        <w:spacing w:before="240" w:after="120" w:line="288" w:lineRule="auto"/>
        <w:jc w:val="both"/>
        <w:rPr>
          <w:rFonts w:ascii="Arial" w:eastAsia="Times New Roman" w:hAnsi="Arial" w:cs="Arial"/>
          <w:lang w:eastAsia="hr-HR"/>
        </w:rPr>
      </w:pPr>
      <w:r w:rsidRPr="008F16D6">
        <w:rPr>
          <w:rFonts w:ascii="Arial" w:eastAsia="Times New Roman" w:hAnsi="Arial" w:cs="Arial"/>
          <w:lang w:eastAsia="hr-HR"/>
        </w:rPr>
        <w:t>U dosadašnjem razvoju obnovljivih izvora u Republici Hrvatskoj rizici OIE projekata bili su u velikoj mjeri uklonjeni  sustavom zajamčenih tarifa (FIT). Ovim je na prihvatljivu razinu sveden rizik cijene za isporučenu energiju u razdoblju trajanja ugovora o otkupu (12 ili 14 godina), budući da je u demonstracijskoj i predkomercijalnoj fazi uvođenja OIE tehnologija nivelirani trošak proizvodnje bio znatno viši nego tržišna cijena električne energije. Drugi bitan vid ublažavanja rizika za OIE projekte bio je status povlaštenosti kojim se garantiralo preuzimanje cjelokupno proizvedene energije.</w:t>
      </w:r>
    </w:p>
    <w:p w14:paraId="06CE6F51" w14:textId="77777777" w:rsidR="008F16D6" w:rsidRPr="008F16D6" w:rsidRDefault="008F16D6" w:rsidP="008F16D6">
      <w:pPr>
        <w:suppressAutoHyphens/>
        <w:spacing w:before="240" w:after="120" w:line="288" w:lineRule="auto"/>
        <w:jc w:val="both"/>
        <w:rPr>
          <w:rFonts w:ascii="Arial" w:eastAsia="Times New Roman" w:hAnsi="Arial" w:cs="Arial"/>
          <w:lang w:eastAsia="hr-HR"/>
        </w:rPr>
      </w:pPr>
      <w:r w:rsidRPr="008F16D6">
        <w:rPr>
          <w:rFonts w:ascii="Arial" w:eastAsia="Times New Roman" w:hAnsi="Arial" w:cs="Arial"/>
          <w:lang w:eastAsia="hr-HR"/>
        </w:rPr>
        <w:t xml:space="preserve">Uz ispravno vođenje razvoja OIE projekti su mogli doseći </w:t>
      </w:r>
      <w:r w:rsidRPr="008F16D6">
        <w:rPr>
          <w:rFonts w:ascii="Arial" w:eastAsia="Times New Roman" w:hAnsi="Arial" w:cs="Arial"/>
          <w:i/>
          <w:iCs/>
          <w:lang w:eastAsia="hr-HR"/>
        </w:rPr>
        <w:t>bankabilno</w:t>
      </w:r>
      <w:r w:rsidRPr="008F16D6">
        <w:rPr>
          <w:rFonts w:ascii="Arial" w:eastAsia="Times New Roman" w:hAnsi="Arial" w:cs="Arial"/>
          <w:lang w:eastAsia="hr-HR"/>
        </w:rPr>
        <w:t xml:space="preserve"> nisku (prihvatljivu za financiranje) razinu rizika te je sustav ostvario značajan pozitivan rezultat kroz izgradnju novih OIE postrojenja i povećanje udjela OIE u bruto neposrednoj potrošnji energije, ali uz relativno visoke troškove sustava poticanja. </w:t>
      </w:r>
    </w:p>
    <w:p w14:paraId="38912A21" w14:textId="77777777" w:rsidR="008F16D6" w:rsidRPr="008F16D6" w:rsidRDefault="008F16D6" w:rsidP="008F16D6">
      <w:pPr>
        <w:suppressAutoHyphens/>
        <w:spacing w:before="240" w:after="120" w:line="288" w:lineRule="auto"/>
        <w:jc w:val="both"/>
        <w:rPr>
          <w:rFonts w:ascii="Arial" w:eastAsia="Times New Roman" w:hAnsi="Arial" w:cs="Arial"/>
          <w:lang w:eastAsia="hr-HR"/>
        </w:rPr>
      </w:pPr>
      <w:r w:rsidRPr="008F16D6">
        <w:rPr>
          <w:rFonts w:ascii="Arial" w:eastAsia="Times New Roman" w:hAnsi="Arial" w:cs="Arial"/>
          <w:lang w:eastAsia="hr-HR"/>
        </w:rPr>
        <w:t>No, razlozi uvođenja ovakvog pristupa su u velikoj mjeri iščezli; na pomolu je sveobuhvatna tranzicija energetskog sektora koja unosi značajne promjene i u način poslovanja svih energetskih subjekata. Tehnološki razvoj i tržišno sazrijevanje, posebno u slučaju Sunčeve energije i vjetroelektrana, omogućio je kontinuirani pad niveliranih troškova proizvodnje. S druge strane, redizajn tržišta i internalizacija troškova CO</w:t>
      </w:r>
      <w:r w:rsidRPr="008F16D6">
        <w:rPr>
          <w:rFonts w:ascii="Arial" w:eastAsia="Times New Roman" w:hAnsi="Arial" w:cs="Arial"/>
          <w:vertAlign w:val="subscript"/>
          <w:lang w:eastAsia="hr-HR"/>
        </w:rPr>
        <w:t>2</w:t>
      </w:r>
      <w:r w:rsidRPr="008F16D6">
        <w:rPr>
          <w:rFonts w:ascii="Arial" w:eastAsia="Times New Roman" w:hAnsi="Arial" w:cs="Arial"/>
          <w:lang w:eastAsia="hr-HR"/>
        </w:rPr>
        <w:t>, koji sada više nisu zanemarivi, a procjenjuje se da će u budućnosti još i rasti, povećali su tržišne cijene električne energije.</w:t>
      </w:r>
    </w:p>
    <w:p w14:paraId="3409F434" w14:textId="77777777" w:rsidR="008F16D6" w:rsidRPr="008F16D6" w:rsidRDefault="008F16D6" w:rsidP="008F16D6">
      <w:pPr>
        <w:suppressAutoHyphens/>
        <w:spacing w:before="240" w:after="120" w:line="288" w:lineRule="auto"/>
        <w:jc w:val="both"/>
        <w:rPr>
          <w:rFonts w:ascii="Arial" w:eastAsia="Times New Roman" w:hAnsi="Arial" w:cs="Arial"/>
          <w:lang w:eastAsia="hr-HR"/>
        </w:rPr>
      </w:pPr>
      <w:r w:rsidRPr="008F16D6">
        <w:rPr>
          <w:rFonts w:ascii="Arial" w:eastAsia="Times New Roman" w:hAnsi="Arial" w:cs="Arial"/>
          <w:lang w:eastAsia="hr-HR"/>
        </w:rPr>
        <w:t>Ove dvije ključne dimenzije, kao i u međuvremenu stečeno iskustvo, bitno su promijenile okolnosti za razvoj OIE projekata u odnosu na stanje prije 5 ili 10 godina, a što će omogućiti daljnje povećanje OIE na održivim osnovama bez državnih potpora, razvoja poduzetništva i slobodne inicijative te ko</w:t>
      </w:r>
      <w:r w:rsidR="00A907E8">
        <w:rPr>
          <w:rFonts w:ascii="Arial" w:eastAsia="Times New Roman" w:hAnsi="Arial" w:cs="Arial"/>
          <w:lang w:eastAsia="hr-HR"/>
        </w:rPr>
        <w:t>n</w:t>
      </w:r>
      <w:r w:rsidRPr="008F16D6">
        <w:rPr>
          <w:rFonts w:ascii="Arial" w:eastAsia="Times New Roman" w:hAnsi="Arial" w:cs="Arial"/>
          <w:lang w:eastAsia="hr-HR"/>
        </w:rPr>
        <w:t xml:space="preserve">trole troškova za krajnje kupce. </w:t>
      </w:r>
    </w:p>
    <w:p w14:paraId="7CEA3BEA" w14:textId="77777777"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ind w:left="576" w:hanging="576"/>
        <w:textAlignment w:val="center"/>
        <w:outlineLvl w:val="1"/>
        <w:rPr>
          <w:rFonts w:ascii="Arial" w:eastAsia="Times New Roman" w:hAnsi="Arial" w:cs="Myriad Pro Cond"/>
          <w:b/>
          <w:bCs/>
          <w:color w:val="BE1D2D"/>
          <w:sz w:val="28"/>
          <w:szCs w:val="36"/>
          <w:lang w:eastAsia="hr-HR"/>
        </w:rPr>
      </w:pPr>
      <w:bookmarkStart w:id="163" w:name="_Toc17876400"/>
      <w:r w:rsidRPr="008F16D6">
        <w:rPr>
          <w:rFonts w:ascii="Arial" w:eastAsia="Times New Roman" w:hAnsi="Arial" w:cs="Myriad Pro Cond"/>
          <w:b/>
          <w:bCs/>
          <w:color w:val="BE1D2D"/>
          <w:sz w:val="28"/>
          <w:szCs w:val="36"/>
          <w:lang w:eastAsia="hr-HR"/>
        </w:rPr>
        <w:t>Financijska potpora EU</w:t>
      </w:r>
      <w:bookmarkEnd w:id="163"/>
    </w:p>
    <w:p w14:paraId="410975B8" w14:textId="77777777" w:rsidR="008F16D6" w:rsidRPr="008F16D6" w:rsidRDefault="008F16D6" w:rsidP="008F16D6">
      <w:pPr>
        <w:suppressAutoHyphens/>
        <w:spacing w:before="240" w:after="120" w:line="288" w:lineRule="auto"/>
        <w:jc w:val="both"/>
        <w:rPr>
          <w:rFonts w:ascii="Arial" w:eastAsia="Times New Roman" w:hAnsi="Arial" w:cs="Arial"/>
          <w:lang w:eastAsia="hr-HR"/>
        </w:rPr>
      </w:pPr>
      <w:r w:rsidRPr="008F16D6">
        <w:rPr>
          <w:rFonts w:ascii="Arial" w:eastAsia="Times New Roman" w:hAnsi="Arial" w:cs="Arial"/>
          <w:lang w:eastAsia="hr-HR"/>
        </w:rPr>
        <w:t>Predviđeni financijski instrumenti EU koji služe kao potpora državama članicama u postizanju zadanih energetskih i klimatskih ciljeva su: Europski strukturni i investicijski fondovi (ESI fondovi), Europski fond za strateška ulaganja (EFSU), financiranje Europske investicijske banke (EIB) i financiranje Europske banke za obnovu i razvoj (EBRD).</w:t>
      </w:r>
    </w:p>
    <w:bookmarkEnd w:id="155"/>
    <w:p w14:paraId="22F5FB79"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Arial"/>
          <w:lang w:eastAsia="hr-HR"/>
        </w:rPr>
        <w:t>Za novo razdoblje, od 2021. godine nadalje, očekuje se potpisivanje novog Sporazuma o partnerstvu između Republike Hrvatske i Europske komisije za korištenje ESI fondova. U okviru ESI fondova, većina ulaganja iz Europskog fonda za regionalni razvoj i Kohezijskog fonda u novom razdoblju 2021.-2027. usmjerit će se na dva cilja: pametniju Europu putem inovacija, digitalizacije, gospodarske preobrazbe i potpore malim i srednjim poduzećima (MSP) i zeleniju Europu bez ugljika u kojoj se provodi Pariški sporazum i ulaže u energetsku tranziciju, OIE i borbu protiv klimatskih promjena. Republika Hrvatska će ova sredstva raspodijeliti s obzirom na zadane strateške ciljeve i ključna područja intervencije koja će biti definirana u Nacionalnoj razvojnoj strategiji (NRS) za razdoblje do 2030. godine.</w:t>
      </w:r>
    </w:p>
    <w:p w14:paraId="51BD0C73"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Arial"/>
          <w:lang w:eastAsia="hr-HR"/>
        </w:rPr>
        <w:t>Cilj EFSU-a je poticanje dugoročnog gospodarskog rasta i konkurentnosti kroz privatna ulaganja u područja poput infrastrukture, istraživanja i inovacija, obrazovanja, zdravstva, informacijske i komunikacijske tehnologije.</w:t>
      </w:r>
    </w:p>
    <w:p w14:paraId="5C937A28"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bookmarkStart w:id="164" w:name="_Hlk2165897"/>
      <w:r w:rsidRPr="008F16D6">
        <w:rPr>
          <w:rFonts w:ascii="Arial" w:eastAsia="Times New Roman" w:hAnsi="Arial" w:cs="Arial"/>
          <w:lang w:eastAsia="hr-HR"/>
        </w:rPr>
        <w:t>EIB i EBRD</w:t>
      </w:r>
      <w:bookmarkEnd w:id="164"/>
      <w:r w:rsidRPr="008F16D6">
        <w:rPr>
          <w:rFonts w:ascii="Arial" w:eastAsia="Times New Roman" w:hAnsi="Arial" w:cs="Arial"/>
          <w:lang w:eastAsia="hr-HR"/>
        </w:rPr>
        <w:t>, u suradnji s HBOR-om, osmišljavaju, stvaraju i financiraju programe i projekte koji se odnose na OIE i energetsku učinkovitost, među ostalim i za energetski siromašna kućanstva.</w:t>
      </w:r>
    </w:p>
    <w:p w14:paraId="2128CBD8" w14:textId="77777777" w:rsidR="000C0018" w:rsidRDefault="000C0018">
      <w:pPr>
        <w:rPr>
          <w:rFonts w:ascii="Arial" w:eastAsia="Times New Roman" w:hAnsi="Arial" w:cs="Arial"/>
          <w:lang w:eastAsia="hr-HR"/>
        </w:rPr>
      </w:pPr>
      <w:r>
        <w:rPr>
          <w:rFonts w:ascii="Arial" w:eastAsia="Times New Roman" w:hAnsi="Arial" w:cs="Arial"/>
          <w:lang w:eastAsia="hr-HR"/>
        </w:rPr>
        <w:br w:type="page"/>
      </w:r>
    </w:p>
    <w:p w14:paraId="20C23D54" w14:textId="3CBC5C2C" w:rsidR="008F16D6" w:rsidRPr="008F16D6" w:rsidRDefault="008F16D6" w:rsidP="008F16D6">
      <w:pPr>
        <w:suppressAutoHyphens/>
        <w:spacing w:before="240" w:after="120" w:line="288" w:lineRule="auto"/>
        <w:jc w:val="both"/>
        <w:rPr>
          <w:rFonts w:ascii="Arial" w:eastAsia="Times New Roman" w:hAnsi="Arial" w:cs="Arial"/>
          <w:lang w:eastAsia="hr-HR"/>
        </w:rPr>
      </w:pPr>
      <w:r w:rsidRPr="008F16D6">
        <w:rPr>
          <w:rFonts w:ascii="Arial" w:eastAsia="Times New Roman" w:hAnsi="Arial" w:cs="Arial"/>
          <w:lang w:eastAsia="hr-HR"/>
        </w:rPr>
        <w:t>Revizijom Direktive o ETS-u uspostavljeni su novi financijski mehanizmi za potporu prijelaza na niskougljično gospodarstvo, koji obuhvaćaju:</w:t>
      </w:r>
    </w:p>
    <w:p w14:paraId="56B78F77" w14:textId="49580030" w:rsidR="008F16D6" w:rsidRPr="008F16D6" w:rsidRDefault="008F16D6" w:rsidP="00181F22">
      <w:pPr>
        <w:numPr>
          <w:ilvl w:val="0"/>
          <w:numId w:val="11"/>
        </w:numPr>
        <w:tabs>
          <w:tab w:val="left" w:pos="431"/>
        </w:tabs>
        <w:suppressAutoHyphens/>
        <w:spacing w:before="240" w:after="120" w:line="240" w:lineRule="auto"/>
        <w:jc w:val="both"/>
        <w:rPr>
          <w:rFonts w:ascii="Arial" w:eastAsia="Times New Roman" w:hAnsi="Arial" w:cs="Tahoma"/>
          <w:lang w:eastAsia="ar-SA"/>
        </w:rPr>
      </w:pPr>
      <w:r w:rsidRPr="008F16D6">
        <w:rPr>
          <w:rFonts w:ascii="Arial" w:eastAsia="Times New Roman" w:hAnsi="Arial" w:cs="Arial"/>
          <w:lang w:eastAsia="ar-SA"/>
        </w:rPr>
        <w:t xml:space="preserve">Fond za inovacije, kojim se proširuje postojeća potpora za primjenu inovativnih tehnologija na napredne inovacije u industriji </w:t>
      </w:r>
    </w:p>
    <w:p w14:paraId="5B079ACD" w14:textId="77777777" w:rsidR="008F16D6" w:rsidRPr="008F16D6" w:rsidRDefault="008F16D6" w:rsidP="00181F22">
      <w:pPr>
        <w:numPr>
          <w:ilvl w:val="0"/>
          <w:numId w:val="11"/>
        </w:numPr>
        <w:tabs>
          <w:tab w:val="left" w:pos="431"/>
        </w:tabs>
        <w:suppressAutoHyphens/>
        <w:spacing w:before="240" w:after="120" w:line="240" w:lineRule="auto"/>
        <w:jc w:val="both"/>
        <w:rPr>
          <w:rFonts w:ascii="Arial" w:eastAsia="Times New Roman" w:hAnsi="Arial" w:cs="Tahoma"/>
          <w:lang w:eastAsia="ar-SA"/>
        </w:rPr>
      </w:pPr>
      <w:r w:rsidRPr="008F16D6">
        <w:rPr>
          <w:rFonts w:ascii="Arial" w:eastAsia="Times New Roman" w:hAnsi="Arial" w:cs="Arial"/>
          <w:lang w:eastAsia="ar-SA"/>
        </w:rPr>
        <w:t>Fond za modernizaciju, kojim se omogućuju ulaganja u modernizaciju energetskog sektora i širih energetskih sustava uz povećanje energetske učinkovitosti u deset država članica s nižim dohocima te dodatno mehanizmima koji predviđaju prijelaznu mogućnost besplatne dodjele emisijskih jedinica za modernizaciju energetskog sektora.</w:t>
      </w:r>
    </w:p>
    <w:p w14:paraId="4DCA8AC1"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Na raspolaganju su i drugi EU fondovi koji su namijenjeni za određeno tematsko područje, ali treba voditi računa o ispunjavanju konkretnih uvjeta za dobivanje sredstava. </w:t>
      </w:r>
    </w:p>
    <w:p w14:paraId="6E39F79C" w14:textId="77777777" w:rsidR="008F16D6" w:rsidRPr="008F16D6" w:rsidRDefault="008F16D6" w:rsidP="008F16D6">
      <w:pPr>
        <w:suppressAutoHyphens/>
        <w:spacing w:before="240" w:after="120" w:line="288" w:lineRule="auto"/>
        <w:jc w:val="both"/>
        <w:rPr>
          <w:rFonts w:ascii="Arial" w:eastAsia="Times New Roman" w:hAnsi="Arial" w:cs="Arial"/>
          <w:lang w:eastAsia="hr-HR"/>
        </w:rPr>
      </w:pPr>
      <w:r w:rsidRPr="008F16D6">
        <w:rPr>
          <w:rFonts w:ascii="Arial" w:eastAsia="Times New Roman" w:hAnsi="Arial" w:cs="Arial"/>
          <w:lang w:eastAsia="hr-HR"/>
        </w:rPr>
        <w:t xml:space="preserve">Na raspolaganju je i instrument za povezivanje Europe (CEF), koji potiče ulaganja u prometnu, energetsku i digitalnu infrastrukturu putem razvoja transeuropskih mreža (TEN), a promiče i prekograničnu suradnju u proizvodnji energije iz obnovljivih izvora, što je ključno za funkcioniranje jedinstvenog tržišta i od strateške važnosti za ostvarenje energetske unije, jedinstvenog digitalnog tržišta i razvoja održivih načina prijevoza. </w:t>
      </w:r>
    </w:p>
    <w:p w14:paraId="40DD1249" w14:textId="1AB9B7BB" w:rsidR="008F16D6" w:rsidRPr="008F16D6" w:rsidRDefault="00BE279A" w:rsidP="008F16D6">
      <w:pPr>
        <w:suppressAutoHyphens/>
        <w:spacing w:before="240" w:after="120" w:line="288" w:lineRule="auto"/>
        <w:jc w:val="both"/>
        <w:rPr>
          <w:rFonts w:ascii="Arial" w:eastAsia="Times New Roman" w:hAnsi="Arial" w:cs="Arial"/>
          <w:lang w:eastAsia="hr-HR"/>
        </w:rPr>
      </w:pPr>
      <w:r>
        <w:rPr>
          <w:rFonts w:ascii="Arial" w:eastAsia="Times New Roman" w:hAnsi="Arial" w:cs="Arial"/>
          <w:lang w:eastAsia="hr-HR"/>
        </w:rPr>
        <w:t xml:space="preserve">Očekuje se da će </w:t>
      </w:r>
      <w:r w:rsidR="008F16D6" w:rsidRPr="008F16D6">
        <w:rPr>
          <w:rFonts w:ascii="Arial" w:eastAsia="Times New Roman" w:hAnsi="Arial" w:cs="Arial"/>
          <w:lang w:eastAsia="hr-HR"/>
        </w:rPr>
        <w:t>Instrument za povezivanje Europe u novom višegodišnjem financijskom okviru za razdoblje od 2021. do 2027. godine (CEF2) osobito promi</w:t>
      </w:r>
      <w:r>
        <w:rPr>
          <w:rFonts w:ascii="Arial" w:eastAsia="Times New Roman" w:hAnsi="Arial" w:cs="Arial"/>
          <w:lang w:eastAsia="hr-HR"/>
        </w:rPr>
        <w:t>cati</w:t>
      </w:r>
      <w:r w:rsidR="008F16D6" w:rsidRPr="008F16D6">
        <w:rPr>
          <w:rFonts w:ascii="Arial" w:eastAsia="Times New Roman" w:hAnsi="Arial" w:cs="Arial"/>
          <w:lang w:eastAsia="hr-HR"/>
        </w:rPr>
        <w:t xml:space="preserve"> sinergiju među sektorima (promet, energetika i digitalna infrastruktura) i ulaganja u projekte od zajedničkog interesa kako bi se odgovorilo na nova tehnološka kretanja i prioritete te </w:t>
      </w:r>
      <w:r>
        <w:rPr>
          <w:rFonts w:ascii="Arial" w:eastAsia="Times New Roman" w:hAnsi="Arial" w:cs="Arial"/>
          <w:lang w:eastAsia="hr-HR"/>
        </w:rPr>
        <w:t>poticati</w:t>
      </w:r>
      <w:r w:rsidR="008F16D6" w:rsidRPr="008F16D6">
        <w:rPr>
          <w:rFonts w:ascii="Arial" w:eastAsia="Times New Roman" w:hAnsi="Arial" w:cs="Arial"/>
          <w:lang w:eastAsia="hr-HR"/>
        </w:rPr>
        <w:t xml:space="preserve"> daljnja ulaganja i iz drugih izvora, osobito privatnog sektora, kao dopuna InvestEU i drugim programima Unije.</w:t>
      </w:r>
      <w:r w:rsidR="008F16D6" w:rsidRPr="008F16D6">
        <w:rPr>
          <w:rFonts w:ascii="Arial" w:eastAsia="Times New Roman" w:hAnsi="Arial" w:cs="Arial"/>
          <w:lang w:eastAsia="hr-HR"/>
        </w:rPr>
        <w:br w:type="page"/>
      </w:r>
    </w:p>
    <w:p w14:paraId="7C1342AC" w14:textId="77777777" w:rsidR="008F16D6" w:rsidRPr="008F16D6" w:rsidRDefault="008F16D6" w:rsidP="008F16D6">
      <w:pPr>
        <w:keepNext/>
        <w:pageBreakBefore/>
        <w:pBdr>
          <w:top w:val="single" w:sz="48" w:space="5" w:color="F5C1C6"/>
        </w:pBdr>
        <w:tabs>
          <w:tab w:val="left" w:pos="567"/>
        </w:tabs>
        <w:suppressAutoHyphens/>
        <w:autoSpaceDE w:val="0"/>
        <w:autoSpaceDN w:val="0"/>
        <w:adjustRightInd w:val="0"/>
        <w:spacing w:before="240" w:after="320" w:line="240" w:lineRule="auto"/>
        <w:ind w:left="360" w:hanging="360"/>
        <w:textAlignment w:val="center"/>
        <w:outlineLvl w:val="0"/>
        <w:rPr>
          <w:rFonts w:ascii="Arial" w:eastAsia="Times New Roman" w:hAnsi="Arial" w:cs="Times New Roman"/>
          <w:b/>
          <w:iCs/>
          <w:caps/>
          <w:color w:val="BE1D2D"/>
          <w:position w:val="24"/>
          <w:sz w:val="32"/>
          <w:szCs w:val="48"/>
          <w:lang w:eastAsia="hr-HR"/>
        </w:rPr>
      </w:pPr>
      <w:bookmarkStart w:id="165" w:name="_Toc17876401"/>
      <w:bookmarkStart w:id="166" w:name="_Hlk945560"/>
      <w:r w:rsidRPr="008F16D6">
        <w:rPr>
          <w:rFonts w:ascii="Arial" w:eastAsia="Times New Roman" w:hAnsi="Arial" w:cs="Times New Roman"/>
          <w:b/>
          <w:iCs/>
          <w:caps/>
          <w:color w:val="BE1D2D"/>
          <w:position w:val="24"/>
          <w:sz w:val="32"/>
          <w:szCs w:val="48"/>
          <w:lang w:eastAsia="hr-HR"/>
        </w:rPr>
        <w:t>G</w:t>
      </w:r>
      <w:r w:rsidRPr="008F16D6">
        <w:rPr>
          <w:rFonts w:ascii="Arial" w:eastAsia="Times New Roman" w:hAnsi="Arial" w:cs="Times New Roman"/>
          <w:b/>
          <w:iCs/>
          <w:color w:val="BE1D2D"/>
          <w:position w:val="24"/>
          <w:sz w:val="32"/>
          <w:szCs w:val="48"/>
          <w:lang w:eastAsia="hr-HR"/>
        </w:rPr>
        <w:t>ospodarsko</w:t>
      </w:r>
      <w:r w:rsidRPr="008F16D6">
        <w:rPr>
          <w:rFonts w:ascii="Arial" w:eastAsia="Times New Roman" w:hAnsi="Arial" w:cs="Times New Roman"/>
          <w:b/>
          <w:iCs/>
          <w:caps/>
          <w:color w:val="BE1D2D"/>
          <w:position w:val="24"/>
          <w:sz w:val="32"/>
          <w:szCs w:val="48"/>
          <w:lang w:eastAsia="hr-HR"/>
        </w:rPr>
        <w:t>-</w:t>
      </w:r>
      <w:r w:rsidRPr="008F16D6">
        <w:rPr>
          <w:rFonts w:ascii="Arial" w:eastAsia="Times New Roman" w:hAnsi="Arial" w:cs="Times New Roman"/>
          <w:b/>
          <w:iCs/>
          <w:color w:val="BE1D2D"/>
          <w:position w:val="24"/>
          <w:sz w:val="32"/>
          <w:szCs w:val="48"/>
          <w:lang w:eastAsia="hr-HR"/>
        </w:rPr>
        <w:t>društveni aspekti Strategije</w:t>
      </w:r>
      <w:bookmarkEnd w:id="165"/>
    </w:p>
    <w:p w14:paraId="09F1BD9E" w14:textId="77777777"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ind w:left="576" w:hanging="576"/>
        <w:textAlignment w:val="center"/>
        <w:outlineLvl w:val="1"/>
        <w:rPr>
          <w:rFonts w:ascii="Arial" w:eastAsia="Times New Roman" w:hAnsi="Arial" w:cs="Myriad Pro Cond"/>
          <w:b/>
          <w:bCs/>
          <w:color w:val="BE1D2D"/>
          <w:sz w:val="28"/>
          <w:szCs w:val="36"/>
          <w:lang w:eastAsia="hr-HR"/>
        </w:rPr>
      </w:pPr>
      <w:bookmarkStart w:id="167" w:name="_Toc17876402"/>
      <w:r w:rsidRPr="008F16D6">
        <w:rPr>
          <w:rFonts w:ascii="Arial" w:eastAsia="Times New Roman" w:hAnsi="Arial" w:cs="Myriad Pro Cond"/>
          <w:b/>
          <w:bCs/>
          <w:color w:val="BE1D2D"/>
          <w:sz w:val="28"/>
          <w:szCs w:val="36"/>
          <w:lang w:eastAsia="hr-HR"/>
        </w:rPr>
        <w:t>Utjecaj na gospodarstvo</w:t>
      </w:r>
      <w:bookmarkEnd w:id="167"/>
    </w:p>
    <w:p w14:paraId="1A041710"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Energetska tranzicija imat će višestruki utjecaj na gospodarstvo: </w:t>
      </w:r>
    </w:p>
    <w:p w14:paraId="29F5914A" w14:textId="663380D2" w:rsidR="008F16D6" w:rsidRPr="008F16D6" w:rsidRDefault="008F16D6" w:rsidP="00181F22">
      <w:pPr>
        <w:numPr>
          <w:ilvl w:val="0"/>
          <w:numId w:val="13"/>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 xml:space="preserve">povećanjem korištenja onih oblika energije kojima se smanjuju emisije stakleničkih plinova </w:t>
      </w:r>
    </w:p>
    <w:p w14:paraId="4CD37A81" w14:textId="08ED1BFD" w:rsidR="008F16D6" w:rsidRPr="008F16D6" w:rsidRDefault="008F16D6" w:rsidP="00181F22">
      <w:pPr>
        <w:numPr>
          <w:ilvl w:val="0"/>
          <w:numId w:val="13"/>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zamjenom korištenja fosilnih oblika energije s OIE</w:t>
      </w:r>
    </w:p>
    <w:p w14:paraId="680F90A9" w14:textId="7E515850" w:rsidR="008F16D6" w:rsidRPr="008F16D6" w:rsidRDefault="008F16D6" w:rsidP="00181F22">
      <w:pPr>
        <w:numPr>
          <w:ilvl w:val="0"/>
          <w:numId w:val="13"/>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povećanjem energetske učinkovitosti u gospodarskim subjektima prema interesima i mogućnostima svakog pojedinog subjekta</w:t>
      </w:r>
    </w:p>
    <w:p w14:paraId="382D8F84" w14:textId="2BDBFBF2" w:rsidR="008F16D6" w:rsidRPr="008F16D6" w:rsidRDefault="008F16D6" w:rsidP="00181F22">
      <w:pPr>
        <w:numPr>
          <w:ilvl w:val="0"/>
          <w:numId w:val="13"/>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korištenjem energije bez emisija u brendiranju vlastitih proizvoda i usluga</w:t>
      </w:r>
    </w:p>
    <w:p w14:paraId="46E798EA" w14:textId="29FB105E" w:rsidR="008F16D6" w:rsidRPr="008F16D6" w:rsidRDefault="008F16D6" w:rsidP="00181F22">
      <w:pPr>
        <w:numPr>
          <w:ilvl w:val="0"/>
          <w:numId w:val="13"/>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razvojem proizvoda i usluga iz područja novih tehnologija potrebnih za niskougljičnu energetiku</w:t>
      </w:r>
    </w:p>
    <w:p w14:paraId="3DE21A4E" w14:textId="79C4B8AD" w:rsidR="008F16D6" w:rsidRPr="008F16D6" w:rsidRDefault="008F16D6" w:rsidP="00181F22">
      <w:pPr>
        <w:numPr>
          <w:ilvl w:val="0"/>
          <w:numId w:val="13"/>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uključivanjem u međunarodno tržište proizvoda i usluga za niskougljičnu energetiku</w:t>
      </w:r>
    </w:p>
    <w:p w14:paraId="2617FF40" w14:textId="71AC3462" w:rsidR="008F16D6" w:rsidRPr="008F16D6" w:rsidRDefault="008F16D6" w:rsidP="00181F22">
      <w:pPr>
        <w:numPr>
          <w:ilvl w:val="0"/>
          <w:numId w:val="13"/>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integriranjem OIE, posebice energije iz biomase i otpada te otpadne energije, u procesnu energiju industrije radi povećanja konkurentnosti kroz dekarbonizaciju gospodarstva</w:t>
      </w:r>
    </w:p>
    <w:p w14:paraId="01A7F6B9" w14:textId="77777777" w:rsidR="008F16D6" w:rsidRPr="008F16D6" w:rsidRDefault="008F16D6" w:rsidP="00181F22">
      <w:pPr>
        <w:numPr>
          <w:ilvl w:val="0"/>
          <w:numId w:val="13"/>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kroz projekte digitalizacije energetike i primjenu naprednih mreža.</w:t>
      </w:r>
    </w:p>
    <w:p w14:paraId="23B0BABA"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Hrvatsko gospodarstvo najveće prilike treba tražiti u:</w:t>
      </w:r>
    </w:p>
    <w:p w14:paraId="4DF828CB" w14:textId="77777777"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 xml:space="preserve">energetskoj obnovi zgrada, </w:t>
      </w:r>
    </w:p>
    <w:p w14:paraId="4441D411" w14:textId="77777777"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proizvodnji domaćih energenata,</w:t>
      </w:r>
    </w:p>
    <w:p w14:paraId="2C7169F1" w14:textId="77777777"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 xml:space="preserve">proizvodnji opreme za korištenje OIE, </w:t>
      </w:r>
    </w:p>
    <w:p w14:paraId="15FA0D42" w14:textId="77777777"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 xml:space="preserve">proizvodnji čvrstih, tekućih i plinovitih biogoriva te novih proizvoda iz nusproizvoda nastalih iz proizvodnje energije iz biomase, </w:t>
      </w:r>
    </w:p>
    <w:p w14:paraId="34DB5420" w14:textId="77777777"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integraciji proizvodnje energije iz biomase u proizvodne procese i logistiku industrije,</w:t>
      </w:r>
    </w:p>
    <w:p w14:paraId="5D371D79" w14:textId="77777777"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integraciji projekata proizvodnje energije iz biomase za potrebe razvoja hrvatskog biogospodarstva,</w:t>
      </w:r>
    </w:p>
    <w:p w14:paraId="2672A099" w14:textId="77777777"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 xml:space="preserve">u procesu održivog gospodarenja otpadom i pročišćavanja voda, </w:t>
      </w:r>
    </w:p>
    <w:p w14:paraId="1687C7CE" w14:textId="77777777"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 xml:space="preserve">izgradnji postrojenja koja koriste OIE, </w:t>
      </w:r>
    </w:p>
    <w:p w14:paraId="7208E27B" w14:textId="77777777"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izgradnji malih i robusnih postrojenja za proizvodnju čvrstih biogoriva iz sekundarne biomase (agro-peleti, industrijski peleti, sječka i dr.),</w:t>
      </w:r>
    </w:p>
    <w:p w14:paraId="59E56ECF" w14:textId="77777777"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 xml:space="preserve">rješenjima za aktivno uključivanje poljoprivrednika u sektor biogospodarstva kroz tranziciju poljoprivrednih gospodarstava u </w:t>
      </w:r>
      <w:r w:rsidRPr="008F16D6">
        <w:rPr>
          <w:rFonts w:ascii="Arial" w:eastAsia="Times New Roman" w:hAnsi="Arial" w:cs="Tahoma"/>
          <w:i/>
          <w:lang w:eastAsia="ar-SA"/>
        </w:rPr>
        <w:t>prosumere</w:t>
      </w:r>
      <w:r w:rsidRPr="008F16D6">
        <w:rPr>
          <w:rFonts w:ascii="Arial" w:eastAsia="Times New Roman" w:hAnsi="Arial" w:cs="Tahoma"/>
          <w:i/>
          <w:iCs/>
          <w:lang w:eastAsia="ar-SA"/>
        </w:rPr>
        <w:t>,</w:t>
      </w:r>
    </w:p>
    <w:p w14:paraId="51D8EB37" w14:textId="77777777"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 xml:space="preserve">proizvodnji komponenata za napredne energetske sustave i pohranu energije, </w:t>
      </w:r>
    </w:p>
    <w:p w14:paraId="09C48C07" w14:textId="77777777"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 xml:space="preserve">razvoju proizvodnih kapaciteta za električna vozila, </w:t>
      </w:r>
    </w:p>
    <w:p w14:paraId="543CA35C" w14:textId="77777777"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 xml:space="preserve">razvoju infrastrukture održivog transporta, </w:t>
      </w:r>
    </w:p>
    <w:p w14:paraId="3553F0D1" w14:textId="77777777"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 xml:space="preserve">proizvodnji plovila i necestovnih vozila na alternativne pogone, </w:t>
      </w:r>
    </w:p>
    <w:p w14:paraId="704A4715" w14:textId="77777777"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razvoju infrastrukture za transport i skladištenje CO</w:t>
      </w:r>
      <w:r w:rsidRPr="008F16D6">
        <w:rPr>
          <w:rFonts w:ascii="Arial" w:eastAsia="Times New Roman" w:hAnsi="Arial" w:cs="Tahoma"/>
          <w:vertAlign w:val="subscript"/>
          <w:lang w:eastAsia="ar-SA"/>
        </w:rPr>
        <w:t>2</w:t>
      </w:r>
      <w:r w:rsidRPr="008F16D6">
        <w:rPr>
          <w:rFonts w:ascii="Arial" w:eastAsia="Times New Roman" w:hAnsi="Arial" w:cs="Tahoma"/>
          <w:lang w:eastAsia="ar-SA"/>
        </w:rPr>
        <w:t>,</w:t>
      </w:r>
    </w:p>
    <w:p w14:paraId="6C95E391" w14:textId="77777777"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digitalnoj transformaciji navedenih industrija i procesa.</w:t>
      </w:r>
    </w:p>
    <w:p w14:paraId="4D482417" w14:textId="4BC8C8B6" w:rsidR="008F16D6" w:rsidRPr="008F16D6" w:rsidRDefault="008F16D6" w:rsidP="008F16D6">
      <w:pPr>
        <w:spacing w:before="240" w:after="160" w:line="259" w:lineRule="auto"/>
        <w:contextualSpacing/>
        <w:jc w:val="both"/>
        <w:rPr>
          <w:rFonts w:ascii="Arial" w:eastAsia="Times New Roman" w:hAnsi="Arial" w:cs="Times New Roman"/>
          <w:lang w:eastAsia="hr-HR"/>
        </w:rPr>
      </w:pPr>
      <w:r w:rsidRPr="008F16D6">
        <w:rPr>
          <w:rFonts w:ascii="Arial" w:eastAsia="Times New Roman" w:hAnsi="Arial" w:cs="Times New Roman"/>
          <w:lang w:eastAsia="hr-HR"/>
        </w:rPr>
        <w:t xml:space="preserve">Ukupna ulaganja u energetski sektor koja se procjenjuju s iznosom od 461,7 milijardi kuna u razdoblju od 2021.-2050. (15,4 milijardi kuna godišnje) prema </w:t>
      </w:r>
      <w:r w:rsidRPr="008F16D6">
        <w:rPr>
          <w:rFonts w:ascii="Arial" w:eastAsia="Times New Roman" w:hAnsi="Arial" w:cs="Arial"/>
          <w:lang w:eastAsia="hr-HR"/>
        </w:rPr>
        <w:t xml:space="preserve">scenariju S1 odnosno 378,90 milijarde kuna ili 12,63 milijardi kuna godišnje </w:t>
      </w:r>
      <w:r w:rsidRPr="008F16D6">
        <w:rPr>
          <w:rFonts w:ascii="Arial" w:eastAsia="Times New Roman" w:hAnsi="Arial" w:cs="Times New Roman"/>
          <w:lang w:eastAsia="hr-HR"/>
        </w:rPr>
        <w:t xml:space="preserve">prema </w:t>
      </w:r>
      <w:r w:rsidRPr="008F16D6">
        <w:rPr>
          <w:rFonts w:ascii="Arial" w:eastAsia="Times New Roman" w:hAnsi="Arial" w:cs="Arial"/>
          <w:lang w:eastAsia="hr-HR"/>
        </w:rPr>
        <w:t xml:space="preserve">scenariju S2 </w:t>
      </w:r>
      <w:r w:rsidRPr="008F16D6">
        <w:rPr>
          <w:rFonts w:ascii="Arial" w:eastAsia="Times New Roman" w:hAnsi="Arial" w:cs="Times New Roman"/>
          <w:lang w:eastAsia="hr-HR"/>
        </w:rPr>
        <w:t>bit će snažan poticaj i doprinos gospodarskom niskougljičnom razvoju.</w:t>
      </w:r>
    </w:p>
    <w:p w14:paraId="639D6E47" w14:textId="77777777"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ind w:left="576" w:hanging="576"/>
        <w:textAlignment w:val="center"/>
        <w:outlineLvl w:val="1"/>
        <w:rPr>
          <w:rFonts w:ascii="Arial" w:eastAsia="Times New Roman" w:hAnsi="Arial" w:cs="Myriad Pro Cond"/>
          <w:b/>
          <w:bCs/>
          <w:color w:val="BE1D2D"/>
          <w:sz w:val="28"/>
          <w:szCs w:val="36"/>
          <w:lang w:eastAsia="hr-HR"/>
        </w:rPr>
      </w:pPr>
      <w:bookmarkStart w:id="168" w:name="_Toc17876403"/>
      <w:r w:rsidRPr="008F16D6">
        <w:rPr>
          <w:rFonts w:ascii="Arial" w:eastAsia="Times New Roman" w:hAnsi="Arial" w:cs="Myriad Pro Cond"/>
          <w:b/>
          <w:bCs/>
          <w:color w:val="BE1D2D"/>
          <w:sz w:val="28"/>
          <w:szCs w:val="36"/>
          <w:lang w:eastAsia="hr-HR"/>
        </w:rPr>
        <w:t>Energetsko siromaštvo</w:t>
      </w:r>
      <w:bookmarkEnd w:id="168"/>
      <w:r w:rsidRPr="008F16D6">
        <w:rPr>
          <w:rFonts w:ascii="Arial" w:eastAsia="Times New Roman" w:hAnsi="Arial" w:cs="Myriad Pro Cond"/>
          <w:b/>
          <w:bCs/>
          <w:color w:val="BE1D2D"/>
          <w:sz w:val="28"/>
          <w:szCs w:val="36"/>
          <w:lang w:eastAsia="hr-HR"/>
        </w:rPr>
        <w:t xml:space="preserve"> </w:t>
      </w:r>
    </w:p>
    <w:p w14:paraId="299C9786"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Zbog visokih ulaganja koja mogu predstavljati značajan izazov za pojedine dijelove gospodarstva potrebno je programe provedbe pojedinih mjera energetske politike i primjenu novih tehničkih i tehnoloških rješenja povezati s mjerama smanjenja energetskog siromaštva. U tom smislu potrebno je izraditi, usvojiti i primjenjivati sveobuhvatni Program za suzbijanje energetskog siromaštva koji će imati sljedeće komponente:</w:t>
      </w:r>
    </w:p>
    <w:p w14:paraId="776DC193" w14:textId="07BF1CEC"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jedinstveni model za podmirivanje troškova za energiju energetski siromašnim kućanstvima</w:t>
      </w:r>
    </w:p>
    <w:p w14:paraId="48A812B2" w14:textId="0AA7105F"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 xml:space="preserve">energetsko savjetovanje za energetski siromašna kućanstva  </w:t>
      </w:r>
    </w:p>
    <w:p w14:paraId="72E21EE3" w14:textId="77777777"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 xml:space="preserve">mjere energetske obnove i poboljšanja energetske učinkovitosti u energetski siromašnim kućanstvima. </w:t>
      </w:r>
    </w:p>
    <w:p w14:paraId="67C7DDB4"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Kombinacijom ove tri komponente programa suzbijanja energetskog siromaštva omogućit će se trajno smanjenje troškova za energiju u energetski siromašnim kućanstvima, poboljšat će se njihovi životni uvjeti te će se smanjiti potrebna izdvajanja za pružanje pomoći takvim kućanstvima.</w:t>
      </w:r>
    </w:p>
    <w:p w14:paraId="79912A50" w14:textId="77777777"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ind w:left="576" w:hanging="576"/>
        <w:textAlignment w:val="center"/>
        <w:outlineLvl w:val="1"/>
        <w:rPr>
          <w:rFonts w:ascii="Arial" w:eastAsia="Times New Roman" w:hAnsi="Arial" w:cs="Myriad Pro Cond"/>
          <w:b/>
          <w:bCs/>
          <w:color w:val="BE1D2D"/>
          <w:sz w:val="28"/>
          <w:szCs w:val="36"/>
          <w:lang w:eastAsia="hr-HR"/>
        </w:rPr>
      </w:pPr>
      <w:bookmarkStart w:id="169" w:name="_Toc17876404"/>
      <w:r w:rsidRPr="008F16D6">
        <w:rPr>
          <w:rFonts w:ascii="Arial" w:eastAsia="Times New Roman" w:hAnsi="Arial" w:cs="Myriad Pro Cond"/>
          <w:b/>
          <w:bCs/>
          <w:color w:val="BE1D2D"/>
          <w:sz w:val="28"/>
          <w:szCs w:val="36"/>
          <w:lang w:eastAsia="hr-HR"/>
        </w:rPr>
        <w:t>Istraživanje, razvoj i konkurentnost</w:t>
      </w:r>
      <w:bookmarkEnd w:id="169"/>
    </w:p>
    <w:p w14:paraId="51113CCB"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Realizacija strateških ciljeva energetskog razvoja otvara široki prostor za inovacije i patente u području tehnologija čiste energije i niskougljičnih tehnologija i snažniju integriranost u međunarodnu zajednicu istraživanja i razvoja novih tehnologija, posebno s tvrtkama i znanstveno-razvojnim institucijama EU-a. Istraživanja je potrebno usmjeriti na sljedeća područja: </w:t>
      </w:r>
    </w:p>
    <w:p w14:paraId="1D5609CC" w14:textId="074A5E93"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razvoj tehnologija i proizvodnje u području OIE-a</w:t>
      </w:r>
    </w:p>
    <w:p w14:paraId="08C2869E" w14:textId="1040DEBE"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 xml:space="preserve">razvoj modela i metoda za integralno upravljanje ugljikom </w:t>
      </w:r>
    </w:p>
    <w:p w14:paraId="29B31505" w14:textId="2D06CB44"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razvoj tehnologija, tehničkih i netehničkih mjera za smanjenje emisija i povećanje odliva stakleničkih plinova</w:t>
      </w:r>
    </w:p>
    <w:p w14:paraId="563A2E71" w14:textId="210A7560"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istraživanja mogućnosti korištenja, načina skladištenja, transporta i geološkog skladištenja CO</w:t>
      </w:r>
      <w:r w:rsidRPr="008F16D6">
        <w:rPr>
          <w:rFonts w:ascii="Arial" w:eastAsia="Times New Roman" w:hAnsi="Arial" w:cs="Tahoma"/>
          <w:vertAlign w:val="subscript"/>
          <w:lang w:eastAsia="ar-SA"/>
        </w:rPr>
        <w:t>2</w:t>
      </w:r>
    </w:p>
    <w:p w14:paraId="111485C9" w14:textId="54FD3963"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istraživanje poveznica između ublažavanja klimatskih promjena i prilagodbe klimatskim promjenama te interakcije s ostalim sastavnicama okoliša</w:t>
      </w:r>
    </w:p>
    <w:p w14:paraId="5B5D369A" w14:textId="42AD6152"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 xml:space="preserve">razvoj integralnih modela procjene učinaka politika i mjera za ublažavanje klimatskih promjena na gospodarstvo, okoliš i društvo sa stanovišta energije </w:t>
      </w:r>
    </w:p>
    <w:p w14:paraId="22048FD5" w14:textId="72539E82"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istraživanja socioloških aspekata klimatskih promjena, razvoj modela i metoda promidžbe i podizanja javne svijesti o klimatskim promjenama sa stanovišta energije</w:t>
      </w:r>
    </w:p>
    <w:p w14:paraId="240EA8B6" w14:textId="5386B03C"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istraživanja u cilju unapređenja sustava obrazovanja, pametnih specijalizacija i životnog obrazovanja</w:t>
      </w:r>
    </w:p>
    <w:p w14:paraId="616B08C9" w14:textId="77777777" w:rsidR="008F16D6" w:rsidRPr="008F16D6" w:rsidRDefault="008F16D6" w:rsidP="00181F22">
      <w:pPr>
        <w:numPr>
          <w:ilvl w:val="0"/>
          <w:numId w:val="8"/>
        </w:numPr>
        <w:suppressAutoHyphens/>
        <w:spacing w:before="240" w:after="160" w:line="259" w:lineRule="auto"/>
        <w:contextualSpacing/>
        <w:jc w:val="both"/>
        <w:rPr>
          <w:rFonts w:ascii="Arial" w:eastAsia="Times New Roman" w:hAnsi="Arial" w:cs="Tahoma"/>
          <w:lang w:eastAsia="ar-SA"/>
        </w:rPr>
      </w:pPr>
      <w:r w:rsidRPr="008F16D6">
        <w:rPr>
          <w:rFonts w:ascii="Arial" w:eastAsia="Times New Roman" w:hAnsi="Arial" w:cs="Tahoma"/>
          <w:lang w:eastAsia="ar-SA"/>
        </w:rPr>
        <w:t>istraživanja inovativnih modela financiranja, posebice onih koji omogućuju mobilizaciju privatnog kapitala za realizaciju ciljeva energetske strategije.</w:t>
      </w:r>
    </w:p>
    <w:p w14:paraId="623CE979"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Osobiti tehnološki napredak očekuje se u primjeni informacijsko-komunikacijskih tehnologija u svim sektorima, osobito u energetici i prometu. Odlučujuću ulogu će imati razvoj sustava za pohranu energije, infrastruktura za električna vozila i baterije, autonomni sustavi u raznim sektorima i robotika. </w:t>
      </w:r>
    </w:p>
    <w:p w14:paraId="55D5BAB8"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Razvoj i primjena novih tehnologija izazov je i prilika kako za znanstvenoistraživačke institucije, tako i za gospodarstvo. Stoga će Republika Hrvatska povećavati ulaganja u obrazovanje, znanstvenoistraživačke projekte i razvoj te sustavno poticati međunarodnu suradnju na području održivih energetskih tehnologija. Osim znanstvenoistraživačkih kapaciteta, razvoj energetskog sektora zahtjeva i stručnjake različitih profila, koji će biti školovani i osposobljeni za rad s novim tehnologijama. Zbog toga će se podupirati razvoj strukovnih programa energetskih usmjerenja, ali i programi cjeloživotnog učenja vezani za različite aspekte energetskih sustava.</w:t>
      </w:r>
      <w:bookmarkEnd w:id="166"/>
    </w:p>
    <w:p w14:paraId="0369170A" w14:textId="77777777"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ind w:left="576" w:hanging="576"/>
        <w:textAlignment w:val="center"/>
        <w:outlineLvl w:val="1"/>
        <w:rPr>
          <w:rFonts w:ascii="Arial" w:eastAsia="Times New Roman" w:hAnsi="Arial" w:cs="Myriad Pro Cond"/>
          <w:b/>
          <w:bCs/>
          <w:color w:val="BE1D2D"/>
          <w:sz w:val="28"/>
          <w:szCs w:val="36"/>
          <w:lang w:eastAsia="hr-HR"/>
        </w:rPr>
      </w:pPr>
      <w:bookmarkStart w:id="170" w:name="_Toc17876405"/>
      <w:r w:rsidRPr="008F16D6">
        <w:rPr>
          <w:rFonts w:ascii="Arial" w:eastAsia="Times New Roman" w:hAnsi="Arial" w:cs="Myriad Pro Cond"/>
          <w:b/>
          <w:bCs/>
          <w:color w:val="BE1D2D"/>
          <w:sz w:val="28"/>
          <w:szCs w:val="36"/>
          <w:lang w:eastAsia="hr-HR"/>
        </w:rPr>
        <w:t>Uloga područne i lokalne samouprave u energetskoj tranziciji</w:t>
      </w:r>
      <w:bookmarkEnd w:id="170"/>
    </w:p>
    <w:p w14:paraId="71A58736"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Tranzicija energetskog sektora pomiče energetsku subjektivnost od velikih energetskih tvrtki ka građanima, malim poduzetnicima, zadrugama i lokalnoj zajednici. U fokusu interesa su energetska učinkovitost, obnovljivi izvori, gospodarenje i upravljanje energijom i troškovima, socijalna prihvatljivost te zaštita okoliša i klime. Lokalna i područna samouprava postaju ravnopravni partneri državnim institucijama u provedbi energetske politike.</w:t>
      </w:r>
    </w:p>
    <w:p w14:paraId="764125BD"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Energetska obnova zgrada je od posebne važnosti za provedbu temeljnog strateškog cilja očuvanja klime i smanjenja emisija CO</w:t>
      </w:r>
      <w:r w:rsidRPr="008F16D6">
        <w:rPr>
          <w:rFonts w:ascii="Arial" w:eastAsia="Times New Roman" w:hAnsi="Arial" w:cs="Times New Roman"/>
          <w:vertAlign w:val="subscript"/>
          <w:lang w:eastAsia="hr-HR"/>
        </w:rPr>
        <w:t>2</w:t>
      </w:r>
      <w:r w:rsidRPr="008F16D6">
        <w:rPr>
          <w:rFonts w:ascii="Arial" w:eastAsia="Times New Roman" w:hAnsi="Arial" w:cs="Times New Roman"/>
          <w:lang w:eastAsia="hr-HR"/>
        </w:rPr>
        <w:t>, za koju je neposredno zainteresirana lokalna i područna samouprava. Poželjno je aktivnosti lokalne i područne samouprave u socijalnoj zaštiti potrebitih građana povezati s energetskom obnovom zgrada i na taj način ostvariti dva cilja, socijalnu prihvatljivost troškova energije i očuvanje klime.</w:t>
      </w:r>
    </w:p>
    <w:p w14:paraId="3C51BF11"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Promet je također jedan od izazova za svaku lokalnu i područnu samoupravu. Stvaranje uvjeta za korištenje elektromobilnosti, biogoriva i novih tehnologija trajni je cilj energetske tranzicije.</w:t>
      </w:r>
    </w:p>
    <w:p w14:paraId="271BCF50"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Nužan uvjet za povećanje korištenja OIE je raspoloživi prostor. Planiranje raspoloživih prostora, pravodobno i kroz provedive procedure, može osigurati ostvarenje ciljeva energetske tranzicije. To je područje odgovornosti i odlučivanja lokalne i područne samouprave.</w:t>
      </w:r>
    </w:p>
    <w:p w14:paraId="70ECE542"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U ruralnim područjima, proaktivnim upravljanjem korištenja poljoprivrednih i šumskih površina može se znatno doprinijeti ciljevima korištenja OIE i smanjenja emisije CO</w:t>
      </w:r>
      <w:r w:rsidRPr="008F16D6">
        <w:rPr>
          <w:rFonts w:ascii="Arial" w:eastAsia="Times New Roman" w:hAnsi="Arial" w:cs="Times New Roman"/>
          <w:vertAlign w:val="subscript"/>
          <w:lang w:eastAsia="hr-HR"/>
        </w:rPr>
        <w:t>2</w:t>
      </w:r>
      <w:r w:rsidRPr="008F16D6">
        <w:rPr>
          <w:rFonts w:ascii="Arial" w:eastAsia="Times New Roman" w:hAnsi="Arial" w:cs="Times New Roman"/>
          <w:lang w:eastAsia="hr-HR"/>
        </w:rPr>
        <w:t>, ali i napraviti tranzicija u biogospodarstvo te postići željeni multiplikacijski učinak i socio-ekonomske mjere. Ključna je uloga lokalne samouprave u pogledu mobilizacije potencijala biomase, stvaranja prilike da poljoprivrednici postanu dionici lanca dobave biomase te aktivno uključivanje u lanac dobave, bilo kroz sudjelovanje komunalnih poduzeća ili kroz sudjelovanje u osnivanju sabirno – logističkih centara za biomasu odnosno kroz zadružna bioplinska postrojenja.</w:t>
      </w:r>
    </w:p>
    <w:p w14:paraId="4B2413D4" w14:textId="77777777" w:rsidR="008F16D6" w:rsidRPr="008F16D6" w:rsidRDefault="008F16D6" w:rsidP="008F16D6">
      <w:pPr>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Lokalna i područna samouprava može i sama biti investitor ili poticatelj projekata energetske učinkovitosti i OIE, generator poduzetničkih ideja i bitna logistika u njihovoj realizaciji. U stvaranju pozitivnog odnosa prema tranziciji energetskog sektora lokalna i područna samouprava treba biti promotor i edukator ideja tranzicije te mobilizator promjena. Bitna je suradnja državnih institucija i lokalne i područne samouprave, osiguravanje svih potrebnih podloga i informacija, izrada energetske statistike vjerodostojne na svim razinama, kao i nesmetani i brzi protok svih potrebnih informacija.</w:t>
      </w:r>
    </w:p>
    <w:p w14:paraId="421999C9" w14:textId="77777777"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ind w:left="576" w:hanging="576"/>
        <w:textAlignment w:val="center"/>
        <w:outlineLvl w:val="1"/>
        <w:rPr>
          <w:rFonts w:ascii="Arial" w:eastAsia="Times New Roman" w:hAnsi="Arial" w:cs="Myriad Pro Cond"/>
          <w:b/>
          <w:bCs/>
          <w:color w:val="BE1D2D"/>
          <w:sz w:val="28"/>
          <w:szCs w:val="36"/>
          <w:lang w:eastAsia="hr-HR"/>
        </w:rPr>
      </w:pPr>
      <w:bookmarkStart w:id="171" w:name="_Toc2341155"/>
      <w:bookmarkStart w:id="172" w:name="_Toc17876406"/>
      <w:r w:rsidRPr="008F16D6">
        <w:rPr>
          <w:rFonts w:ascii="Arial" w:eastAsia="Times New Roman" w:hAnsi="Arial" w:cs="Myriad Pro Cond"/>
          <w:b/>
          <w:bCs/>
          <w:color w:val="BE1D2D"/>
          <w:sz w:val="28"/>
          <w:szCs w:val="36"/>
          <w:lang w:eastAsia="hr-HR"/>
        </w:rPr>
        <w:t>Energetska strategija i prostor</w:t>
      </w:r>
      <w:bookmarkEnd w:id="171"/>
      <w:r w:rsidRPr="008F16D6">
        <w:rPr>
          <w:rFonts w:ascii="Arial" w:eastAsia="Times New Roman" w:hAnsi="Arial" w:cs="Myriad Pro Cond"/>
          <w:b/>
          <w:bCs/>
          <w:color w:val="BE1D2D"/>
          <w:sz w:val="28"/>
          <w:szCs w:val="36"/>
          <w:lang w:eastAsia="hr-HR"/>
        </w:rPr>
        <w:t>ni planovi</w:t>
      </w:r>
      <w:bookmarkEnd w:id="172"/>
    </w:p>
    <w:p w14:paraId="6B2D91D4" w14:textId="7ABE3E63"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Niskougljični razvoj energetskog sektora je prostorno zahtjevan za smještaj postrojenja OIE, jer su postrojenja male energetske gustoće, što stvara potrebu za unapr</w:t>
      </w:r>
      <w:r w:rsidR="009F5F59">
        <w:rPr>
          <w:rFonts w:ascii="Arial" w:eastAsia="Times New Roman" w:hAnsi="Arial" w:cs="Times New Roman"/>
          <w:lang w:eastAsia="hr-HR"/>
        </w:rPr>
        <w:t>j</w:t>
      </w:r>
      <w:r w:rsidRPr="008F16D6">
        <w:rPr>
          <w:rFonts w:ascii="Arial" w:eastAsia="Times New Roman" w:hAnsi="Arial" w:cs="Times New Roman"/>
          <w:lang w:eastAsia="hr-HR"/>
        </w:rPr>
        <w:t>eđenjem izrade prostornih planova. S povećanim korištenjem obnovljivih izvora raste i potreba za izgradnjom električnih mreža, što zahtijeva dodatni prostor. Potrebno je izraditi stručne podloge za valorizaciju prostora, koje će potvrditi stvarni potencijal za proizvodnju energije iz obnovljivih izvora i okolišno-društvenu osjetljivost prostora u odnosu na analizirani tehnički potencijal u poglavlju 2.2. ove Strategije. Takve integralne analize treba provesti za prostor pojedine županije i odabrane prostore, a u prostorne planove treba uključiti definirane smjernice za razvoj postrojenja. Kategorizacijom prostora namijenjenih za OIE projekte od strane jedinica regionalne i lokalne samouprave smanjit će se rizik razvoja takvih projekata, a financiranje ovog procesa trebalo bi osigurati iz sredstava namijenjenih za poticanje niskougljičnog razvoja energetskog sektora.</w:t>
      </w:r>
    </w:p>
    <w:p w14:paraId="4E405BBD" w14:textId="77777777" w:rsidR="008F16D6" w:rsidRPr="008F16D6" w:rsidRDefault="008F16D6" w:rsidP="008F16D6">
      <w:pPr>
        <w:suppressAutoHyphens/>
        <w:spacing w:before="240" w:after="120" w:line="288" w:lineRule="auto"/>
        <w:jc w:val="both"/>
        <w:rPr>
          <w:rFonts w:ascii="Arial" w:eastAsia="Times New Roman" w:hAnsi="Arial" w:cs="Times New Roman"/>
          <w:highlight w:val="yellow"/>
          <w:lang w:eastAsia="hr-HR"/>
        </w:rPr>
      </w:pPr>
      <w:r w:rsidRPr="008F16D6">
        <w:rPr>
          <w:rFonts w:ascii="Arial" w:eastAsia="Times New Roman" w:hAnsi="Arial" w:cs="Times New Roman"/>
          <w:lang w:eastAsia="hr-HR"/>
        </w:rPr>
        <w:t xml:space="preserve">Kako bi se ciljevi energetske strategije mogli provesti, nužna je njihova provedba kroz sustav prostornog uređenja, odnosno u Strategiju prostornog razvoja Republike Hrvatske, a zatim u Državni plan prostornog razvoja te županijske i prostorne planove lokalne razine. </w:t>
      </w:r>
    </w:p>
    <w:p w14:paraId="160C46E4" w14:textId="6C9F8958"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Jedan od elemenata analize prostornog razvoja je opremljenost prostora infrastrukturom značajnom za državu, županiju odnosno grad odnosno općinu. Iskazivanje potrebe za unapr</w:t>
      </w:r>
      <w:r w:rsidR="009F5F59">
        <w:rPr>
          <w:rFonts w:ascii="Arial" w:eastAsia="Times New Roman" w:hAnsi="Arial" w:cs="Times New Roman"/>
          <w:lang w:eastAsia="hr-HR"/>
        </w:rPr>
        <w:t>j</w:t>
      </w:r>
      <w:r w:rsidRPr="008F16D6">
        <w:rPr>
          <w:rFonts w:ascii="Arial" w:eastAsia="Times New Roman" w:hAnsi="Arial" w:cs="Times New Roman"/>
          <w:lang w:eastAsia="hr-HR"/>
        </w:rPr>
        <w:t>eđenjem infrastrukture od energetskih subjekata i pravodobno informiranje nositelja izrade Izvješća pridonosi učinkovitijoj proceduri uključivanja energetskih građevina u prostorne planove, a u konačnici i izgradnji potrebnih zahvata. Prijedlog za unapr</w:t>
      </w:r>
      <w:r w:rsidR="009F5F59">
        <w:rPr>
          <w:rFonts w:ascii="Arial" w:eastAsia="Times New Roman" w:hAnsi="Arial" w:cs="Times New Roman"/>
          <w:lang w:eastAsia="hr-HR"/>
        </w:rPr>
        <w:t>j</w:t>
      </w:r>
      <w:r w:rsidRPr="008F16D6">
        <w:rPr>
          <w:rFonts w:ascii="Arial" w:eastAsia="Times New Roman" w:hAnsi="Arial" w:cs="Times New Roman"/>
          <w:lang w:eastAsia="hr-HR"/>
        </w:rPr>
        <w:t>eđenje energetskog sustava treba sadržavati opis građevina i zahvata planiranih u sljedećem srednjoročnom ili dugoročnom razdoblju, tehničke uvjete za provedbu planiranih zahvata kao i planirane trase/lokacije građevina. Unos novih građevina energetske infrastrukture u prostorno-plansku dokumentaciju može trajati od 6 do 24 mjeseca, ovisno o složenosti planiranih zahvata.</w:t>
      </w:r>
    </w:p>
    <w:p w14:paraId="70085B83" w14:textId="30C84EF6"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S obzirom da je započela izrada Državnog plana prostornog razvoja, kao prvog plana nove generacije prostornih planova, neophodno je energetske projekte koji će proizaći iz provedbenih dokumenata Strategije, a koji su dijelom obrađeni u analitičkim podlogama ove Strategije (Zelena i Bijela knjiga)</w:t>
      </w:r>
      <w:r w:rsidR="009F5F59">
        <w:rPr>
          <w:rFonts w:ascii="Arial" w:eastAsia="Times New Roman" w:hAnsi="Arial" w:cs="Times New Roman"/>
          <w:lang w:eastAsia="hr-HR"/>
        </w:rPr>
        <w:t>,</w:t>
      </w:r>
      <w:r w:rsidRPr="008F16D6">
        <w:rPr>
          <w:rFonts w:ascii="Arial" w:eastAsia="Times New Roman" w:hAnsi="Arial" w:cs="Times New Roman"/>
          <w:lang w:eastAsia="hr-HR"/>
        </w:rPr>
        <w:t xml:space="preserve"> odnosno energetske građevine državnog značaja uključujući linijsku i točkastu infrastrukturu obuhvatiti Državnim planom prostornog razvoja.</w:t>
      </w:r>
    </w:p>
    <w:p w14:paraId="43C6AD37" w14:textId="77777777" w:rsidR="000C0018" w:rsidRDefault="000C0018">
      <w:pPr>
        <w:rPr>
          <w:rFonts w:ascii="Arial" w:eastAsia="Times New Roman" w:hAnsi="Arial" w:cs="Myriad Pro Cond"/>
          <w:b/>
          <w:bCs/>
          <w:color w:val="BE1D2D"/>
          <w:sz w:val="28"/>
          <w:szCs w:val="36"/>
          <w:lang w:eastAsia="hr-HR"/>
        </w:rPr>
      </w:pPr>
      <w:bookmarkStart w:id="173" w:name="_Toc17876407"/>
      <w:r>
        <w:rPr>
          <w:rFonts w:ascii="Arial" w:eastAsia="Times New Roman" w:hAnsi="Arial" w:cs="Myriad Pro Cond"/>
          <w:b/>
          <w:bCs/>
          <w:color w:val="BE1D2D"/>
          <w:sz w:val="28"/>
          <w:szCs w:val="36"/>
          <w:lang w:eastAsia="hr-HR"/>
        </w:rPr>
        <w:br w:type="page"/>
      </w:r>
    </w:p>
    <w:p w14:paraId="0BABA3C2" w14:textId="634AB320"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ind w:left="576" w:hanging="576"/>
        <w:textAlignment w:val="center"/>
        <w:outlineLvl w:val="1"/>
        <w:rPr>
          <w:rFonts w:ascii="Arial" w:eastAsia="Times New Roman" w:hAnsi="Arial" w:cs="Myriad Pro Cond"/>
          <w:b/>
          <w:bCs/>
          <w:color w:val="BE1D2D"/>
          <w:sz w:val="28"/>
          <w:szCs w:val="36"/>
          <w:lang w:eastAsia="hr-HR"/>
        </w:rPr>
      </w:pPr>
      <w:r w:rsidRPr="008F16D6">
        <w:rPr>
          <w:rFonts w:ascii="Arial" w:eastAsia="Times New Roman" w:hAnsi="Arial" w:cs="Myriad Pro Cond"/>
          <w:b/>
          <w:bCs/>
          <w:color w:val="BE1D2D"/>
          <w:sz w:val="28"/>
          <w:szCs w:val="36"/>
          <w:lang w:eastAsia="hr-HR"/>
        </w:rPr>
        <w:t>Biogospodarstvo</w:t>
      </w:r>
      <w:bookmarkEnd w:id="173"/>
    </w:p>
    <w:p w14:paraId="52B603FF"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Biogospodarstvo je proizvodnja obnovljivih bioloških resursa i pretvorba tih resursa, zajedno s tijekovima otpada, u proizvode s dodanom vrijednošću, kao što su hrana, krmivo, biološki proizvodi i bioenergija. Korištenje biomase dobiva novi kontekst s kružnim gospodarstvom i biogospodarstvom gdje se potražnja za biomasom kao sirovinom proširuje iz dosadašnjih vrijednosti na nove, inovativne dobavne lance i proizvode temeljene na biološkoj osnovi. Poljoprivreda, šumarstvo i ribarstvo te industrije temeljene na tim sektorima, održavanje krajolika (prometne, energetske i ostale infrastrukture, vodotokova, urbanih zelenih površina) uz gospodarenje otpadom, predstavljaju sirovinsku osnovu obnovljivih bioloških resursa biogospodarstva ili biomasu. Prednost u korištenju biomase trebalo bi dati proizvodima s većom dodanom vrijednosti ili kroz kaskadno korištenje, ali i uskladiti s nacionalnim kapacitetom gospodarstva i znanstvenoistraživačkom zajednicom te sa strateškim ciljevima razvoja. </w:t>
      </w:r>
    </w:p>
    <w:p w14:paraId="2BC42228"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Strateški dokumenti EU-a isprepleću energiju iz biomase kroz nekoliko ključnih dokumenata (Zajednička poljoprivredna politika, Strategija za biogospodarstvo EU, Čisti planet za sve, Čista energija za sve Europljane…) s većim fokusom na društvene koristi koje energija iz biomase može ostvariti (zaštita vode, tla i zraka od onečišćenja, smanjenje emisija CO</w:t>
      </w:r>
      <w:r w:rsidRPr="008F16D6">
        <w:rPr>
          <w:rFonts w:ascii="Arial" w:eastAsia="Times New Roman" w:hAnsi="Arial" w:cs="Times New Roman"/>
          <w:vertAlign w:val="subscript"/>
          <w:lang w:eastAsia="hr-HR"/>
        </w:rPr>
        <w:t>2</w:t>
      </w:r>
      <w:r w:rsidRPr="008F16D6">
        <w:rPr>
          <w:rFonts w:ascii="Arial" w:eastAsia="Times New Roman" w:hAnsi="Arial" w:cs="Times New Roman"/>
          <w:lang w:eastAsia="hr-HR"/>
        </w:rPr>
        <w:t xml:space="preserve"> te ruralni razvoj) nego na samo količinu proizvedene energije. Promovira se dobra praksa u proizvodnji biomase za potrebe biogospodarstva, proizvodnji energije iz biomase i korištenju nus-proizvoda nastalih iz takvih postrojenja, a minimizira prostor za proizvodne i dobavne lance biomase te postrojenja koja ne ostvaruju održivost korištenja prirodnih resursa. </w:t>
      </w:r>
    </w:p>
    <w:p w14:paraId="1E5F2E2D" w14:textId="77777777" w:rsidR="008F16D6" w:rsidRPr="008F16D6" w:rsidRDefault="008F16D6" w:rsidP="008F16D6">
      <w:pPr>
        <w:autoSpaceDE w:val="0"/>
        <w:autoSpaceDN w:val="0"/>
        <w:adjustRightInd w:val="0"/>
        <w:spacing w:before="240" w:after="120" w:line="288" w:lineRule="auto"/>
        <w:jc w:val="both"/>
        <w:rPr>
          <w:rFonts w:ascii="Arial" w:eastAsia="Times New Roman" w:hAnsi="Arial" w:cs="Times New Roman"/>
          <w:i/>
          <w:iCs/>
          <w:lang w:eastAsia="hr-HR"/>
        </w:rPr>
      </w:pPr>
      <w:r w:rsidRPr="008F16D6">
        <w:rPr>
          <w:rFonts w:ascii="Arial" w:eastAsia="Times New Roman" w:hAnsi="Arial" w:cs="Times New Roman"/>
          <w:lang w:eastAsia="hr-HR"/>
        </w:rPr>
        <w:t xml:space="preserve">Kriterijima održivosti i minimalne uštede stakleničkih plinova, RED II opisuje složene uvjete i daje precizne upute u kojima se energija proizvedena iz biomase može pripisati ostvarenju zajedničkih nacionalnih ciljeva i dobiti državnu potporu. </w:t>
      </w:r>
      <w:r w:rsidRPr="008F16D6">
        <w:rPr>
          <w:rFonts w:ascii="ArialNarrow" w:eastAsia="Times New Roman" w:hAnsi="ArialNarrow" w:cs="ArialNarrow"/>
          <w:lang w:eastAsia="hr-HR"/>
        </w:rPr>
        <w:t>Ti se kriteriji odnose na postrojenja za proizvodnju električne energije, grijanja i hlađenja ili biogoriva čija je ulazne toplinska snaga goriva veća od 20 MW (kruta biogoriva) i 2 MW (plinovita biogoriva), a djelomično se primjenjuju ako se koristi biomasa iz tijekova otpada.</w:t>
      </w:r>
    </w:p>
    <w:p w14:paraId="447B3F6D" w14:textId="59C12A63" w:rsidR="000C0018" w:rsidRDefault="008F16D6" w:rsidP="008F16D6">
      <w:pPr>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Nacrt nacionalne </w:t>
      </w:r>
      <w:r w:rsidR="009F5F59">
        <w:rPr>
          <w:rFonts w:ascii="Arial" w:eastAsia="Times New Roman" w:hAnsi="Arial" w:cs="Times New Roman"/>
          <w:lang w:eastAsia="hr-HR"/>
        </w:rPr>
        <w:t>s</w:t>
      </w:r>
      <w:r w:rsidRPr="008F16D6">
        <w:rPr>
          <w:rFonts w:ascii="Arial" w:eastAsia="Times New Roman" w:hAnsi="Arial" w:cs="Times New Roman"/>
          <w:lang w:eastAsia="hr-HR"/>
        </w:rPr>
        <w:t>trategije za hranu i biogospodarstvo ističe proizvodnju i preradu hrane kao osnovicu razvoja budućeg biogospodarstva Republike Hrvatske. Za postizanje konkurentnosti postojećih dionika biogospodarstva te razvoja pratećih grana kroz inovacije, proizvodnja energije iz biomase treba omogućiti dekarbonizaciju cijelog proizvodnog lanca – od polja do stola.</w:t>
      </w:r>
    </w:p>
    <w:p w14:paraId="6283EEF4" w14:textId="77777777" w:rsidR="000C0018" w:rsidRDefault="000C0018">
      <w:pPr>
        <w:rPr>
          <w:rFonts w:ascii="Arial" w:eastAsia="Times New Roman" w:hAnsi="Arial" w:cs="Times New Roman"/>
          <w:lang w:eastAsia="hr-HR"/>
        </w:rPr>
      </w:pPr>
      <w:r>
        <w:rPr>
          <w:rFonts w:ascii="Arial" w:eastAsia="Times New Roman" w:hAnsi="Arial" w:cs="Times New Roman"/>
          <w:lang w:eastAsia="hr-HR"/>
        </w:rPr>
        <w:br w:type="page"/>
      </w:r>
    </w:p>
    <w:p w14:paraId="473D1296" w14:textId="77777777"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ind w:left="576" w:hanging="576"/>
        <w:textAlignment w:val="center"/>
        <w:outlineLvl w:val="1"/>
        <w:rPr>
          <w:rFonts w:ascii="Arial" w:eastAsia="Times New Roman" w:hAnsi="Arial" w:cs="Myriad Pro Cond"/>
          <w:b/>
          <w:bCs/>
          <w:color w:val="BE1D2D"/>
          <w:sz w:val="28"/>
          <w:szCs w:val="36"/>
          <w:lang w:eastAsia="hr-HR"/>
        </w:rPr>
      </w:pPr>
      <w:bookmarkStart w:id="174" w:name="_Toc17876408"/>
      <w:r w:rsidRPr="008F16D6">
        <w:rPr>
          <w:rFonts w:ascii="Arial" w:eastAsia="Times New Roman" w:hAnsi="Arial" w:cs="Myriad Pro Cond"/>
          <w:b/>
          <w:bCs/>
          <w:color w:val="BE1D2D"/>
          <w:sz w:val="28"/>
          <w:szCs w:val="36"/>
          <w:lang w:eastAsia="hr-HR"/>
        </w:rPr>
        <w:t>Proizvodnja energije u održivom gospodarenju otpadom</w:t>
      </w:r>
      <w:bookmarkEnd w:id="174"/>
    </w:p>
    <w:p w14:paraId="0CFEE41B"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Gospodarenje otpadom u Republici Hrvatskoj predviđeno je putem sustava recikliranja u kućanstvima (gdje se stvaraju sirovine za ponovnu uporabu), dok se ostatak odvodi u centre za gospodarenje otpadom (CGO) na daljnju obradu (izdvajanje vrijednih materijala i proizvodnja goriva iz otpada). Proizvodi koji nastaju u CGO-ima mogu poslužiti kao energetska (gorivo iz otpada) i materijalna (staklo, plastika, metal, itd.) sirovina u proizvodnji energije (električne i/ili toplinske) i novih sirovina (proizvodnja novih materijala). Osim za proizvodnju energije i novih sirovina, otpad je moguće, pomoću primjene naprednih komercijalnih tehnologija, koristiti i kao sirovinu za proizvodnju naprednih goriva (bioetanol, biometanol, vodik, itd.), što može značajno doprinijeti energetskim ciljevima Republike Hrvatske na nacionalnoj, ali i lokalnoj razini.</w:t>
      </w:r>
    </w:p>
    <w:p w14:paraId="29818A98"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Ovisno o rezultatima analize o potrebi energetske oporabe otpada u Republici Hrvatskoj za proizvodnju energije moguće je koristiti gorivo iz otpada/ otpad na lokacijama za koje analize pokažu okolišnu, ekonomsku i tehničku izvedivost.</w:t>
      </w:r>
    </w:p>
    <w:p w14:paraId="69AEB831" w14:textId="77777777" w:rsidR="008F16D6" w:rsidRPr="008F16D6" w:rsidRDefault="008F16D6" w:rsidP="008F16D6">
      <w:pPr>
        <w:spacing w:before="240" w:after="120" w:line="288" w:lineRule="auto"/>
        <w:jc w:val="both"/>
        <w:rPr>
          <w:rFonts w:ascii="Arial" w:eastAsia="Times New Roman" w:hAnsi="Arial" w:cs="Arial"/>
          <w:lang w:eastAsia="hr-HR"/>
        </w:rPr>
      </w:pPr>
      <w:r w:rsidRPr="008F16D6">
        <w:rPr>
          <w:rFonts w:ascii="Arial" w:eastAsia="Times New Roman" w:hAnsi="Arial" w:cs="Times New Roman"/>
          <w:lang w:eastAsia="hr-HR"/>
        </w:rPr>
        <w:t xml:space="preserve">Također je potrebno spomenuti i značajne količine proizvodnog otpada. Riječ je o energetski i materijalno iskoristivom otpadu, kojim je proizvođač obvezan gospodariti, u skladu sa zakonodavstvom Republike Hrvatske i EU-a te u skladu s načelima kružnog gospodarstva i biogospodarstva. To otvara brojne mogućnosti energetske (ali i materijalne) oporabe otpada za industrijski sektor koji može koristiti vlastiti otpad kao izvor energije (sirovine) za svoje proizvodne procese. </w:t>
      </w:r>
      <w:r w:rsidRPr="008F16D6">
        <w:rPr>
          <w:rFonts w:ascii="Arial" w:eastAsia="Times New Roman" w:hAnsi="Arial" w:cs="Arial"/>
          <w:lang w:eastAsia="hr-HR"/>
        </w:rPr>
        <w:br w:type="page"/>
      </w:r>
    </w:p>
    <w:p w14:paraId="6EDD1ADF" w14:textId="77777777" w:rsidR="008F16D6" w:rsidRPr="008F16D6" w:rsidRDefault="008F16D6" w:rsidP="008F16D6">
      <w:pPr>
        <w:keepNext/>
        <w:pageBreakBefore/>
        <w:pBdr>
          <w:top w:val="single" w:sz="48" w:space="5" w:color="F5C1C6"/>
        </w:pBdr>
        <w:tabs>
          <w:tab w:val="left" w:pos="567"/>
        </w:tabs>
        <w:suppressAutoHyphens/>
        <w:autoSpaceDE w:val="0"/>
        <w:autoSpaceDN w:val="0"/>
        <w:adjustRightInd w:val="0"/>
        <w:spacing w:before="240" w:after="320" w:line="240" w:lineRule="auto"/>
        <w:ind w:left="360" w:hanging="360"/>
        <w:textAlignment w:val="center"/>
        <w:outlineLvl w:val="0"/>
        <w:rPr>
          <w:rFonts w:ascii="Arial" w:eastAsia="Times New Roman" w:hAnsi="Arial" w:cs="Times New Roman"/>
          <w:b/>
          <w:iCs/>
          <w:caps/>
          <w:color w:val="BE1D2D"/>
          <w:position w:val="24"/>
          <w:sz w:val="32"/>
          <w:szCs w:val="48"/>
          <w:lang w:eastAsia="hr-HR"/>
        </w:rPr>
      </w:pPr>
      <w:bookmarkStart w:id="175" w:name="_Toc17876409"/>
      <w:r w:rsidRPr="008F16D6">
        <w:rPr>
          <w:rFonts w:ascii="Arial" w:eastAsia="Times New Roman" w:hAnsi="Arial" w:cs="Times New Roman"/>
          <w:b/>
          <w:iCs/>
          <w:color w:val="BE1D2D"/>
          <w:position w:val="24"/>
          <w:sz w:val="32"/>
          <w:szCs w:val="48"/>
          <w:lang w:eastAsia="hr-HR"/>
        </w:rPr>
        <w:t>Strateško planiranje i praćenje tranzicije energetskog sektora</w:t>
      </w:r>
      <w:bookmarkEnd w:id="175"/>
    </w:p>
    <w:p w14:paraId="335CCC82" w14:textId="26CD767F"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Arial"/>
          <w:lang w:eastAsia="hr-HR"/>
        </w:rPr>
        <w:t>Strateško planiranje tranzicije Republike Hrvatske je složen, dugotrajan proces kojeg treba pripremati, unapr</w:t>
      </w:r>
      <w:r w:rsidR="009F5F59">
        <w:rPr>
          <w:rFonts w:ascii="Arial" w:eastAsia="Arial" w:hAnsi="Arial" w:cs="Arial"/>
          <w:lang w:eastAsia="hr-HR"/>
        </w:rPr>
        <w:t>j</w:t>
      </w:r>
      <w:r w:rsidRPr="008F16D6">
        <w:rPr>
          <w:rFonts w:ascii="Arial" w:eastAsia="Arial" w:hAnsi="Arial" w:cs="Arial"/>
          <w:lang w:eastAsia="hr-HR"/>
        </w:rPr>
        <w:t xml:space="preserve">eđivati i stalno obnavljati u skladu sa zahtjevima i promjenama koje se događaju u energetskom sektoru i drugim sektorima. Osnovni elementi strateškog planiranja su: razvojni smjer, strateški i posebni ciljevi, mjere, aktivnosti i projekti te povezani pokazatelji učinka. Praćenje i ocjena uspješnosti tranzicije provodit će se na temelju analize definiranih pokazatelja.  </w:t>
      </w:r>
    </w:p>
    <w:p w14:paraId="0A1E557F" w14:textId="77777777"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ind w:left="576" w:hanging="576"/>
        <w:textAlignment w:val="center"/>
        <w:outlineLvl w:val="1"/>
        <w:rPr>
          <w:rFonts w:ascii="Arial" w:eastAsia="Times New Roman" w:hAnsi="Arial" w:cs="Myriad Pro Cond"/>
          <w:b/>
          <w:bCs/>
          <w:color w:val="BE1D2D"/>
          <w:sz w:val="28"/>
          <w:szCs w:val="28"/>
          <w:lang w:eastAsia="hr-HR"/>
        </w:rPr>
      </w:pPr>
      <w:bookmarkStart w:id="176" w:name="_Toc17876410"/>
      <w:r w:rsidRPr="008F16D6">
        <w:rPr>
          <w:rFonts w:ascii="Arial" w:eastAsia="Arial" w:hAnsi="Arial" w:cs="Myriad Pro Cond"/>
          <w:b/>
          <w:bCs/>
          <w:color w:val="BE1D2D"/>
          <w:sz w:val="28"/>
          <w:szCs w:val="36"/>
          <w:lang w:eastAsia="hr-HR"/>
        </w:rPr>
        <w:t>Institucionalni okvir energetskog planiranja</w:t>
      </w:r>
      <w:bookmarkEnd w:id="176"/>
    </w:p>
    <w:p w14:paraId="48C29A70"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Arial"/>
          <w:lang w:eastAsia="hr-HR"/>
        </w:rPr>
        <w:t>Uspostava institucionalnog okvira za strateško energetsko planiranje ključni je element i pokretač cjelokupnog procesa energetske tranzicije. Energetika je složena gospodarska grana koja utječe na razvoj ostalih ekonomskih aktivnosti, a time i na životni standard stanovništva.</w:t>
      </w:r>
    </w:p>
    <w:p w14:paraId="6CABA874"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Arial"/>
          <w:lang w:eastAsia="hr-HR"/>
        </w:rPr>
        <w:t>Zakonom o energiji definirana je obveza utvrđivanja energetske politike i planiranje razvoja energetskog sektora na državnoj razini donošenjem Strategije energetskog razvoja i Programa provedbe Strategije i godišnjih i dugoročnih energetskih bilanci, a na lokalnoj razini kroz usklađene razvojne dokumente jedinica lokalne i područne (regionalne) samouprave.</w:t>
      </w:r>
    </w:p>
    <w:p w14:paraId="106A6E51"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Arial"/>
          <w:lang w:eastAsia="hr-HR"/>
        </w:rPr>
        <w:t xml:space="preserve">Dosadašnja iskustva u planiranju i izradi strateških dokumenata u energetskom sektoru ukazala su na izrazito veliku potrebu da se nacionalni i drugi strateški dokumenti usklade, da se propiše detaljniji sadržaj i metode kojima će se strategije, programi i planovi razvijati jer je to jedini način da se postignuti rezultati mjere, valoriziraju, verificiraju i međusobno uspoređuju na nacionalnoj razini te na razini jedinica lokalne i područne (regionalne) samouprave. </w:t>
      </w:r>
    </w:p>
    <w:p w14:paraId="5E16DCC9"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 xml:space="preserve">Nužna je uspostava koordinacijskog i stručnog tijela koje će kontinuirano razvijati, nadograđivati i prilagođavati nacionalne modele za energetsko planiranje prema zahtjevima razvoja energetike. Kako bi se to ostvarilo potrebno je imati na raspolaganju službene i verificirane podatkovne podloge usklađene s potrebama i procesima u energetskom planiranju, ali i s EU standardima i preporukama u području energetske statistike. </w:t>
      </w:r>
    </w:p>
    <w:p w14:paraId="2E20F02D" w14:textId="77777777" w:rsidR="008F16D6" w:rsidRPr="008F16D6" w:rsidRDefault="008F16D6" w:rsidP="008F16D6">
      <w:pPr>
        <w:suppressAutoHyphens/>
        <w:spacing w:before="240" w:after="120" w:line="288" w:lineRule="auto"/>
        <w:jc w:val="both"/>
        <w:rPr>
          <w:rFonts w:ascii="Arial" w:eastAsia="Times New Roman" w:hAnsi="Arial" w:cs="Times New Roman"/>
        </w:rPr>
      </w:pPr>
      <w:r w:rsidRPr="008F16D6">
        <w:rPr>
          <w:rFonts w:ascii="Arial" w:eastAsia="Times New Roman" w:hAnsi="Arial" w:cs="Times New Roman"/>
        </w:rPr>
        <w:t>Uredba o upravljanju energetskom unijom i klimatskim politikama svim državama članicama zadaje obvezu izrade dugoročnih strategija smanjenja emisija stakleničkih plinova koje će osigurati ostvarenje obaveza preuzetih na međunarodnoj razini (UNFCCC i Pariški sporazum). Provedbeni dokumenti ovih strategija bit će integrirani energetski i klimatski planovi koji se donose za desetgodišnja razdoblja, a Uredba zahtijeva usklađenost dugoročne strategije i integriranog plana. Neophodno je uskladiti i sve ostale provedbene dokumente u energetskom i ostalim sektorima za uspješnu realizaciju ciljeva te iskoristiti i mehanizme koje pružaju Smjernice o obnovljivim izvorima energije te Uredba o upravljanju energetskom unijom.</w:t>
      </w:r>
    </w:p>
    <w:p w14:paraId="40AAAA11" w14:textId="77777777" w:rsidR="008F16D6" w:rsidRPr="008F16D6" w:rsidRDefault="008F16D6" w:rsidP="008F16D6">
      <w:pPr>
        <w:keepNext/>
        <w:widowControl w:val="0"/>
        <w:numPr>
          <w:ilvl w:val="1"/>
          <w:numId w:val="0"/>
        </w:numPr>
        <w:pBdr>
          <w:bottom w:val="single" w:sz="8" w:space="4" w:color="BE1D2D"/>
        </w:pBdr>
        <w:suppressAutoHyphens/>
        <w:autoSpaceDE w:val="0"/>
        <w:autoSpaceDN w:val="0"/>
        <w:adjustRightInd w:val="0"/>
        <w:spacing w:before="400" w:after="240" w:line="240" w:lineRule="auto"/>
        <w:ind w:left="576" w:hanging="576"/>
        <w:textAlignment w:val="center"/>
        <w:outlineLvl w:val="1"/>
        <w:rPr>
          <w:rFonts w:ascii="Arial" w:eastAsia="Times New Roman" w:hAnsi="Arial" w:cs="Myriad Pro Cond"/>
          <w:b/>
          <w:bCs/>
          <w:color w:val="BE1D2D"/>
          <w:sz w:val="28"/>
          <w:szCs w:val="36"/>
          <w:lang w:eastAsia="hr-HR"/>
        </w:rPr>
      </w:pPr>
      <w:bookmarkStart w:id="177" w:name="_Toc17876411"/>
      <w:r w:rsidRPr="008F16D6">
        <w:rPr>
          <w:rFonts w:ascii="Arial" w:eastAsia="Arial" w:hAnsi="Arial" w:cs="Myriad Pro Cond"/>
          <w:b/>
          <w:bCs/>
          <w:color w:val="BE1D2D"/>
          <w:sz w:val="28"/>
          <w:szCs w:val="36"/>
          <w:lang w:eastAsia="hr-HR"/>
        </w:rPr>
        <w:t>Razvoj energetskog planiranja</w:t>
      </w:r>
      <w:bookmarkEnd w:id="177"/>
    </w:p>
    <w:p w14:paraId="6E4B1F19"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Arial"/>
          <w:lang w:eastAsia="hr-HR"/>
        </w:rPr>
        <w:t>Strateško planiranje energetskog razvoja je više-dimenzijski proces u okviru kojeg se razmatraju različite teritorijalne cjeline i njihove specifičnosti uz zadani vremenski okvir, kao što su: potrošnja i opskrba energijom, raspoloživi potencijali i resursi, različita vremenska razdoblja u okviru kojih se očekuju određene promjene i u okviru kojih treba sagledati kratkoročne, srednjoročne i dugoročne potrebe za energijom te moguće scenarije opskrbe. Ciljevi moraju biti specifični, mjerljivi i ostvarivi te praćeni odgovarajućim provedbenim mjerama.</w:t>
      </w:r>
    </w:p>
    <w:p w14:paraId="52F4E284"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Arial"/>
          <w:lang w:eastAsia="hr-HR"/>
        </w:rPr>
        <w:t xml:space="preserve">Vizija razvoja Republike Hrvatske prema niskougljičnoj energetici donosi se u skladu s obavezama preuzetim iz EU-a i očekivanim promjenama u regiji. To je krovni okvir za sve aktivnosti strateškog planiranja energetskog razvoja. Planiranje u regionalnim i lokalnim zajednicama potrebno je provoditi u skladu s nacionalnim ciljevima, ali i mogućnostima koje takvi prostori pružaju. Npr. mogućnosti i potencijali za razvoj energetike na otocima različiti su od onih koji prevladavaju na područjima u unutrašnjosti Republike Hrvatske. </w:t>
      </w:r>
    </w:p>
    <w:p w14:paraId="17A2B31A"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Arial"/>
          <w:lang w:eastAsia="hr-HR"/>
        </w:rPr>
        <w:t>Tranzicija prema niskougljičnoj energetici u Republici Hrvatskoj je dugotrajan proces koji će se provoditi sljedećih trideset godina, uz kontinuirano praćenje i mjerenje postignutih rezultata i sagledavanje moguće dinamike promjena i nakon 2050. godine. Planiranje sigurnosti, kvalitete opskrbe energijom osnovni su ciljevi nove Strategije, međutim vremenska razdoblja u okviru kojih se planira i prati sigurnost opskrbe su znatno kraća. Razdoblje planiranja je zasebna dimenzija koja se prilagođava određenim specifičnim ciljevima i rezultatima koji se žele postići.</w:t>
      </w:r>
    </w:p>
    <w:p w14:paraId="57BDBB6B"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Arial"/>
          <w:lang w:eastAsia="hr-HR"/>
        </w:rPr>
        <w:t xml:space="preserve">Analiza i predviđanje potrošnje i opskrbe energijom provodi se posebno prema kategorijama kupaca, energetskim sektorima i podsektorima pa čak i energetskim subjektima. Svaka od navedenih kategorija zahtijeva poseban pristup i metodologiju razrade mogućih scenarija potrošnje i opskrbe energijom. </w:t>
      </w:r>
    </w:p>
    <w:p w14:paraId="24CBE2F2"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Sve navedene dimenzije neophodni su elementi koje treba sagledavati kod planiranja strateških nacionalnih odrednica, povezanih politika i provedbenih planova, a trebaju se integrirano promatrati unutar jedinstvenog nacionalnog strateškog modela za energetsko planiranje.</w:t>
      </w:r>
    </w:p>
    <w:p w14:paraId="3CCE270B" w14:textId="77777777" w:rsidR="008F16D6" w:rsidRPr="008F16D6" w:rsidRDefault="008F16D6" w:rsidP="008F16D6">
      <w:pPr>
        <w:keepNext/>
        <w:keepLines/>
        <w:widowControl w:val="0"/>
        <w:numPr>
          <w:ilvl w:val="1"/>
          <w:numId w:val="0"/>
        </w:numPr>
        <w:pBdr>
          <w:bottom w:val="single" w:sz="8" w:space="4" w:color="BE1D2D"/>
        </w:pBdr>
        <w:suppressAutoHyphens/>
        <w:autoSpaceDE w:val="0"/>
        <w:autoSpaceDN w:val="0"/>
        <w:adjustRightInd w:val="0"/>
        <w:spacing w:before="400" w:after="240" w:line="240" w:lineRule="auto"/>
        <w:ind w:left="578" w:hanging="578"/>
        <w:textAlignment w:val="center"/>
        <w:outlineLvl w:val="1"/>
        <w:rPr>
          <w:rFonts w:ascii="Arial" w:eastAsia="Times New Roman" w:hAnsi="Arial" w:cs="Myriad Pro Cond"/>
          <w:b/>
          <w:bCs/>
          <w:color w:val="BE1D2D"/>
          <w:sz w:val="28"/>
          <w:szCs w:val="36"/>
          <w:lang w:eastAsia="hr-HR"/>
        </w:rPr>
      </w:pPr>
      <w:bookmarkStart w:id="178" w:name="_Toc17876412"/>
      <w:r w:rsidRPr="008F16D6">
        <w:rPr>
          <w:rFonts w:ascii="Arial" w:eastAsia="Times New Roman" w:hAnsi="Arial" w:cs="Myriad Pro Cond"/>
          <w:b/>
          <w:bCs/>
          <w:color w:val="BE1D2D"/>
          <w:sz w:val="28"/>
          <w:szCs w:val="36"/>
          <w:lang w:eastAsia="hr-HR"/>
        </w:rPr>
        <w:t>Razvoj energetske statistike, metodologija i modela za energetsko planiranje</w:t>
      </w:r>
      <w:bookmarkEnd w:id="178"/>
    </w:p>
    <w:p w14:paraId="4BBCB5A0" w14:textId="6FFC0C5F"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Arial"/>
          <w:lang w:eastAsia="hr-HR"/>
        </w:rPr>
        <w:t>Strateško energetsko planiranje zahtjeva izradu i razvoj detaljnih podatkovnih podloga i složenih metodoloških i modelskih procesa kojima se pripremaju scenariji razvoja energetike</w:t>
      </w:r>
      <w:r w:rsidRPr="008F16D6">
        <w:rPr>
          <w:rFonts w:ascii="Arial" w:eastAsia="Arial" w:hAnsi="Arial" w:cs="Arial"/>
          <w:strike/>
          <w:lang w:eastAsia="hr-HR"/>
        </w:rPr>
        <w:t xml:space="preserve">. </w:t>
      </w:r>
      <w:r w:rsidRPr="008F16D6">
        <w:rPr>
          <w:rFonts w:ascii="Arial" w:eastAsia="Arial" w:hAnsi="Arial" w:cs="Arial"/>
          <w:lang w:eastAsia="hr-HR"/>
        </w:rPr>
        <w:t xml:space="preserve">Polazište za razvoj podatkovnih podloga je službena energetska statistika, energetske bilance, mjesečni izvještaji i statistike cijena energije koje se pripremaju i objavljuju u skladu s Uredbom Europske </w:t>
      </w:r>
      <w:r w:rsidR="009F5F59">
        <w:rPr>
          <w:rFonts w:ascii="Arial" w:eastAsia="Arial" w:hAnsi="Arial" w:cs="Arial"/>
          <w:lang w:eastAsia="hr-HR"/>
        </w:rPr>
        <w:t>u</w:t>
      </w:r>
      <w:r w:rsidRPr="008F16D6">
        <w:rPr>
          <w:rFonts w:ascii="Arial" w:eastAsia="Arial" w:hAnsi="Arial" w:cs="Arial"/>
          <w:lang w:eastAsia="hr-HR"/>
        </w:rPr>
        <w:t xml:space="preserve">nije o energetskoj statistici, Pravilnikom o energetskoj bilanci i drugim povezanim pravilnicima i standardima. </w:t>
      </w:r>
    </w:p>
    <w:p w14:paraId="219092CB" w14:textId="75D84908"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Arial"/>
          <w:lang w:eastAsia="hr-HR"/>
        </w:rPr>
        <w:t>S obzirom na brojne promjene u energetskom sektoru koje su nastale proteklih godina nužno je provesti reviziju Pravilnika o energetskoj bilanci i na unapr</w:t>
      </w:r>
      <w:r w:rsidR="009F5F59">
        <w:rPr>
          <w:rFonts w:ascii="Arial" w:eastAsia="Arial" w:hAnsi="Arial" w:cs="Arial"/>
          <w:lang w:eastAsia="hr-HR"/>
        </w:rPr>
        <w:t>j</w:t>
      </w:r>
      <w:r w:rsidRPr="008F16D6">
        <w:rPr>
          <w:rFonts w:ascii="Arial" w:eastAsia="Arial" w:hAnsi="Arial" w:cs="Arial"/>
          <w:lang w:eastAsia="hr-HR"/>
        </w:rPr>
        <w:t xml:space="preserve">eđenje prikupljanja podataka za izradu godišnje energetske bilance. </w:t>
      </w:r>
    </w:p>
    <w:p w14:paraId="425C3D27"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Arial"/>
          <w:lang w:eastAsia="hr-HR"/>
        </w:rPr>
        <w:t xml:space="preserve">Osim spomenute uredbe i pravilnika, energetska statistika Republike Hrvatske je pod neposrednim utjecajem niza drugih pravila koja zahtijevaju kvalitetniji i detaljniji koncept prikupljanja, obrade i objavljivanja energetskih podataka. </w:t>
      </w:r>
    </w:p>
    <w:p w14:paraId="67A2DEFA"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Arial"/>
          <w:lang w:eastAsia="hr-HR"/>
        </w:rPr>
        <w:t xml:space="preserve">Kako se znatan dio zacrtanih strateških ciljeva ostvaruje u neposrednoj potrošnji energije, statistika potrošnje i karakteristika potrošnje energije u industriji, prometu, kućanstvima, uslugama, poljoprivredi i ostalim kategorijama potrošača, sustavno će se razvijati i nadopunjavati podacima koji će se prikupljati putem službenih anketa. Nužno će biti i njihovo povezivanje s podacima kojima raspolažu distributeri umreženih oblika energije i drugim relevantnim podacima koji se mogu prikupiti iz službenih registara i baza podataka o karakteristikama zgrada, raspoloživoj infrastrukturi i drugo. </w:t>
      </w:r>
    </w:p>
    <w:p w14:paraId="6E51068B"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Arial"/>
          <w:lang w:eastAsia="hr-HR"/>
        </w:rPr>
        <w:t>Krajnji cilj razvoja energetske statistike je izrada detaljnih energetskih atlasa kojima će se pratiti tokovi energije ne samo na nacionalnoj, područnoj i lokalnoj razini već i na razini pojedinih kupaca i proizvođača energije.</w:t>
      </w:r>
    </w:p>
    <w:p w14:paraId="3574E7A6"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Arial"/>
          <w:lang w:eastAsia="hr-HR"/>
        </w:rPr>
        <w:t>Osnovni cilj i svrha pokretanja ovakvih aktivnosti je, kroz uspostavu odgovarajućeg institucionalnog okvira za energetsku statistiku, osigurati održivo i kontinuirano praćenje pokazatelja potrošnje i proizvodnje energije na svim razinama planiranja.</w:t>
      </w:r>
    </w:p>
    <w:p w14:paraId="60E7AD89" w14:textId="77777777" w:rsidR="008F16D6" w:rsidRPr="008F16D6" w:rsidDel="7063532D" w:rsidRDefault="008F16D6" w:rsidP="008F16D6">
      <w:pPr>
        <w:keepNext/>
        <w:keepLines/>
        <w:widowControl w:val="0"/>
        <w:numPr>
          <w:ilvl w:val="1"/>
          <w:numId w:val="0"/>
        </w:numPr>
        <w:pBdr>
          <w:bottom w:val="single" w:sz="8" w:space="4" w:color="BE1D2D"/>
        </w:pBdr>
        <w:suppressAutoHyphens/>
        <w:autoSpaceDE w:val="0"/>
        <w:autoSpaceDN w:val="0"/>
        <w:adjustRightInd w:val="0"/>
        <w:spacing w:before="400" w:after="240" w:line="240" w:lineRule="auto"/>
        <w:ind w:left="578" w:hanging="578"/>
        <w:textAlignment w:val="center"/>
        <w:outlineLvl w:val="1"/>
        <w:rPr>
          <w:rFonts w:ascii="Arial" w:eastAsia="Times New Roman" w:hAnsi="Arial" w:cs="Myriad Pro Cond"/>
          <w:b/>
          <w:bCs/>
          <w:color w:val="BE1D2D"/>
          <w:sz w:val="28"/>
          <w:szCs w:val="36"/>
          <w:lang w:eastAsia="hr-HR"/>
        </w:rPr>
      </w:pPr>
      <w:bookmarkStart w:id="179" w:name="_Toc17876413"/>
      <w:r w:rsidRPr="008F16D6">
        <w:rPr>
          <w:rFonts w:ascii="Arial" w:eastAsia="Times New Roman" w:hAnsi="Arial" w:cs="Myriad Pro Cond"/>
          <w:b/>
          <w:bCs/>
          <w:color w:val="BE1D2D"/>
          <w:sz w:val="28"/>
          <w:szCs w:val="36"/>
          <w:lang w:eastAsia="hr-HR"/>
        </w:rPr>
        <w:t>Praćenje ostvarenih ciljeva energetske strategije i provedbenih planova i politika</w:t>
      </w:r>
      <w:bookmarkEnd w:id="179"/>
    </w:p>
    <w:p w14:paraId="32F93FA1" w14:textId="77777777" w:rsidR="008F16D6" w:rsidRPr="008F16D6" w:rsidDel="7063532D"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Arial" w:hAnsi="Arial" w:cs="Arial"/>
          <w:lang w:eastAsia="hr-HR"/>
        </w:rPr>
        <w:t xml:space="preserve">Povećanje udjela OIE, smanjenje primarne potrošnje energije, uvođenje novih tehnologija i upravljanje potrošnjom neki su od mehanizama kojima će se djelovati na smanjenje emisija stakleničkih plinova. Kako bi se utjecaj navedenih mjera na adekvatan način pratio i mjerio, narednih godina će se kontinuirano razvijati pokazatelji kojima će se pratiti učinci aktivnosti i projekata. Oni će se temeljiti na službenoj energetskoj statistici i podatkovnoj platformi koja se smatra ključnim segmentom budućeg strateškog energetskog planiranja. </w:t>
      </w:r>
    </w:p>
    <w:p w14:paraId="7E9A7407" w14:textId="0C83E0CA" w:rsidR="008F16D6" w:rsidRPr="008F16D6" w:rsidRDefault="008F16D6" w:rsidP="009A4241">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 xml:space="preserve">Ciljevi Strategije određeni su u skladu s energetskim ciljevima EU. Praćenje i ocjena uspješnosti implementacije strategije i energetskih politika provodit će se na temelju analize pokazatelja koji su definirani od strane Europske komisije  a koji pokazuju promjene i razvoj u području energetske sigurnosti, unutarnjeg energetskog tržišta, energetske učinkovitosti, dekarbonizacije i emisija stakleničkih plinova. </w:t>
      </w:r>
      <w:bookmarkStart w:id="180" w:name="_Hlk4417443"/>
      <w:r w:rsidRPr="008F16D6">
        <w:rPr>
          <w:rFonts w:ascii="Arial" w:eastAsia="Arial" w:hAnsi="Arial" w:cs="Arial"/>
          <w:lang w:eastAsia="hr-HR"/>
        </w:rPr>
        <w:t>Skupina navedenih pokazatelja koju je pripremila EU obuhvaća sve dimenzije energetike i postavlja vrlo čvrste temelje za uspostavu sustava za praćenje zajednički utvrđenih ciljeva.</w:t>
      </w:r>
      <w:bookmarkEnd w:id="180"/>
      <w:r w:rsidRPr="008F16D6">
        <w:rPr>
          <w:rFonts w:ascii="Arial" w:eastAsia="Arial" w:hAnsi="Arial" w:cs="Arial"/>
          <w:lang w:eastAsia="hr-HR"/>
        </w:rPr>
        <w:br w:type="page"/>
      </w:r>
    </w:p>
    <w:p w14:paraId="06623E3C" w14:textId="77777777" w:rsidR="008F16D6" w:rsidRPr="008F16D6" w:rsidRDefault="008F16D6" w:rsidP="008F16D6">
      <w:pPr>
        <w:keepNext/>
        <w:pageBreakBefore/>
        <w:pBdr>
          <w:top w:val="single" w:sz="48" w:space="5" w:color="F5C1C6"/>
        </w:pBdr>
        <w:tabs>
          <w:tab w:val="left" w:pos="567"/>
        </w:tabs>
        <w:suppressAutoHyphens/>
        <w:autoSpaceDE w:val="0"/>
        <w:autoSpaceDN w:val="0"/>
        <w:adjustRightInd w:val="0"/>
        <w:spacing w:before="240" w:after="320" w:line="240" w:lineRule="auto"/>
        <w:ind w:left="360" w:hanging="360"/>
        <w:textAlignment w:val="center"/>
        <w:outlineLvl w:val="0"/>
        <w:rPr>
          <w:rFonts w:ascii="Arial" w:eastAsia="Times New Roman" w:hAnsi="Arial" w:cs="Times New Roman"/>
          <w:b/>
          <w:iCs/>
          <w:caps/>
          <w:color w:val="BE1D2D"/>
          <w:position w:val="24"/>
          <w:sz w:val="32"/>
          <w:szCs w:val="48"/>
          <w:lang w:eastAsia="hr-HR"/>
        </w:rPr>
      </w:pPr>
      <w:bookmarkStart w:id="181" w:name="_Toc17876414"/>
      <w:bookmarkStart w:id="182" w:name="_Hlk8829502"/>
      <w:bookmarkStart w:id="183" w:name="_Hlk8652741"/>
      <w:r w:rsidRPr="008F16D6">
        <w:rPr>
          <w:rFonts w:ascii="Arial" w:eastAsia="Times New Roman" w:hAnsi="Arial" w:cs="Times New Roman"/>
          <w:b/>
          <w:iCs/>
          <w:caps/>
          <w:color w:val="BE1D2D"/>
          <w:position w:val="24"/>
          <w:sz w:val="32"/>
          <w:szCs w:val="48"/>
          <w:lang w:eastAsia="hr-HR"/>
        </w:rPr>
        <w:t>Z</w:t>
      </w:r>
      <w:r w:rsidRPr="008F16D6">
        <w:rPr>
          <w:rFonts w:ascii="Arial" w:eastAsia="Times New Roman" w:hAnsi="Arial" w:cs="Times New Roman"/>
          <w:b/>
          <w:iCs/>
          <w:color w:val="BE1D2D"/>
          <w:position w:val="24"/>
          <w:sz w:val="32"/>
          <w:szCs w:val="48"/>
          <w:lang w:eastAsia="hr-HR"/>
        </w:rPr>
        <w:t>aključna razmatranja</w:t>
      </w:r>
      <w:bookmarkEnd w:id="181"/>
    </w:p>
    <w:bookmarkEnd w:id="182"/>
    <w:p w14:paraId="01FA49DC" w14:textId="77777777" w:rsidR="008F16D6" w:rsidRPr="008F16D6" w:rsidRDefault="008F16D6" w:rsidP="008F16D6">
      <w:pPr>
        <w:suppressAutoHyphens/>
        <w:spacing w:before="240" w:after="120" w:line="288" w:lineRule="auto"/>
        <w:jc w:val="both"/>
        <w:rPr>
          <w:rFonts w:ascii="ArialNarrow" w:eastAsia="Times New Roman" w:hAnsi="ArialNarrow" w:cs="ArialNarrow"/>
          <w:lang w:eastAsia="hr-HR"/>
        </w:rPr>
      </w:pPr>
      <w:r w:rsidRPr="008F16D6">
        <w:rPr>
          <w:rFonts w:ascii="Arial" w:eastAsia="Times New Roman" w:hAnsi="Arial" w:cs="Times New Roman"/>
          <w:lang w:eastAsia="hr-HR"/>
        </w:rPr>
        <w:t xml:space="preserve">Ukupna potrošnja energije u Republici Hrvatskoj je u 2017. godini iznosila 8.866,2 ktoe pri čemu su tekuća goriva i prirodni plin zauzimali gotovo 70% od ukupne potrošnje energije. Tijekom razdoblja od 2012. do 2017. godine ukupna potrošnja energije rasla je s prosječnom godišnjom stopom od 0,4%, uz promjenu strukture korištenih energenata. </w:t>
      </w:r>
      <w:r w:rsidRPr="008F16D6">
        <w:rPr>
          <w:rFonts w:ascii="ArialNarrow" w:eastAsia="Times New Roman" w:hAnsi="ArialNarrow" w:cs="ArialNarrow"/>
          <w:lang w:eastAsia="hr-HR"/>
        </w:rPr>
        <w:t>Neposredna potrošnja električne energije posljednjih godina je na približno istoj razini, ali njen udio u bruto neposrednoj potrošnji lagano raste. Udio energije iz obnovljivih izvora energije se u ukupnoj potrošnji također povećao.</w:t>
      </w:r>
    </w:p>
    <w:bookmarkEnd w:id="183"/>
    <w:p w14:paraId="79F02A07" w14:textId="77777777" w:rsidR="005976E2"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Osnovni ciljevi EU, a koji se odnose na energetski sektor, primarno su određeni smanjenjem emisije stakleničkih plinova, udjelom obnovljivih izvora energije te energetskom učinkovitošću. U skladu s navedenim, ciljano smanjenje emisije stakleničkih plinova na razini EU je 40% do 2030., u odnosu na 1990. godinu. Taj zajednički EU cilj smanjenja emisije stakleničkih plinova raspodijeljen je u dvije cjeline: za ETS sektor određeno je smanjenje emisije od najmanje 43% do 2030. godine u usporedbi s 2005. godinom, dok je za ne-ETS sektore postavljen zajednički EU cilj do 2030. godine od najmanje 30% smanjenja emisija u odnosu na 2005. godinu, s obvezama u rasponu od -40 % do 0 % za različite zemlje članice EU-a. Za Republiku Hrvatsku cilj smanjenja emisije za ne-ETS sektore iznosi najmanje 7%. </w:t>
      </w:r>
      <w:r w:rsidR="001D7EDA" w:rsidDel="001D7EDA">
        <w:rPr>
          <w:rFonts w:ascii="Arial" w:eastAsia="Times New Roman" w:hAnsi="Arial" w:cs="Times New Roman"/>
          <w:lang w:eastAsia="hr-HR"/>
        </w:rPr>
        <w:t xml:space="preserve"> </w:t>
      </w:r>
      <w:r w:rsidR="005976E2">
        <w:rPr>
          <w:rFonts w:ascii="Arial" w:eastAsia="Times New Roman" w:hAnsi="Arial" w:cs="Times New Roman"/>
          <w:lang w:eastAsia="hr-HR"/>
        </w:rPr>
        <w:t>Također, za očekivati je kako će u narednom periodu, a u skladu s najavama, Europska komisija postaviti ambicioznije ciljeve vezane uz smanjenje CO2 na razini EU.</w:t>
      </w:r>
    </w:p>
    <w:p w14:paraId="63DEC941"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Prema scenariju umjerene energetske tranzicije (S2), očekivano smanjenje emisije stakleničkih plinova iznosi oko 35% do 2030. godine, odnosno 64% do 2050. godine, u odnosu na 1990. godinu. Prema scenariju ubrzane energetske tranzicije (S1), očekivano smanjenje emisije stakleničkih plinova iznosi oko 38% do 2030. godine, odnosno 74% do 2050. godine. Istaknuti ciljevi smanjenja emisije stakleničkih plinova predstavljaju veliki izazov, ali su uz prikazane pretpostavke ostvarivi. Strategija se temelji na očekivanjima tehnološkog razvoja te ukoliko razvoj tehnologija i rast gospodarstva to bude omogućavao, postavljeni koncept tranzicije omogućava i ubrzanje. Također, energetske uštede u kućanstvima, gospodarstvu i poduzetništvu, kao i na razini vođenja energetskih sustava mogu doprinijeti smanjenju emisija stakleničkih plinova.</w:t>
      </w:r>
    </w:p>
    <w:p w14:paraId="74DBB4A7"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Ciljani udio OIE u bruto neposrednoj potrošnji energije na razini EU iznosi 32% do 2030. godine. Očekivani udio OIE u oba promatrana scenarija iznosi oko 37% do 2030. godine, a što je posljedica povećanja udjela potrošnje električne energije, povećanja proizvodnje električne energije iz OIE i smanjenja ukupne potrošnje energije. </w:t>
      </w:r>
    </w:p>
    <w:p w14:paraId="2BAE560B"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Za razdoblje do 2030. godine, EU je postavila okvirni (indikativni) cilj poboljšanja energetske učinkovitosti od 32,5 % u odnosu na projekciju potrošnje energije iz 2007. godine. Ciljevi su, u skladu s Direktivom 2012/27/EU o energetskoj učinkovitosti, iskazani kao apsolutni iznos potrošnje primarne energije (ukupna potrošnja energije bez neenergetske potrošnje) te kao apsolutni iznos neposredne potrošnje energije. Sukladno okvirnim ciljevima Republike Hrvatske, izraženim u apsolutnim vrijednostima primarne i neposredne potrošnje energije, smanjenje primarne potrošnje do 2030. godine iznosilo bi 1% prema scenariju S2 te 6% prema scenariju S1, u odnosu na 2017. godinu.</w:t>
      </w:r>
    </w:p>
    <w:p w14:paraId="5A27A2B6"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Tranzicija energetskog sektora do 2050. godine je proces bez povijesnog iskustva koji zahvaća sve sudionike u tehnološkom lancu gospodarenja energijom, sve građane i gospodarske subjekte.</w:t>
      </w:r>
      <w:r w:rsidRPr="008F16D6">
        <w:rPr>
          <w:rFonts w:ascii="Arial" w:eastAsia="Times New Roman" w:hAnsi="Arial" w:cs="Times New Roman"/>
          <w:color w:val="0070C0"/>
          <w:lang w:eastAsia="hr-HR"/>
        </w:rPr>
        <w:t xml:space="preserve"> </w:t>
      </w:r>
      <w:r w:rsidRPr="008F16D6">
        <w:rPr>
          <w:rFonts w:ascii="Arial" w:eastAsia="Times New Roman" w:hAnsi="Arial" w:cs="Times New Roman"/>
          <w:lang w:eastAsia="hr-HR"/>
        </w:rPr>
        <w:t xml:space="preserve">Polazišta za predloženu tranziciju su preuzete međunarodne obveze Republike Hrvatske, stanje gospodarstva i poduzetništva, stanje visoke ovisnosti o uvozu energije  s trendom povećanja uvoza, skromna energetska učinkovitost i tehnološka zastarjelost. Okvir tranzicije energetskog sektora određuju posebnosti i specifičnosti prilika i potreba energetskog sektora Republike Hrvatske. Tranzicija obuhvaća niz procesa koji su pojedinačno suprotstavljeni, ali uklopljeni u jedinstvenu klimatsko-energetsku politiku omogućavaju realizaciju postavljenih ciljeva. Tranzicija je dinamičan proces koji uključuje rast standarda i kvalitete života, što znači i veće potrebe za energijom, ali i korištenje novih i učinkovitih tehnologija. Izvjesne su rastuće potrebe za električnom energijom u sektoru prometa, niskougljičnom gospodarstvu i turizmu. </w:t>
      </w:r>
    </w:p>
    <w:p w14:paraId="3D99FB3B"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U narednih 30 godina trebalo bi značajno promijeniti strukturu izvora električne energije radi ciljanog smanjenja potrošnje fosilnih goriva u svim energetskim transformacijama kao i povećanje korištenja raspoloživog energetskog potencijala. Tijekom slijedećih 30 godina planira se višestruko povećanje instalirane snage iz OIE u odnosu na izgrađena proizvodna postrojenja u prethodnih 100 godina, uvažavajući rastuće potrebe za električnom energijom uz istodobno smanjenje ovisnosti o uvozu električne energije i smanjenje kontinuirane proizvodnje električne energije na fosilna goriva iz klasičnih termoelektrana. Ovisno o rezultatima analize o potrebi energetske oporabe otpada u Republici Hrvatskoj za proizvodnju energije moguće je koristiti i gorivo iz otpada/ otpad na lokacijama za koje analize pokažu okolišnu, ekonomsku i tehničku izvedivost.</w:t>
      </w:r>
    </w:p>
    <w:p w14:paraId="5747DB7A"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Očekuje se značajno povećanje distribuirane proizvodnje električne energije te transformacija danas pasivne u buduću aktivnu distribucijsku mrežu primjenom naprednih tehnologija u vođenju i upravljanju distribucijskim mrežama (digitalizacija, automatizacija, ekspertni sustavi). Planira se izgradnja tehnološki različitih spremnika energije (reverzibilne HE, baterije, VN bojleri u kombinaciji s akumulatorima topline) kao potpora varijabilnosti proizvodnje OIE (VE i  FN elektrane). Rastuće potrebe za fleksibilnošću i uravnoteženjem energetskih sustava rješavat će se povećanjem portfelja upravljivih regulacijskih usluga na strani proizvodnje i potrošnje energije, prijelazom s nacionalnih tržišta na regionalna tržišta električne energije s konačnim ciljem jedinstvenog tržišta EU uključujući i tržište pomoćnih usluga.</w:t>
      </w:r>
    </w:p>
    <w:p w14:paraId="7ABBB760"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Dosadašnje predtranzicijsko razdoblje omogućilo je razvoj tehnologija iskorištavanja vjetra i sunca koje su postale komercijalno isplative, detektiralo je probleme biosektora i razotkrilo probleme i ograničenja administrativnog upravljanja energetskim sektorom. </w:t>
      </w:r>
    </w:p>
    <w:p w14:paraId="0E76D8D6"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 xml:space="preserve">Ubrzanom zamjenom starijih mjerila s multifunkcionalnim naprednim mjerilima električne energije ostvarit će se preduvjeti za integraciju danas razdvojenih maloprodajnih i veleprodajnih tržišta električne energije u jedinstveno, otvoreno tržište električne energije. Iznimno važna komponenta budućeg razvoja jest nastavak otvaranja tržišta energije i jačanje tržišnih mehanizama, bez suvišnih administrativnih zahtjeva s jasnim i postojanim institucionalno-regulatornim okvirom. To će omogućiti pouzdanost u odlučivanju o dugoročnim kapitalnim investicijama u energetski sektor, a jednako tako i aktivnije uključivanje u projekte istraživanja i razvoja novih sofisticiranih tehnologija. Investicije u razvoj i revitalizaciju infrastrukturnih sustava trebaju doprinijeti diverzifikaciji dobavnih pravaca, povećati sigurnost i kvalitetu opskrbe, omogućiti bržu integraciju OIE i spremnika u sustav RH, smanjiti tehničko-tehnološke gubitke u infrastrukturnim sustava te doprinijeti povećanju prekograničnih kapaciteta u funkciji razigravanja regionalnih tržišta s konačnim ciljem integracije u jedinstveno energetsko tržište EU. </w:t>
      </w:r>
    </w:p>
    <w:p w14:paraId="00694012"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Temeljna komponenta tranzicije energetskog sektora je povećanje energetske učinkovitosti, koja će se rješavati kroz zakonodavstvo, definirajući standarde i norme izgradnje infrastrukturnih sustava, energetskih objekata i korištenja uređaja, usmjeravanje prema učinkovitijim tehnološkim rješenjima, a i isključivanjem s tržišta uređaja koji ne zadovoljavaju minimalne standarde. Značajan doprinos povećanju energetske učinkovitosti omogućuje izgradnja visokoučinkovitih kogeneracijskih postrojenja i integriranih dizalica topline u sustave daljinskog grijanja velikih gradova. Najveći izazov je energetska obnova zgrada koja će zahtijevati određena sredstva potpore i angažiranje velikog građevinskog potencijala.</w:t>
      </w:r>
    </w:p>
    <w:p w14:paraId="60CB9A19"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Druga komponenta su obnovljivi izvori koji će potaknuti tranziciju od korištenja fosilnih goriva prema električnoj energiji. Važna sastavnica tog procesa je upotreba komercijalno isplative tehnologije te njezino korištenje u okviru otvorenog tržišta, bez državnih potpora.</w:t>
      </w:r>
    </w:p>
    <w:p w14:paraId="7DE3ADB0"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Rekonstrukcijom i proširenjem mreže toplinskih sustava velikih gradova omogućit će se priključenje novih kupaca, integracija toplinskih pumpi velikih snaga i geotermalnih izvora uz smanjenje tehničkih gubitaka, stvaranje preduvjeta za niskotemperaturni pogon toplinskih sustava te širu primjenu daljinskih sustava za potrebe grijanja i hlađenja.</w:t>
      </w:r>
    </w:p>
    <w:p w14:paraId="228B23CA"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Prirodni plin će imati značajnu ulogu u prelasku na niskougljično gospodarstvo kao fosilno gorivo s najmanjom emisijom CO</w:t>
      </w:r>
      <w:r w:rsidRPr="008F16D6">
        <w:rPr>
          <w:rFonts w:ascii="Arial" w:eastAsia="Times New Roman" w:hAnsi="Arial" w:cs="Times New Roman"/>
          <w:vertAlign w:val="subscript"/>
          <w:lang w:eastAsia="hr-HR"/>
        </w:rPr>
        <w:t>2</w:t>
      </w:r>
      <w:r w:rsidRPr="008F16D6">
        <w:rPr>
          <w:rFonts w:ascii="Arial" w:eastAsia="Times New Roman" w:hAnsi="Arial" w:cs="Times New Roman"/>
          <w:lang w:eastAsia="hr-HR"/>
        </w:rPr>
        <w:t xml:space="preserve"> te kroz korištenje plinskog sustava za transport i distribuciju dekarboniziranih plinova. Osiguranje zadovoljavajuće razine sigurnosti opskrbe plinom moguće je razvojem domaće proizvodnje i/ili izgradnjom novih dobavnih kapacitete te razvojem podzemnih skladišta plina.</w:t>
      </w:r>
    </w:p>
    <w:p w14:paraId="4EE8B0C2"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Sigurnost opskrbe naftom i naftnim derivatima predviđa se unaprjeđivati kroz sustav obveznih zaliha, povećanjem domaće proizvodnje, modernizacijom rafinerijskog sektora te daljnjom modernizacijom i dogradnjom naftovodno skladišne infrastrukture.</w:t>
      </w:r>
    </w:p>
    <w:p w14:paraId="4FD1DB0B"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Tranzicija energetskog sektora je veliki izazov za istraživanje, razvoj novih industrija i poduzetništva, digitalizaciju energetike te ima pozitivan utjecaj na socijalnu politiku i društvo u cjelini. Tranzicija uključuje razvoj energetske infrastrukture, snažnije povezivanje mrežne infrastrukture sa svim susjedima, regionalnu suradnju i razvoj tržišta.</w:t>
      </w:r>
    </w:p>
    <w:p w14:paraId="40CD034C"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Tranzicija energetskog sektora je ekonomski održiva i u konačnici neće izazvati veće troškove u strukturi troškova krajnjih kupaca. S tranzicijom se mijenja i karakter troškova, povećavaju se investicijski troškovi, a smanjuju operativni troškovi i troškovi za energiju. Korist će osjetiti krajnji kupci koja prije provedu energetsku obnovu zgrada.</w:t>
      </w:r>
    </w:p>
    <w:p w14:paraId="14044D55" w14:textId="77777777" w:rsidR="008F16D6" w:rsidRPr="008F16D6" w:rsidRDefault="008F16D6" w:rsidP="008F16D6">
      <w:pPr>
        <w:suppressAutoHyphens/>
        <w:spacing w:before="240" w:after="120" w:line="288" w:lineRule="auto"/>
        <w:jc w:val="both"/>
        <w:rPr>
          <w:rFonts w:ascii="Arial" w:eastAsia="Times New Roman" w:hAnsi="Arial" w:cs="Times New Roman"/>
          <w:lang w:eastAsia="hr-HR"/>
        </w:rPr>
      </w:pPr>
      <w:r w:rsidRPr="008F16D6">
        <w:rPr>
          <w:rFonts w:ascii="Arial" w:eastAsia="Times New Roman" w:hAnsi="Arial" w:cs="Times New Roman"/>
          <w:lang w:eastAsia="hr-HR"/>
        </w:rPr>
        <w:t>Predložena tranzicija ne zahtijeva sredstva iz proračuna s aspekta državnih potpora, a ima veliki potencijal za gospodarski razvoj i povećanje prihoda proračuna.</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8F16D6">
        <w:rPr>
          <w:rFonts w:ascii="Arial" w:eastAsia="Arial" w:hAnsi="Arial" w:cs="Arial"/>
          <w:lang w:eastAsia="hr-HR"/>
        </w:rPr>
        <w:t xml:space="preserve"> </w:t>
      </w:r>
      <w:r w:rsidRPr="008F16D6">
        <w:rPr>
          <w:rFonts w:ascii="Arial" w:eastAsia="Times New Roman" w:hAnsi="Arial" w:cs="Times New Roman"/>
          <w:lang w:eastAsia="hr-HR"/>
        </w:rPr>
        <w:t>Tranzicija omogućuje razvoj tehnološki različitih energetskih projekata, daje okvir za ubrzanje rješavanja regulatorno-administrativnih prepreka i uspostavu tržišnih odnosa, prepoznaje značaj kružnog gospodarstava u upravljanju otpadom kao i potencijal za intenzivnije korištenjem biomase i bioplina u energetskom sektoru.</w:t>
      </w:r>
      <w:r w:rsidRPr="008F16D6">
        <w:rPr>
          <w:rFonts w:ascii="Arial" w:eastAsia="Arial" w:hAnsi="Arial" w:cs="Arial"/>
          <w:lang w:eastAsia="hr-HR"/>
        </w:rPr>
        <w:br w:type="page"/>
      </w:r>
    </w:p>
    <w:p w14:paraId="04177DBD" w14:textId="77777777" w:rsidR="008F16D6" w:rsidRPr="008F16D6" w:rsidRDefault="008F16D6" w:rsidP="008F16D6">
      <w:pPr>
        <w:keepNext/>
        <w:pageBreakBefore/>
        <w:pBdr>
          <w:top w:val="single" w:sz="48" w:space="5" w:color="F5C1C6"/>
        </w:pBdr>
        <w:tabs>
          <w:tab w:val="left" w:pos="567"/>
        </w:tabs>
        <w:suppressAutoHyphens/>
        <w:autoSpaceDE w:val="0"/>
        <w:autoSpaceDN w:val="0"/>
        <w:adjustRightInd w:val="0"/>
        <w:spacing w:before="240" w:after="320" w:line="240" w:lineRule="auto"/>
        <w:ind w:left="360" w:hanging="360"/>
        <w:textAlignment w:val="center"/>
        <w:outlineLvl w:val="0"/>
        <w:rPr>
          <w:rFonts w:ascii="Arial" w:eastAsia="Times New Roman" w:hAnsi="Arial" w:cs="Times New Roman"/>
          <w:b/>
          <w:iCs/>
          <w:caps/>
          <w:color w:val="BE1D2D"/>
          <w:position w:val="24"/>
          <w:sz w:val="32"/>
          <w:szCs w:val="48"/>
          <w:lang w:eastAsia="hr-HR"/>
        </w:rPr>
      </w:pPr>
      <w:bookmarkStart w:id="184" w:name="_Toc17876415"/>
      <w:r w:rsidRPr="008F16D6">
        <w:rPr>
          <w:rFonts w:ascii="Arial" w:eastAsia="Times New Roman" w:hAnsi="Arial" w:cs="Times New Roman"/>
          <w:b/>
          <w:iCs/>
          <w:color w:val="BE1D2D"/>
          <w:position w:val="24"/>
          <w:sz w:val="32"/>
          <w:szCs w:val="48"/>
          <w:lang w:eastAsia="hr-HR"/>
        </w:rPr>
        <w:t>Mjere proizašle iz postupka strateške procjene utjecaja na okoliš</w:t>
      </w:r>
      <w:bookmarkEnd w:id="184"/>
    </w:p>
    <w:p w14:paraId="143F768F" w14:textId="77777777" w:rsidR="008F16D6" w:rsidRPr="008F16D6" w:rsidRDefault="008F16D6" w:rsidP="008F16D6">
      <w:pPr>
        <w:suppressAutoHyphens/>
        <w:spacing w:after="0" w:line="288" w:lineRule="auto"/>
        <w:jc w:val="both"/>
        <w:rPr>
          <w:rFonts w:ascii="Arial" w:eastAsia="Arial" w:hAnsi="Arial" w:cs="Arial"/>
          <w:lang w:eastAsia="hr-HR"/>
        </w:rPr>
      </w:pPr>
      <w:r w:rsidRPr="008F16D6">
        <w:rPr>
          <w:rFonts w:ascii="Arial" w:eastAsia="Arial" w:hAnsi="Arial" w:cs="Arial"/>
          <w:lang w:eastAsia="hr-HR"/>
        </w:rPr>
        <w:t>Mjere zaštite okoliša za ublažavanje mogućih značajnijih utjecaja na okoliš koje su proizašle iz postupka strateške procjene utjecaja na okoliš odnose se na sljedeća područja:</w:t>
      </w:r>
    </w:p>
    <w:p w14:paraId="61B3F695" w14:textId="205FE8CA" w:rsidR="008F16D6" w:rsidRPr="008F16D6" w:rsidRDefault="008F16D6" w:rsidP="00181F22">
      <w:pPr>
        <w:numPr>
          <w:ilvl w:val="0"/>
          <w:numId w:val="18"/>
        </w:numPr>
        <w:suppressAutoHyphens/>
        <w:spacing w:before="240" w:after="0" w:line="288" w:lineRule="auto"/>
        <w:jc w:val="both"/>
        <w:rPr>
          <w:rFonts w:ascii="Arial" w:eastAsia="Arial" w:hAnsi="Arial" w:cs="Arial"/>
          <w:lang w:eastAsia="hr-HR"/>
        </w:rPr>
      </w:pPr>
      <w:r w:rsidRPr="008F16D6">
        <w:rPr>
          <w:rFonts w:ascii="Arial" w:eastAsia="Arial" w:hAnsi="Arial" w:cs="Arial"/>
          <w:lang w:eastAsia="hr-HR"/>
        </w:rPr>
        <w:t>utjecaj hidroelektrana na prirodu i vodna tijela</w:t>
      </w:r>
    </w:p>
    <w:p w14:paraId="50079987" w14:textId="52C07CDF" w:rsidR="008F16D6" w:rsidRPr="008F16D6" w:rsidRDefault="008F16D6" w:rsidP="00181F22">
      <w:pPr>
        <w:numPr>
          <w:ilvl w:val="0"/>
          <w:numId w:val="18"/>
        </w:numPr>
        <w:suppressAutoHyphens/>
        <w:spacing w:before="240" w:after="0" w:line="288" w:lineRule="auto"/>
        <w:jc w:val="both"/>
        <w:rPr>
          <w:rFonts w:ascii="Arial" w:eastAsia="Arial" w:hAnsi="Arial" w:cs="Arial"/>
          <w:lang w:eastAsia="hr-HR"/>
        </w:rPr>
      </w:pPr>
      <w:r w:rsidRPr="008F16D6">
        <w:rPr>
          <w:rFonts w:ascii="Arial" w:eastAsia="Arial" w:hAnsi="Arial" w:cs="Arial"/>
          <w:lang w:eastAsia="hr-HR"/>
        </w:rPr>
        <w:t>utjecaj FN sustava s obzirom na travnjačka staništa, vrste ovisne o njima te velike zvjeri</w:t>
      </w:r>
    </w:p>
    <w:p w14:paraId="4E99C35B" w14:textId="321D0C9D" w:rsidR="008F16D6" w:rsidRPr="008F16D6" w:rsidRDefault="008F16D6" w:rsidP="00181F22">
      <w:pPr>
        <w:numPr>
          <w:ilvl w:val="0"/>
          <w:numId w:val="18"/>
        </w:numPr>
        <w:suppressAutoHyphens/>
        <w:spacing w:before="240" w:after="0" w:line="288" w:lineRule="auto"/>
        <w:jc w:val="both"/>
        <w:rPr>
          <w:rFonts w:ascii="Arial" w:eastAsia="Arial" w:hAnsi="Arial" w:cs="Arial"/>
          <w:lang w:eastAsia="hr-HR"/>
        </w:rPr>
      </w:pPr>
      <w:r w:rsidRPr="008F16D6">
        <w:rPr>
          <w:rFonts w:ascii="Arial" w:eastAsia="Arial" w:hAnsi="Arial" w:cs="Arial"/>
          <w:lang w:eastAsia="hr-HR"/>
        </w:rPr>
        <w:t>utjecaj vjetroelektrana na šišmiše, ptice i zvjeri</w:t>
      </w:r>
    </w:p>
    <w:p w14:paraId="7BE868CD" w14:textId="70D8385C" w:rsidR="008F16D6" w:rsidRPr="008F16D6" w:rsidRDefault="008F16D6" w:rsidP="00181F22">
      <w:pPr>
        <w:numPr>
          <w:ilvl w:val="0"/>
          <w:numId w:val="18"/>
        </w:numPr>
        <w:suppressAutoHyphens/>
        <w:spacing w:before="240" w:after="0" w:line="288" w:lineRule="auto"/>
        <w:jc w:val="both"/>
        <w:rPr>
          <w:rFonts w:ascii="Arial" w:eastAsia="Arial" w:hAnsi="Arial" w:cs="Arial"/>
          <w:lang w:eastAsia="hr-HR"/>
        </w:rPr>
      </w:pPr>
      <w:r w:rsidRPr="008F16D6">
        <w:rPr>
          <w:rFonts w:ascii="Arial" w:eastAsia="Arial" w:hAnsi="Arial" w:cs="Arial"/>
          <w:lang w:eastAsia="hr-HR"/>
        </w:rPr>
        <w:t>emisije čestica iz malih ložišta na drvnu biomasu</w:t>
      </w:r>
    </w:p>
    <w:p w14:paraId="1E096C26" w14:textId="24FBF815" w:rsidR="008F16D6" w:rsidRPr="008F16D6" w:rsidRDefault="008F16D6" w:rsidP="00181F22">
      <w:pPr>
        <w:numPr>
          <w:ilvl w:val="0"/>
          <w:numId w:val="18"/>
        </w:numPr>
        <w:suppressAutoHyphens/>
        <w:spacing w:before="240" w:after="0" w:line="288" w:lineRule="auto"/>
        <w:jc w:val="both"/>
        <w:rPr>
          <w:rFonts w:ascii="Arial" w:eastAsia="Arial" w:hAnsi="Arial" w:cs="Arial"/>
          <w:lang w:eastAsia="hr-HR"/>
        </w:rPr>
      </w:pPr>
      <w:r w:rsidRPr="008F16D6">
        <w:rPr>
          <w:rFonts w:ascii="Arial" w:eastAsia="Arial" w:hAnsi="Arial" w:cs="Arial"/>
          <w:lang w:eastAsia="hr-HR"/>
        </w:rPr>
        <w:t>prilagodbe energetskih objekata klimatskim promjenama</w:t>
      </w:r>
    </w:p>
    <w:p w14:paraId="6A86A207" w14:textId="21CE3922" w:rsidR="008F16D6" w:rsidRPr="008F16D6" w:rsidRDefault="008F16D6" w:rsidP="00181F22">
      <w:pPr>
        <w:numPr>
          <w:ilvl w:val="0"/>
          <w:numId w:val="18"/>
        </w:numPr>
        <w:suppressAutoHyphens/>
        <w:spacing w:before="240" w:after="0" w:line="288" w:lineRule="auto"/>
        <w:jc w:val="both"/>
        <w:rPr>
          <w:rFonts w:ascii="Arial" w:eastAsia="Arial" w:hAnsi="Arial" w:cs="Arial"/>
          <w:lang w:eastAsia="hr-HR"/>
        </w:rPr>
      </w:pPr>
      <w:r w:rsidRPr="008F16D6">
        <w:rPr>
          <w:rFonts w:ascii="Arial" w:eastAsia="Arial" w:hAnsi="Arial" w:cs="Arial"/>
          <w:lang w:eastAsia="hr-HR"/>
        </w:rPr>
        <w:t>obrazovanje i komunikacija s javnosti</w:t>
      </w:r>
    </w:p>
    <w:p w14:paraId="4A02D789" w14:textId="7DBEFBFE" w:rsidR="008F16D6" w:rsidRPr="008F16D6" w:rsidRDefault="008F16D6" w:rsidP="00181F22">
      <w:pPr>
        <w:numPr>
          <w:ilvl w:val="0"/>
          <w:numId w:val="18"/>
        </w:numPr>
        <w:suppressAutoHyphens/>
        <w:spacing w:before="240" w:after="0" w:line="288" w:lineRule="auto"/>
        <w:jc w:val="both"/>
        <w:rPr>
          <w:rFonts w:ascii="Arial" w:eastAsia="Arial" w:hAnsi="Arial" w:cs="Arial"/>
          <w:lang w:eastAsia="hr-HR"/>
        </w:rPr>
      </w:pPr>
      <w:r w:rsidRPr="008F16D6">
        <w:rPr>
          <w:rFonts w:ascii="Arial" w:eastAsia="Arial" w:hAnsi="Arial" w:cs="Arial"/>
          <w:lang w:eastAsia="hr-HR"/>
        </w:rPr>
        <w:t>preciznije određivanje potencijala krute biomase za energetsko korištenje</w:t>
      </w:r>
    </w:p>
    <w:p w14:paraId="6A13794F" w14:textId="5F21E6E8" w:rsidR="008F16D6" w:rsidRPr="008F16D6" w:rsidRDefault="008F16D6" w:rsidP="00181F22">
      <w:pPr>
        <w:numPr>
          <w:ilvl w:val="0"/>
          <w:numId w:val="18"/>
        </w:numPr>
        <w:suppressAutoHyphens/>
        <w:spacing w:before="240" w:after="0" w:line="288" w:lineRule="auto"/>
        <w:jc w:val="both"/>
        <w:rPr>
          <w:rFonts w:ascii="Arial" w:eastAsia="Arial" w:hAnsi="Arial" w:cs="Arial"/>
          <w:lang w:eastAsia="hr-HR"/>
        </w:rPr>
      </w:pPr>
      <w:r w:rsidRPr="008F16D6">
        <w:rPr>
          <w:rFonts w:ascii="Arial" w:eastAsia="Arial" w:hAnsi="Arial" w:cs="Arial"/>
          <w:lang w:eastAsia="hr-HR"/>
        </w:rPr>
        <w:t>pokretanje znanstveno istraživačkih projekata vezano za nove razvojne aspekte - bioekonomiju i kružno gospodarstvo</w:t>
      </w:r>
    </w:p>
    <w:p w14:paraId="0821C40A" w14:textId="77777777" w:rsidR="008F16D6" w:rsidRPr="008F16D6" w:rsidRDefault="008F16D6" w:rsidP="00181F22">
      <w:pPr>
        <w:numPr>
          <w:ilvl w:val="0"/>
          <w:numId w:val="18"/>
        </w:numPr>
        <w:suppressAutoHyphens/>
        <w:spacing w:before="240" w:after="0" w:line="288" w:lineRule="auto"/>
        <w:jc w:val="both"/>
        <w:rPr>
          <w:rFonts w:ascii="Arial" w:eastAsia="Arial" w:hAnsi="Arial" w:cs="Arial"/>
          <w:lang w:eastAsia="hr-HR"/>
        </w:rPr>
      </w:pPr>
      <w:r w:rsidRPr="008F16D6">
        <w:rPr>
          <w:rFonts w:ascii="Arial" w:eastAsia="Arial" w:hAnsi="Arial" w:cs="Arial"/>
          <w:lang w:eastAsia="hr-HR"/>
        </w:rPr>
        <w:t>izrada smjernice za procjene utjecaja na okoliš vjetroelektrana, fotonaponskih sustava, hidroelektrana na kulturnu baštinu i kulturni krajobraz.</w:t>
      </w:r>
    </w:p>
    <w:p w14:paraId="126A5C2C" w14:textId="77777777" w:rsidR="008F16D6" w:rsidRPr="008F16D6" w:rsidRDefault="008F16D6" w:rsidP="008F16D6">
      <w:pPr>
        <w:suppressAutoHyphens/>
        <w:spacing w:after="0" w:line="288" w:lineRule="auto"/>
        <w:jc w:val="both"/>
        <w:rPr>
          <w:rFonts w:ascii="Arial" w:eastAsia="Arial" w:hAnsi="Arial" w:cs="Arial"/>
          <w:lang w:eastAsia="hr-HR"/>
        </w:rPr>
      </w:pPr>
    </w:p>
    <w:p w14:paraId="155EC1BA" w14:textId="77777777" w:rsidR="008F16D6" w:rsidRPr="008F16D6" w:rsidRDefault="008F16D6" w:rsidP="008F16D6">
      <w:pPr>
        <w:suppressAutoHyphens/>
        <w:spacing w:after="0" w:line="288" w:lineRule="auto"/>
        <w:jc w:val="both"/>
        <w:rPr>
          <w:rFonts w:ascii="Arial" w:eastAsia="Arial" w:hAnsi="Arial" w:cs="Arial"/>
          <w:b/>
          <w:lang w:eastAsia="hr-HR"/>
        </w:rPr>
      </w:pPr>
      <w:r w:rsidRPr="008F16D6">
        <w:rPr>
          <w:rFonts w:ascii="Arial" w:eastAsia="Arial" w:hAnsi="Arial" w:cs="Arial"/>
          <w:b/>
          <w:lang w:eastAsia="hr-HR"/>
        </w:rPr>
        <w:t>Pregled mjera zaštite okoliša za ublažavanje mogućih značajnijih utjecaja na okoliš:</w:t>
      </w:r>
    </w:p>
    <w:p w14:paraId="6F3AC9D2" w14:textId="77777777" w:rsidR="008F16D6" w:rsidRPr="008F16D6" w:rsidRDefault="008F16D6" w:rsidP="008F16D6">
      <w:pPr>
        <w:suppressAutoHyphens/>
        <w:spacing w:after="0" w:line="288" w:lineRule="auto"/>
        <w:jc w:val="both"/>
        <w:rPr>
          <w:rFonts w:ascii="Arial" w:eastAsia="Arial" w:hAnsi="Arial" w:cs="Arial"/>
          <w:lang w:eastAsia="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505"/>
        <w:gridCol w:w="2081"/>
        <w:gridCol w:w="1673"/>
        <w:gridCol w:w="2290"/>
      </w:tblGrid>
      <w:tr w:rsidR="008F16D6" w:rsidRPr="008F16D6" w14:paraId="2EFABD3C" w14:textId="77777777" w:rsidTr="00AF6B8C">
        <w:tc>
          <w:tcPr>
            <w:tcW w:w="512" w:type="dxa"/>
            <w:tcBorders>
              <w:top w:val="single" w:sz="4" w:space="0" w:color="auto"/>
              <w:left w:val="single" w:sz="4" w:space="0" w:color="auto"/>
              <w:bottom w:val="single" w:sz="4" w:space="0" w:color="auto"/>
              <w:right w:val="single" w:sz="4" w:space="0" w:color="auto"/>
            </w:tcBorders>
          </w:tcPr>
          <w:p w14:paraId="3D5D618B" w14:textId="77777777" w:rsidR="008F16D6" w:rsidRPr="008F16D6" w:rsidRDefault="008F16D6" w:rsidP="008F16D6">
            <w:pPr>
              <w:suppressAutoHyphens/>
              <w:spacing w:before="240" w:after="120" w:line="288" w:lineRule="auto"/>
              <w:jc w:val="both"/>
              <w:rPr>
                <w:rFonts w:ascii="Arial" w:eastAsia="Arial" w:hAnsi="Arial" w:cs="Arial"/>
                <w:lang w:eastAsia="hr-HR"/>
              </w:rPr>
            </w:pPr>
          </w:p>
        </w:tc>
        <w:tc>
          <w:tcPr>
            <w:tcW w:w="2505" w:type="dxa"/>
            <w:tcBorders>
              <w:top w:val="single" w:sz="4" w:space="0" w:color="auto"/>
              <w:left w:val="single" w:sz="4" w:space="0" w:color="auto"/>
              <w:bottom w:val="single" w:sz="4" w:space="0" w:color="auto"/>
              <w:right w:val="single" w:sz="4" w:space="0" w:color="auto"/>
            </w:tcBorders>
            <w:hideMark/>
          </w:tcPr>
          <w:p w14:paraId="4273ECD5" w14:textId="77777777" w:rsidR="008F16D6" w:rsidRPr="008F16D6" w:rsidRDefault="008F16D6" w:rsidP="008F16D6">
            <w:pPr>
              <w:suppressAutoHyphens/>
              <w:spacing w:before="240" w:after="120" w:line="288" w:lineRule="auto"/>
              <w:jc w:val="center"/>
              <w:rPr>
                <w:rFonts w:ascii="Arial" w:eastAsia="Arial" w:hAnsi="Arial" w:cs="Arial"/>
                <w:b/>
                <w:lang w:eastAsia="hr-HR"/>
              </w:rPr>
            </w:pPr>
            <w:r w:rsidRPr="008F16D6">
              <w:rPr>
                <w:rFonts w:ascii="Arial" w:eastAsia="Arial" w:hAnsi="Arial" w:cs="Arial"/>
                <w:b/>
                <w:lang w:eastAsia="hr-HR"/>
              </w:rPr>
              <w:t>Mjera</w:t>
            </w:r>
          </w:p>
        </w:tc>
        <w:tc>
          <w:tcPr>
            <w:tcW w:w="2081" w:type="dxa"/>
            <w:tcBorders>
              <w:top w:val="single" w:sz="4" w:space="0" w:color="auto"/>
              <w:left w:val="single" w:sz="4" w:space="0" w:color="auto"/>
              <w:bottom w:val="single" w:sz="4" w:space="0" w:color="auto"/>
              <w:right w:val="single" w:sz="4" w:space="0" w:color="auto"/>
            </w:tcBorders>
            <w:hideMark/>
          </w:tcPr>
          <w:p w14:paraId="74519153" w14:textId="77777777" w:rsidR="008F16D6" w:rsidRPr="008F16D6" w:rsidRDefault="008F16D6" w:rsidP="008F16D6">
            <w:pPr>
              <w:suppressAutoHyphens/>
              <w:spacing w:before="240" w:after="120" w:line="288" w:lineRule="auto"/>
              <w:jc w:val="center"/>
              <w:rPr>
                <w:rFonts w:ascii="Arial" w:eastAsia="Arial" w:hAnsi="Arial" w:cs="Arial"/>
                <w:b/>
                <w:lang w:eastAsia="hr-HR"/>
              </w:rPr>
            </w:pPr>
            <w:r w:rsidRPr="008F16D6">
              <w:rPr>
                <w:rFonts w:ascii="Arial" w:eastAsia="Arial" w:hAnsi="Arial" w:cs="Arial"/>
                <w:b/>
                <w:lang w:eastAsia="hr-HR"/>
              </w:rPr>
              <w:t>Rok</w:t>
            </w:r>
          </w:p>
        </w:tc>
        <w:tc>
          <w:tcPr>
            <w:tcW w:w="1673" w:type="dxa"/>
            <w:tcBorders>
              <w:top w:val="single" w:sz="4" w:space="0" w:color="auto"/>
              <w:left w:val="single" w:sz="4" w:space="0" w:color="auto"/>
              <w:bottom w:val="single" w:sz="4" w:space="0" w:color="auto"/>
              <w:right w:val="single" w:sz="4" w:space="0" w:color="auto"/>
            </w:tcBorders>
            <w:hideMark/>
          </w:tcPr>
          <w:p w14:paraId="78411735" w14:textId="77777777" w:rsidR="008F16D6" w:rsidRPr="008F16D6" w:rsidRDefault="008F16D6" w:rsidP="008F16D6">
            <w:pPr>
              <w:suppressAutoHyphens/>
              <w:spacing w:before="240" w:after="120" w:line="288" w:lineRule="auto"/>
              <w:jc w:val="center"/>
              <w:rPr>
                <w:rFonts w:ascii="Arial" w:eastAsia="Arial" w:hAnsi="Arial" w:cs="Arial"/>
                <w:b/>
                <w:lang w:eastAsia="hr-HR"/>
              </w:rPr>
            </w:pPr>
            <w:r w:rsidRPr="008F16D6">
              <w:rPr>
                <w:rFonts w:ascii="Arial" w:eastAsia="Arial" w:hAnsi="Arial" w:cs="Arial"/>
                <w:b/>
                <w:lang w:eastAsia="hr-HR"/>
              </w:rPr>
              <w:t>Nositelj provedbe</w:t>
            </w:r>
          </w:p>
        </w:tc>
        <w:tc>
          <w:tcPr>
            <w:tcW w:w="2290" w:type="dxa"/>
            <w:tcBorders>
              <w:top w:val="single" w:sz="4" w:space="0" w:color="auto"/>
              <w:left w:val="single" w:sz="4" w:space="0" w:color="auto"/>
              <w:bottom w:val="single" w:sz="4" w:space="0" w:color="auto"/>
              <w:right w:val="single" w:sz="4" w:space="0" w:color="auto"/>
            </w:tcBorders>
            <w:hideMark/>
          </w:tcPr>
          <w:p w14:paraId="74244868" w14:textId="77777777" w:rsidR="008F16D6" w:rsidRPr="008F16D6" w:rsidRDefault="008F16D6" w:rsidP="008F16D6">
            <w:pPr>
              <w:suppressAutoHyphens/>
              <w:spacing w:before="240" w:after="120" w:line="288" w:lineRule="auto"/>
              <w:jc w:val="center"/>
              <w:rPr>
                <w:rFonts w:ascii="Arial" w:eastAsia="Arial" w:hAnsi="Arial" w:cs="Arial"/>
                <w:b/>
                <w:lang w:eastAsia="hr-HR"/>
              </w:rPr>
            </w:pPr>
            <w:r w:rsidRPr="008F16D6">
              <w:rPr>
                <w:rFonts w:ascii="Arial" w:eastAsia="Arial" w:hAnsi="Arial" w:cs="Arial"/>
                <w:b/>
                <w:lang w:eastAsia="hr-HR"/>
              </w:rPr>
              <w:t>Mogući financijski izvor</w:t>
            </w:r>
          </w:p>
        </w:tc>
      </w:tr>
      <w:tr w:rsidR="008F16D6" w:rsidRPr="008F16D6" w14:paraId="37EF74DA" w14:textId="77777777" w:rsidTr="00AF6B8C">
        <w:tc>
          <w:tcPr>
            <w:tcW w:w="512" w:type="dxa"/>
            <w:tcBorders>
              <w:top w:val="single" w:sz="4" w:space="0" w:color="auto"/>
              <w:left w:val="single" w:sz="4" w:space="0" w:color="auto"/>
              <w:bottom w:val="single" w:sz="4" w:space="0" w:color="auto"/>
              <w:right w:val="single" w:sz="4" w:space="0" w:color="auto"/>
            </w:tcBorders>
            <w:hideMark/>
          </w:tcPr>
          <w:p w14:paraId="643A7F96"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1.</w:t>
            </w:r>
          </w:p>
        </w:tc>
        <w:tc>
          <w:tcPr>
            <w:tcW w:w="2505" w:type="dxa"/>
            <w:tcBorders>
              <w:top w:val="single" w:sz="4" w:space="0" w:color="auto"/>
              <w:left w:val="single" w:sz="4" w:space="0" w:color="auto"/>
              <w:bottom w:val="single" w:sz="4" w:space="0" w:color="auto"/>
              <w:right w:val="single" w:sz="4" w:space="0" w:color="auto"/>
            </w:tcBorders>
            <w:hideMark/>
          </w:tcPr>
          <w:p w14:paraId="333D80B3"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Izraditi smjernice za procjenu kumulativnih utjecaja izgradnje i rada hidroelektrana na okoliš (prvenstveno se odnosi na stanje vodnih tijela, krajobraz i na vrste i stanišne tipove uključujući i kartografske prikaze osjetljivosti odnosno pogodnosti pojedinih područja površinskih voda za provedbu tih zahvata).</w:t>
            </w:r>
          </w:p>
        </w:tc>
        <w:tc>
          <w:tcPr>
            <w:tcW w:w="2081" w:type="dxa"/>
            <w:tcBorders>
              <w:top w:val="single" w:sz="4" w:space="0" w:color="auto"/>
              <w:left w:val="single" w:sz="4" w:space="0" w:color="auto"/>
              <w:bottom w:val="single" w:sz="4" w:space="0" w:color="auto"/>
              <w:right w:val="single" w:sz="4" w:space="0" w:color="auto"/>
            </w:tcBorders>
          </w:tcPr>
          <w:p w14:paraId="597F1962"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Smjernice 2022.</w:t>
            </w:r>
          </w:p>
          <w:p w14:paraId="7BFDB3F1"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Karte 2023.-2025.</w:t>
            </w:r>
          </w:p>
          <w:p w14:paraId="4EED219B" w14:textId="77777777" w:rsidR="008F16D6" w:rsidRPr="008F16D6" w:rsidRDefault="008F16D6" w:rsidP="008F16D6">
            <w:pPr>
              <w:suppressAutoHyphens/>
              <w:spacing w:before="240" w:after="120" w:line="288" w:lineRule="auto"/>
              <w:jc w:val="both"/>
              <w:rPr>
                <w:rFonts w:ascii="Arial" w:eastAsia="Arial" w:hAnsi="Arial" w:cs="Arial"/>
                <w:lang w:eastAsia="hr-HR"/>
              </w:rPr>
            </w:pPr>
          </w:p>
        </w:tc>
        <w:tc>
          <w:tcPr>
            <w:tcW w:w="1673" w:type="dxa"/>
            <w:tcBorders>
              <w:top w:val="single" w:sz="4" w:space="0" w:color="auto"/>
              <w:left w:val="single" w:sz="4" w:space="0" w:color="auto"/>
              <w:bottom w:val="single" w:sz="4" w:space="0" w:color="auto"/>
              <w:right w:val="single" w:sz="4" w:space="0" w:color="auto"/>
            </w:tcBorders>
          </w:tcPr>
          <w:p w14:paraId="7A2F174A"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Ministarstvo nadležno za energetiku, ministarstvo nadležno za okoliš</w:t>
            </w:r>
          </w:p>
          <w:p w14:paraId="7B9D65DE" w14:textId="77777777" w:rsidR="008F16D6" w:rsidRPr="008F16D6" w:rsidRDefault="008F16D6" w:rsidP="008F16D6">
            <w:pPr>
              <w:suppressAutoHyphens/>
              <w:spacing w:before="240" w:after="120" w:line="288" w:lineRule="auto"/>
              <w:jc w:val="both"/>
              <w:rPr>
                <w:rFonts w:ascii="Arial" w:eastAsia="Arial" w:hAnsi="Arial" w:cs="Arial"/>
                <w:lang w:eastAsia="hr-HR"/>
              </w:rPr>
            </w:pPr>
          </w:p>
          <w:p w14:paraId="6059FCBE" w14:textId="77777777" w:rsidR="008F16D6" w:rsidRPr="008F16D6" w:rsidRDefault="008F16D6" w:rsidP="008F16D6">
            <w:pPr>
              <w:suppressAutoHyphens/>
              <w:spacing w:before="240" w:after="120" w:line="288" w:lineRule="auto"/>
              <w:jc w:val="both"/>
              <w:rPr>
                <w:rFonts w:ascii="Arial" w:eastAsia="Arial" w:hAnsi="Arial" w:cs="Arial"/>
                <w:lang w:eastAsia="hr-HR"/>
              </w:rPr>
            </w:pPr>
          </w:p>
        </w:tc>
        <w:tc>
          <w:tcPr>
            <w:tcW w:w="2290" w:type="dxa"/>
            <w:tcBorders>
              <w:top w:val="single" w:sz="4" w:space="0" w:color="auto"/>
              <w:left w:val="single" w:sz="4" w:space="0" w:color="auto"/>
              <w:bottom w:val="single" w:sz="4" w:space="0" w:color="auto"/>
              <w:right w:val="single" w:sz="4" w:space="0" w:color="auto"/>
            </w:tcBorders>
            <w:hideMark/>
          </w:tcPr>
          <w:p w14:paraId="7741F20B"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Proračun, Omotnica strukturnih fondova EU 2021-2027</w:t>
            </w:r>
          </w:p>
        </w:tc>
      </w:tr>
      <w:tr w:rsidR="008F16D6" w:rsidRPr="008F16D6" w14:paraId="007FDF87" w14:textId="77777777" w:rsidTr="00AF6B8C">
        <w:tc>
          <w:tcPr>
            <w:tcW w:w="512" w:type="dxa"/>
            <w:tcBorders>
              <w:top w:val="single" w:sz="4" w:space="0" w:color="auto"/>
              <w:left w:val="single" w:sz="4" w:space="0" w:color="auto"/>
              <w:bottom w:val="single" w:sz="4" w:space="0" w:color="auto"/>
              <w:right w:val="single" w:sz="4" w:space="0" w:color="auto"/>
            </w:tcBorders>
            <w:hideMark/>
          </w:tcPr>
          <w:p w14:paraId="7862958D"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2.</w:t>
            </w:r>
          </w:p>
        </w:tc>
        <w:tc>
          <w:tcPr>
            <w:tcW w:w="2505" w:type="dxa"/>
            <w:tcBorders>
              <w:top w:val="single" w:sz="4" w:space="0" w:color="auto"/>
              <w:left w:val="single" w:sz="4" w:space="0" w:color="auto"/>
              <w:bottom w:val="single" w:sz="4" w:space="0" w:color="auto"/>
              <w:right w:val="single" w:sz="4" w:space="0" w:color="auto"/>
            </w:tcBorders>
            <w:hideMark/>
          </w:tcPr>
          <w:p w14:paraId="79103190" w14:textId="3992ED06"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 xml:space="preserve">Izraditi smjernice o zonama osjetljivosti za vjetroelektrane i izraditi karte osjetljivosti prostora Republike Hrvatske, </w:t>
            </w:r>
            <w:r w:rsidR="009F5F59">
              <w:rPr>
                <w:rFonts w:ascii="Arial" w:eastAsia="Arial" w:hAnsi="Arial" w:cs="Arial"/>
                <w:lang w:eastAsia="hr-HR"/>
              </w:rPr>
              <w:t xml:space="preserve">s </w:t>
            </w:r>
            <w:r w:rsidRPr="008F16D6">
              <w:rPr>
                <w:rFonts w:ascii="Arial" w:eastAsia="Arial" w:hAnsi="Arial" w:cs="Arial"/>
                <w:lang w:eastAsia="hr-HR"/>
              </w:rPr>
              <w:t>obzirom na ptice, šišmiše i morske sisavce.</w:t>
            </w:r>
          </w:p>
        </w:tc>
        <w:tc>
          <w:tcPr>
            <w:tcW w:w="2081" w:type="dxa"/>
            <w:tcBorders>
              <w:top w:val="single" w:sz="4" w:space="0" w:color="auto"/>
              <w:left w:val="single" w:sz="4" w:space="0" w:color="auto"/>
              <w:bottom w:val="single" w:sz="4" w:space="0" w:color="auto"/>
              <w:right w:val="single" w:sz="4" w:space="0" w:color="auto"/>
            </w:tcBorders>
          </w:tcPr>
          <w:p w14:paraId="7D4A5E84"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Smjernice 2020.</w:t>
            </w:r>
          </w:p>
          <w:p w14:paraId="2918DBE0"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Karte 2021.-2022.</w:t>
            </w:r>
          </w:p>
          <w:p w14:paraId="39B7E5D6" w14:textId="77777777" w:rsidR="008F16D6" w:rsidRPr="008F16D6" w:rsidRDefault="008F16D6" w:rsidP="008F16D6">
            <w:pPr>
              <w:suppressAutoHyphens/>
              <w:spacing w:before="240" w:after="120" w:line="288" w:lineRule="auto"/>
              <w:jc w:val="both"/>
              <w:rPr>
                <w:rFonts w:ascii="Arial" w:eastAsia="Arial" w:hAnsi="Arial" w:cs="Arial"/>
                <w:lang w:eastAsia="hr-HR"/>
              </w:rPr>
            </w:pPr>
          </w:p>
        </w:tc>
        <w:tc>
          <w:tcPr>
            <w:tcW w:w="1673" w:type="dxa"/>
            <w:tcBorders>
              <w:top w:val="single" w:sz="4" w:space="0" w:color="auto"/>
              <w:left w:val="single" w:sz="4" w:space="0" w:color="auto"/>
              <w:bottom w:val="single" w:sz="4" w:space="0" w:color="auto"/>
              <w:right w:val="single" w:sz="4" w:space="0" w:color="auto"/>
            </w:tcBorders>
            <w:hideMark/>
          </w:tcPr>
          <w:p w14:paraId="5EF904D4"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Ministarstvo nadležno za energetiku, ministarstvo nadležno za okoliš</w:t>
            </w:r>
          </w:p>
        </w:tc>
        <w:tc>
          <w:tcPr>
            <w:tcW w:w="2290" w:type="dxa"/>
            <w:tcBorders>
              <w:top w:val="single" w:sz="4" w:space="0" w:color="auto"/>
              <w:left w:val="single" w:sz="4" w:space="0" w:color="auto"/>
              <w:bottom w:val="single" w:sz="4" w:space="0" w:color="auto"/>
              <w:right w:val="single" w:sz="4" w:space="0" w:color="auto"/>
            </w:tcBorders>
            <w:hideMark/>
          </w:tcPr>
          <w:p w14:paraId="123B1ACD"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Proračun, Omotnica strukturnih fondova EU 2021-2027</w:t>
            </w:r>
          </w:p>
        </w:tc>
      </w:tr>
      <w:tr w:rsidR="008F16D6" w:rsidRPr="008F16D6" w14:paraId="7CF238AF" w14:textId="77777777" w:rsidTr="00AF6B8C">
        <w:tc>
          <w:tcPr>
            <w:tcW w:w="512" w:type="dxa"/>
            <w:tcBorders>
              <w:top w:val="single" w:sz="4" w:space="0" w:color="auto"/>
              <w:left w:val="single" w:sz="4" w:space="0" w:color="auto"/>
              <w:bottom w:val="single" w:sz="4" w:space="0" w:color="auto"/>
              <w:right w:val="single" w:sz="4" w:space="0" w:color="auto"/>
            </w:tcBorders>
            <w:hideMark/>
          </w:tcPr>
          <w:p w14:paraId="44AEE23C"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3.</w:t>
            </w:r>
          </w:p>
        </w:tc>
        <w:tc>
          <w:tcPr>
            <w:tcW w:w="2505" w:type="dxa"/>
            <w:tcBorders>
              <w:top w:val="single" w:sz="4" w:space="0" w:color="auto"/>
              <w:left w:val="single" w:sz="4" w:space="0" w:color="auto"/>
              <w:bottom w:val="single" w:sz="4" w:space="0" w:color="auto"/>
              <w:right w:val="single" w:sz="4" w:space="0" w:color="auto"/>
            </w:tcBorders>
            <w:hideMark/>
          </w:tcPr>
          <w:p w14:paraId="0429E760" w14:textId="6746503F"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 xml:space="preserve">Izraditi smjernice o zonama osjetljivosti za FN sustave i izraditi karte osjetljivosti prostora Republike Hrvatske, </w:t>
            </w:r>
            <w:r w:rsidR="009F5F59">
              <w:rPr>
                <w:rFonts w:ascii="Arial" w:eastAsia="Arial" w:hAnsi="Arial" w:cs="Arial"/>
                <w:lang w:eastAsia="hr-HR"/>
              </w:rPr>
              <w:t xml:space="preserve">s </w:t>
            </w:r>
            <w:r w:rsidRPr="008F16D6">
              <w:rPr>
                <w:rFonts w:ascii="Arial" w:eastAsia="Arial" w:hAnsi="Arial" w:cs="Arial"/>
                <w:lang w:eastAsia="hr-HR"/>
              </w:rPr>
              <w:t>obzirom na ugrožena i rijetka staništa i o njima ovisne vrste, kao i obzirom na gubitak resursa osobito vrijednog (PI) i vrijedog obradivog poljoprivrednog zemljišta (P2) prioritetno namijenjenog poljoprivrednoj proizvodnji, odnosno površina pod poljoprivrednim kulturama viđegodišnjeg nasada</w:t>
            </w:r>
          </w:p>
        </w:tc>
        <w:tc>
          <w:tcPr>
            <w:tcW w:w="2081" w:type="dxa"/>
            <w:tcBorders>
              <w:top w:val="single" w:sz="4" w:space="0" w:color="auto"/>
              <w:left w:val="single" w:sz="4" w:space="0" w:color="auto"/>
              <w:bottom w:val="single" w:sz="4" w:space="0" w:color="auto"/>
              <w:right w:val="single" w:sz="4" w:space="0" w:color="auto"/>
            </w:tcBorders>
          </w:tcPr>
          <w:p w14:paraId="569E0911"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Smjernice 2020.</w:t>
            </w:r>
          </w:p>
          <w:p w14:paraId="07CEBE0D"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Karte 2021.-2022.</w:t>
            </w:r>
          </w:p>
          <w:p w14:paraId="215DA947" w14:textId="77777777" w:rsidR="008F16D6" w:rsidRPr="008F16D6" w:rsidRDefault="008F16D6" w:rsidP="008F16D6">
            <w:pPr>
              <w:suppressAutoHyphens/>
              <w:spacing w:before="240" w:after="120" w:line="288" w:lineRule="auto"/>
              <w:jc w:val="both"/>
              <w:rPr>
                <w:rFonts w:ascii="Arial" w:eastAsia="Arial" w:hAnsi="Arial" w:cs="Arial"/>
                <w:lang w:eastAsia="hr-HR"/>
              </w:rPr>
            </w:pPr>
          </w:p>
        </w:tc>
        <w:tc>
          <w:tcPr>
            <w:tcW w:w="1673" w:type="dxa"/>
            <w:tcBorders>
              <w:top w:val="single" w:sz="4" w:space="0" w:color="auto"/>
              <w:left w:val="single" w:sz="4" w:space="0" w:color="auto"/>
              <w:bottom w:val="single" w:sz="4" w:space="0" w:color="auto"/>
              <w:right w:val="single" w:sz="4" w:space="0" w:color="auto"/>
            </w:tcBorders>
            <w:hideMark/>
          </w:tcPr>
          <w:p w14:paraId="2133D73F"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Ministarstvo nadležno za energetiku, ministarstvo nadležno za okoliš, ministarstvo nadležno za poljopivredu</w:t>
            </w:r>
          </w:p>
        </w:tc>
        <w:tc>
          <w:tcPr>
            <w:tcW w:w="2290" w:type="dxa"/>
            <w:tcBorders>
              <w:top w:val="single" w:sz="4" w:space="0" w:color="auto"/>
              <w:left w:val="single" w:sz="4" w:space="0" w:color="auto"/>
              <w:bottom w:val="single" w:sz="4" w:space="0" w:color="auto"/>
              <w:right w:val="single" w:sz="4" w:space="0" w:color="auto"/>
            </w:tcBorders>
            <w:hideMark/>
          </w:tcPr>
          <w:p w14:paraId="5CD5462E"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Proračun, Omotnica strukturnih fondova EU 2021-2027</w:t>
            </w:r>
          </w:p>
        </w:tc>
      </w:tr>
      <w:tr w:rsidR="008F16D6" w:rsidRPr="008F16D6" w14:paraId="0D12A775" w14:textId="77777777" w:rsidTr="00AF6B8C">
        <w:tc>
          <w:tcPr>
            <w:tcW w:w="512" w:type="dxa"/>
            <w:tcBorders>
              <w:top w:val="single" w:sz="4" w:space="0" w:color="auto"/>
              <w:left w:val="single" w:sz="4" w:space="0" w:color="auto"/>
              <w:bottom w:val="single" w:sz="4" w:space="0" w:color="auto"/>
              <w:right w:val="single" w:sz="4" w:space="0" w:color="auto"/>
            </w:tcBorders>
            <w:hideMark/>
          </w:tcPr>
          <w:p w14:paraId="737599F1"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4</w:t>
            </w:r>
          </w:p>
        </w:tc>
        <w:tc>
          <w:tcPr>
            <w:tcW w:w="2505" w:type="dxa"/>
            <w:tcBorders>
              <w:top w:val="single" w:sz="4" w:space="0" w:color="auto"/>
              <w:left w:val="single" w:sz="4" w:space="0" w:color="auto"/>
              <w:bottom w:val="single" w:sz="4" w:space="0" w:color="auto"/>
              <w:right w:val="single" w:sz="4" w:space="0" w:color="auto"/>
            </w:tcBorders>
            <w:hideMark/>
          </w:tcPr>
          <w:p w14:paraId="019FA2DF"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Izraditi smjernice za procjene utjecaja na okoliš vjetroelektrana, fotonaponskih sustava, hidroelektrana na kulturnu baštinu i kulturni krajobraz (uključujući agrokulturni i ruralni krajobraz), pri čemu treba uzeti u obzir i možebitne indirektne utjecaje.</w:t>
            </w:r>
          </w:p>
        </w:tc>
        <w:tc>
          <w:tcPr>
            <w:tcW w:w="2081" w:type="dxa"/>
            <w:tcBorders>
              <w:top w:val="single" w:sz="4" w:space="0" w:color="auto"/>
              <w:left w:val="single" w:sz="4" w:space="0" w:color="auto"/>
              <w:bottom w:val="single" w:sz="4" w:space="0" w:color="auto"/>
              <w:right w:val="single" w:sz="4" w:space="0" w:color="auto"/>
            </w:tcBorders>
            <w:shd w:val="clear" w:color="auto" w:fill="auto"/>
            <w:hideMark/>
          </w:tcPr>
          <w:p w14:paraId="64380346"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2022.</w:t>
            </w:r>
          </w:p>
        </w:tc>
        <w:tc>
          <w:tcPr>
            <w:tcW w:w="1673" w:type="dxa"/>
            <w:tcBorders>
              <w:top w:val="single" w:sz="4" w:space="0" w:color="auto"/>
              <w:left w:val="single" w:sz="4" w:space="0" w:color="auto"/>
              <w:bottom w:val="single" w:sz="4" w:space="0" w:color="auto"/>
              <w:right w:val="single" w:sz="4" w:space="0" w:color="auto"/>
            </w:tcBorders>
            <w:hideMark/>
          </w:tcPr>
          <w:p w14:paraId="53E29276"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Ministarstvo nadležno za kulturnu baštinu i ministarstvo nadležno za zaštitu okoliša</w:t>
            </w:r>
          </w:p>
        </w:tc>
        <w:tc>
          <w:tcPr>
            <w:tcW w:w="2290" w:type="dxa"/>
            <w:tcBorders>
              <w:top w:val="single" w:sz="4" w:space="0" w:color="auto"/>
              <w:left w:val="single" w:sz="4" w:space="0" w:color="auto"/>
              <w:bottom w:val="single" w:sz="4" w:space="0" w:color="auto"/>
              <w:right w:val="single" w:sz="4" w:space="0" w:color="auto"/>
            </w:tcBorders>
            <w:hideMark/>
          </w:tcPr>
          <w:p w14:paraId="36198BBD"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Omotnica strukturnih fondova EU 2021-2027</w:t>
            </w:r>
          </w:p>
        </w:tc>
      </w:tr>
      <w:tr w:rsidR="008F16D6" w:rsidRPr="008F16D6" w14:paraId="048DAC36" w14:textId="77777777" w:rsidTr="00AF6B8C">
        <w:tc>
          <w:tcPr>
            <w:tcW w:w="512" w:type="dxa"/>
            <w:tcBorders>
              <w:top w:val="single" w:sz="4" w:space="0" w:color="auto"/>
              <w:left w:val="single" w:sz="4" w:space="0" w:color="auto"/>
              <w:bottom w:val="single" w:sz="4" w:space="0" w:color="auto"/>
              <w:right w:val="single" w:sz="4" w:space="0" w:color="auto"/>
            </w:tcBorders>
            <w:hideMark/>
          </w:tcPr>
          <w:p w14:paraId="1FAEE628"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5.</w:t>
            </w:r>
          </w:p>
        </w:tc>
        <w:tc>
          <w:tcPr>
            <w:tcW w:w="2505" w:type="dxa"/>
            <w:tcBorders>
              <w:top w:val="single" w:sz="4" w:space="0" w:color="auto"/>
              <w:left w:val="single" w:sz="4" w:space="0" w:color="auto"/>
              <w:bottom w:val="single" w:sz="4" w:space="0" w:color="auto"/>
              <w:right w:val="single" w:sz="4" w:space="0" w:color="auto"/>
            </w:tcBorders>
          </w:tcPr>
          <w:p w14:paraId="13C05E48"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 xml:space="preserve">Izraditi program za provedbu energetske obnove u kućanstvima ciljano na područja Republike Hrvatske u kojima dolazi do prekoračenja graničnih vrijednosti kvalitete zraka. </w:t>
            </w:r>
          </w:p>
          <w:p w14:paraId="55EDAA26"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 xml:space="preserve">Cilj Programa je poticanje zamjene peći na ogrjevno drvo: modernim uređajima na drvene pelete i brikete, energetski učinkovitim konvencionalnim pećima na drvo, pećima na drvo s eko-oznakom, dizalica topline te poticanje energetske obnove ovojnice. </w:t>
            </w:r>
          </w:p>
          <w:p w14:paraId="19A56446"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 xml:space="preserve">Svrha izrade nacionalnog programa je osnažiti provedbu mjera energetske obnove iz akcijskih planova za poboljšanje kvalitete zraka vezano za onečišćenje česticama PM10 i/ili PM2,5 u gradovima kontinentalne Hrvatske. </w:t>
            </w:r>
          </w:p>
        </w:tc>
        <w:tc>
          <w:tcPr>
            <w:tcW w:w="2081" w:type="dxa"/>
            <w:tcBorders>
              <w:top w:val="single" w:sz="4" w:space="0" w:color="auto"/>
              <w:left w:val="single" w:sz="4" w:space="0" w:color="auto"/>
              <w:bottom w:val="single" w:sz="4" w:space="0" w:color="auto"/>
              <w:right w:val="single" w:sz="4" w:space="0" w:color="auto"/>
            </w:tcBorders>
            <w:hideMark/>
          </w:tcPr>
          <w:p w14:paraId="79049D8E"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2020.</w:t>
            </w:r>
          </w:p>
        </w:tc>
        <w:tc>
          <w:tcPr>
            <w:tcW w:w="1673" w:type="dxa"/>
            <w:tcBorders>
              <w:top w:val="single" w:sz="4" w:space="0" w:color="auto"/>
              <w:left w:val="single" w:sz="4" w:space="0" w:color="auto"/>
              <w:bottom w:val="single" w:sz="4" w:space="0" w:color="auto"/>
              <w:right w:val="single" w:sz="4" w:space="0" w:color="auto"/>
            </w:tcBorders>
            <w:hideMark/>
          </w:tcPr>
          <w:p w14:paraId="411D3F68" w14:textId="7B34C1AD"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Ministarstvo nadležno za energetiku i ministarstvo nadležno za zaštitu okoliša</w:t>
            </w:r>
            <w:r w:rsidR="009F5F59">
              <w:rPr>
                <w:rFonts w:ascii="Arial" w:eastAsia="Arial" w:hAnsi="Arial" w:cs="Arial"/>
                <w:lang w:eastAsia="hr-HR"/>
              </w:rPr>
              <w:t>,</w:t>
            </w:r>
            <w:r w:rsidRPr="008F16D6">
              <w:rPr>
                <w:rFonts w:ascii="Arial" w:eastAsia="Arial" w:hAnsi="Arial" w:cs="Arial"/>
                <w:lang w:eastAsia="hr-HR"/>
              </w:rPr>
              <w:t xml:space="preserve"> FZOEU</w:t>
            </w:r>
          </w:p>
          <w:p w14:paraId="1A164523"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Jedinice lokalne samouprave</w:t>
            </w:r>
          </w:p>
        </w:tc>
        <w:tc>
          <w:tcPr>
            <w:tcW w:w="2290" w:type="dxa"/>
            <w:tcBorders>
              <w:top w:val="single" w:sz="4" w:space="0" w:color="auto"/>
              <w:left w:val="single" w:sz="4" w:space="0" w:color="auto"/>
              <w:bottom w:val="single" w:sz="4" w:space="0" w:color="auto"/>
              <w:right w:val="single" w:sz="4" w:space="0" w:color="auto"/>
            </w:tcBorders>
            <w:hideMark/>
          </w:tcPr>
          <w:p w14:paraId="636706B6"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FZOEU (Sredstva od dražbe emisijskih jedinica)</w:t>
            </w:r>
          </w:p>
          <w:p w14:paraId="02795A66"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U provedbi financiranje temeljiti na strukturnim fondovima EU omotnice 2021.-2027.</w:t>
            </w:r>
          </w:p>
        </w:tc>
      </w:tr>
      <w:tr w:rsidR="008F16D6" w:rsidRPr="008F16D6" w14:paraId="5C97E2AD" w14:textId="77777777" w:rsidTr="00AF6B8C">
        <w:tc>
          <w:tcPr>
            <w:tcW w:w="512" w:type="dxa"/>
            <w:tcBorders>
              <w:top w:val="single" w:sz="4" w:space="0" w:color="auto"/>
              <w:left w:val="single" w:sz="4" w:space="0" w:color="auto"/>
              <w:bottom w:val="single" w:sz="4" w:space="0" w:color="auto"/>
              <w:right w:val="single" w:sz="4" w:space="0" w:color="auto"/>
            </w:tcBorders>
            <w:hideMark/>
          </w:tcPr>
          <w:p w14:paraId="4A144D17"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6.</w:t>
            </w:r>
          </w:p>
        </w:tc>
        <w:tc>
          <w:tcPr>
            <w:tcW w:w="2505" w:type="dxa"/>
            <w:tcBorders>
              <w:top w:val="single" w:sz="4" w:space="0" w:color="auto"/>
              <w:left w:val="single" w:sz="4" w:space="0" w:color="auto"/>
              <w:bottom w:val="single" w:sz="4" w:space="0" w:color="auto"/>
              <w:right w:val="single" w:sz="4" w:space="0" w:color="auto"/>
            </w:tcBorders>
            <w:hideMark/>
          </w:tcPr>
          <w:p w14:paraId="07DE420B"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Izraditi Studiju analize utjecaja klimatskih promjena sa analizom ranjivosti i prijedlogom mjera prilagodbe klimatskim promjenama za postojeće velike hidroenergetske sustave na rijekama jadranskog sliva, te analizom smanjenja negativnog utjecaja prilgodbi na klimatske promjene (u smislu proizvodnje energije), na druge korisnike voda i na stanje voda (u uvjetima klimatskih promjena)</w:t>
            </w:r>
          </w:p>
        </w:tc>
        <w:tc>
          <w:tcPr>
            <w:tcW w:w="2081" w:type="dxa"/>
            <w:tcBorders>
              <w:top w:val="single" w:sz="4" w:space="0" w:color="auto"/>
              <w:left w:val="single" w:sz="4" w:space="0" w:color="auto"/>
              <w:bottom w:val="single" w:sz="4" w:space="0" w:color="auto"/>
              <w:right w:val="single" w:sz="4" w:space="0" w:color="auto"/>
            </w:tcBorders>
            <w:hideMark/>
          </w:tcPr>
          <w:p w14:paraId="74984A41"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2021.-2030.</w:t>
            </w:r>
          </w:p>
        </w:tc>
        <w:tc>
          <w:tcPr>
            <w:tcW w:w="1673" w:type="dxa"/>
            <w:tcBorders>
              <w:top w:val="single" w:sz="4" w:space="0" w:color="auto"/>
              <w:left w:val="single" w:sz="4" w:space="0" w:color="auto"/>
              <w:bottom w:val="single" w:sz="4" w:space="0" w:color="auto"/>
              <w:right w:val="single" w:sz="4" w:space="0" w:color="auto"/>
            </w:tcBorders>
            <w:hideMark/>
          </w:tcPr>
          <w:p w14:paraId="11658A8A"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 xml:space="preserve">Ministarstvo nadležno za zaštitu okoliša </w:t>
            </w:r>
          </w:p>
          <w:p w14:paraId="7F808B66"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Pravne osobe koje obavljaju djelatnost proizvodnje električne energije iz hidroelektrana</w:t>
            </w:r>
          </w:p>
        </w:tc>
        <w:tc>
          <w:tcPr>
            <w:tcW w:w="2290" w:type="dxa"/>
            <w:tcBorders>
              <w:top w:val="single" w:sz="4" w:space="0" w:color="auto"/>
              <w:left w:val="single" w:sz="4" w:space="0" w:color="auto"/>
              <w:bottom w:val="single" w:sz="4" w:space="0" w:color="auto"/>
              <w:right w:val="single" w:sz="4" w:space="0" w:color="auto"/>
            </w:tcBorders>
            <w:hideMark/>
          </w:tcPr>
          <w:p w14:paraId="0170BBE6"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FZOEU (Sredstva od dražbe emisijskih jedinica)</w:t>
            </w:r>
          </w:p>
          <w:p w14:paraId="5CE51323"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Omotnica strukturnih fondova EU 2021.-2027.</w:t>
            </w:r>
          </w:p>
          <w:p w14:paraId="5B1C027A"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Vlasnici hidroelektana</w:t>
            </w:r>
          </w:p>
        </w:tc>
      </w:tr>
      <w:tr w:rsidR="008F16D6" w:rsidRPr="008F16D6" w14:paraId="44FC0BF3" w14:textId="77777777" w:rsidTr="00AF6B8C">
        <w:tc>
          <w:tcPr>
            <w:tcW w:w="512" w:type="dxa"/>
            <w:tcBorders>
              <w:top w:val="single" w:sz="4" w:space="0" w:color="auto"/>
              <w:left w:val="single" w:sz="4" w:space="0" w:color="auto"/>
              <w:bottom w:val="single" w:sz="4" w:space="0" w:color="auto"/>
              <w:right w:val="single" w:sz="4" w:space="0" w:color="auto"/>
            </w:tcBorders>
            <w:hideMark/>
          </w:tcPr>
          <w:p w14:paraId="49DFF751"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7.</w:t>
            </w:r>
          </w:p>
        </w:tc>
        <w:tc>
          <w:tcPr>
            <w:tcW w:w="2505" w:type="dxa"/>
            <w:tcBorders>
              <w:top w:val="single" w:sz="4" w:space="0" w:color="auto"/>
              <w:left w:val="single" w:sz="4" w:space="0" w:color="auto"/>
              <w:bottom w:val="single" w:sz="4" w:space="0" w:color="auto"/>
              <w:right w:val="single" w:sz="4" w:space="0" w:color="auto"/>
            </w:tcBorders>
            <w:hideMark/>
          </w:tcPr>
          <w:p w14:paraId="301FAA8E"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Jačati otpornosti elektroenergetskog sustava na klimatske promjene posebnim naglaskom na energetska postrojenja za proizvodnju električne i toplinske energije te prijenosnu mrežu.</w:t>
            </w:r>
          </w:p>
        </w:tc>
        <w:tc>
          <w:tcPr>
            <w:tcW w:w="2081" w:type="dxa"/>
            <w:tcBorders>
              <w:top w:val="single" w:sz="4" w:space="0" w:color="auto"/>
              <w:left w:val="single" w:sz="4" w:space="0" w:color="auto"/>
              <w:bottom w:val="single" w:sz="4" w:space="0" w:color="auto"/>
              <w:right w:val="single" w:sz="4" w:space="0" w:color="auto"/>
            </w:tcBorders>
            <w:hideMark/>
          </w:tcPr>
          <w:p w14:paraId="49DED20B"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Kontinuirano</w:t>
            </w:r>
          </w:p>
        </w:tc>
        <w:tc>
          <w:tcPr>
            <w:tcW w:w="1673" w:type="dxa"/>
            <w:tcBorders>
              <w:top w:val="single" w:sz="4" w:space="0" w:color="auto"/>
              <w:left w:val="single" w:sz="4" w:space="0" w:color="auto"/>
              <w:bottom w:val="single" w:sz="4" w:space="0" w:color="auto"/>
              <w:right w:val="single" w:sz="4" w:space="0" w:color="auto"/>
            </w:tcBorders>
            <w:hideMark/>
          </w:tcPr>
          <w:p w14:paraId="042CBC47"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Ministarstvo nadležno za energetiku</w:t>
            </w:r>
          </w:p>
          <w:p w14:paraId="433F9FD2"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Pravne osobe koje obavljaju djelatnost proizvodnje i/ili prijenosa električne energije</w:t>
            </w:r>
          </w:p>
        </w:tc>
        <w:tc>
          <w:tcPr>
            <w:tcW w:w="2290" w:type="dxa"/>
            <w:tcBorders>
              <w:top w:val="single" w:sz="4" w:space="0" w:color="auto"/>
              <w:left w:val="single" w:sz="4" w:space="0" w:color="auto"/>
              <w:bottom w:val="single" w:sz="4" w:space="0" w:color="auto"/>
              <w:right w:val="single" w:sz="4" w:space="0" w:color="auto"/>
            </w:tcBorders>
            <w:hideMark/>
          </w:tcPr>
          <w:p w14:paraId="7AE325AF"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FZOEU (Sredstva od</w:t>
            </w:r>
          </w:p>
          <w:p w14:paraId="7729A813"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dražbe emisijskih jedinica)</w:t>
            </w:r>
          </w:p>
          <w:p w14:paraId="1421EAB3"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Omotnica strukturnih</w:t>
            </w:r>
          </w:p>
          <w:p w14:paraId="74358A00"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fondova EU 2021-2027</w:t>
            </w:r>
          </w:p>
        </w:tc>
      </w:tr>
      <w:tr w:rsidR="008F16D6" w:rsidRPr="008F16D6" w14:paraId="3EFA3757" w14:textId="77777777" w:rsidTr="00AF6B8C">
        <w:tc>
          <w:tcPr>
            <w:tcW w:w="512" w:type="dxa"/>
            <w:tcBorders>
              <w:top w:val="single" w:sz="4" w:space="0" w:color="auto"/>
              <w:left w:val="single" w:sz="4" w:space="0" w:color="auto"/>
              <w:bottom w:val="single" w:sz="4" w:space="0" w:color="auto"/>
              <w:right w:val="single" w:sz="4" w:space="0" w:color="auto"/>
            </w:tcBorders>
            <w:hideMark/>
          </w:tcPr>
          <w:p w14:paraId="14633D20"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8.</w:t>
            </w:r>
          </w:p>
        </w:tc>
        <w:tc>
          <w:tcPr>
            <w:tcW w:w="2505" w:type="dxa"/>
            <w:tcBorders>
              <w:top w:val="single" w:sz="4" w:space="0" w:color="auto"/>
              <w:left w:val="single" w:sz="4" w:space="0" w:color="auto"/>
              <w:bottom w:val="single" w:sz="4" w:space="0" w:color="auto"/>
              <w:right w:val="single" w:sz="4" w:space="0" w:color="auto"/>
            </w:tcBorders>
            <w:hideMark/>
          </w:tcPr>
          <w:p w14:paraId="3E2CB1EB"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Izraditi Krajobraznu osnovu Hrvatske i utvrditi standarde i kriterije za provođenje tipološke klasifikacije i ocjene karaktera krajobraza na svim razinama (nacionalna, regionalna, lokalna).</w:t>
            </w:r>
          </w:p>
        </w:tc>
        <w:tc>
          <w:tcPr>
            <w:tcW w:w="2081" w:type="dxa"/>
            <w:tcBorders>
              <w:top w:val="single" w:sz="4" w:space="0" w:color="auto"/>
              <w:left w:val="single" w:sz="4" w:space="0" w:color="auto"/>
              <w:bottom w:val="single" w:sz="4" w:space="0" w:color="auto"/>
              <w:right w:val="single" w:sz="4" w:space="0" w:color="auto"/>
            </w:tcBorders>
            <w:hideMark/>
          </w:tcPr>
          <w:p w14:paraId="53B24E2D"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2019.-2025.</w:t>
            </w:r>
          </w:p>
        </w:tc>
        <w:tc>
          <w:tcPr>
            <w:tcW w:w="1673" w:type="dxa"/>
            <w:tcBorders>
              <w:top w:val="single" w:sz="4" w:space="0" w:color="auto"/>
              <w:left w:val="single" w:sz="4" w:space="0" w:color="auto"/>
              <w:bottom w:val="single" w:sz="4" w:space="0" w:color="auto"/>
              <w:right w:val="single" w:sz="4" w:space="0" w:color="auto"/>
            </w:tcBorders>
            <w:hideMark/>
          </w:tcPr>
          <w:p w14:paraId="7A6DEAF6"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Ministarstvo nadležno za zaštitu okoliša, ministarstvo nadležno  za urbanizam i gradnju, ministarstvo nadležno za kulturu, Ministarstvo nadležno za urbanizam</w:t>
            </w:r>
          </w:p>
        </w:tc>
        <w:tc>
          <w:tcPr>
            <w:tcW w:w="2290" w:type="dxa"/>
            <w:tcBorders>
              <w:top w:val="single" w:sz="4" w:space="0" w:color="auto"/>
              <w:left w:val="single" w:sz="4" w:space="0" w:color="auto"/>
              <w:bottom w:val="single" w:sz="4" w:space="0" w:color="auto"/>
              <w:right w:val="single" w:sz="4" w:space="0" w:color="auto"/>
            </w:tcBorders>
            <w:hideMark/>
          </w:tcPr>
          <w:p w14:paraId="65DBDEAB"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Proračun, Omotnica strukturnih fondova EU 2021-2027</w:t>
            </w:r>
          </w:p>
        </w:tc>
      </w:tr>
      <w:tr w:rsidR="008F16D6" w:rsidRPr="008F16D6" w14:paraId="73166EE4" w14:textId="77777777" w:rsidTr="00AF6B8C">
        <w:tc>
          <w:tcPr>
            <w:tcW w:w="512" w:type="dxa"/>
            <w:tcBorders>
              <w:top w:val="single" w:sz="4" w:space="0" w:color="auto"/>
              <w:left w:val="single" w:sz="4" w:space="0" w:color="auto"/>
              <w:bottom w:val="single" w:sz="4" w:space="0" w:color="auto"/>
              <w:right w:val="single" w:sz="4" w:space="0" w:color="auto"/>
            </w:tcBorders>
            <w:hideMark/>
          </w:tcPr>
          <w:p w14:paraId="2029C9B1"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9.</w:t>
            </w:r>
          </w:p>
        </w:tc>
        <w:tc>
          <w:tcPr>
            <w:tcW w:w="2505" w:type="dxa"/>
            <w:tcBorders>
              <w:top w:val="single" w:sz="4" w:space="0" w:color="auto"/>
              <w:left w:val="single" w:sz="4" w:space="0" w:color="auto"/>
              <w:bottom w:val="single" w:sz="4" w:space="0" w:color="auto"/>
              <w:right w:val="single" w:sz="4" w:space="0" w:color="auto"/>
            </w:tcBorders>
            <w:hideMark/>
          </w:tcPr>
          <w:p w14:paraId="7E2B50E8"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 xml:space="preserve">Utvrđivanje potencijala biomase šuma za energetsko korištenje, usklađivanjem podataka šumarskog sektora, LULUCF pravila i podataka o energetskoj potrošnji. </w:t>
            </w:r>
          </w:p>
          <w:p w14:paraId="5ECBCAAB"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Kroz provedbu pojedinačnih, specifičnih projekata od kojih ovdje navodimo samo:</w:t>
            </w:r>
          </w:p>
          <w:p w14:paraId="4B2ADBA9"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1. znanstveni projekt u svezi utvrđivanja utjecaja na ciklus ugljika u šumama i posljedično odliv u šumama iznošenja drvnog ostatka pri sječi i izradi promjera manjeg od 7 cm iz sastojine i njegove uporabe za energetske svrhe,</w:t>
            </w:r>
          </w:p>
          <w:p w14:paraId="4639BE8E"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2. projekt koji ima za cilj utvrditi namjenu svih proizvoda tj. količine drvne mase raspoložive za razne namjene i to u lancu od šume do finalnog proizvoda i utvrđivanja ugljika u drvnim proizvodima (HWP projekt),</w:t>
            </w:r>
          </w:p>
          <w:p w14:paraId="30503776"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3. projekt kojim bi se utvrdile mogućnosti za RH koje proizlaze iz odredbi Uredbe 2018/841/EU u svezi trgovanja odlivima do kojih dolazi u definiranim obračunskim kategorijama zemljišta.</w:t>
            </w:r>
          </w:p>
        </w:tc>
        <w:tc>
          <w:tcPr>
            <w:tcW w:w="2081" w:type="dxa"/>
            <w:tcBorders>
              <w:top w:val="single" w:sz="4" w:space="0" w:color="auto"/>
              <w:left w:val="single" w:sz="4" w:space="0" w:color="auto"/>
              <w:bottom w:val="single" w:sz="4" w:space="0" w:color="auto"/>
              <w:right w:val="single" w:sz="4" w:space="0" w:color="auto"/>
            </w:tcBorders>
            <w:hideMark/>
          </w:tcPr>
          <w:p w14:paraId="106C7699"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2019.-2022.</w:t>
            </w:r>
          </w:p>
        </w:tc>
        <w:tc>
          <w:tcPr>
            <w:tcW w:w="1673" w:type="dxa"/>
            <w:tcBorders>
              <w:top w:val="single" w:sz="4" w:space="0" w:color="auto"/>
              <w:left w:val="single" w:sz="4" w:space="0" w:color="auto"/>
              <w:bottom w:val="single" w:sz="4" w:space="0" w:color="auto"/>
              <w:right w:val="single" w:sz="4" w:space="0" w:color="auto"/>
            </w:tcBorders>
            <w:hideMark/>
          </w:tcPr>
          <w:p w14:paraId="2C0E7F0F"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Ministarstvo nadležno za zaštitu okoliša,  ministarstvo nadležno za energetiku, ministarstvo nadležno za šumarstvo</w:t>
            </w:r>
          </w:p>
        </w:tc>
        <w:tc>
          <w:tcPr>
            <w:tcW w:w="2290" w:type="dxa"/>
            <w:tcBorders>
              <w:top w:val="single" w:sz="4" w:space="0" w:color="auto"/>
              <w:left w:val="single" w:sz="4" w:space="0" w:color="auto"/>
              <w:bottom w:val="single" w:sz="4" w:space="0" w:color="auto"/>
              <w:right w:val="single" w:sz="4" w:space="0" w:color="auto"/>
            </w:tcBorders>
            <w:hideMark/>
          </w:tcPr>
          <w:p w14:paraId="432D341F"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FZOE</w:t>
            </w:r>
          </w:p>
          <w:p w14:paraId="383562A7"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Hrvatska zaklada za znanost</w:t>
            </w:r>
          </w:p>
        </w:tc>
      </w:tr>
      <w:tr w:rsidR="008F16D6" w:rsidRPr="008F16D6" w14:paraId="75B2BB32" w14:textId="77777777" w:rsidTr="00AF6B8C">
        <w:tc>
          <w:tcPr>
            <w:tcW w:w="512" w:type="dxa"/>
            <w:tcBorders>
              <w:top w:val="single" w:sz="4" w:space="0" w:color="auto"/>
              <w:left w:val="single" w:sz="4" w:space="0" w:color="auto"/>
              <w:bottom w:val="single" w:sz="4" w:space="0" w:color="auto"/>
              <w:right w:val="single" w:sz="4" w:space="0" w:color="auto"/>
            </w:tcBorders>
            <w:hideMark/>
          </w:tcPr>
          <w:p w14:paraId="3EA912F2"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10.</w:t>
            </w:r>
          </w:p>
        </w:tc>
        <w:tc>
          <w:tcPr>
            <w:tcW w:w="2505" w:type="dxa"/>
            <w:tcBorders>
              <w:top w:val="single" w:sz="4" w:space="0" w:color="auto"/>
              <w:left w:val="single" w:sz="4" w:space="0" w:color="auto"/>
              <w:bottom w:val="single" w:sz="4" w:space="0" w:color="auto"/>
              <w:right w:val="single" w:sz="4" w:space="0" w:color="auto"/>
            </w:tcBorders>
            <w:hideMark/>
          </w:tcPr>
          <w:p w14:paraId="774899F7"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 xml:space="preserve">Potrebno je potaknuti znanstveno istraživačke projekte u cilju razvoja metoda, analitičkih alata, algoritamskih sustava, baza podataka i modela za cjelovite procjene učinaka na okoliš bioekonomije i kružnog gospodarstva. </w:t>
            </w:r>
          </w:p>
          <w:p w14:paraId="37478095"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Promicati upotrebu LCA analiza i izračun okolišnih i ugljičnih otisaka proizvoda i usluga, HIA pristupa, biomonitoringa.</w:t>
            </w:r>
          </w:p>
        </w:tc>
        <w:tc>
          <w:tcPr>
            <w:tcW w:w="2081" w:type="dxa"/>
            <w:tcBorders>
              <w:top w:val="single" w:sz="4" w:space="0" w:color="auto"/>
              <w:left w:val="single" w:sz="4" w:space="0" w:color="auto"/>
              <w:bottom w:val="single" w:sz="4" w:space="0" w:color="auto"/>
              <w:right w:val="single" w:sz="4" w:space="0" w:color="auto"/>
            </w:tcBorders>
            <w:hideMark/>
          </w:tcPr>
          <w:p w14:paraId="4D1CA4AD"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2019.-2030.</w:t>
            </w:r>
          </w:p>
        </w:tc>
        <w:tc>
          <w:tcPr>
            <w:tcW w:w="1673" w:type="dxa"/>
            <w:tcBorders>
              <w:top w:val="single" w:sz="4" w:space="0" w:color="auto"/>
              <w:left w:val="single" w:sz="4" w:space="0" w:color="auto"/>
              <w:bottom w:val="single" w:sz="4" w:space="0" w:color="auto"/>
              <w:right w:val="single" w:sz="4" w:space="0" w:color="auto"/>
            </w:tcBorders>
            <w:hideMark/>
          </w:tcPr>
          <w:p w14:paraId="5EE664CD"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 xml:space="preserve">Ministarstvo nadležno za zaštitu okoliša, ministarstvo nadležno za energetiku, ministarstvo nadležno za  znanost </w:t>
            </w:r>
          </w:p>
        </w:tc>
        <w:tc>
          <w:tcPr>
            <w:tcW w:w="2290" w:type="dxa"/>
            <w:tcBorders>
              <w:top w:val="single" w:sz="4" w:space="0" w:color="auto"/>
              <w:left w:val="single" w:sz="4" w:space="0" w:color="auto"/>
              <w:bottom w:val="single" w:sz="4" w:space="0" w:color="auto"/>
              <w:right w:val="single" w:sz="4" w:space="0" w:color="auto"/>
            </w:tcBorders>
            <w:hideMark/>
          </w:tcPr>
          <w:p w14:paraId="47B5F226"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FZOE</w:t>
            </w:r>
          </w:p>
          <w:p w14:paraId="2A17884D"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Hrvatska zaklada za znanost</w:t>
            </w:r>
          </w:p>
          <w:p w14:paraId="63D4CC69"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Times New Roman" w:hAnsi="Arial" w:cs="Times New Roman"/>
                <w:lang w:eastAsia="hr-HR"/>
              </w:rPr>
              <w:t xml:space="preserve"> </w:t>
            </w:r>
            <w:r w:rsidRPr="008F16D6">
              <w:rPr>
                <w:rFonts w:ascii="Arial" w:eastAsia="Arial" w:hAnsi="Arial" w:cs="Arial"/>
                <w:lang w:eastAsia="hr-HR"/>
              </w:rPr>
              <w:t>Okvirni program EU za istraživanje i inovacije</w:t>
            </w:r>
          </w:p>
        </w:tc>
      </w:tr>
      <w:tr w:rsidR="008F16D6" w:rsidRPr="008F16D6" w14:paraId="4C685439" w14:textId="77777777" w:rsidTr="00AF6B8C">
        <w:tc>
          <w:tcPr>
            <w:tcW w:w="512" w:type="dxa"/>
            <w:tcBorders>
              <w:top w:val="single" w:sz="4" w:space="0" w:color="auto"/>
              <w:left w:val="single" w:sz="4" w:space="0" w:color="auto"/>
              <w:bottom w:val="single" w:sz="4" w:space="0" w:color="auto"/>
              <w:right w:val="single" w:sz="4" w:space="0" w:color="auto"/>
            </w:tcBorders>
            <w:hideMark/>
          </w:tcPr>
          <w:p w14:paraId="64C4724F"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11.</w:t>
            </w:r>
          </w:p>
        </w:tc>
        <w:tc>
          <w:tcPr>
            <w:tcW w:w="2505" w:type="dxa"/>
            <w:tcBorders>
              <w:top w:val="single" w:sz="4" w:space="0" w:color="auto"/>
              <w:left w:val="single" w:sz="4" w:space="0" w:color="auto"/>
              <w:bottom w:val="single" w:sz="4" w:space="0" w:color="auto"/>
              <w:right w:val="single" w:sz="4" w:space="0" w:color="auto"/>
            </w:tcBorders>
            <w:hideMark/>
          </w:tcPr>
          <w:p w14:paraId="5F62385C"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Analizirati potrebu uvođenja zakonske obveze izrade Plana komunikacije s dionicima, za zahvate koji su obvezi provedbe PUO (ili samo za neke vrste zahvata).</w:t>
            </w:r>
          </w:p>
        </w:tc>
        <w:tc>
          <w:tcPr>
            <w:tcW w:w="2081" w:type="dxa"/>
            <w:tcBorders>
              <w:top w:val="single" w:sz="4" w:space="0" w:color="auto"/>
              <w:left w:val="single" w:sz="4" w:space="0" w:color="auto"/>
              <w:bottom w:val="single" w:sz="4" w:space="0" w:color="auto"/>
              <w:right w:val="single" w:sz="4" w:space="0" w:color="auto"/>
            </w:tcBorders>
            <w:hideMark/>
          </w:tcPr>
          <w:p w14:paraId="5618FE55"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2020.-2030.</w:t>
            </w:r>
          </w:p>
        </w:tc>
        <w:tc>
          <w:tcPr>
            <w:tcW w:w="1673" w:type="dxa"/>
            <w:tcBorders>
              <w:top w:val="single" w:sz="4" w:space="0" w:color="auto"/>
              <w:left w:val="single" w:sz="4" w:space="0" w:color="auto"/>
              <w:bottom w:val="single" w:sz="4" w:space="0" w:color="auto"/>
              <w:right w:val="single" w:sz="4" w:space="0" w:color="auto"/>
            </w:tcBorders>
            <w:hideMark/>
          </w:tcPr>
          <w:p w14:paraId="17E1E5B6"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Ministarstvo nadležno za zaštitu okoliša</w:t>
            </w:r>
          </w:p>
        </w:tc>
        <w:tc>
          <w:tcPr>
            <w:tcW w:w="2290" w:type="dxa"/>
            <w:tcBorders>
              <w:top w:val="single" w:sz="4" w:space="0" w:color="auto"/>
              <w:left w:val="single" w:sz="4" w:space="0" w:color="auto"/>
              <w:bottom w:val="single" w:sz="4" w:space="0" w:color="auto"/>
              <w:right w:val="single" w:sz="4" w:space="0" w:color="auto"/>
            </w:tcBorders>
            <w:hideMark/>
          </w:tcPr>
          <w:p w14:paraId="503640FF"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Ministarstvo nadležno za zaštitu okoliša</w:t>
            </w:r>
          </w:p>
        </w:tc>
      </w:tr>
    </w:tbl>
    <w:p w14:paraId="5973E386" w14:textId="2B435691"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S obzirom na brojne promjene u energetskom sektoru koje su nastale u proteklim godinama Strategija utvrđuje da je nužno provesti reviziju cjelokupnog sustava prikupljanja energetskih podataka. Posebno se to odnosi na Pravilnik o energetskoj bilanci i na unapr</w:t>
      </w:r>
      <w:r w:rsidR="009F5F59">
        <w:rPr>
          <w:rFonts w:ascii="Arial" w:eastAsia="Arial" w:hAnsi="Arial" w:cs="Arial"/>
          <w:lang w:eastAsia="hr-HR"/>
        </w:rPr>
        <w:t>j</w:t>
      </w:r>
      <w:r w:rsidRPr="008F16D6">
        <w:rPr>
          <w:rFonts w:ascii="Arial" w:eastAsia="Arial" w:hAnsi="Arial" w:cs="Arial"/>
          <w:lang w:eastAsia="hr-HR"/>
        </w:rPr>
        <w:t>eđenje prikupljanja podataka za izradu energetske bilance. Preporuča se kontinuirani razvoj pokazatelja kojima će se pratiti učinci aktivnosti i projekata, a koji će biti temeljeni na službenoj energetskoj statistici i podatkovnoj platformi koja se smatra ključnim segmentom budućeg strateškog energetskog planiranja.</w:t>
      </w:r>
    </w:p>
    <w:p w14:paraId="4DEC7D32" w14:textId="5EBECE21"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Izvješća kojima Republika Hrvatska već niz godina sustavno izvještava, i koja sadržajno pokrivaju gotovo sve sadržaje Strategije su: bilanca emisije stakleničkih plinova sa godišnjim izvještavanjem (NIR), godišnje izvještavanje o emisijama onečišćujućih tvari u zrak (IIR), statističko izvještavanje prema EUROSTAT-u o energetskim podacima i publikacija Energija u Hrvatskoj. Tu je važno i izvještavanje prema nacionalnoj listi pokazatelja okoliša. Uredbom o energetskoj uniji utvrđen je bitan zaokret u pogledu izvještavanja prema Europskoj uniji jer će se ubuduće o emisijama stakleničkih plinova, mjerama i politici, projekcijama izvještavati zajednički s energetskim indikatorima, sve u okviru pet stupova politike utvrđenih okvirnom politikom EU do 2030. godine.</w:t>
      </w:r>
    </w:p>
    <w:p w14:paraId="048BC820"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Integrirano izvještavanje postavlja zahtjeve za bolju koordinaciju i usklađivanje te metodološku harmonizaciju u sustavu planiranja i praćenja provedbe. Inventari emisija stakleničkih plinova i onečišćujućih tvari u zrak izvještavaju se na godišnjoj osnovi, a podložni su međunarodnom pregledu, od strane Europske komisije, Tajništva UNFCCC-a i Tajništva LRTAP Konvencije. Konzistentnost, usporedivost, transparentnost, točnost i cjelovitost premise su takvog sustava.</w:t>
      </w:r>
    </w:p>
    <w:p w14:paraId="018928C1"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Vezano za praćenje provedbe mjera koje su proizašle iz postupka strateške procjene utjecaja na okoliš, praćenje ne zahtjeva uvođenje novih indikatora, oni su dio sustavnog izvještavanja koje propisuje regulativa EU. U izvještavanju države osim kvantitativnih pokazatelja imaju obvezu izvještavanja o politikama i mjerama. Prijedlog je da se u okviru izvještavanja o politikama i mjerama daje pregled stanja provedbe mjera koje su proizašle iz postupka strateške procjene utjecaja na okoliš, u vidu tabličnog prikaza po mjerama.</w:t>
      </w:r>
    </w:p>
    <w:p w14:paraId="05ED1F47"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Općenito postojeći sustav izvještavanja koji je u nadležnosti Ministarstva energetike i zaštite okoliša treba tehnički unaprjeđivati, vezano za inventar stakleničkih plinova, potrebna će biti istraživanja, osobito u području harmonizacije različitih baza i izvora podataka. Ono što se već niz godina relativno slabo razvija je kvaliteta izvještavanja na razinama županija i lokalno. Izvještaji su metodološki neujednačeni, tek nekoliko lokalnih zajednica ima sustavan pristup, potrebno je dati financijske podrške za uspostave sustava za praćenje na regionalnoj razini, vezano za energetiku, klimatske promjene, okoliš i prirodu. Regionalne i lokalne uprave koje su pristupile povelji gradonačelnika u obvezi su izraditi SECAP planove (eng. Sustainable energy and climate action plan) za naredno razdoblje od deset godina. O stanju okoliša regionalne i lokalne uprave izvještavaju kroz svoja Izvješća o stanju okoliša koja se provode na petogodišnjoj osnovi.</w:t>
      </w:r>
    </w:p>
    <w:p w14:paraId="3F643F11" w14:textId="39139D48" w:rsidR="00BA0213" w:rsidRDefault="008F16D6" w:rsidP="009A4241">
      <w:pPr>
        <w:suppressAutoHyphens/>
        <w:spacing w:before="240" w:after="120" w:line="288" w:lineRule="auto"/>
        <w:jc w:val="both"/>
        <w:rPr>
          <w:rFonts w:ascii="Arial" w:eastAsia="Arial" w:hAnsi="Arial" w:cs="Arial"/>
          <w:b/>
          <w:lang w:eastAsia="hr-HR"/>
        </w:rPr>
      </w:pPr>
      <w:r w:rsidRPr="008F16D6">
        <w:rPr>
          <w:rFonts w:ascii="Arial" w:eastAsia="Arial" w:hAnsi="Arial" w:cs="Arial"/>
          <w:lang w:eastAsia="hr-HR"/>
        </w:rPr>
        <w:t>Jedan od najznačajnijih alata za praćenja učinaka Strategije u pogledu učinaka 'zelene ekonomije' je razvoj statističkog sustava za praćenje Europskih ekonomskih računa, posebice Modul za dobra i usluge u okolišu (eng. Environmental Goods and Service Sector, EGSS). Ekonomski računi u području okoliša prikazuju međuodnose između gospodarstva i okoliša. U svrhu testiranja izvedivosti uvođenja novih modela integriranih okolišnih i ekonomskih računa važno je poticati programe pilot studija, u koje bi bili uključeni svi dionici sustava okolišnih i ekonomskih računa.</w:t>
      </w:r>
    </w:p>
    <w:p w14:paraId="03D4413A" w14:textId="77777777" w:rsidR="008F16D6" w:rsidRPr="008F16D6" w:rsidRDefault="008F16D6" w:rsidP="008F16D6">
      <w:pPr>
        <w:suppressAutoHyphens/>
        <w:spacing w:before="240" w:after="120" w:line="288" w:lineRule="auto"/>
        <w:jc w:val="both"/>
        <w:rPr>
          <w:rFonts w:ascii="Arial" w:eastAsia="Arial" w:hAnsi="Arial" w:cs="Arial"/>
          <w:b/>
          <w:lang w:eastAsia="hr-HR"/>
        </w:rPr>
      </w:pPr>
      <w:r w:rsidRPr="008F16D6">
        <w:rPr>
          <w:rFonts w:ascii="Arial" w:eastAsia="Arial" w:hAnsi="Arial" w:cs="Arial"/>
          <w:b/>
          <w:lang w:eastAsia="hr-HR"/>
        </w:rPr>
        <w:t>Pregled mjera za praćenje: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8F16D6" w:rsidRPr="008F16D6" w14:paraId="7B2D140C" w14:textId="77777777" w:rsidTr="00AF6B8C">
        <w:tc>
          <w:tcPr>
            <w:tcW w:w="3020" w:type="dxa"/>
            <w:tcBorders>
              <w:top w:val="single" w:sz="4" w:space="0" w:color="auto"/>
              <w:left w:val="single" w:sz="4" w:space="0" w:color="auto"/>
              <w:bottom w:val="single" w:sz="4" w:space="0" w:color="auto"/>
              <w:right w:val="single" w:sz="4" w:space="0" w:color="auto"/>
            </w:tcBorders>
            <w:hideMark/>
          </w:tcPr>
          <w:p w14:paraId="00D6FD94"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Mjera</w:t>
            </w:r>
          </w:p>
        </w:tc>
        <w:tc>
          <w:tcPr>
            <w:tcW w:w="3021" w:type="dxa"/>
            <w:tcBorders>
              <w:top w:val="single" w:sz="4" w:space="0" w:color="auto"/>
              <w:left w:val="single" w:sz="4" w:space="0" w:color="auto"/>
              <w:bottom w:val="single" w:sz="4" w:space="0" w:color="auto"/>
              <w:right w:val="single" w:sz="4" w:space="0" w:color="auto"/>
            </w:tcBorders>
            <w:hideMark/>
          </w:tcPr>
          <w:p w14:paraId="52CAD062"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Rok</w:t>
            </w:r>
          </w:p>
        </w:tc>
        <w:tc>
          <w:tcPr>
            <w:tcW w:w="3021" w:type="dxa"/>
            <w:tcBorders>
              <w:top w:val="single" w:sz="4" w:space="0" w:color="auto"/>
              <w:left w:val="single" w:sz="4" w:space="0" w:color="auto"/>
              <w:bottom w:val="single" w:sz="4" w:space="0" w:color="auto"/>
              <w:right w:val="single" w:sz="4" w:space="0" w:color="auto"/>
            </w:tcBorders>
            <w:hideMark/>
          </w:tcPr>
          <w:p w14:paraId="49A93397"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Nositelj</w:t>
            </w:r>
          </w:p>
        </w:tc>
      </w:tr>
      <w:tr w:rsidR="008F16D6" w:rsidRPr="008F16D6" w14:paraId="5135D650" w14:textId="77777777" w:rsidTr="00AF6B8C">
        <w:tc>
          <w:tcPr>
            <w:tcW w:w="3020" w:type="dxa"/>
            <w:tcBorders>
              <w:top w:val="single" w:sz="4" w:space="0" w:color="auto"/>
              <w:left w:val="single" w:sz="4" w:space="0" w:color="auto"/>
              <w:bottom w:val="single" w:sz="4" w:space="0" w:color="auto"/>
              <w:right w:val="single" w:sz="4" w:space="0" w:color="auto"/>
            </w:tcBorders>
            <w:hideMark/>
          </w:tcPr>
          <w:p w14:paraId="0B671BA8"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U okviru izvještavanja o provedbi politika i mjera treba dati pregled stanja provedbe mjera iz ove Strateške procjene, u vidu tabličnog prikaza po mjerama.</w:t>
            </w:r>
          </w:p>
        </w:tc>
        <w:tc>
          <w:tcPr>
            <w:tcW w:w="3021" w:type="dxa"/>
            <w:tcBorders>
              <w:top w:val="single" w:sz="4" w:space="0" w:color="auto"/>
              <w:left w:val="single" w:sz="4" w:space="0" w:color="auto"/>
              <w:bottom w:val="single" w:sz="4" w:space="0" w:color="auto"/>
              <w:right w:val="single" w:sz="4" w:space="0" w:color="auto"/>
            </w:tcBorders>
            <w:hideMark/>
          </w:tcPr>
          <w:p w14:paraId="0D9CA2EC"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Kontinuirano, do usvajanja nove Strategije</w:t>
            </w:r>
          </w:p>
        </w:tc>
        <w:tc>
          <w:tcPr>
            <w:tcW w:w="3021" w:type="dxa"/>
            <w:tcBorders>
              <w:top w:val="single" w:sz="4" w:space="0" w:color="auto"/>
              <w:left w:val="single" w:sz="4" w:space="0" w:color="auto"/>
              <w:bottom w:val="single" w:sz="4" w:space="0" w:color="auto"/>
              <w:right w:val="single" w:sz="4" w:space="0" w:color="auto"/>
            </w:tcBorders>
            <w:hideMark/>
          </w:tcPr>
          <w:p w14:paraId="4D22F5A0" w14:textId="77777777" w:rsidR="008F16D6" w:rsidRPr="008F16D6" w:rsidRDefault="008F16D6" w:rsidP="008F16D6">
            <w:pPr>
              <w:suppressAutoHyphens/>
              <w:spacing w:before="240" w:after="120" w:line="288" w:lineRule="auto"/>
              <w:rPr>
                <w:rFonts w:ascii="Arial" w:eastAsia="Arial" w:hAnsi="Arial" w:cs="Arial"/>
                <w:lang w:eastAsia="hr-HR"/>
              </w:rPr>
            </w:pPr>
            <w:r w:rsidRPr="008F16D6">
              <w:rPr>
                <w:rFonts w:ascii="Arial" w:eastAsia="Arial" w:hAnsi="Arial" w:cs="Arial"/>
                <w:lang w:eastAsia="hr-HR"/>
              </w:rPr>
              <w:t>Ministarstvo nadležno za zaštitu okoliša i ministarstvo nadležno za energetiku</w:t>
            </w:r>
          </w:p>
        </w:tc>
      </w:tr>
    </w:tbl>
    <w:p w14:paraId="196B9714"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Nakon provedene glavne ocjene prihvatljivosti za ekološku mrežu, može se zaključiti kako pojedine mjere Strategije nemaju značajni negativni utjecaji na ekološku mrežu. Također, pojedine mjere Strategije mogu imati umjereno negativan utjecaj na ekološku mrežu te su, sukladno potencijalnim negativnim utjecajima provedbe Strategije za iste predložene sljedeće mjere ublažavanja na ekološku mrežu:</w:t>
      </w:r>
    </w:p>
    <w:p w14:paraId="4F8F8FD7" w14:textId="77777777" w:rsidR="008F16D6" w:rsidRPr="008F16D6" w:rsidRDefault="008F16D6" w:rsidP="00181F22">
      <w:pPr>
        <w:numPr>
          <w:ilvl w:val="0"/>
          <w:numId w:val="19"/>
        </w:num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Prilikom provedbe ciljne vrijednosti i indikatora C1-1 Strategije energetskog razvoja RH izraditi smjernice za procjenu kumulativnih utjecaja izgradnje i korištenja hidroelektrana prilagođenu ciljnim vrstama i stanišnim tipovima Republike Hrvatske te izraditi karte osjetljivosti po slivovima.</w:t>
      </w:r>
    </w:p>
    <w:p w14:paraId="518E0013" w14:textId="7000F72A" w:rsidR="008F16D6" w:rsidRPr="008F16D6" w:rsidRDefault="008F16D6" w:rsidP="00181F22">
      <w:pPr>
        <w:numPr>
          <w:ilvl w:val="0"/>
          <w:numId w:val="19"/>
        </w:num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 xml:space="preserve">Prilikom provedbe ciljne vrijednosti i indikatora C1-2 Strategije energetskog razvoja RH izraditi smjernice o zonama osjetljivosti za vjetroelektrane te izraditi karte osjetljivosti prostora Republike Hrvatske, </w:t>
      </w:r>
      <w:r w:rsidR="005D3985">
        <w:rPr>
          <w:rFonts w:ascii="Arial" w:eastAsia="Arial" w:hAnsi="Arial" w:cs="Arial"/>
          <w:lang w:eastAsia="hr-HR"/>
        </w:rPr>
        <w:t xml:space="preserve">s </w:t>
      </w:r>
      <w:r w:rsidRPr="008F16D6">
        <w:rPr>
          <w:rFonts w:ascii="Arial" w:eastAsia="Arial" w:hAnsi="Arial" w:cs="Arial"/>
          <w:lang w:eastAsia="hr-HR"/>
        </w:rPr>
        <w:t>obzirom na šišmiše, ptice i morske sisavce.</w:t>
      </w:r>
    </w:p>
    <w:p w14:paraId="4FA5B1FE" w14:textId="47339F2A" w:rsidR="008F16D6" w:rsidRPr="008F16D6" w:rsidRDefault="008F16D6" w:rsidP="00181F22">
      <w:pPr>
        <w:numPr>
          <w:ilvl w:val="0"/>
          <w:numId w:val="19"/>
        </w:num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 xml:space="preserve">Prilikom provedbe ciljne vrijednosti i indikatora C1-3 Strategije energetskog razvoja RH izraditi smjernice o zonama osjetljivosti za FN sustave te izraditi karte osjetljivosti prostora Republike Hrvatske, </w:t>
      </w:r>
      <w:r w:rsidR="005D3985">
        <w:rPr>
          <w:rFonts w:ascii="Arial" w:eastAsia="Arial" w:hAnsi="Arial" w:cs="Arial"/>
          <w:lang w:eastAsia="hr-HR"/>
        </w:rPr>
        <w:t xml:space="preserve">s </w:t>
      </w:r>
      <w:r w:rsidRPr="008F16D6">
        <w:rPr>
          <w:rFonts w:ascii="Arial" w:eastAsia="Arial" w:hAnsi="Arial" w:cs="Arial"/>
          <w:lang w:eastAsia="hr-HR"/>
        </w:rPr>
        <w:t>obzirom na ugrožena i rijetka staništa i o njima ovisne vrste.</w:t>
      </w:r>
    </w:p>
    <w:p w14:paraId="22AA35FE" w14:textId="77777777" w:rsidR="008F16D6" w:rsidRPr="008F16D6" w:rsidRDefault="008F16D6" w:rsidP="00181F22">
      <w:pPr>
        <w:numPr>
          <w:ilvl w:val="0"/>
          <w:numId w:val="19"/>
        </w:num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Prilikom provedbe ciljne vrijednosti i indikatora C1-4 Strategije energetskog razvoja RH i to prilikom planiranja na razini zahvata planirati korištenje voda iz prirodnih vodotoka za potrebe hlađenja na način da se izbjegne značajan negativan utjecaj u smislu promjene osnovnih fizikalno-kemijskih elemenata (temperatura), a kojom bi se narušilo stanje vode i ekološki zahtjevi ciljnih vrsta vezanih uz vodene ekosustave.</w:t>
      </w:r>
    </w:p>
    <w:p w14:paraId="76E60725" w14:textId="77777777" w:rsidR="008F16D6" w:rsidRPr="008F16D6" w:rsidRDefault="008F16D6" w:rsidP="00181F22">
      <w:pPr>
        <w:numPr>
          <w:ilvl w:val="0"/>
          <w:numId w:val="19"/>
        </w:num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Prilikom provedbe cilja C2 Strategije energetskog razvoja RH planirati lokacije korištenja geotermalne energije izvan lokacija ciljnog stanišnog tipa 8310 Špilje i jame zatvorene za javnost.</w:t>
      </w:r>
    </w:p>
    <w:p w14:paraId="71AD0748" w14:textId="77777777" w:rsidR="008F16D6" w:rsidRPr="008F16D6" w:rsidRDefault="008F16D6" w:rsidP="00181F22">
      <w:pPr>
        <w:numPr>
          <w:ilvl w:val="0"/>
          <w:numId w:val="19"/>
        </w:num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Prilikom provedbe cilja I1 Strategije energetskog razvoja RH potrebno je uskladiti elektroenergetske sustave prijenosa s tehničkim rješenjima o smanjivanju negativnih utjecaja nadzemnih vodova na ptice analiziranima u Preporuci stalnog odbora Bernske konvencije br. 110, 2004. (https://rm.coe.int/16807467c3) te uputama Bonnske konvencije o izbjegavanju ili ublažavanju utjecaja električnih vodova na migratorne vrste ptica (Prinsen, HAM., Smallie, J.J., Boere, G.C. &amp; Pires, N. (2012) Guidelines on How to Avoid or Mitigate Impact of Electricity Power Grids on Migratory Birds in the African-Eurasian Region" AEWA Conservation Guidelines No. 14, CMS Technical Series No. 29, AEWA Techn ical Series No. 50, CMS Raptors MOU Technical Series No. 3,Bonn, Germany, 2012., http://www.unep-aewa.org/sites/default/files/publication/ts50_electr_guidelines_03122014.pdf).</w:t>
      </w:r>
    </w:p>
    <w:p w14:paraId="15FD4447" w14:textId="77777777" w:rsidR="008F16D6" w:rsidRPr="008F16D6" w:rsidRDefault="008F16D6" w:rsidP="00181F22">
      <w:pPr>
        <w:numPr>
          <w:ilvl w:val="0"/>
          <w:numId w:val="19"/>
        </w:num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Prilikom provedbe cilja I1 Strategije energetskog razvoja RH potrebno je planirati razvoj trasa energetske infrastrukture elektroenergetskog sustava prijenosa u najvećoj mogućoj mjeri uz trase postojećih energetske koridora.</w:t>
      </w:r>
    </w:p>
    <w:p w14:paraId="303119A8" w14:textId="77777777" w:rsidR="008F16D6" w:rsidRPr="008F16D6" w:rsidRDefault="008F16D6" w:rsidP="00181F22">
      <w:pPr>
        <w:numPr>
          <w:ilvl w:val="0"/>
          <w:numId w:val="19"/>
        </w:num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Prilikom provedbe ciljeva I3 i I4 Strategije energetskog razvoja RH planirati razvoj trasa transporta nafte, naftnih derivata i prirodnog plina u najvećoj mogućoj mjeri uz trase postojećih infrastrukturnih koridora.</w:t>
      </w:r>
    </w:p>
    <w:p w14:paraId="66B20EE8" w14:textId="77777777" w:rsidR="008F16D6" w:rsidRPr="008F16D6" w:rsidRDefault="008F16D6" w:rsidP="00181F22">
      <w:pPr>
        <w:numPr>
          <w:ilvl w:val="0"/>
          <w:numId w:val="19"/>
        </w:num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Prilikom provedbe cilja I4 Strategije energetskog razvoja RH planirati lokacije infrastrukturnih objekata podzemnih skladišta plina izvan lokacija ciljnog stanišnog tipa 8310 Špilje i jame zatvorene za javnost.</w:t>
      </w:r>
    </w:p>
    <w:p w14:paraId="57F2C20E" w14:textId="77777777" w:rsidR="008F16D6" w:rsidRPr="008F16D6" w:rsidRDefault="008F16D6" w:rsidP="00181F22">
      <w:pPr>
        <w:numPr>
          <w:ilvl w:val="0"/>
          <w:numId w:val="19"/>
        </w:num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 xml:space="preserve">Prilikom provedbe cilja C2 i smjernice SG-5 Strategije energetskog razvoja RH, unutar POVS područja ekološke mreže u kojima su ciljne vrste kornjaši jelenak, velika četveropjega cvilidreta i alpinska strizibuba, u šumskim sastojinama potrebno je osigurati udio od najmanje 3% ostavljene odumrle ili odumiruće drvne mase. Unutar POP područja ekološke mreže potrebno je pridržavati se mjera vezanih uz ostavljanje suhe drvne mase propisanih Pravilnikom o ciljevima očuvanja i osnovnim mjerama očuvanja ptica u područjima očuvanja značajnim za ptice (NN, broj 15/14). </w:t>
      </w:r>
    </w:p>
    <w:p w14:paraId="170B82E2" w14:textId="77777777" w:rsidR="008F16D6" w:rsidRPr="008F16D6" w:rsidRDefault="008F16D6" w:rsidP="00181F22">
      <w:pPr>
        <w:numPr>
          <w:ilvl w:val="0"/>
          <w:numId w:val="19"/>
        </w:num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Prilikom provedbe cilja C2 i smjernice SG-5 Strategije energetskog razvoja RH utvrditi nacionalno specifičnu vrijednost odumrle ili odumiruće drvne mase ostavljene prilikom gospodarenja šumama koja je potrebna za očuvanje ciljnih vrsta područja ekološke mreže te strogo zaštićenih vrsta.</w:t>
      </w:r>
    </w:p>
    <w:p w14:paraId="2FA8CBE1"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Ne predlaže se program praćenja i izvješćivanja o stanju ciljeva očuvanja i cjelovitosti područja ekološke mreže.</w:t>
      </w:r>
    </w:p>
    <w:p w14:paraId="79A23DEB"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Uz primjenu mjera ublažavanja utjecaj provedbe Strategije na ekološku mrežu ocijenjen je kao prihvatljiv.</w:t>
      </w:r>
    </w:p>
    <w:p w14:paraId="602E4FA3" w14:textId="2E4A76D5"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Analizirani su i skupni (kumulativni) utjecaji provedbe mjera Strategije koji se mogu očitovati kroz druge čimbenike koji slijede otvaranje/ povećanje dostupnosti prostora putem prometnica, kao što su primjerice turizam i poljoprivreda koji stvaraju prenamjene korištenja zemljišta. Time potencijalno uzrokuju dodatne vanjske stresore (buka, svijetlost, vibracije) na ciljne vrste te promjene/ gubitak ciljnih staništa / staništa ciljnih vrsta. Shodno navedenom, potencijalno se može očekivati umjeren negativan kumulativan utjecaj na cjelovitost područja ekološke mreže, no isti svakako nije značajno negativan.</w:t>
      </w:r>
    </w:p>
    <w:p w14:paraId="6BB21660" w14:textId="62E98D1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Zaštita ciljnih staništa i vrsta ekološke mreže u cjelini predmet je strateških/ planskih/ programskih dokumenata s područja prometa, turizma, poljoprivrede i prostornog uređenja, ali i planova upravljanja ekološkom mrežom. Glavnom ocjenom predložene su mjere ublažavanja samostalnih utjecaja koje se odnose na Strategiju i s kojima se doprinos energetike skupnim utjecajima ublažava.</w:t>
      </w:r>
    </w:p>
    <w:p w14:paraId="2A114BE0" w14:textId="77777777"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Važno je napomenuti da glavna ocjena ne definira tzv. ˝NO-GO zone – zone bez izgradnje˝ već navodi područja ekološke mreže za koje se ne može isključiti značajan negativan utjecaj s obzirom na razinu strateške procjene utjecaja, odnosno na razinu podataka iskazanih u Strategiji te će se isto rješavati kroz predložene karte osjetljivosti prostora (mjere ublažavanja) te na razini pojedinačnih projekata kroz postupke prihvatljivosti na ekološku mrežu sukladno karakteristikama pojedinog projekta i rezultatima istraživanja ciljeva očuvanja.</w:t>
      </w:r>
    </w:p>
    <w:p w14:paraId="0A7B17C3" w14:textId="41A5E5BA" w:rsidR="008F16D6" w:rsidRPr="008F16D6" w:rsidRDefault="008F16D6" w:rsidP="008F16D6">
      <w:pPr>
        <w:suppressAutoHyphens/>
        <w:spacing w:before="240" w:after="120" w:line="288" w:lineRule="auto"/>
        <w:jc w:val="both"/>
        <w:rPr>
          <w:rFonts w:ascii="Arial" w:eastAsia="Arial" w:hAnsi="Arial" w:cs="Arial"/>
          <w:lang w:eastAsia="hr-HR"/>
        </w:rPr>
      </w:pPr>
      <w:r w:rsidRPr="008F16D6">
        <w:rPr>
          <w:rFonts w:ascii="Arial" w:eastAsia="Arial" w:hAnsi="Arial" w:cs="Arial"/>
          <w:lang w:eastAsia="hr-HR"/>
        </w:rPr>
        <w:t>Konačan je zaključak da Strategija nema značajan negativan utjecaj te je prihvatljiva za ekološku mrežu.</w:t>
      </w:r>
    </w:p>
    <w:p w14:paraId="2F4B4658" w14:textId="77777777" w:rsidR="008F16D6" w:rsidRPr="008F16D6" w:rsidRDefault="008F16D6" w:rsidP="008F16D6">
      <w:pPr>
        <w:suppressAutoHyphens/>
        <w:spacing w:before="240" w:after="120" w:line="288" w:lineRule="auto"/>
        <w:jc w:val="both"/>
        <w:rPr>
          <w:rFonts w:ascii="Arial" w:eastAsia="Arial" w:hAnsi="Arial" w:cs="Arial"/>
          <w:lang w:eastAsia="hr-HR"/>
        </w:rPr>
        <w:sectPr w:rsidR="008F16D6" w:rsidRPr="008F16D6" w:rsidSect="00AF6B8C">
          <w:pgSz w:w="11907" w:h="16840" w:code="9"/>
          <w:pgMar w:top="1418" w:right="1418" w:bottom="1418" w:left="1418" w:header="567" w:footer="709" w:gutter="0"/>
          <w:cols w:space="720"/>
          <w:noEndnote/>
        </w:sectPr>
      </w:pPr>
    </w:p>
    <w:p w14:paraId="75D661C7" w14:textId="77777777" w:rsidR="008F16D6" w:rsidRPr="008F16D6" w:rsidRDefault="008F16D6" w:rsidP="008F16D6">
      <w:pPr>
        <w:keepNext/>
        <w:pageBreakBefore/>
        <w:pBdr>
          <w:top w:val="single" w:sz="48" w:space="5" w:color="F5C1C6"/>
        </w:pBdr>
        <w:tabs>
          <w:tab w:val="left" w:pos="567"/>
        </w:tabs>
        <w:suppressAutoHyphens/>
        <w:autoSpaceDE w:val="0"/>
        <w:autoSpaceDN w:val="0"/>
        <w:adjustRightInd w:val="0"/>
        <w:spacing w:before="240" w:after="320" w:line="240" w:lineRule="auto"/>
        <w:ind w:left="360" w:hanging="360"/>
        <w:textAlignment w:val="center"/>
        <w:outlineLvl w:val="0"/>
        <w:rPr>
          <w:rFonts w:ascii="Arial" w:eastAsia="Arial" w:hAnsi="Arial" w:cs="Times New Roman"/>
          <w:b/>
          <w:iCs/>
          <w:caps/>
          <w:color w:val="BE1D2D"/>
          <w:position w:val="24"/>
          <w:sz w:val="32"/>
          <w:szCs w:val="48"/>
          <w:lang w:eastAsia="hr-HR"/>
        </w:rPr>
      </w:pPr>
      <w:bookmarkStart w:id="185" w:name="_Toc17876416"/>
      <w:r w:rsidRPr="008F16D6">
        <w:rPr>
          <w:rFonts w:ascii="Arial" w:eastAsia="Arial" w:hAnsi="Arial" w:cs="Times New Roman"/>
          <w:b/>
          <w:iCs/>
          <w:caps/>
          <w:color w:val="BE1D2D"/>
          <w:position w:val="24"/>
          <w:sz w:val="32"/>
          <w:szCs w:val="48"/>
          <w:lang w:eastAsia="hr-HR"/>
        </w:rPr>
        <w:t>Popis kratica</w:t>
      </w:r>
      <w:bookmarkEnd w:id="185"/>
    </w:p>
    <w:tbl>
      <w:tblPr>
        <w:tblStyle w:val="Reetkatablice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366"/>
      </w:tblGrid>
      <w:tr w:rsidR="008F16D6" w:rsidRPr="008F16D6" w14:paraId="5AF02F07" w14:textId="77777777" w:rsidTr="00AF6B8C">
        <w:trPr>
          <w:cantSplit/>
          <w:tblHeader/>
        </w:trPr>
        <w:tc>
          <w:tcPr>
            <w:tcW w:w="1696" w:type="dxa"/>
            <w:tcBorders>
              <w:bottom w:val="single" w:sz="4" w:space="0" w:color="auto"/>
            </w:tcBorders>
            <w:shd w:val="clear" w:color="auto" w:fill="auto"/>
          </w:tcPr>
          <w:p w14:paraId="3C71F7E5" w14:textId="77777777" w:rsidR="008F16D6" w:rsidRPr="008F16D6" w:rsidRDefault="008F16D6" w:rsidP="008F16D6">
            <w:pPr>
              <w:suppressAutoHyphens/>
              <w:spacing w:after="120"/>
              <w:jc w:val="right"/>
              <w:rPr>
                <w:rFonts w:cs="Arial"/>
                <w:b/>
                <w:sz w:val="24"/>
              </w:rPr>
            </w:pPr>
            <w:r w:rsidRPr="008F16D6">
              <w:rPr>
                <w:rFonts w:cs="Arial"/>
                <w:b/>
                <w:sz w:val="24"/>
              </w:rPr>
              <w:t>Kratica</w:t>
            </w:r>
          </w:p>
        </w:tc>
        <w:tc>
          <w:tcPr>
            <w:tcW w:w="7366" w:type="dxa"/>
            <w:tcBorders>
              <w:bottom w:val="single" w:sz="4" w:space="0" w:color="auto"/>
            </w:tcBorders>
            <w:shd w:val="clear" w:color="auto" w:fill="auto"/>
          </w:tcPr>
          <w:p w14:paraId="7B3FD58B" w14:textId="77777777" w:rsidR="008F16D6" w:rsidRPr="008F16D6" w:rsidRDefault="008F16D6" w:rsidP="008F16D6">
            <w:pPr>
              <w:suppressAutoHyphens/>
              <w:spacing w:before="120" w:after="120"/>
              <w:rPr>
                <w:rFonts w:cs="Arial"/>
                <w:sz w:val="24"/>
              </w:rPr>
            </w:pPr>
            <w:r w:rsidRPr="008F16D6">
              <w:rPr>
                <w:rFonts w:cs="Arial"/>
                <w:b/>
                <w:sz w:val="24"/>
              </w:rPr>
              <w:t>Značenje/opis</w:t>
            </w:r>
          </w:p>
        </w:tc>
      </w:tr>
      <w:tr w:rsidR="008F16D6" w:rsidRPr="008F16D6" w14:paraId="246011D5" w14:textId="77777777" w:rsidTr="00AF6B8C">
        <w:trPr>
          <w:cantSplit/>
          <w:tblHeader/>
        </w:trPr>
        <w:tc>
          <w:tcPr>
            <w:tcW w:w="1696" w:type="dxa"/>
            <w:tcBorders>
              <w:top w:val="single" w:sz="4" w:space="0" w:color="auto"/>
            </w:tcBorders>
            <w:shd w:val="clear" w:color="auto" w:fill="auto"/>
          </w:tcPr>
          <w:p w14:paraId="4B49115C" w14:textId="77777777" w:rsidR="008F16D6" w:rsidRPr="008F16D6" w:rsidRDefault="008F16D6" w:rsidP="008F16D6">
            <w:pPr>
              <w:suppressAutoHyphens/>
              <w:spacing w:after="120"/>
              <w:jc w:val="right"/>
              <w:rPr>
                <w:rFonts w:cs="Arial"/>
                <w:b/>
                <w:sz w:val="24"/>
              </w:rPr>
            </w:pPr>
          </w:p>
        </w:tc>
        <w:tc>
          <w:tcPr>
            <w:tcW w:w="7366" w:type="dxa"/>
            <w:tcBorders>
              <w:top w:val="single" w:sz="4" w:space="0" w:color="auto"/>
            </w:tcBorders>
            <w:shd w:val="clear" w:color="auto" w:fill="auto"/>
          </w:tcPr>
          <w:p w14:paraId="4D2BCCE3" w14:textId="77777777" w:rsidR="008F16D6" w:rsidRPr="008F16D6" w:rsidRDefault="008F16D6" w:rsidP="008F16D6">
            <w:pPr>
              <w:suppressAutoHyphens/>
              <w:spacing w:before="120" w:after="120"/>
              <w:rPr>
                <w:rFonts w:cs="Arial"/>
                <w:b/>
                <w:sz w:val="24"/>
              </w:rPr>
            </w:pPr>
          </w:p>
        </w:tc>
      </w:tr>
      <w:tr w:rsidR="008F16D6" w:rsidRPr="008F16D6" w14:paraId="097E6ECC" w14:textId="77777777" w:rsidTr="00AF6B8C">
        <w:trPr>
          <w:cantSplit/>
        </w:trPr>
        <w:tc>
          <w:tcPr>
            <w:tcW w:w="1696" w:type="dxa"/>
            <w:shd w:val="clear" w:color="auto" w:fill="auto"/>
            <w:vAlign w:val="top"/>
          </w:tcPr>
          <w:p w14:paraId="1498EB67" w14:textId="77777777" w:rsidR="008F16D6" w:rsidRPr="008F16D6" w:rsidRDefault="008F16D6" w:rsidP="008F16D6">
            <w:pPr>
              <w:suppressAutoHyphens/>
              <w:spacing w:before="120" w:after="120"/>
              <w:jc w:val="right"/>
              <w:rPr>
                <w:rFonts w:cs="Arial"/>
                <w:b/>
              </w:rPr>
            </w:pPr>
            <w:r w:rsidRPr="008F16D6">
              <w:rPr>
                <w:rFonts w:cs="Arial"/>
                <w:b/>
              </w:rPr>
              <w:t>AD</w:t>
            </w:r>
          </w:p>
        </w:tc>
        <w:tc>
          <w:tcPr>
            <w:tcW w:w="7366" w:type="dxa"/>
            <w:shd w:val="clear" w:color="auto" w:fill="auto"/>
          </w:tcPr>
          <w:p w14:paraId="498B8BC9" w14:textId="77777777" w:rsidR="008F16D6" w:rsidRPr="008F16D6" w:rsidRDefault="008F16D6" w:rsidP="008F16D6">
            <w:pPr>
              <w:suppressAutoHyphens/>
              <w:spacing w:before="120" w:after="120"/>
              <w:rPr>
                <w:rFonts w:cs="Arial"/>
              </w:rPr>
            </w:pPr>
            <w:r w:rsidRPr="008F16D6">
              <w:rPr>
                <w:rFonts w:cs="Arial"/>
              </w:rPr>
              <w:t>anaerobna digestija</w:t>
            </w:r>
          </w:p>
        </w:tc>
      </w:tr>
      <w:tr w:rsidR="008F16D6" w:rsidRPr="008F16D6" w14:paraId="5E8B8A5C" w14:textId="77777777" w:rsidTr="00AF6B8C">
        <w:trPr>
          <w:cantSplit/>
        </w:trPr>
        <w:tc>
          <w:tcPr>
            <w:tcW w:w="1696" w:type="dxa"/>
            <w:shd w:val="clear" w:color="auto" w:fill="auto"/>
            <w:vAlign w:val="top"/>
          </w:tcPr>
          <w:p w14:paraId="526D343E" w14:textId="77777777" w:rsidR="008F16D6" w:rsidRPr="008F16D6" w:rsidRDefault="008F16D6" w:rsidP="008F16D6">
            <w:pPr>
              <w:suppressAutoHyphens/>
              <w:spacing w:before="120" w:after="120"/>
              <w:jc w:val="right"/>
              <w:rPr>
                <w:rFonts w:cs="Arial"/>
                <w:b/>
              </w:rPr>
            </w:pPr>
            <w:r w:rsidRPr="008F16D6">
              <w:rPr>
                <w:rFonts w:cs="Arial"/>
                <w:b/>
              </w:rPr>
              <w:t>BDP</w:t>
            </w:r>
          </w:p>
        </w:tc>
        <w:tc>
          <w:tcPr>
            <w:tcW w:w="7366" w:type="dxa"/>
            <w:shd w:val="clear" w:color="auto" w:fill="auto"/>
          </w:tcPr>
          <w:p w14:paraId="427A07D7" w14:textId="77777777" w:rsidR="008F16D6" w:rsidRPr="008F16D6" w:rsidRDefault="008F16D6" w:rsidP="008F16D6">
            <w:pPr>
              <w:suppressAutoHyphens/>
              <w:spacing w:before="120" w:after="120"/>
              <w:rPr>
                <w:rFonts w:cs="Arial"/>
              </w:rPr>
            </w:pPr>
            <w:r w:rsidRPr="008F16D6">
              <w:rPr>
                <w:rFonts w:cs="Arial"/>
              </w:rPr>
              <w:t>bruto domaći proizvod (engl. gross domestic product, GDP)</w:t>
            </w:r>
          </w:p>
        </w:tc>
      </w:tr>
      <w:tr w:rsidR="008F16D6" w:rsidRPr="008F16D6" w14:paraId="34A33654" w14:textId="77777777" w:rsidTr="00AF6B8C">
        <w:trPr>
          <w:cantSplit/>
        </w:trPr>
        <w:tc>
          <w:tcPr>
            <w:tcW w:w="1696" w:type="dxa"/>
            <w:shd w:val="clear" w:color="auto" w:fill="auto"/>
            <w:vAlign w:val="top"/>
          </w:tcPr>
          <w:p w14:paraId="2A47E1A9" w14:textId="77777777" w:rsidR="008F16D6" w:rsidRPr="008F16D6" w:rsidRDefault="008F16D6" w:rsidP="008F16D6">
            <w:pPr>
              <w:suppressAutoHyphens/>
              <w:spacing w:before="120" w:after="120"/>
              <w:jc w:val="right"/>
              <w:rPr>
                <w:rFonts w:cs="Arial"/>
                <w:b/>
              </w:rPr>
            </w:pPr>
            <w:r w:rsidRPr="008F16D6">
              <w:rPr>
                <w:rFonts w:cs="Arial"/>
                <w:b/>
              </w:rPr>
              <w:t>CGO</w:t>
            </w:r>
          </w:p>
          <w:p w14:paraId="22A8DC00" w14:textId="77777777" w:rsidR="008F16D6" w:rsidRPr="008F16D6" w:rsidRDefault="008F16D6" w:rsidP="008F16D6">
            <w:pPr>
              <w:suppressAutoHyphens/>
              <w:spacing w:before="120" w:after="120"/>
              <w:jc w:val="right"/>
              <w:rPr>
                <w:rFonts w:cs="Arial"/>
                <w:b/>
              </w:rPr>
            </w:pPr>
            <w:r w:rsidRPr="008F16D6">
              <w:rPr>
                <w:rFonts w:cs="Arial"/>
                <w:b/>
              </w:rPr>
              <w:t>CRM</w:t>
            </w:r>
          </w:p>
          <w:p w14:paraId="430CAA0A" w14:textId="77777777" w:rsidR="008F16D6" w:rsidRPr="008F16D6" w:rsidRDefault="008F16D6" w:rsidP="008F16D6">
            <w:pPr>
              <w:suppressAutoHyphens/>
              <w:spacing w:before="120" w:after="120"/>
              <w:jc w:val="right"/>
              <w:rPr>
                <w:rFonts w:cs="Arial"/>
                <w:b/>
              </w:rPr>
            </w:pPr>
            <w:r w:rsidRPr="008F16D6">
              <w:rPr>
                <w:rFonts w:cs="Arial"/>
                <w:b/>
              </w:rPr>
              <w:t>CTS</w:t>
            </w:r>
          </w:p>
        </w:tc>
        <w:tc>
          <w:tcPr>
            <w:tcW w:w="7366" w:type="dxa"/>
            <w:shd w:val="clear" w:color="auto" w:fill="auto"/>
          </w:tcPr>
          <w:p w14:paraId="57E42AC2" w14:textId="77777777" w:rsidR="008F16D6" w:rsidRPr="008F16D6" w:rsidRDefault="008F16D6" w:rsidP="008F16D6">
            <w:pPr>
              <w:suppressAutoHyphens/>
              <w:spacing w:before="120" w:after="120"/>
              <w:rPr>
                <w:rFonts w:cs="Arial"/>
              </w:rPr>
            </w:pPr>
            <w:r w:rsidRPr="008F16D6">
              <w:rPr>
                <w:rFonts w:cs="Arial"/>
              </w:rPr>
              <w:t>Centar za gospodarenje otpadom</w:t>
            </w:r>
          </w:p>
          <w:p w14:paraId="6749283F" w14:textId="77777777" w:rsidR="008F16D6" w:rsidRPr="008F16D6" w:rsidRDefault="008F16D6" w:rsidP="008F16D6">
            <w:pPr>
              <w:suppressAutoHyphens/>
              <w:spacing w:before="120" w:after="120"/>
              <w:rPr>
                <w:rFonts w:cs="Arial"/>
              </w:rPr>
            </w:pPr>
            <w:r w:rsidRPr="008F16D6">
              <w:rPr>
                <w:rFonts w:cs="Arial"/>
              </w:rPr>
              <w:t>Capacity Renumeration Mechanisms</w:t>
            </w:r>
          </w:p>
          <w:p w14:paraId="7C99D592" w14:textId="77777777" w:rsidR="008F16D6" w:rsidRPr="008F16D6" w:rsidRDefault="008F16D6" w:rsidP="008F16D6">
            <w:pPr>
              <w:suppressAutoHyphens/>
              <w:spacing w:before="120" w:after="120"/>
              <w:rPr>
                <w:rFonts w:cs="Arial"/>
              </w:rPr>
            </w:pPr>
            <w:r w:rsidRPr="008F16D6">
              <w:rPr>
                <w:rFonts w:cs="Arial"/>
              </w:rPr>
              <w:t>centralizirani toplinski sustav</w:t>
            </w:r>
          </w:p>
        </w:tc>
      </w:tr>
      <w:tr w:rsidR="008F16D6" w:rsidRPr="008F16D6" w14:paraId="62245162" w14:textId="77777777" w:rsidTr="00AF6B8C">
        <w:trPr>
          <w:cantSplit/>
        </w:trPr>
        <w:tc>
          <w:tcPr>
            <w:tcW w:w="1696" w:type="dxa"/>
            <w:shd w:val="clear" w:color="auto" w:fill="auto"/>
            <w:vAlign w:val="top"/>
          </w:tcPr>
          <w:p w14:paraId="74680AC1" w14:textId="77777777" w:rsidR="008F16D6" w:rsidRPr="008F16D6" w:rsidRDefault="008F16D6" w:rsidP="008F16D6">
            <w:pPr>
              <w:suppressAutoHyphens/>
              <w:spacing w:before="120" w:after="120"/>
              <w:jc w:val="right"/>
              <w:rPr>
                <w:rFonts w:cs="Arial"/>
                <w:b/>
              </w:rPr>
            </w:pPr>
            <w:bookmarkStart w:id="186" w:name="_Hlk6992360"/>
            <w:r w:rsidRPr="008F16D6">
              <w:rPr>
                <w:rFonts w:cs="Arial"/>
                <w:b/>
              </w:rPr>
              <w:t>DSCR</w:t>
            </w:r>
          </w:p>
        </w:tc>
        <w:tc>
          <w:tcPr>
            <w:tcW w:w="7366" w:type="dxa"/>
            <w:shd w:val="clear" w:color="auto" w:fill="auto"/>
          </w:tcPr>
          <w:p w14:paraId="567190F0" w14:textId="77777777" w:rsidR="008F16D6" w:rsidRPr="008F16D6" w:rsidRDefault="008F16D6" w:rsidP="008F16D6">
            <w:pPr>
              <w:suppressAutoHyphens/>
              <w:spacing w:before="120" w:after="120"/>
              <w:rPr>
                <w:rFonts w:cs="Arial"/>
                <w:i/>
              </w:rPr>
            </w:pPr>
            <w:r w:rsidRPr="008F16D6">
              <w:rPr>
                <w:rFonts w:cs="Arial"/>
                <w:i/>
              </w:rPr>
              <w:t>Debt service coverage ratio</w:t>
            </w:r>
          </w:p>
          <w:p w14:paraId="5DD226B8" w14:textId="77777777" w:rsidR="008F16D6" w:rsidRPr="008F16D6" w:rsidRDefault="008F16D6" w:rsidP="008F16D6">
            <w:pPr>
              <w:suppressAutoHyphens/>
              <w:spacing w:before="120" w:after="120"/>
              <w:rPr>
                <w:rFonts w:cs="Arial"/>
              </w:rPr>
            </w:pPr>
            <w:r w:rsidRPr="008F16D6">
              <w:rPr>
                <w:rFonts w:cs="Arial"/>
              </w:rPr>
              <w:t>koeficijent pokrića duga</w:t>
            </w:r>
          </w:p>
        </w:tc>
      </w:tr>
      <w:bookmarkEnd w:id="186"/>
      <w:tr w:rsidR="008F16D6" w:rsidRPr="008F16D6" w14:paraId="084B0676" w14:textId="77777777" w:rsidTr="00AF6B8C">
        <w:trPr>
          <w:cantSplit/>
        </w:trPr>
        <w:tc>
          <w:tcPr>
            <w:tcW w:w="1696" w:type="dxa"/>
            <w:shd w:val="clear" w:color="auto" w:fill="auto"/>
            <w:vAlign w:val="top"/>
          </w:tcPr>
          <w:p w14:paraId="26531610" w14:textId="77777777" w:rsidR="008F16D6" w:rsidRPr="008F16D6" w:rsidRDefault="008F16D6" w:rsidP="008F16D6">
            <w:pPr>
              <w:suppressAutoHyphens/>
              <w:spacing w:before="120" w:after="120"/>
              <w:jc w:val="right"/>
              <w:rPr>
                <w:rFonts w:cs="Arial"/>
                <w:b/>
              </w:rPr>
            </w:pPr>
            <w:r w:rsidRPr="008F16D6">
              <w:rPr>
                <w:rFonts w:cs="Arial"/>
                <w:b/>
              </w:rPr>
              <w:t>EES</w:t>
            </w:r>
          </w:p>
        </w:tc>
        <w:tc>
          <w:tcPr>
            <w:tcW w:w="7366" w:type="dxa"/>
            <w:shd w:val="clear" w:color="auto" w:fill="auto"/>
          </w:tcPr>
          <w:p w14:paraId="5C822825" w14:textId="77777777" w:rsidR="008F16D6" w:rsidRPr="008F16D6" w:rsidRDefault="008F16D6" w:rsidP="008F16D6">
            <w:pPr>
              <w:suppressAutoHyphens/>
              <w:spacing w:before="120" w:after="120"/>
              <w:rPr>
                <w:rFonts w:cs="Arial"/>
              </w:rPr>
            </w:pPr>
            <w:r w:rsidRPr="008F16D6">
              <w:rPr>
                <w:rFonts w:cs="Arial"/>
              </w:rPr>
              <w:t>elektroenergetski sustav</w:t>
            </w:r>
          </w:p>
        </w:tc>
      </w:tr>
      <w:tr w:rsidR="008F16D6" w:rsidRPr="008F16D6" w14:paraId="4B12AA76" w14:textId="77777777" w:rsidTr="00AF6B8C">
        <w:trPr>
          <w:cantSplit/>
        </w:trPr>
        <w:tc>
          <w:tcPr>
            <w:tcW w:w="1696" w:type="dxa"/>
            <w:shd w:val="clear" w:color="auto" w:fill="auto"/>
            <w:vAlign w:val="top"/>
          </w:tcPr>
          <w:p w14:paraId="41438960" w14:textId="77777777" w:rsidR="008F16D6" w:rsidRPr="008F16D6" w:rsidRDefault="008F16D6" w:rsidP="008F16D6">
            <w:pPr>
              <w:suppressAutoHyphens/>
              <w:spacing w:before="120" w:after="120"/>
              <w:jc w:val="right"/>
              <w:rPr>
                <w:rFonts w:cs="Arial"/>
                <w:b/>
              </w:rPr>
            </w:pPr>
            <w:r w:rsidRPr="008F16D6">
              <w:rPr>
                <w:rFonts w:cs="Arial"/>
                <w:b/>
              </w:rPr>
              <w:t>EU</w:t>
            </w:r>
          </w:p>
        </w:tc>
        <w:tc>
          <w:tcPr>
            <w:tcW w:w="7366" w:type="dxa"/>
            <w:shd w:val="clear" w:color="auto" w:fill="auto"/>
          </w:tcPr>
          <w:p w14:paraId="56F9FDAB" w14:textId="77777777" w:rsidR="008F16D6" w:rsidRPr="008F16D6" w:rsidRDefault="008F16D6" w:rsidP="008F16D6">
            <w:pPr>
              <w:suppressAutoHyphens/>
              <w:spacing w:before="120" w:after="120"/>
              <w:rPr>
                <w:rFonts w:cs="Arial"/>
                <w:i/>
                <w:iCs/>
              </w:rPr>
            </w:pPr>
            <w:r w:rsidRPr="008F16D6">
              <w:rPr>
                <w:rFonts w:cs="Arial"/>
                <w:i/>
                <w:iCs/>
              </w:rPr>
              <w:t>European Union</w:t>
            </w:r>
          </w:p>
          <w:p w14:paraId="4F856223" w14:textId="77777777" w:rsidR="008F16D6" w:rsidRPr="008F16D6" w:rsidRDefault="008F16D6" w:rsidP="008F16D6">
            <w:pPr>
              <w:suppressAutoHyphens/>
              <w:spacing w:before="120" w:after="120"/>
              <w:rPr>
                <w:rFonts w:cs="Arial"/>
              </w:rPr>
            </w:pPr>
            <w:r w:rsidRPr="008F16D6">
              <w:rPr>
                <w:rFonts w:cs="Arial"/>
              </w:rPr>
              <w:t>Europska unija</w:t>
            </w:r>
          </w:p>
        </w:tc>
      </w:tr>
      <w:tr w:rsidR="008F16D6" w:rsidRPr="008F16D6" w14:paraId="0D545AC8" w14:textId="77777777" w:rsidTr="00AF6B8C">
        <w:trPr>
          <w:cantSplit/>
        </w:trPr>
        <w:tc>
          <w:tcPr>
            <w:tcW w:w="1696" w:type="dxa"/>
            <w:shd w:val="clear" w:color="auto" w:fill="auto"/>
            <w:vAlign w:val="top"/>
          </w:tcPr>
          <w:p w14:paraId="2622513A" w14:textId="77777777" w:rsidR="008F16D6" w:rsidRPr="008F16D6" w:rsidRDefault="008F16D6" w:rsidP="008F16D6">
            <w:pPr>
              <w:suppressAutoHyphens/>
              <w:spacing w:before="120" w:after="120"/>
              <w:jc w:val="right"/>
              <w:rPr>
                <w:rFonts w:cs="Arial"/>
                <w:b/>
              </w:rPr>
            </w:pPr>
            <w:r w:rsidRPr="008F16D6">
              <w:rPr>
                <w:rFonts w:cs="Arial"/>
                <w:b/>
              </w:rPr>
              <w:t>ETS</w:t>
            </w:r>
          </w:p>
        </w:tc>
        <w:tc>
          <w:tcPr>
            <w:tcW w:w="7366" w:type="dxa"/>
            <w:shd w:val="clear" w:color="auto" w:fill="auto"/>
          </w:tcPr>
          <w:p w14:paraId="0D92E82E" w14:textId="77777777" w:rsidR="008F16D6" w:rsidRPr="008F16D6" w:rsidRDefault="008F16D6" w:rsidP="008F16D6">
            <w:pPr>
              <w:suppressAutoHyphens/>
              <w:spacing w:before="120" w:after="120"/>
              <w:rPr>
                <w:rFonts w:cs="Arial"/>
                <w:i/>
                <w:iCs/>
              </w:rPr>
            </w:pPr>
            <w:r w:rsidRPr="008F16D6">
              <w:rPr>
                <w:rFonts w:cs="Arial"/>
                <w:i/>
                <w:iCs/>
              </w:rPr>
              <w:t>Emissions Trading System</w:t>
            </w:r>
          </w:p>
          <w:p w14:paraId="57E1D279" w14:textId="77777777" w:rsidR="008F16D6" w:rsidRPr="008F16D6" w:rsidRDefault="008F16D6" w:rsidP="008F16D6">
            <w:pPr>
              <w:suppressAutoHyphens/>
              <w:spacing w:before="240" w:after="120" w:line="288" w:lineRule="auto"/>
              <w:jc w:val="both"/>
              <w:rPr>
                <w:rFonts w:cs="Arial"/>
              </w:rPr>
            </w:pPr>
            <w:r w:rsidRPr="008F16D6">
              <w:rPr>
                <w:rFonts w:cs="Arial"/>
              </w:rPr>
              <w:t>sustav trgovanja emisijskim jedinicama</w:t>
            </w:r>
          </w:p>
        </w:tc>
      </w:tr>
      <w:tr w:rsidR="008F16D6" w:rsidRPr="008F16D6" w14:paraId="21F5B170" w14:textId="77777777" w:rsidTr="00AF6B8C">
        <w:trPr>
          <w:cantSplit/>
        </w:trPr>
        <w:tc>
          <w:tcPr>
            <w:tcW w:w="1696" w:type="dxa"/>
            <w:shd w:val="clear" w:color="auto" w:fill="auto"/>
            <w:vAlign w:val="top"/>
          </w:tcPr>
          <w:p w14:paraId="782B5091" w14:textId="77777777" w:rsidR="008F16D6" w:rsidRPr="008F16D6" w:rsidRDefault="008F16D6" w:rsidP="008F16D6">
            <w:pPr>
              <w:suppressAutoHyphens/>
              <w:spacing w:before="120" w:after="120"/>
              <w:jc w:val="right"/>
              <w:rPr>
                <w:rFonts w:cs="Arial"/>
                <w:b/>
              </w:rPr>
            </w:pPr>
            <w:r w:rsidRPr="008F16D6">
              <w:rPr>
                <w:rFonts w:cs="Arial"/>
                <w:b/>
              </w:rPr>
              <w:t>FN</w:t>
            </w:r>
          </w:p>
        </w:tc>
        <w:tc>
          <w:tcPr>
            <w:tcW w:w="7366" w:type="dxa"/>
            <w:shd w:val="clear" w:color="auto" w:fill="auto"/>
          </w:tcPr>
          <w:p w14:paraId="30BEC76F" w14:textId="77777777" w:rsidR="008F16D6" w:rsidRPr="008F16D6" w:rsidRDefault="008F16D6" w:rsidP="008F16D6">
            <w:pPr>
              <w:suppressAutoHyphens/>
              <w:spacing w:before="120" w:after="120"/>
              <w:rPr>
                <w:rFonts w:cs="Arial"/>
                <w:i/>
                <w:iCs/>
              </w:rPr>
            </w:pPr>
            <w:r w:rsidRPr="008F16D6">
              <w:rPr>
                <w:rFonts w:cs="Arial"/>
              </w:rPr>
              <w:t>fotonaponski sustav, sunčana elektrana</w:t>
            </w:r>
          </w:p>
        </w:tc>
      </w:tr>
      <w:tr w:rsidR="008F16D6" w:rsidRPr="008F16D6" w14:paraId="66BE149E" w14:textId="77777777" w:rsidTr="00AF6B8C">
        <w:trPr>
          <w:cantSplit/>
        </w:trPr>
        <w:tc>
          <w:tcPr>
            <w:tcW w:w="1696" w:type="dxa"/>
            <w:shd w:val="clear" w:color="auto" w:fill="auto"/>
            <w:vAlign w:val="top"/>
          </w:tcPr>
          <w:p w14:paraId="69A4CD6F" w14:textId="77777777" w:rsidR="008F16D6" w:rsidRPr="008F16D6" w:rsidRDefault="008F16D6" w:rsidP="008F16D6">
            <w:pPr>
              <w:suppressAutoHyphens/>
              <w:spacing w:before="120" w:after="120"/>
              <w:jc w:val="right"/>
              <w:rPr>
                <w:rFonts w:cs="Arial"/>
                <w:b/>
              </w:rPr>
            </w:pPr>
            <w:r w:rsidRPr="008F16D6">
              <w:rPr>
                <w:rFonts w:cs="Arial"/>
                <w:b/>
              </w:rPr>
              <w:t>FZOEU</w:t>
            </w:r>
          </w:p>
        </w:tc>
        <w:tc>
          <w:tcPr>
            <w:tcW w:w="7366" w:type="dxa"/>
            <w:shd w:val="clear" w:color="auto" w:fill="auto"/>
          </w:tcPr>
          <w:p w14:paraId="7269FA8E" w14:textId="77777777" w:rsidR="008F16D6" w:rsidRPr="008F16D6" w:rsidRDefault="008F16D6" w:rsidP="008F16D6">
            <w:pPr>
              <w:suppressAutoHyphens/>
              <w:spacing w:before="120" w:after="120"/>
              <w:rPr>
                <w:rFonts w:cs="Arial"/>
              </w:rPr>
            </w:pPr>
            <w:r w:rsidRPr="008F16D6">
              <w:rPr>
                <w:rFonts w:cs="Arial"/>
              </w:rPr>
              <w:t>Fond za zaštitu okoliša i energetsku učinkovitost</w:t>
            </w:r>
          </w:p>
        </w:tc>
      </w:tr>
      <w:tr w:rsidR="008F16D6" w:rsidRPr="008F16D6" w14:paraId="0E82C257" w14:textId="77777777" w:rsidTr="00AF6B8C">
        <w:trPr>
          <w:cantSplit/>
        </w:trPr>
        <w:tc>
          <w:tcPr>
            <w:tcW w:w="1696" w:type="dxa"/>
            <w:shd w:val="clear" w:color="auto" w:fill="auto"/>
            <w:vAlign w:val="top"/>
          </w:tcPr>
          <w:p w14:paraId="2529D521" w14:textId="77777777" w:rsidR="008F16D6" w:rsidRPr="008F16D6" w:rsidRDefault="008F16D6" w:rsidP="008F16D6">
            <w:pPr>
              <w:suppressAutoHyphens/>
              <w:spacing w:before="120" w:after="120"/>
              <w:jc w:val="right"/>
              <w:rPr>
                <w:rFonts w:cs="Arial"/>
                <w:b/>
              </w:rPr>
            </w:pPr>
            <w:r w:rsidRPr="008F16D6">
              <w:rPr>
                <w:rFonts w:cs="Arial"/>
                <w:b/>
              </w:rPr>
              <w:t>HE</w:t>
            </w:r>
          </w:p>
        </w:tc>
        <w:tc>
          <w:tcPr>
            <w:tcW w:w="7366" w:type="dxa"/>
            <w:shd w:val="clear" w:color="auto" w:fill="auto"/>
          </w:tcPr>
          <w:p w14:paraId="50E223C3" w14:textId="77777777" w:rsidR="008F16D6" w:rsidRPr="008F16D6" w:rsidRDefault="008F16D6" w:rsidP="008F16D6">
            <w:pPr>
              <w:suppressAutoHyphens/>
              <w:spacing w:before="120" w:after="120"/>
              <w:rPr>
                <w:rFonts w:cs="Arial"/>
              </w:rPr>
            </w:pPr>
            <w:r w:rsidRPr="008F16D6">
              <w:rPr>
                <w:rFonts w:cs="Arial"/>
              </w:rPr>
              <w:t>Hidroelektrana</w:t>
            </w:r>
          </w:p>
        </w:tc>
      </w:tr>
      <w:tr w:rsidR="008F16D6" w:rsidRPr="008F16D6" w14:paraId="6B7E6820" w14:textId="77777777" w:rsidTr="00AF6B8C">
        <w:trPr>
          <w:cantSplit/>
        </w:trPr>
        <w:tc>
          <w:tcPr>
            <w:tcW w:w="1696" w:type="dxa"/>
            <w:shd w:val="clear" w:color="auto" w:fill="auto"/>
            <w:vAlign w:val="top"/>
          </w:tcPr>
          <w:p w14:paraId="4966368E" w14:textId="77777777" w:rsidR="008F16D6" w:rsidRPr="008F16D6" w:rsidRDefault="008F16D6" w:rsidP="008F16D6">
            <w:pPr>
              <w:suppressAutoHyphens/>
              <w:spacing w:before="120" w:after="120"/>
              <w:jc w:val="right"/>
              <w:rPr>
                <w:rFonts w:cs="Arial"/>
                <w:b/>
              </w:rPr>
            </w:pPr>
            <w:r w:rsidRPr="008F16D6">
              <w:rPr>
                <w:rFonts w:cs="Arial"/>
                <w:b/>
              </w:rPr>
              <w:t>HEP ODS</w:t>
            </w:r>
          </w:p>
        </w:tc>
        <w:tc>
          <w:tcPr>
            <w:tcW w:w="7366" w:type="dxa"/>
            <w:shd w:val="clear" w:color="auto" w:fill="auto"/>
          </w:tcPr>
          <w:p w14:paraId="7147D334" w14:textId="77777777" w:rsidR="008F16D6" w:rsidRPr="008F16D6" w:rsidRDefault="008F16D6" w:rsidP="008F16D6">
            <w:pPr>
              <w:suppressAutoHyphens/>
              <w:spacing w:before="120" w:after="120"/>
              <w:rPr>
                <w:rFonts w:cs="Arial"/>
              </w:rPr>
            </w:pPr>
            <w:r w:rsidRPr="008F16D6">
              <w:rPr>
                <w:rFonts w:cs="Arial"/>
              </w:rPr>
              <w:t>HEP-Operator distribucijskog sustava d.o.o.</w:t>
            </w:r>
          </w:p>
        </w:tc>
      </w:tr>
      <w:tr w:rsidR="008F16D6" w:rsidRPr="008F16D6" w14:paraId="54C92262" w14:textId="77777777" w:rsidTr="00AF6B8C">
        <w:trPr>
          <w:cantSplit/>
        </w:trPr>
        <w:tc>
          <w:tcPr>
            <w:tcW w:w="1696" w:type="dxa"/>
            <w:shd w:val="clear" w:color="auto" w:fill="auto"/>
            <w:vAlign w:val="top"/>
          </w:tcPr>
          <w:p w14:paraId="6B6D85BD" w14:textId="77777777" w:rsidR="008F16D6" w:rsidRPr="008F16D6" w:rsidRDefault="008F16D6" w:rsidP="008F16D6">
            <w:pPr>
              <w:suppressAutoHyphens/>
              <w:spacing w:before="120" w:after="120"/>
              <w:jc w:val="right"/>
              <w:rPr>
                <w:rFonts w:cs="Arial"/>
                <w:b/>
              </w:rPr>
            </w:pPr>
            <w:r w:rsidRPr="008F16D6">
              <w:rPr>
                <w:rFonts w:cs="Arial"/>
                <w:b/>
              </w:rPr>
              <w:t>HTLS</w:t>
            </w:r>
          </w:p>
        </w:tc>
        <w:tc>
          <w:tcPr>
            <w:tcW w:w="7366" w:type="dxa"/>
            <w:shd w:val="clear" w:color="auto" w:fill="auto"/>
          </w:tcPr>
          <w:p w14:paraId="63B09613" w14:textId="77777777" w:rsidR="008F16D6" w:rsidRPr="008F16D6" w:rsidRDefault="008F16D6" w:rsidP="008F16D6">
            <w:pPr>
              <w:suppressAutoHyphens/>
              <w:spacing w:before="120" w:after="120"/>
              <w:rPr>
                <w:rFonts w:cs="Arial"/>
                <w:i/>
                <w:iCs/>
              </w:rPr>
            </w:pPr>
            <w:r w:rsidRPr="008F16D6">
              <w:rPr>
                <w:rFonts w:cs="Arial"/>
                <w:i/>
                <w:iCs/>
              </w:rPr>
              <w:t>High Temperature Low Sag</w:t>
            </w:r>
          </w:p>
          <w:p w14:paraId="087A3ED5" w14:textId="77777777" w:rsidR="008F16D6" w:rsidRPr="008F16D6" w:rsidRDefault="008F16D6" w:rsidP="008F16D6">
            <w:pPr>
              <w:suppressAutoHyphens/>
              <w:spacing w:before="120" w:after="120"/>
              <w:rPr>
                <w:rFonts w:cs="Arial"/>
              </w:rPr>
            </w:pPr>
            <w:r w:rsidRPr="008F16D6">
              <w:rPr>
                <w:rFonts w:cs="Arial"/>
              </w:rPr>
              <w:t>visokotemperaturni vodiči malog provjesa</w:t>
            </w:r>
          </w:p>
        </w:tc>
      </w:tr>
      <w:tr w:rsidR="008F16D6" w:rsidRPr="008F16D6" w14:paraId="7C83BF63" w14:textId="77777777" w:rsidTr="00AF6B8C">
        <w:trPr>
          <w:cantSplit/>
        </w:trPr>
        <w:tc>
          <w:tcPr>
            <w:tcW w:w="1696" w:type="dxa"/>
            <w:shd w:val="clear" w:color="auto" w:fill="auto"/>
            <w:vAlign w:val="top"/>
          </w:tcPr>
          <w:p w14:paraId="4338DB80" w14:textId="77777777" w:rsidR="008F16D6" w:rsidRPr="008F16D6" w:rsidRDefault="008F16D6" w:rsidP="008F16D6">
            <w:pPr>
              <w:suppressAutoHyphens/>
              <w:spacing w:before="120" w:after="120"/>
              <w:jc w:val="right"/>
              <w:rPr>
                <w:rFonts w:cs="Arial"/>
                <w:b/>
              </w:rPr>
            </w:pPr>
            <w:r w:rsidRPr="008F16D6">
              <w:rPr>
                <w:rFonts w:cs="Arial"/>
                <w:b/>
              </w:rPr>
              <w:t>LCOE</w:t>
            </w:r>
          </w:p>
        </w:tc>
        <w:tc>
          <w:tcPr>
            <w:tcW w:w="7366" w:type="dxa"/>
            <w:shd w:val="clear" w:color="auto" w:fill="auto"/>
          </w:tcPr>
          <w:p w14:paraId="7749856E" w14:textId="77777777" w:rsidR="008F16D6" w:rsidRPr="008F16D6" w:rsidRDefault="008F16D6" w:rsidP="008F16D6">
            <w:pPr>
              <w:suppressAutoHyphens/>
              <w:spacing w:before="120" w:after="120"/>
              <w:rPr>
                <w:i/>
                <w:iCs/>
              </w:rPr>
            </w:pPr>
            <w:r w:rsidRPr="008F16D6">
              <w:rPr>
                <w:rFonts w:cs="Arial"/>
                <w:i/>
                <w:iCs/>
              </w:rPr>
              <w:t>L</w:t>
            </w:r>
            <w:r w:rsidRPr="008F16D6">
              <w:rPr>
                <w:i/>
                <w:iCs/>
              </w:rPr>
              <w:t>evelized Cost of Electricity</w:t>
            </w:r>
          </w:p>
          <w:p w14:paraId="5A90B52F" w14:textId="77777777" w:rsidR="008F16D6" w:rsidRPr="008F16D6" w:rsidRDefault="008F16D6" w:rsidP="008F16D6">
            <w:pPr>
              <w:suppressAutoHyphens/>
              <w:spacing w:before="120" w:after="120"/>
              <w:rPr>
                <w:rFonts w:cs="Arial"/>
                <w:i/>
                <w:iCs/>
              </w:rPr>
            </w:pPr>
            <w:r w:rsidRPr="008F16D6">
              <w:rPr>
                <w:rFonts w:cs="Arial"/>
                <w:iCs/>
              </w:rPr>
              <w:t>nivelirani troškovi proizvodnje električne energije</w:t>
            </w:r>
          </w:p>
        </w:tc>
      </w:tr>
      <w:tr w:rsidR="008F16D6" w:rsidRPr="008F16D6" w14:paraId="379C8DDA" w14:textId="77777777" w:rsidTr="00AF6B8C">
        <w:trPr>
          <w:cantSplit/>
        </w:trPr>
        <w:tc>
          <w:tcPr>
            <w:tcW w:w="1696" w:type="dxa"/>
            <w:shd w:val="clear" w:color="auto" w:fill="auto"/>
            <w:vAlign w:val="top"/>
          </w:tcPr>
          <w:p w14:paraId="655227B5" w14:textId="77777777" w:rsidR="008F16D6" w:rsidRPr="008F16D6" w:rsidRDefault="008F16D6" w:rsidP="008F16D6">
            <w:pPr>
              <w:suppressAutoHyphens/>
              <w:spacing w:before="120" w:after="120"/>
              <w:jc w:val="right"/>
              <w:rPr>
                <w:rFonts w:cs="Arial"/>
                <w:b/>
              </w:rPr>
            </w:pPr>
            <w:r w:rsidRPr="008F16D6">
              <w:rPr>
                <w:rFonts w:cs="Arial"/>
                <w:b/>
              </w:rPr>
              <w:t>NE</w:t>
            </w:r>
          </w:p>
        </w:tc>
        <w:tc>
          <w:tcPr>
            <w:tcW w:w="7366" w:type="dxa"/>
            <w:shd w:val="clear" w:color="auto" w:fill="auto"/>
          </w:tcPr>
          <w:p w14:paraId="1BCA3694" w14:textId="77777777" w:rsidR="008F16D6" w:rsidRPr="008F16D6" w:rsidRDefault="008F16D6" w:rsidP="008F16D6">
            <w:pPr>
              <w:suppressAutoHyphens/>
              <w:spacing w:before="120" w:after="120"/>
              <w:rPr>
                <w:rFonts w:cs="Arial"/>
                <w:i/>
                <w:iCs/>
              </w:rPr>
            </w:pPr>
            <w:r w:rsidRPr="008F16D6">
              <w:rPr>
                <w:rFonts w:cs="Arial"/>
              </w:rPr>
              <w:t>nuklearna elektrana</w:t>
            </w:r>
          </w:p>
        </w:tc>
      </w:tr>
      <w:tr w:rsidR="008F16D6" w:rsidRPr="008F16D6" w14:paraId="618E2F44" w14:textId="77777777" w:rsidTr="00AF6B8C">
        <w:trPr>
          <w:cantSplit/>
        </w:trPr>
        <w:tc>
          <w:tcPr>
            <w:tcW w:w="1696" w:type="dxa"/>
            <w:shd w:val="clear" w:color="auto" w:fill="auto"/>
            <w:vAlign w:val="top"/>
          </w:tcPr>
          <w:p w14:paraId="0BFAC5FB" w14:textId="77777777" w:rsidR="008F16D6" w:rsidRPr="008F16D6" w:rsidRDefault="008F16D6" w:rsidP="008F16D6">
            <w:pPr>
              <w:suppressAutoHyphens/>
              <w:spacing w:before="120" w:after="120"/>
              <w:jc w:val="right"/>
              <w:rPr>
                <w:rFonts w:cs="Arial"/>
                <w:b/>
              </w:rPr>
            </w:pPr>
            <w:r w:rsidRPr="008F16D6">
              <w:rPr>
                <w:rFonts w:cs="Arial"/>
                <w:b/>
              </w:rPr>
              <w:t>nZEB</w:t>
            </w:r>
          </w:p>
        </w:tc>
        <w:tc>
          <w:tcPr>
            <w:tcW w:w="7366" w:type="dxa"/>
            <w:shd w:val="clear" w:color="auto" w:fill="auto"/>
          </w:tcPr>
          <w:p w14:paraId="2E89E33C" w14:textId="77777777" w:rsidR="008F16D6" w:rsidRPr="008F16D6" w:rsidRDefault="008F16D6" w:rsidP="008F16D6">
            <w:pPr>
              <w:suppressAutoHyphens/>
              <w:spacing w:before="120" w:after="120"/>
              <w:rPr>
                <w:rFonts w:cs="Arial"/>
                <w:i/>
                <w:iCs/>
              </w:rPr>
            </w:pPr>
            <w:r w:rsidRPr="008F16D6">
              <w:rPr>
                <w:rFonts w:cs="Arial"/>
                <w:i/>
                <w:iCs/>
              </w:rPr>
              <w:t>nearly Zero Energy Building</w:t>
            </w:r>
          </w:p>
          <w:p w14:paraId="7ADF3F59" w14:textId="77777777" w:rsidR="008F16D6" w:rsidRPr="008F16D6" w:rsidRDefault="008F16D6" w:rsidP="008F16D6">
            <w:pPr>
              <w:suppressAutoHyphens/>
              <w:spacing w:before="120" w:after="120"/>
              <w:rPr>
                <w:rFonts w:cs="Arial"/>
                <w:i/>
                <w:iCs/>
              </w:rPr>
            </w:pPr>
            <w:r w:rsidRPr="008F16D6">
              <w:rPr>
                <w:rFonts w:cs="Arial"/>
              </w:rPr>
              <w:t>zgrade gotovo nulte energije</w:t>
            </w:r>
          </w:p>
        </w:tc>
      </w:tr>
      <w:tr w:rsidR="008F16D6" w:rsidRPr="008F16D6" w14:paraId="4B884B47" w14:textId="77777777" w:rsidTr="00AF6B8C">
        <w:trPr>
          <w:cantSplit/>
        </w:trPr>
        <w:tc>
          <w:tcPr>
            <w:tcW w:w="1696" w:type="dxa"/>
            <w:shd w:val="clear" w:color="auto" w:fill="auto"/>
            <w:vAlign w:val="top"/>
          </w:tcPr>
          <w:p w14:paraId="26B84050" w14:textId="77777777" w:rsidR="008F16D6" w:rsidRPr="008F16D6" w:rsidRDefault="008F16D6" w:rsidP="008F16D6">
            <w:pPr>
              <w:suppressAutoHyphens/>
              <w:spacing w:before="120" w:after="120"/>
              <w:jc w:val="right"/>
              <w:rPr>
                <w:rFonts w:cs="Arial"/>
                <w:b/>
              </w:rPr>
            </w:pPr>
            <w:r w:rsidRPr="008F16D6">
              <w:rPr>
                <w:rFonts w:cs="Arial"/>
                <w:b/>
              </w:rPr>
              <w:t>OIE</w:t>
            </w:r>
          </w:p>
        </w:tc>
        <w:tc>
          <w:tcPr>
            <w:tcW w:w="7366" w:type="dxa"/>
            <w:shd w:val="clear" w:color="auto" w:fill="auto"/>
          </w:tcPr>
          <w:p w14:paraId="0587F32A" w14:textId="77777777" w:rsidR="008F16D6" w:rsidRPr="008F16D6" w:rsidRDefault="008F16D6" w:rsidP="008F16D6">
            <w:pPr>
              <w:suppressAutoHyphens/>
              <w:spacing w:before="120" w:after="120"/>
              <w:rPr>
                <w:rFonts w:cs="Arial"/>
                <w:i/>
                <w:iCs/>
              </w:rPr>
            </w:pPr>
            <w:r w:rsidRPr="008F16D6">
              <w:rPr>
                <w:rFonts w:cs="Arial"/>
              </w:rPr>
              <w:t>obnovljivi izvori energije</w:t>
            </w:r>
          </w:p>
        </w:tc>
      </w:tr>
      <w:tr w:rsidR="008F16D6" w:rsidRPr="008F16D6" w14:paraId="3EA2227D" w14:textId="77777777" w:rsidTr="00AF6B8C">
        <w:trPr>
          <w:cantSplit/>
        </w:trPr>
        <w:tc>
          <w:tcPr>
            <w:tcW w:w="1696" w:type="dxa"/>
            <w:shd w:val="clear" w:color="auto" w:fill="auto"/>
            <w:vAlign w:val="top"/>
          </w:tcPr>
          <w:p w14:paraId="46BCC566" w14:textId="77777777" w:rsidR="008F16D6" w:rsidRPr="008F16D6" w:rsidRDefault="008F16D6" w:rsidP="008F16D6">
            <w:pPr>
              <w:suppressAutoHyphens/>
              <w:spacing w:before="120" w:after="120"/>
              <w:jc w:val="right"/>
              <w:rPr>
                <w:rFonts w:cs="Arial"/>
                <w:b/>
              </w:rPr>
            </w:pPr>
            <w:r w:rsidRPr="008F16D6">
              <w:rPr>
                <w:rFonts w:cs="Arial"/>
                <w:b/>
              </w:rPr>
              <w:t>RED II</w:t>
            </w:r>
          </w:p>
        </w:tc>
        <w:tc>
          <w:tcPr>
            <w:tcW w:w="7366" w:type="dxa"/>
            <w:shd w:val="clear" w:color="auto" w:fill="auto"/>
          </w:tcPr>
          <w:p w14:paraId="52EDB564" w14:textId="77777777" w:rsidR="008F16D6" w:rsidRPr="008F16D6" w:rsidRDefault="008F16D6" w:rsidP="008F16D6">
            <w:pPr>
              <w:shd w:val="clear" w:color="auto" w:fill="FFFFFF"/>
              <w:rPr>
                <w:rFonts w:cs="Arial"/>
                <w:i/>
              </w:rPr>
            </w:pPr>
            <w:r w:rsidRPr="008F16D6">
              <w:rPr>
                <w:rFonts w:cs="Arial"/>
                <w:i/>
              </w:rPr>
              <w:t>Directive (EU) 2018/2001 of the European Parliament and of the Council of 11 December 2018 on the promotion of the use of energy from renewable sources</w:t>
            </w:r>
          </w:p>
          <w:p w14:paraId="0454A748" w14:textId="77777777" w:rsidR="008F16D6" w:rsidRPr="008F16D6" w:rsidRDefault="008F16D6" w:rsidP="008F16D6">
            <w:pPr>
              <w:rPr>
                <w:rFonts w:cs="Arial"/>
                <w:i/>
                <w:iCs/>
              </w:rPr>
            </w:pPr>
            <w:r w:rsidRPr="008F16D6">
              <w:rPr>
                <w:rFonts w:cs="Arial"/>
              </w:rPr>
              <w:t>Direktiva (EU) 2018/2001 Europskog parlamenta i Vijeća od 11. prosinca 2018. o promicanju uporabe energije iz obnovljivih izvora (Tekst značajan za EGP) PE/48/2018/REV/1, OJ L 328, 21.12.2018, p. 82-209</w:t>
            </w:r>
          </w:p>
        </w:tc>
      </w:tr>
      <w:tr w:rsidR="008F16D6" w:rsidRPr="008F16D6" w14:paraId="462AE636" w14:textId="77777777" w:rsidTr="00AF6B8C">
        <w:trPr>
          <w:cantSplit/>
        </w:trPr>
        <w:tc>
          <w:tcPr>
            <w:tcW w:w="1696" w:type="dxa"/>
            <w:shd w:val="clear" w:color="auto" w:fill="auto"/>
            <w:vAlign w:val="top"/>
          </w:tcPr>
          <w:p w14:paraId="6D11EB20" w14:textId="77777777" w:rsidR="008F16D6" w:rsidRPr="008F16D6" w:rsidRDefault="008F16D6" w:rsidP="008F16D6">
            <w:pPr>
              <w:suppressAutoHyphens/>
              <w:spacing w:before="120" w:after="120"/>
              <w:jc w:val="right"/>
              <w:rPr>
                <w:rFonts w:cs="Arial"/>
                <w:b/>
              </w:rPr>
            </w:pPr>
            <w:r w:rsidRPr="008F16D6">
              <w:rPr>
                <w:rFonts w:cs="Arial"/>
                <w:b/>
              </w:rPr>
              <w:t>SBM</w:t>
            </w:r>
          </w:p>
        </w:tc>
        <w:tc>
          <w:tcPr>
            <w:tcW w:w="7366" w:type="dxa"/>
            <w:shd w:val="clear" w:color="auto" w:fill="auto"/>
          </w:tcPr>
          <w:p w14:paraId="63762308" w14:textId="77777777" w:rsidR="008F16D6" w:rsidRPr="008F16D6" w:rsidRDefault="008F16D6" w:rsidP="008F16D6">
            <w:pPr>
              <w:suppressAutoHyphens/>
              <w:spacing w:before="120" w:after="120"/>
              <w:rPr>
                <w:rFonts w:cs="Arial"/>
                <w:i/>
              </w:rPr>
            </w:pPr>
            <w:r w:rsidRPr="008F16D6">
              <w:rPr>
                <w:rFonts w:cs="Arial"/>
              </w:rPr>
              <w:t>stlačeni biometan</w:t>
            </w:r>
          </w:p>
        </w:tc>
      </w:tr>
      <w:tr w:rsidR="008F16D6" w:rsidRPr="008F16D6" w14:paraId="557D63AD" w14:textId="77777777" w:rsidTr="00AF6B8C">
        <w:trPr>
          <w:cantSplit/>
        </w:trPr>
        <w:tc>
          <w:tcPr>
            <w:tcW w:w="1696" w:type="dxa"/>
            <w:shd w:val="clear" w:color="auto" w:fill="auto"/>
            <w:vAlign w:val="top"/>
          </w:tcPr>
          <w:p w14:paraId="76CE8C91" w14:textId="77777777" w:rsidR="008F16D6" w:rsidRPr="008F16D6" w:rsidRDefault="008F16D6" w:rsidP="008F16D6">
            <w:pPr>
              <w:suppressAutoHyphens/>
              <w:spacing w:before="120" w:after="120"/>
              <w:jc w:val="right"/>
              <w:rPr>
                <w:rFonts w:cs="Arial"/>
                <w:b/>
              </w:rPr>
            </w:pPr>
            <w:r w:rsidRPr="008F16D6">
              <w:rPr>
                <w:rFonts w:cs="Arial"/>
                <w:b/>
              </w:rPr>
              <w:t>SPP</w:t>
            </w:r>
          </w:p>
        </w:tc>
        <w:tc>
          <w:tcPr>
            <w:tcW w:w="7366" w:type="dxa"/>
            <w:shd w:val="clear" w:color="auto" w:fill="auto"/>
          </w:tcPr>
          <w:p w14:paraId="6CF3868B" w14:textId="77777777" w:rsidR="008F16D6" w:rsidRPr="008F16D6" w:rsidRDefault="008F16D6" w:rsidP="008F16D6">
            <w:pPr>
              <w:suppressAutoHyphens/>
              <w:spacing w:before="120" w:after="120"/>
              <w:rPr>
                <w:rFonts w:cs="Arial"/>
                <w:i/>
                <w:iCs/>
              </w:rPr>
            </w:pPr>
            <w:r w:rsidRPr="008F16D6">
              <w:rPr>
                <w:rFonts w:cs="Arial"/>
              </w:rPr>
              <w:t>stlačeni prirodni plin</w:t>
            </w:r>
          </w:p>
        </w:tc>
      </w:tr>
      <w:tr w:rsidR="008F16D6" w:rsidRPr="008F16D6" w14:paraId="2E720D46" w14:textId="77777777" w:rsidTr="00AF6B8C">
        <w:trPr>
          <w:cantSplit/>
        </w:trPr>
        <w:tc>
          <w:tcPr>
            <w:tcW w:w="1696" w:type="dxa"/>
            <w:shd w:val="clear" w:color="auto" w:fill="auto"/>
            <w:vAlign w:val="top"/>
          </w:tcPr>
          <w:p w14:paraId="4665D451" w14:textId="77777777" w:rsidR="008F16D6" w:rsidRPr="008F16D6" w:rsidRDefault="008F16D6" w:rsidP="008F16D6">
            <w:pPr>
              <w:suppressAutoHyphens/>
              <w:spacing w:before="120" w:after="120"/>
              <w:jc w:val="right"/>
              <w:rPr>
                <w:rFonts w:cs="Arial"/>
                <w:b/>
              </w:rPr>
            </w:pPr>
            <w:r w:rsidRPr="008F16D6">
              <w:rPr>
                <w:rFonts w:cs="Arial"/>
                <w:b/>
              </w:rPr>
              <w:t>TFP</w:t>
            </w:r>
          </w:p>
        </w:tc>
        <w:tc>
          <w:tcPr>
            <w:tcW w:w="7366" w:type="dxa"/>
            <w:shd w:val="clear" w:color="auto" w:fill="auto"/>
          </w:tcPr>
          <w:p w14:paraId="4B8EF38D" w14:textId="77777777" w:rsidR="008F16D6" w:rsidRPr="008F16D6" w:rsidRDefault="008F16D6" w:rsidP="008F16D6">
            <w:pPr>
              <w:suppressAutoHyphens/>
              <w:spacing w:before="120" w:after="120"/>
              <w:rPr>
                <w:rFonts w:cs="Arial"/>
                <w:i/>
                <w:iCs/>
              </w:rPr>
            </w:pPr>
            <w:r w:rsidRPr="008F16D6">
              <w:rPr>
                <w:rFonts w:cs="Arial"/>
                <w:i/>
                <w:iCs/>
              </w:rPr>
              <w:t>Total Factor Productivity</w:t>
            </w:r>
          </w:p>
          <w:p w14:paraId="4622570B" w14:textId="77777777" w:rsidR="008F16D6" w:rsidRPr="008F16D6" w:rsidRDefault="008F16D6" w:rsidP="008F16D6">
            <w:pPr>
              <w:suppressAutoHyphens/>
              <w:spacing w:before="120" w:after="120"/>
              <w:rPr>
                <w:rFonts w:cs="Arial"/>
                <w:i/>
              </w:rPr>
            </w:pPr>
            <w:r w:rsidRPr="008F16D6">
              <w:rPr>
                <w:rFonts w:cs="Arial"/>
              </w:rPr>
              <w:t>ukupna faktorska produktivnost</w:t>
            </w:r>
          </w:p>
        </w:tc>
      </w:tr>
      <w:tr w:rsidR="008F16D6" w:rsidRPr="008F16D6" w14:paraId="1A500BA0" w14:textId="77777777" w:rsidTr="00AF6B8C">
        <w:trPr>
          <w:cantSplit/>
        </w:trPr>
        <w:tc>
          <w:tcPr>
            <w:tcW w:w="1696" w:type="dxa"/>
            <w:shd w:val="clear" w:color="auto" w:fill="auto"/>
            <w:vAlign w:val="top"/>
          </w:tcPr>
          <w:p w14:paraId="68740CD2" w14:textId="77777777" w:rsidR="008F16D6" w:rsidRPr="008F16D6" w:rsidRDefault="008F16D6" w:rsidP="008F16D6">
            <w:pPr>
              <w:suppressAutoHyphens/>
              <w:spacing w:before="120" w:after="120"/>
              <w:jc w:val="right"/>
              <w:rPr>
                <w:rFonts w:cs="Arial"/>
                <w:b/>
              </w:rPr>
            </w:pPr>
            <w:r w:rsidRPr="008F16D6">
              <w:rPr>
                <w:rFonts w:cs="Arial"/>
                <w:b/>
              </w:rPr>
              <w:t>UNFCCC</w:t>
            </w:r>
          </w:p>
        </w:tc>
        <w:tc>
          <w:tcPr>
            <w:tcW w:w="7366" w:type="dxa"/>
            <w:shd w:val="clear" w:color="auto" w:fill="auto"/>
          </w:tcPr>
          <w:p w14:paraId="471CBEB0" w14:textId="77777777" w:rsidR="008F16D6" w:rsidRPr="008F16D6" w:rsidRDefault="008F16D6" w:rsidP="008F16D6">
            <w:pPr>
              <w:suppressAutoHyphens/>
              <w:spacing w:before="120" w:after="120"/>
              <w:rPr>
                <w:i/>
              </w:rPr>
            </w:pPr>
            <w:r w:rsidRPr="008F16D6">
              <w:rPr>
                <w:i/>
              </w:rPr>
              <w:t>United Nations Framework Convention on Climate Change</w:t>
            </w:r>
          </w:p>
          <w:p w14:paraId="34CC3D15" w14:textId="77777777" w:rsidR="008F16D6" w:rsidRPr="008F16D6" w:rsidRDefault="008F16D6" w:rsidP="008F16D6">
            <w:pPr>
              <w:suppressAutoHyphens/>
              <w:spacing w:before="120" w:after="120"/>
              <w:rPr>
                <w:rFonts w:cs="Arial"/>
                <w:i/>
                <w:iCs/>
              </w:rPr>
            </w:pPr>
            <w:r w:rsidRPr="008F16D6">
              <w:rPr>
                <w:rFonts w:cs="Arial"/>
              </w:rPr>
              <w:t>Okvirna konvencija Ujedinjenih naroda o promjeni klime</w:t>
            </w:r>
          </w:p>
        </w:tc>
      </w:tr>
      <w:tr w:rsidR="008F16D6" w:rsidRPr="008F16D6" w14:paraId="7E7F27E0" w14:textId="77777777" w:rsidTr="00AF6B8C">
        <w:trPr>
          <w:cantSplit/>
        </w:trPr>
        <w:tc>
          <w:tcPr>
            <w:tcW w:w="1696" w:type="dxa"/>
            <w:shd w:val="clear" w:color="auto" w:fill="auto"/>
            <w:vAlign w:val="top"/>
          </w:tcPr>
          <w:p w14:paraId="0BDAA70F" w14:textId="77777777" w:rsidR="008F16D6" w:rsidRPr="008F16D6" w:rsidRDefault="008F16D6" w:rsidP="008F16D6">
            <w:pPr>
              <w:suppressAutoHyphens/>
              <w:spacing w:before="120" w:after="120"/>
              <w:jc w:val="right"/>
              <w:rPr>
                <w:rFonts w:cs="Arial"/>
                <w:b/>
              </w:rPr>
            </w:pPr>
            <w:r w:rsidRPr="008F16D6">
              <w:rPr>
                <w:rFonts w:cs="Arial"/>
                <w:b/>
              </w:rPr>
              <w:t>UPP</w:t>
            </w:r>
          </w:p>
        </w:tc>
        <w:tc>
          <w:tcPr>
            <w:tcW w:w="7366" w:type="dxa"/>
            <w:shd w:val="clear" w:color="auto" w:fill="auto"/>
          </w:tcPr>
          <w:p w14:paraId="5E47AB30" w14:textId="77777777" w:rsidR="008F16D6" w:rsidRPr="008F16D6" w:rsidRDefault="008F16D6" w:rsidP="008F16D6">
            <w:pPr>
              <w:suppressAutoHyphens/>
              <w:spacing w:before="120" w:after="120"/>
              <w:rPr>
                <w:rFonts w:cs="Arial"/>
              </w:rPr>
            </w:pPr>
            <w:r w:rsidRPr="008F16D6">
              <w:rPr>
                <w:rFonts w:cs="Arial"/>
              </w:rPr>
              <w:t>ukapljeni prirodni plin</w:t>
            </w:r>
          </w:p>
        </w:tc>
      </w:tr>
      <w:tr w:rsidR="008F16D6" w:rsidRPr="008F16D6" w14:paraId="6AB14050" w14:textId="77777777" w:rsidTr="00AF6B8C">
        <w:trPr>
          <w:cantSplit/>
        </w:trPr>
        <w:tc>
          <w:tcPr>
            <w:tcW w:w="1696" w:type="dxa"/>
            <w:shd w:val="clear" w:color="auto" w:fill="auto"/>
            <w:vAlign w:val="top"/>
          </w:tcPr>
          <w:p w14:paraId="6F29BB9A" w14:textId="77777777" w:rsidR="008F16D6" w:rsidRPr="008F16D6" w:rsidRDefault="008F16D6" w:rsidP="008F16D6">
            <w:pPr>
              <w:suppressAutoHyphens/>
              <w:spacing w:before="120" w:after="120"/>
              <w:jc w:val="right"/>
              <w:rPr>
                <w:rFonts w:cs="Arial"/>
                <w:b/>
              </w:rPr>
            </w:pPr>
            <w:r w:rsidRPr="008F16D6">
              <w:rPr>
                <w:rFonts w:cs="Arial"/>
                <w:b/>
              </w:rPr>
              <w:t>VE</w:t>
            </w:r>
          </w:p>
        </w:tc>
        <w:tc>
          <w:tcPr>
            <w:tcW w:w="7366" w:type="dxa"/>
            <w:shd w:val="clear" w:color="auto" w:fill="auto"/>
          </w:tcPr>
          <w:p w14:paraId="2F0EED45" w14:textId="77777777" w:rsidR="008F16D6" w:rsidRPr="008F16D6" w:rsidRDefault="008F16D6" w:rsidP="008F16D6">
            <w:pPr>
              <w:suppressAutoHyphens/>
              <w:spacing w:before="120" w:after="120"/>
              <w:rPr>
                <w:rFonts w:cs="Arial"/>
                <w:i/>
                <w:iCs/>
              </w:rPr>
            </w:pPr>
            <w:r w:rsidRPr="008F16D6">
              <w:rPr>
                <w:rFonts w:cs="Arial"/>
              </w:rPr>
              <w:t>Vjetroelektrana</w:t>
            </w:r>
          </w:p>
        </w:tc>
      </w:tr>
      <w:tr w:rsidR="008F16D6" w:rsidRPr="008F16D6" w14:paraId="1170D32E" w14:textId="77777777" w:rsidTr="00AF6B8C">
        <w:trPr>
          <w:cantSplit/>
        </w:trPr>
        <w:tc>
          <w:tcPr>
            <w:tcW w:w="1696" w:type="dxa"/>
            <w:shd w:val="clear" w:color="auto" w:fill="auto"/>
            <w:vAlign w:val="top"/>
          </w:tcPr>
          <w:p w14:paraId="2CFD2B82" w14:textId="77777777" w:rsidR="008F16D6" w:rsidRPr="008F16D6" w:rsidRDefault="008F16D6" w:rsidP="008F16D6">
            <w:pPr>
              <w:suppressAutoHyphens/>
              <w:spacing w:before="120" w:after="120"/>
              <w:jc w:val="right"/>
              <w:rPr>
                <w:rFonts w:cs="Arial"/>
                <w:b/>
              </w:rPr>
            </w:pPr>
          </w:p>
        </w:tc>
        <w:tc>
          <w:tcPr>
            <w:tcW w:w="7366" w:type="dxa"/>
            <w:shd w:val="clear" w:color="auto" w:fill="auto"/>
          </w:tcPr>
          <w:p w14:paraId="077AEA07" w14:textId="77777777" w:rsidR="008F16D6" w:rsidRPr="008F16D6" w:rsidRDefault="008F16D6" w:rsidP="008F16D6">
            <w:pPr>
              <w:suppressAutoHyphens/>
              <w:spacing w:before="120" w:after="120"/>
              <w:rPr>
                <w:rFonts w:cs="Arial"/>
                <w:i/>
                <w:iCs/>
              </w:rPr>
            </w:pPr>
          </w:p>
        </w:tc>
      </w:tr>
    </w:tbl>
    <w:p w14:paraId="30624DE0" w14:textId="77777777" w:rsidR="008F16D6" w:rsidRPr="008F16D6" w:rsidRDefault="008F16D6" w:rsidP="008F16D6">
      <w:pPr>
        <w:suppressAutoHyphens/>
        <w:spacing w:before="240" w:after="120" w:line="288" w:lineRule="auto"/>
        <w:jc w:val="both"/>
        <w:rPr>
          <w:rFonts w:ascii="Arial" w:eastAsia="Arial" w:hAnsi="Arial" w:cs="Times New Roman"/>
          <w:lang w:eastAsia="hr-HR"/>
        </w:rPr>
      </w:pPr>
    </w:p>
    <w:sectPr w:rsidR="008F16D6" w:rsidRPr="008F16D6" w:rsidSect="00B060CF">
      <w:footerReference w:type="default" r:id="rId42"/>
      <w:footerReference w:type="first" r:id="rId43"/>
      <w:pgSz w:w="11907" w:h="16839" w:code="9"/>
      <w:pgMar w:top="1417" w:right="1417" w:bottom="1276" w:left="1417" w:header="964" w:footer="907"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91B1936" w16cid:durableId="2149DBF2"/>
  <w16cid:commentId w16cid:paraId="08955236" w16cid:durableId="2149DBF3"/>
  <w16cid:commentId w16cid:paraId="637F9145" w16cid:durableId="2149DC92"/>
  <w16cid:commentId w16cid:paraId="62F43C4B" w16cid:durableId="2149DBF4"/>
  <w16cid:commentId w16cid:paraId="4EB9EABA" w16cid:durableId="2149E077"/>
  <w16cid:commentId w16cid:paraId="1CC1CFB7" w16cid:durableId="2149DBF5"/>
  <w16cid:commentId w16cid:paraId="524A5D4C" w16cid:durableId="2149E176"/>
  <w16cid:commentId w16cid:paraId="25827E5E" w16cid:durableId="2149DBF6"/>
  <w16cid:commentId w16cid:paraId="3FC27EA7" w16cid:durableId="2149DBF7"/>
  <w16cid:commentId w16cid:paraId="23819B45" w16cid:durableId="2149DDAF"/>
  <w16cid:commentId w16cid:paraId="164A3759" w16cid:durableId="2149DBF8"/>
  <w16cid:commentId w16cid:paraId="262D5B7C" w16cid:durableId="2149DBF9"/>
  <w16cid:commentId w16cid:paraId="351B5F64" w16cid:durableId="2149DE27"/>
  <w16cid:commentId w16cid:paraId="5DC5A19A" w16cid:durableId="2149DBFA"/>
  <w16cid:commentId w16cid:paraId="3852C95C" w16cid:durableId="2149DEC4"/>
  <w16cid:commentId w16cid:paraId="35862D95" w16cid:durableId="2149DBFB"/>
  <w16cid:commentId w16cid:paraId="57DDADE7" w16cid:durableId="2149DBFC"/>
  <w16cid:commentId w16cid:paraId="425057B2" w16cid:durableId="2149DBFD"/>
  <w16cid:commentId w16cid:paraId="4F573A43" w16cid:durableId="2149DBFE"/>
  <w16cid:commentId w16cid:paraId="51E3D95A" w16cid:durableId="2149DBFF"/>
  <w16cid:commentId w16cid:paraId="2D164024" w16cid:durableId="2149DFD2"/>
  <w16cid:commentId w16cid:paraId="383BA060" w16cid:durableId="2149DC00"/>
  <w16cid:commentId w16cid:paraId="07595306" w16cid:durableId="2149DC0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2FD305" w14:textId="77777777" w:rsidR="00956B9B" w:rsidRDefault="00956B9B" w:rsidP="00F20CAC">
      <w:pPr>
        <w:spacing w:after="0" w:line="240" w:lineRule="auto"/>
      </w:pPr>
      <w:r>
        <w:separator/>
      </w:r>
    </w:p>
  </w:endnote>
  <w:endnote w:type="continuationSeparator" w:id="0">
    <w:p w14:paraId="495A6A28" w14:textId="77777777" w:rsidR="00956B9B" w:rsidRDefault="00956B9B" w:rsidP="00F20C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Cond">
    <w:altName w:val="Arial"/>
    <w:panose1 w:val="00000000000000000000"/>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yriad Pro">
    <w:altName w:val="Times New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ArialNarrow">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528F4" w14:textId="77777777" w:rsidR="00D93B2B" w:rsidRPr="00CE78D1" w:rsidRDefault="00D93B2B" w:rsidP="00AF6B8C">
    <w:pPr>
      <w:pStyle w:val="Footer"/>
      <w:pBdr>
        <w:top w:val="single" w:sz="4" w:space="1" w:color="404040" w:themeColor="text1" w:themeTint="BF"/>
      </w:pBdr>
      <w:jc w:val="center"/>
      <w:rPr>
        <w:color w:val="404040" w:themeColor="text1" w:themeTint="BF"/>
        <w:spacing w:val="20"/>
        <w:sz w:val="20"/>
      </w:rPr>
    </w:pPr>
    <w:r w:rsidRPr="00CE78D1">
      <w:rPr>
        <w:color w:val="404040" w:themeColor="text1" w:themeTint="BF"/>
        <w:spacing w:val="20"/>
        <w:sz w:val="20"/>
      </w:rPr>
      <w:t>Banski dvori | Trg Sv. Marka 2  | 10000 Zagreb | tel. 01 4569 2</w:t>
    </w:r>
    <w:r>
      <w:rPr>
        <w:color w:val="404040" w:themeColor="text1" w:themeTint="BF"/>
        <w:spacing w:val="20"/>
        <w:sz w:val="20"/>
      </w:rPr>
      <w:t>22</w:t>
    </w:r>
    <w:r w:rsidRPr="00CE78D1">
      <w:rPr>
        <w:color w:val="404040" w:themeColor="text1" w:themeTint="BF"/>
        <w:spacing w:val="20"/>
        <w:sz w:val="20"/>
      </w:rPr>
      <w:t xml:space="preserve"> | vlada.gov.hr</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118"/>
      <w:gridCol w:w="3118"/>
      <w:gridCol w:w="3118"/>
    </w:tblGrid>
    <w:tr w:rsidR="00D93B2B" w14:paraId="361F21CF" w14:textId="77777777" w:rsidTr="00AF6B8C">
      <w:tc>
        <w:tcPr>
          <w:tcW w:w="3118" w:type="dxa"/>
        </w:tcPr>
        <w:p w14:paraId="3AD2A8F5" w14:textId="77777777" w:rsidR="00D93B2B" w:rsidRDefault="00D93B2B" w:rsidP="00AF6B8C">
          <w:pPr>
            <w:pStyle w:val="Header"/>
            <w:ind w:left="-115"/>
          </w:pPr>
        </w:p>
      </w:tc>
      <w:tc>
        <w:tcPr>
          <w:tcW w:w="3118" w:type="dxa"/>
        </w:tcPr>
        <w:p w14:paraId="3EA89972" w14:textId="77777777" w:rsidR="00D93B2B" w:rsidRDefault="00D93B2B" w:rsidP="00AF6B8C">
          <w:pPr>
            <w:pStyle w:val="Header"/>
            <w:jc w:val="center"/>
          </w:pPr>
        </w:p>
      </w:tc>
      <w:tc>
        <w:tcPr>
          <w:tcW w:w="3118" w:type="dxa"/>
        </w:tcPr>
        <w:p w14:paraId="65137291" w14:textId="77777777" w:rsidR="00D93B2B" w:rsidRDefault="00D93B2B" w:rsidP="00AF6B8C">
          <w:pPr>
            <w:pStyle w:val="Header"/>
            <w:ind w:right="-115"/>
            <w:jc w:val="right"/>
          </w:pPr>
        </w:p>
      </w:tc>
    </w:tr>
  </w:tbl>
  <w:p w14:paraId="6360C2B6" w14:textId="77777777" w:rsidR="00D93B2B" w:rsidRDefault="00D93B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724584"/>
      <w:docPartObj>
        <w:docPartGallery w:val="Page Numbers (Bottom of Page)"/>
        <w:docPartUnique/>
      </w:docPartObj>
    </w:sdtPr>
    <w:sdtEndPr/>
    <w:sdtContent>
      <w:p w14:paraId="23D2E3AF" w14:textId="2013A9B3" w:rsidR="00D93B2B" w:rsidRDefault="00D93B2B">
        <w:pPr>
          <w:pStyle w:val="Footer"/>
          <w:jc w:val="center"/>
        </w:pPr>
        <w:r>
          <w:fldChar w:fldCharType="begin"/>
        </w:r>
        <w:r>
          <w:instrText>PAGE   \* MERGEFORMAT</w:instrText>
        </w:r>
        <w:r>
          <w:fldChar w:fldCharType="separate"/>
        </w:r>
        <w:r w:rsidR="00580E1C">
          <w:rPr>
            <w:noProof/>
          </w:rPr>
          <w:t>1</w:t>
        </w:r>
        <w:r>
          <w:fldChar w:fldCharType="end"/>
        </w:r>
      </w:p>
    </w:sdtContent>
  </w:sdt>
  <w:p w14:paraId="6C757342" w14:textId="77777777" w:rsidR="00D93B2B" w:rsidRDefault="00D93B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042044"/>
      <w:docPartObj>
        <w:docPartGallery w:val="Page Numbers (Bottom of Page)"/>
        <w:docPartUnique/>
      </w:docPartObj>
    </w:sdtPr>
    <w:sdtEndPr/>
    <w:sdtContent>
      <w:p w14:paraId="0166ABF7" w14:textId="77777777" w:rsidR="00D93B2B" w:rsidRDefault="00580E1C">
        <w:pPr>
          <w:pStyle w:val="Footer"/>
          <w:jc w:val="center"/>
        </w:pPr>
      </w:p>
    </w:sdtContent>
  </w:sdt>
  <w:p w14:paraId="5ADFD0F6" w14:textId="77777777" w:rsidR="00D93B2B" w:rsidRDefault="00D93B2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9851923"/>
      <w:docPartObj>
        <w:docPartGallery w:val="Page Numbers (Bottom of Page)"/>
        <w:docPartUnique/>
      </w:docPartObj>
    </w:sdtPr>
    <w:sdtEndPr/>
    <w:sdtContent>
      <w:p w14:paraId="04B97637" w14:textId="77777777" w:rsidR="00D93B2B" w:rsidRDefault="00D93B2B">
        <w:pPr>
          <w:pStyle w:val="Footer"/>
          <w:jc w:val="right"/>
        </w:pPr>
        <w:r>
          <w:fldChar w:fldCharType="begin"/>
        </w:r>
        <w:r>
          <w:instrText>PAGE   \* MERGEFORMAT</w:instrText>
        </w:r>
        <w:r>
          <w:fldChar w:fldCharType="separate"/>
        </w:r>
        <w:r>
          <w:rPr>
            <w:noProof/>
          </w:rPr>
          <w:t>10</w:t>
        </w:r>
        <w:r>
          <w:fldChar w:fldCharType="end"/>
        </w:r>
      </w:p>
    </w:sdtContent>
  </w:sdt>
  <w:p w14:paraId="59F8E08A" w14:textId="77777777" w:rsidR="00D93B2B" w:rsidRPr="003A7336" w:rsidRDefault="00D93B2B" w:rsidP="003A7336">
    <w:pPr>
      <w:pStyle w:val="Header"/>
      <w:rPr>
        <w:rFonts w:ascii="Times New Roman" w:hAnsi="Times New Roman" w:cs="Times New Roman"/>
        <w:sz w:val="20"/>
        <w:szCs w:val="20"/>
      </w:rPr>
    </w:pPr>
  </w:p>
  <w:p w14:paraId="3BCAEFB1" w14:textId="77777777" w:rsidR="00D93B2B" w:rsidRDefault="00D93B2B"/>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D9059" w14:textId="179082EE" w:rsidR="00D93B2B" w:rsidRDefault="00D93B2B" w:rsidP="00B060CF">
    <w:pPr>
      <w:pStyle w:val="Footer"/>
      <w:jc w:val="center"/>
    </w:pPr>
    <w:r>
      <w:t>80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0BCB3F" w14:textId="77777777" w:rsidR="00956B9B" w:rsidRDefault="00956B9B" w:rsidP="00F20CAC">
      <w:pPr>
        <w:spacing w:after="0" w:line="240" w:lineRule="auto"/>
      </w:pPr>
      <w:r>
        <w:separator/>
      </w:r>
    </w:p>
  </w:footnote>
  <w:footnote w:type="continuationSeparator" w:id="0">
    <w:p w14:paraId="462D3EE4" w14:textId="77777777" w:rsidR="00956B9B" w:rsidRDefault="00956B9B" w:rsidP="00F20C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118"/>
      <w:gridCol w:w="3118"/>
      <w:gridCol w:w="3118"/>
    </w:tblGrid>
    <w:tr w:rsidR="00D93B2B" w14:paraId="07213487" w14:textId="77777777" w:rsidTr="00AF6B8C">
      <w:tc>
        <w:tcPr>
          <w:tcW w:w="3118" w:type="dxa"/>
        </w:tcPr>
        <w:p w14:paraId="4EE1F589" w14:textId="77777777" w:rsidR="00D93B2B" w:rsidRDefault="00D93B2B" w:rsidP="00AF6B8C">
          <w:pPr>
            <w:pStyle w:val="Header"/>
            <w:ind w:left="-115"/>
          </w:pPr>
        </w:p>
      </w:tc>
      <w:tc>
        <w:tcPr>
          <w:tcW w:w="3118" w:type="dxa"/>
        </w:tcPr>
        <w:p w14:paraId="4D9556D8" w14:textId="77777777" w:rsidR="00D93B2B" w:rsidRDefault="00D93B2B" w:rsidP="00AF6B8C">
          <w:pPr>
            <w:pStyle w:val="Header"/>
            <w:jc w:val="center"/>
          </w:pPr>
        </w:p>
      </w:tc>
      <w:tc>
        <w:tcPr>
          <w:tcW w:w="3118" w:type="dxa"/>
        </w:tcPr>
        <w:p w14:paraId="753180A5" w14:textId="77777777" w:rsidR="00D93B2B" w:rsidRDefault="00D93B2B" w:rsidP="00AF6B8C">
          <w:pPr>
            <w:pStyle w:val="Header"/>
            <w:ind w:right="-115"/>
            <w:jc w:val="right"/>
          </w:pPr>
        </w:p>
      </w:tc>
    </w:tr>
  </w:tbl>
  <w:p w14:paraId="1FE8D8D1" w14:textId="77777777" w:rsidR="00D93B2B" w:rsidRDefault="00D93B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118"/>
      <w:gridCol w:w="3118"/>
      <w:gridCol w:w="3118"/>
    </w:tblGrid>
    <w:tr w:rsidR="00D93B2B" w14:paraId="7F747A45" w14:textId="77777777" w:rsidTr="00AF6B8C">
      <w:tc>
        <w:tcPr>
          <w:tcW w:w="3118" w:type="dxa"/>
        </w:tcPr>
        <w:p w14:paraId="2063C71E" w14:textId="77777777" w:rsidR="00D93B2B" w:rsidRDefault="00D93B2B" w:rsidP="00AF6B8C">
          <w:pPr>
            <w:pStyle w:val="Header"/>
            <w:ind w:left="-115"/>
          </w:pPr>
        </w:p>
      </w:tc>
      <w:tc>
        <w:tcPr>
          <w:tcW w:w="3118" w:type="dxa"/>
        </w:tcPr>
        <w:p w14:paraId="2EDA913B" w14:textId="77777777" w:rsidR="00D93B2B" w:rsidRDefault="00D93B2B" w:rsidP="00AF6B8C">
          <w:pPr>
            <w:pStyle w:val="Header"/>
            <w:jc w:val="center"/>
          </w:pPr>
        </w:p>
      </w:tc>
      <w:tc>
        <w:tcPr>
          <w:tcW w:w="3118" w:type="dxa"/>
        </w:tcPr>
        <w:p w14:paraId="12025B47" w14:textId="77777777" w:rsidR="00D93B2B" w:rsidRDefault="00D93B2B" w:rsidP="00AF6B8C">
          <w:pPr>
            <w:pStyle w:val="Header"/>
            <w:ind w:right="-115"/>
            <w:jc w:val="right"/>
          </w:pPr>
        </w:p>
      </w:tc>
    </w:tr>
  </w:tbl>
  <w:p w14:paraId="3283B436" w14:textId="77777777" w:rsidR="00D93B2B" w:rsidRDefault="00D93B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118"/>
      <w:gridCol w:w="3118"/>
      <w:gridCol w:w="3118"/>
    </w:tblGrid>
    <w:tr w:rsidR="00D93B2B" w14:paraId="198FD3A5" w14:textId="77777777" w:rsidTr="00AF6B8C">
      <w:tc>
        <w:tcPr>
          <w:tcW w:w="3118" w:type="dxa"/>
        </w:tcPr>
        <w:sdt>
          <w:sdtPr>
            <w:id w:val="157748654"/>
            <w:docPartObj>
              <w:docPartGallery w:val="Page Numbers (Margins)"/>
              <w:docPartUnique/>
            </w:docPartObj>
          </w:sdtPr>
          <w:sdtEndPr/>
          <w:sdtContent>
            <w:p w14:paraId="2402F49B" w14:textId="77777777" w:rsidR="00D93B2B" w:rsidRDefault="00D93B2B" w:rsidP="00AF6B8C">
              <w:pPr>
                <w:pStyle w:val="Header"/>
                <w:ind w:left="-115"/>
              </w:pPr>
              <w:r>
                <w:rPr>
                  <w:noProof/>
                  <w:lang w:eastAsia="hr-HR"/>
                </w:rPr>
                <mc:AlternateContent>
                  <mc:Choice Requires="wps">
                    <w:drawing>
                      <wp:anchor distT="0" distB="0" distL="114300" distR="114300" simplePos="0" relativeHeight="251658240" behindDoc="0" locked="0" layoutInCell="0" allowOverlap="1" wp14:anchorId="20C7E652" wp14:editId="2FDB9768">
                        <wp:simplePos x="0" y="0"/>
                        <wp:positionH relativeFrom="rightMargin">
                          <wp:align>right</wp:align>
                        </wp:positionH>
                        <wp:positionV relativeFrom="margin">
                          <wp:align>center</wp:align>
                        </wp:positionV>
                        <wp:extent cx="727710" cy="329565"/>
                        <wp:effectExtent l="0" t="0" r="0" b="3810"/>
                        <wp:wrapNone/>
                        <wp:docPr id="5" name="Pravokutni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6D366" w14:textId="77777777" w:rsidR="00D93B2B" w:rsidRDefault="00D93B2B">
                                    <w:pPr>
                                      <w:pBdr>
                                        <w:bottom w:val="single" w:sz="4" w:space="1" w:color="auto"/>
                                      </w:pBdr>
                                    </w:pP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20C7E652" id="Pravokutnik 5" o:spid="_x0000_s1026" style="position:absolute;left:0;text-align:left;margin-left:6.1pt;margin-top:0;width:57.3pt;height:25.95pt;z-index:25165824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" o:allowincell="f" stroked="f">
                        <v:textbox>
                          <w:txbxContent>
                            <w:p w14:paraId="6376D366" w14:textId="77777777" w:rsidR="00D93B2B" w:rsidRDefault="00D93B2B">
                              <w:pPr>
                                <w:pBdr>
                                  <w:bottom w:val="single" w:sz="4" w:space="1" w:color="auto"/>
                                </w:pBdr>
                              </w:pPr>
                            </w:p>
                          </w:txbxContent>
                        </v:textbox>
                        <w10:wrap anchorx="margin" anchory="margin"/>
                      </v:rect>
                    </w:pict>
                  </mc:Fallback>
                </mc:AlternateContent>
              </w:r>
            </w:p>
          </w:sdtContent>
        </w:sdt>
      </w:tc>
      <w:tc>
        <w:tcPr>
          <w:tcW w:w="3118" w:type="dxa"/>
        </w:tcPr>
        <w:p w14:paraId="206EB0A8" w14:textId="77777777" w:rsidR="00D93B2B" w:rsidRDefault="00D93B2B" w:rsidP="00AF6B8C">
          <w:pPr>
            <w:pStyle w:val="Header"/>
            <w:jc w:val="center"/>
          </w:pPr>
        </w:p>
      </w:tc>
      <w:tc>
        <w:tcPr>
          <w:tcW w:w="3118" w:type="dxa"/>
        </w:tcPr>
        <w:p w14:paraId="517BE869" w14:textId="77777777" w:rsidR="00D93B2B" w:rsidRDefault="00D93B2B" w:rsidP="00AF6B8C">
          <w:pPr>
            <w:pStyle w:val="Header"/>
            <w:ind w:right="-115"/>
            <w:jc w:val="right"/>
          </w:pPr>
        </w:p>
      </w:tc>
    </w:tr>
  </w:tbl>
  <w:p w14:paraId="3DB73011" w14:textId="77777777" w:rsidR="00D93B2B" w:rsidRDefault="00D93B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FA358A" w14:textId="77777777" w:rsidR="00D93B2B" w:rsidRPr="00CB075D" w:rsidRDefault="00D93B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D26E7B28"/>
    <w:lvl w:ilvl="0">
      <w:start w:val="1"/>
      <w:numFmt w:val="bullet"/>
      <w:pStyle w:val="Literatura"/>
      <w:lvlText w:val=""/>
      <w:lvlJc w:val="left"/>
      <w:pPr>
        <w:tabs>
          <w:tab w:val="num" w:pos="849"/>
        </w:tabs>
        <w:ind w:left="849" w:hanging="360"/>
      </w:pPr>
      <w:rPr>
        <w:rFonts w:ascii="Symbol" w:hAnsi="Symbol" w:hint="default"/>
      </w:rPr>
    </w:lvl>
  </w:abstractNum>
  <w:abstractNum w:abstractNumId="1" w15:restartNumberingAfterBreak="0">
    <w:nsid w:val="FFFFFF89"/>
    <w:multiLevelType w:val="singleLevel"/>
    <w:tmpl w:val="DB64084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4937EE6"/>
    <w:multiLevelType w:val="hybridMultilevel"/>
    <w:tmpl w:val="F0D825FA"/>
    <w:lvl w:ilvl="0" w:tplc="D0E2028C">
      <w:start w:val="1"/>
      <w:numFmt w:val="bullet"/>
      <w:pStyle w:val="Bullets"/>
      <w:lvlText w:val=""/>
      <w:lvlJc w:val="left"/>
      <w:pPr>
        <w:tabs>
          <w:tab w:val="num" w:pos="643"/>
        </w:tabs>
        <w:ind w:left="643" w:hanging="28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18D5B7D"/>
    <w:multiLevelType w:val="hybridMultilevel"/>
    <w:tmpl w:val="3CE6CF7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 w15:restartNumberingAfterBreak="0">
    <w:nsid w:val="229E3039"/>
    <w:multiLevelType w:val="hybridMultilevel"/>
    <w:tmpl w:val="77DCA550"/>
    <w:lvl w:ilvl="0" w:tplc="041A0019">
      <w:start w:val="1"/>
      <w:numFmt w:val="lowerLetter"/>
      <w:lvlText w:val="%1."/>
      <w:lvlJc w:val="left"/>
      <w:pPr>
        <w:ind w:left="654" w:hanging="360"/>
      </w:pPr>
    </w:lvl>
    <w:lvl w:ilvl="1" w:tplc="041A0019" w:tentative="1">
      <w:start w:val="1"/>
      <w:numFmt w:val="lowerLetter"/>
      <w:lvlText w:val="%2."/>
      <w:lvlJc w:val="left"/>
      <w:pPr>
        <w:ind w:left="1374" w:hanging="360"/>
      </w:pPr>
    </w:lvl>
    <w:lvl w:ilvl="2" w:tplc="041A001B" w:tentative="1">
      <w:start w:val="1"/>
      <w:numFmt w:val="lowerRoman"/>
      <w:lvlText w:val="%3."/>
      <w:lvlJc w:val="right"/>
      <w:pPr>
        <w:ind w:left="2094" w:hanging="180"/>
      </w:pPr>
    </w:lvl>
    <w:lvl w:ilvl="3" w:tplc="041A000F" w:tentative="1">
      <w:start w:val="1"/>
      <w:numFmt w:val="decimal"/>
      <w:lvlText w:val="%4."/>
      <w:lvlJc w:val="left"/>
      <w:pPr>
        <w:ind w:left="2814" w:hanging="360"/>
      </w:pPr>
    </w:lvl>
    <w:lvl w:ilvl="4" w:tplc="041A0019" w:tentative="1">
      <w:start w:val="1"/>
      <w:numFmt w:val="lowerLetter"/>
      <w:lvlText w:val="%5."/>
      <w:lvlJc w:val="left"/>
      <w:pPr>
        <w:ind w:left="3534" w:hanging="360"/>
      </w:pPr>
    </w:lvl>
    <w:lvl w:ilvl="5" w:tplc="041A001B" w:tentative="1">
      <w:start w:val="1"/>
      <w:numFmt w:val="lowerRoman"/>
      <w:lvlText w:val="%6."/>
      <w:lvlJc w:val="right"/>
      <w:pPr>
        <w:ind w:left="4254" w:hanging="180"/>
      </w:pPr>
    </w:lvl>
    <w:lvl w:ilvl="6" w:tplc="041A000F" w:tentative="1">
      <w:start w:val="1"/>
      <w:numFmt w:val="decimal"/>
      <w:lvlText w:val="%7."/>
      <w:lvlJc w:val="left"/>
      <w:pPr>
        <w:ind w:left="4974" w:hanging="360"/>
      </w:pPr>
    </w:lvl>
    <w:lvl w:ilvl="7" w:tplc="041A0019" w:tentative="1">
      <w:start w:val="1"/>
      <w:numFmt w:val="lowerLetter"/>
      <w:lvlText w:val="%8."/>
      <w:lvlJc w:val="left"/>
      <w:pPr>
        <w:ind w:left="5694" w:hanging="360"/>
      </w:pPr>
    </w:lvl>
    <w:lvl w:ilvl="8" w:tplc="041A001B" w:tentative="1">
      <w:start w:val="1"/>
      <w:numFmt w:val="lowerRoman"/>
      <w:lvlText w:val="%9."/>
      <w:lvlJc w:val="right"/>
      <w:pPr>
        <w:ind w:left="6414" w:hanging="180"/>
      </w:pPr>
    </w:lvl>
  </w:abstractNum>
  <w:abstractNum w:abstractNumId="5" w15:restartNumberingAfterBreak="0">
    <w:nsid w:val="248D66BF"/>
    <w:multiLevelType w:val="hybridMultilevel"/>
    <w:tmpl w:val="DF428C32"/>
    <w:lvl w:ilvl="0" w:tplc="04090001">
      <w:start w:val="1"/>
      <w:numFmt w:val="bullet"/>
      <w:lvlText w:val=""/>
      <w:lvlJc w:val="left"/>
      <w:pPr>
        <w:ind w:left="720" w:hanging="360"/>
      </w:pPr>
      <w:rPr>
        <w:rFonts w:ascii="Symbol" w:hAnsi="Symbol" w:hint="default"/>
      </w:rPr>
    </w:lvl>
    <w:lvl w:ilvl="1" w:tplc="65E0B8E2">
      <w:start w:val="1"/>
      <w:numFmt w:val="bullet"/>
      <w:lvlText w:val=""/>
      <w:lvlJc w:val="left"/>
      <w:pPr>
        <w:ind w:left="1440" w:hanging="360"/>
      </w:pPr>
      <w:rPr>
        <w:rFonts w:ascii="Symbol" w:hAnsi="Symbol" w:hint="default"/>
      </w:rPr>
    </w:lvl>
    <w:lvl w:ilvl="2" w:tplc="04090001">
      <w:start w:val="1"/>
      <w:numFmt w:val="bullet"/>
      <w:lvlText w:val=""/>
      <w:lvlJc w:val="left"/>
      <w:pPr>
        <w:ind w:left="2340" w:hanging="360"/>
      </w:pPr>
      <w:rPr>
        <w:rFonts w:ascii="Symbol" w:hAnsi="Symbol"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25FE4560"/>
    <w:multiLevelType w:val="multilevel"/>
    <w:tmpl w:val="C21C2CEA"/>
    <w:lvl w:ilvl="0">
      <w:start w:val="1"/>
      <w:numFmt w:val="decimal"/>
      <w:pStyle w:val="ListBullet5"/>
      <w:lvlText w:val="%1"/>
      <w:lvlJc w:val="left"/>
      <w:pPr>
        <w:tabs>
          <w:tab w:val="num" w:pos="255"/>
        </w:tabs>
        <w:ind w:left="0" w:firstLine="0"/>
      </w:pPr>
      <w:rPr>
        <w:rFonts w:ascii="Myriad Pro Cond" w:hAnsi="Myriad Pro Cond" w:cs="Myriad Pro Cond" w:hint="default"/>
        <w:spacing w:val="0"/>
        <w:w w:val="100"/>
        <w:kern w:val="16"/>
        <w:position w:val="0"/>
        <w:sz w:val="144"/>
        <w:szCs w:val="144"/>
      </w:rPr>
    </w:lvl>
    <w:lvl w:ilvl="1">
      <w:start w:val="1"/>
      <w:numFmt w:val="decimal"/>
      <w:lvlRestart w:val="0"/>
      <w:lvlText w:val="%1.%2"/>
      <w:lvlJc w:val="left"/>
      <w:pPr>
        <w:tabs>
          <w:tab w:val="num" w:pos="-339"/>
        </w:tabs>
        <w:ind w:left="5160" w:hanging="4196"/>
      </w:pPr>
      <w:rPr>
        <w:rFonts w:hint="default"/>
      </w:rPr>
    </w:lvl>
    <w:lvl w:ilvl="2">
      <w:start w:val="1"/>
      <w:numFmt w:val="decimal"/>
      <w:lvlRestart w:val="0"/>
      <w:lvlText w:val="%1.%2.%3"/>
      <w:lvlJc w:val="left"/>
      <w:pPr>
        <w:tabs>
          <w:tab w:val="num" w:pos="-339"/>
        </w:tabs>
        <w:ind w:left="-339" w:hanging="851"/>
      </w:pPr>
      <w:rPr>
        <w:rFonts w:hint="default"/>
      </w:rPr>
    </w:lvl>
    <w:lvl w:ilvl="3">
      <w:start w:val="1"/>
      <w:numFmt w:val="decimal"/>
      <w:lvlText w:val="%1.%2.%3.%4"/>
      <w:lvlJc w:val="left"/>
      <w:pPr>
        <w:tabs>
          <w:tab w:val="num" w:pos="331"/>
        </w:tabs>
        <w:ind w:left="330" w:hanging="850"/>
      </w:pPr>
      <w:rPr>
        <w:rFonts w:hint="default"/>
      </w:rPr>
    </w:lvl>
    <w:lvl w:ilvl="4">
      <w:start w:val="1"/>
      <w:numFmt w:val="decimal"/>
      <w:lvlText w:val="%1.%2.%3.%4.%5"/>
      <w:lvlJc w:val="left"/>
      <w:pPr>
        <w:tabs>
          <w:tab w:val="num" w:pos="488"/>
        </w:tabs>
        <w:ind w:left="488" w:hanging="1008"/>
      </w:pPr>
      <w:rPr>
        <w:rFonts w:hint="default"/>
      </w:rPr>
    </w:lvl>
    <w:lvl w:ilvl="5">
      <w:start w:val="1"/>
      <w:numFmt w:val="decimal"/>
      <w:lvlText w:val="%1.%2.%3.%4.%5.%6"/>
      <w:lvlJc w:val="left"/>
      <w:pPr>
        <w:tabs>
          <w:tab w:val="num" w:pos="632"/>
        </w:tabs>
        <w:ind w:left="632" w:hanging="1152"/>
      </w:pPr>
      <w:rPr>
        <w:rFonts w:hint="default"/>
      </w:rPr>
    </w:lvl>
    <w:lvl w:ilvl="6">
      <w:start w:val="1"/>
      <w:numFmt w:val="decimal"/>
      <w:lvlText w:val="%1.%2.%3.%4.%5.%6.%7"/>
      <w:lvlJc w:val="left"/>
      <w:pPr>
        <w:tabs>
          <w:tab w:val="num" w:pos="776"/>
        </w:tabs>
        <w:ind w:left="776" w:hanging="1296"/>
      </w:pPr>
      <w:rPr>
        <w:rFonts w:hint="default"/>
      </w:rPr>
    </w:lvl>
    <w:lvl w:ilvl="7">
      <w:start w:val="1"/>
      <w:numFmt w:val="decimal"/>
      <w:lvlText w:val="%1.%2.%3.%4.%5.%6.%7.%8"/>
      <w:lvlJc w:val="left"/>
      <w:pPr>
        <w:tabs>
          <w:tab w:val="num" w:pos="920"/>
        </w:tabs>
        <w:ind w:left="920" w:hanging="1440"/>
      </w:pPr>
      <w:rPr>
        <w:rFonts w:hint="default"/>
      </w:rPr>
    </w:lvl>
    <w:lvl w:ilvl="8">
      <w:start w:val="1"/>
      <w:numFmt w:val="decimal"/>
      <w:lvlText w:val="%1.%2.%3.%4.%5.%6.%7.%8.%9"/>
      <w:lvlJc w:val="left"/>
      <w:pPr>
        <w:tabs>
          <w:tab w:val="num" w:pos="1064"/>
        </w:tabs>
        <w:ind w:left="1064" w:hanging="1584"/>
      </w:pPr>
      <w:rPr>
        <w:rFonts w:hint="default"/>
      </w:rPr>
    </w:lvl>
  </w:abstractNum>
  <w:abstractNum w:abstractNumId="7" w15:restartNumberingAfterBreak="0">
    <w:nsid w:val="288C4BD7"/>
    <w:multiLevelType w:val="hybridMultilevel"/>
    <w:tmpl w:val="713CAAB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 w15:restartNumberingAfterBreak="0">
    <w:nsid w:val="28FB5409"/>
    <w:multiLevelType w:val="hybridMultilevel"/>
    <w:tmpl w:val="32703BF6"/>
    <w:lvl w:ilvl="0" w:tplc="628CFCE2">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936474D"/>
    <w:multiLevelType w:val="hybridMultilevel"/>
    <w:tmpl w:val="555048F2"/>
    <w:styleLink w:val="StyleBulleted"/>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0" w15:restartNumberingAfterBreak="0">
    <w:nsid w:val="294C076D"/>
    <w:multiLevelType w:val="hybridMultilevel"/>
    <w:tmpl w:val="F3D0F522"/>
    <w:lvl w:ilvl="0" w:tplc="628CFCE2">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33E3596B"/>
    <w:multiLevelType w:val="hybridMultilevel"/>
    <w:tmpl w:val="854057E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7197112"/>
    <w:multiLevelType w:val="hybridMultilevel"/>
    <w:tmpl w:val="44BE8E7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C3151DA"/>
    <w:multiLevelType w:val="hybridMultilevel"/>
    <w:tmpl w:val="B2C83A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42C3023D"/>
    <w:multiLevelType w:val="hybridMultilevel"/>
    <w:tmpl w:val="1A6016E4"/>
    <w:lvl w:ilvl="0" w:tplc="FFFFFFFF">
      <w:start w:val="1"/>
      <w:numFmt w:val="decimal"/>
      <w:pStyle w:val="zaglavlje"/>
      <w:lvlText w:val="%1."/>
      <w:lvlJc w:val="left"/>
      <w:pPr>
        <w:tabs>
          <w:tab w:val="num" w:pos="357"/>
        </w:tabs>
        <w:ind w:left="357" w:hanging="3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42F62550"/>
    <w:multiLevelType w:val="hybridMultilevel"/>
    <w:tmpl w:val="40E852EA"/>
    <w:styleLink w:val="111111"/>
    <w:lvl w:ilvl="0" w:tplc="041A0001">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 w15:restartNumberingAfterBreak="0">
    <w:nsid w:val="64F96E53"/>
    <w:multiLevelType w:val="hybridMultilevel"/>
    <w:tmpl w:val="8716D5E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6D1752BC"/>
    <w:multiLevelType w:val="multilevel"/>
    <w:tmpl w:val="6E5E80D8"/>
    <w:styleLink w:val="WWOutlineListStyle1"/>
    <w:lvl w:ilvl="0">
      <w:start w:val="1"/>
      <w:numFmt w:val="decimal"/>
      <w:pStyle w:val="Naslov11"/>
      <w:lvlText w:val="%1."/>
      <w:lvlJc w:val="left"/>
      <w:pPr>
        <w:ind w:left="720" w:hanging="360"/>
      </w:pPr>
    </w:lvl>
    <w:lvl w:ilvl="1">
      <w:start w:val="1"/>
      <w:numFmt w:val="decimal"/>
      <w:pStyle w:val="Naslov21"/>
      <w:lvlText w:val="%2."/>
      <w:lvlJc w:val="left"/>
      <w:pPr>
        <w:ind w:left="720" w:hanging="360"/>
      </w:pPr>
    </w:lvl>
    <w:lvl w:ilvl="2">
      <w:start w:val="1"/>
      <w:numFmt w:val="decimal"/>
      <w:pStyle w:val="Naslov31"/>
      <w:lvlText w:val="%1.%2.%3."/>
      <w:lvlJc w:val="left"/>
      <w:pPr>
        <w:ind w:left="2705" w:hanging="720"/>
      </w:pPr>
      <w:rPr>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aslov41"/>
      <w:lvlText w:val="%1.%2.%3.%4."/>
      <w:lvlJc w:val="left"/>
      <w:pPr>
        <w:ind w:left="2705" w:hanging="720"/>
      </w:pPr>
      <w:rPr>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15:restartNumberingAfterBreak="0">
    <w:nsid w:val="737365B4"/>
    <w:multiLevelType w:val="multilevel"/>
    <w:tmpl w:val="E550CED2"/>
    <w:styleLink w:val="WWOutlineListStyle6"/>
    <w:lvl w:ilvl="0">
      <w:start w:val="1"/>
      <w:numFmt w:val="decimal"/>
      <w:lvlText w:val="%1."/>
      <w:lvlJc w:val="left"/>
      <w:pPr>
        <w:ind w:left="720" w:hanging="360"/>
      </w:pPr>
    </w:lvl>
    <w:lvl w:ilvl="1">
      <w:start w:val="1"/>
      <w:numFmt w:val="decimal"/>
      <w:lvlText w:val="%2."/>
      <w:lvlJc w:val="left"/>
      <w:pPr>
        <w:ind w:left="720" w:hanging="360"/>
      </w:pPr>
    </w:lvl>
    <w:lvl w:ilvl="2">
      <w:start w:val="1"/>
      <w:numFmt w:val="none"/>
      <w:lvlText w:val="%3"/>
      <w:lvlJc w:val="left"/>
    </w:lvl>
    <w:lvl w:ilvl="3">
      <w:start w:val="1"/>
      <w:numFmt w:val="decimal"/>
      <w:lvlText w:val="%1.%2.%3.%4."/>
      <w:lvlJc w:val="left"/>
      <w:pPr>
        <w:ind w:left="2705" w:hanging="720"/>
      </w:pPr>
      <w:rPr>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0"/>
  </w:num>
  <w:num w:numId="2">
    <w:abstractNumId w:val="14"/>
  </w:num>
  <w:num w:numId="3">
    <w:abstractNumId w:val="6"/>
  </w:num>
  <w:num w:numId="4">
    <w:abstractNumId w:val="1"/>
  </w:num>
  <w:num w:numId="5">
    <w:abstractNumId w:val="2"/>
  </w:num>
  <w:num w:numId="6">
    <w:abstractNumId w:val="9"/>
  </w:num>
  <w:num w:numId="7">
    <w:abstractNumId w:val="16"/>
  </w:num>
  <w:num w:numId="8">
    <w:abstractNumId w:val="12"/>
  </w:num>
  <w:num w:numId="9">
    <w:abstractNumId w:val="11"/>
  </w:num>
  <w:num w:numId="10">
    <w:abstractNumId w:val="17"/>
  </w:num>
  <w:num w:numId="11">
    <w:abstractNumId w:val="5"/>
  </w:num>
  <w:num w:numId="12">
    <w:abstractNumId w:val="4"/>
  </w:num>
  <w:num w:numId="13">
    <w:abstractNumId w:val="13"/>
  </w:num>
  <w:num w:numId="14">
    <w:abstractNumId w:val="15"/>
  </w:num>
  <w:num w:numId="15">
    <w:abstractNumId w:val="18"/>
  </w:num>
  <w:num w:numId="16">
    <w:abstractNumId w:val="10"/>
  </w:num>
  <w:num w:numId="17">
    <w:abstractNumId w:val="8"/>
  </w:num>
  <w:num w:numId="18">
    <w:abstractNumId w:val="3"/>
  </w:num>
  <w:num w:numId="19">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revisionView w:inkAnnotations="0"/>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26E"/>
    <w:rsid w:val="00001DC8"/>
    <w:rsid w:val="00002E44"/>
    <w:rsid w:val="000068A0"/>
    <w:rsid w:val="00012062"/>
    <w:rsid w:val="00012A8F"/>
    <w:rsid w:val="0001470A"/>
    <w:rsid w:val="00020614"/>
    <w:rsid w:val="00020E6C"/>
    <w:rsid w:val="000213C2"/>
    <w:rsid w:val="0002215B"/>
    <w:rsid w:val="00023165"/>
    <w:rsid w:val="000265F4"/>
    <w:rsid w:val="0003077C"/>
    <w:rsid w:val="00030B0C"/>
    <w:rsid w:val="00030EA1"/>
    <w:rsid w:val="0003256A"/>
    <w:rsid w:val="00034CEB"/>
    <w:rsid w:val="00037B6D"/>
    <w:rsid w:val="00041F6F"/>
    <w:rsid w:val="00043402"/>
    <w:rsid w:val="000547F8"/>
    <w:rsid w:val="00054FE0"/>
    <w:rsid w:val="00055B58"/>
    <w:rsid w:val="000603E3"/>
    <w:rsid w:val="00061D5A"/>
    <w:rsid w:val="00062B25"/>
    <w:rsid w:val="00062CE2"/>
    <w:rsid w:val="000669F6"/>
    <w:rsid w:val="00067203"/>
    <w:rsid w:val="000702CA"/>
    <w:rsid w:val="0007030E"/>
    <w:rsid w:val="00070853"/>
    <w:rsid w:val="00072110"/>
    <w:rsid w:val="000727D9"/>
    <w:rsid w:val="0007459E"/>
    <w:rsid w:val="0007645D"/>
    <w:rsid w:val="000807F3"/>
    <w:rsid w:val="00080B96"/>
    <w:rsid w:val="00082E93"/>
    <w:rsid w:val="000838B2"/>
    <w:rsid w:val="00084BD1"/>
    <w:rsid w:val="000871C6"/>
    <w:rsid w:val="00091D9B"/>
    <w:rsid w:val="00092D2B"/>
    <w:rsid w:val="000A018D"/>
    <w:rsid w:val="000A0A74"/>
    <w:rsid w:val="000A0E17"/>
    <w:rsid w:val="000A11FA"/>
    <w:rsid w:val="000A169B"/>
    <w:rsid w:val="000A578F"/>
    <w:rsid w:val="000A77F7"/>
    <w:rsid w:val="000B0193"/>
    <w:rsid w:val="000B0963"/>
    <w:rsid w:val="000B0A4E"/>
    <w:rsid w:val="000B5E30"/>
    <w:rsid w:val="000C0018"/>
    <w:rsid w:val="000C0BB3"/>
    <w:rsid w:val="000C2184"/>
    <w:rsid w:val="000C3A86"/>
    <w:rsid w:val="000C4E77"/>
    <w:rsid w:val="000C5729"/>
    <w:rsid w:val="000C6B48"/>
    <w:rsid w:val="000D0F15"/>
    <w:rsid w:val="000D103F"/>
    <w:rsid w:val="000D5206"/>
    <w:rsid w:val="000D5524"/>
    <w:rsid w:val="000D58AD"/>
    <w:rsid w:val="000D6740"/>
    <w:rsid w:val="000E1DA1"/>
    <w:rsid w:val="000E3B79"/>
    <w:rsid w:val="000E3E82"/>
    <w:rsid w:val="000E56D5"/>
    <w:rsid w:val="000E6266"/>
    <w:rsid w:val="000E6721"/>
    <w:rsid w:val="000E684C"/>
    <w:rsid w:val="000F4271"/>
    <w:rsid w:val="000F4DD5"/>
    <w:rsid w:val="000F5692"/>
    <w:rsid w:val="000F6114"/>
    <w:rsid w:val="000F7E93"/>
    <w:rsid w:val="00101205"/>
    <w:rsid w:val="00103171"/>
    <w:rsid w:val="00103E34"/>
    <w:rsid w:val="00105ED8"/>
    <w:rsid w:val="001061C5"/>
    <w:rsid w:val="0010621F"/>
    <w:rsid w:val="001064FC"/>
    <w:rsid w:val="0010677B"/>
    <w:rsid w:val="001113C7"/>
    <w:rsid w:val="00112F2B"/>
    <w:rsid w:val="00113919"/>
    <w:rsid w:val="0011570F"/>
    <w:rsid w:val="00117713"/>
    <w:rsid w:val="00120CE0"/>
    <w:rsid w:val="001217B0"/>
    <w:rsid w:val="00121E02"/>
    <w:rsid w:val="00122728"/>
    <w:rsid w:val="00124B5A"/>
    <w:rsid w:val="00125F6D"/>
    <w:rsid w:val="001317BD"/>
    <w:rsid w:val="00131A6B"/>
    <w:rsid w:val="00131A74"/>
    <w:rsid w:val="0013462F"/>
    <w:rsid w:val="001401D3"/>
    <w:rsid w:val="001403C0"/>
    <w:rsid w:val="00140441"/>
    <w:rsid w:val="0014062F"/>
    <w:rsid w:val="001417D1"/>
    <w:rsid w:val="00142397"/>
    <w:rsid w:val="00143A4E"/>
    <w:rsid w:val="001444DB"/>
    <w:rsid w:val="00145BAA"/>
    <w:rsid w:val="00146124"/>
    <w:rsid w:val="00150408"/>
    <w:rsid w:val="00152B2E"/>
    <w:rsid w:val="001541C8"/>
    <w:rsid w:val="00154C1F"/>
    <w:rsid w:val="00155DD1"/>
    <w:rsid w:val="00156498"/>
    <w:rsid w:val="00157F67"/>
    <w:rsid w:val="001607F7"/>
    <w:rsid w:val="00161603"/>
    <w:rsid w:val="001650E7"/>
    <w:rsid w:val="00165C2F"/>
    <w:rsid w:val="00165F0C"/>
    <w:rsid w:val="00171474"/>
    <w:rsid w:val="001726F4"/>
    <w:rsid w:val="00173A59"/>
    <w:rsid w:val="00173B13"/>
    <w:rsid w:val="0017574C"/>
    <w:rsid w:val="00176FC1"/>
    <w:rsid w:val="0017725C"/>
    <w:rsid w:val="00180F9A"/>
    <w:rsid w:val="00181794"/>
    <w:rsid w:val="00181BE6"/>
    <w:rsid w:val="00181F22"/>
    <w:rsid w:val="001823E1"/>
    <w:rsid w:val="00182F97"/>
    <w:rsid w:val="00183238"/>
    <w:rsid w:val="001853C8"/>
    <w:rsid w:val="001870ED"/>
    <w:rsid w:val="001872A9"/>
    <w:rsid w:val="00192626"/>
    <w:rsid w:val="001938A4"/>
    <w:rsid w:val="00193CAD"/>
    <w:rsid w:val="00195173"/>
    <w:rsid w:val="00195269"/>
    <w:rsid w:val="00195B76"/>
    <w:rsid w:val="00196885"/>
    <w:rsid w:val="00197F01"/>
    <w:rsid w:val="001A0A26"/>
    <w:rsid w:val="001A0FBD"/>
    <w:rsid w:val="001A17BD"/>
    <w:rsid w:val="001A3794"/>
    <w:rsid w:val="001A42B0"/>
    <w:rsid w:val="001A6AF2"/>
    <w:rsid w:val="001B011A"/>
    <w:rsid w:val="001B3943"/>
    <w:rsid w:val="001B4336"/>
    <w:rsid w:val="001B46A9"/>
    <w:rsid w:val="001B6A41"/>
    <w:rsid w:val="001C08EA"/>
    <w:rsid w:val="001C2674"/>
    <w:rsid w:val="001C2A18"/>
    <w:rsid w:val="001C2D59"/>
    <w:rsid w:val="001C5024"/>
    <w:rsid w:val="001C609C"/>
    <w:rsid w:val="001C68F7"/>
    <w:rsid w:val="001C72E5"/>
    <w:rsid w:val="001D02DB"/>
    <w:rsid w:val="001D0CE0"/>
    <w:rsid w:val="001D4C1C"/>
    <w:rsid w:val="001D5395"/>
    <w:rsid w:val="001D5C6A"/>
    <w:rsid w:val="001D5D8E"/>
    <w:rsid w:val="001D6446"/>
    <w:rsid w:val="001D7589"/>
    <w:rsid w:val="001D7832"/>
    <w:rsid w:val="001D7B7A"/>
    <w:rsid w:val="001D7EDA"/>
    <w:rsid w:val="001D7F03"/>
    <w:rsid w:val="001E15BB"/>
    <w:rsid w:val="001E17E9"/>
    <w:rsid w:val="001E1F18"/>
    <w:rsid w:val="001E34C0"/>
    <w:rsid w:val="001E36BE"/>
    <w:rsid w:val="001E48DD"/>
    <w:rsid w:val="001E4CCC"/>
    <w:rsid w:val="001E6779"/>
    <w:rsid w:val="001E7157"/>
    <w:rsid w:val="001F4506"/>
    <w:rsid w:val="001F4823"/>
    <w:rsid w:val="001F4861"/>
    <w:rsid w:val="001F4C81"/>
    <w:rsid w:val="00203037"/>
    <w:rsid w:val="002036AB"/>
    <w:rsid w:val="00214AE0"/>
    <w:rsid w:val="002150A4"/>
    <w:rsid w:val="00220C7C"/>
    <w:rsid w:val="00221AE3"/>
    <w:rsid w:val="002257CA"/>
    <w:rsid w:val="0022710D"/>
    <w:rsid w:val="00227E17"/>
    <w:rsid w:val="0023180B"/>
    <w:rsid w:val="002346BD"/>
    <w:rsid w:val="002359EA"/>
    <w:rsid w:val="002378D0"/>
    <w:rsid w:val="00237A44"/>
    <w:rsid w:val="00240588"/>
    <w:rsid w:val="00242F21"/>
    <w:rsid w:val="0024427E"/>
    <w:rsid w:val="00246E40"/>
    <w:rsid w:val="002472B1"/>
    <w:rsid w:val="002503D1"/>
    <w:rsid w:val="002505A1"/>
    <w:rsid w:val="002506B5"/>
    <w:rsid w:val="0025276E"/>
    <w:rsid w:val="002527F8"/>
    <w:rsid w:val="00260ED5"/>
    <w:rsid w:val="00265741"/>
    <w:rsid w:val="002667A4"/>
    <w:rsid w:val="002671FE"/>
    <w:rsid w:val="00267261"/>
    <w:rsid w:val="00267964"/>
    <w:rsid w:val="002679F8"/>
    <w:rsid w:val="00270238"/>
    <w:rsid w:val="0027030C"/>
    <w:rsid w:val="0027112A"/>
    <w:rsid w:val="002746A4"/>
    <w:rsid w:val="00275321"/>
    <w:rsid w:val="00280C8A"/>
    <w:rsid w:val="00283DF9"/>
    <w:rsid w:val="0028408C"/>
    <w:rsid w:val="00284ED2"/>
    <w:rsid w:val="00287FE4"/>
    <w:rsid w:val="002945E6"/>
    <w:rsid w:val="00294EE3"/>
    <w:rsid w:val="00295E60"/>
    <w:rsid w:val="00295F7D"/>
    <w:rsid w:val="00295F90"/>
    <w:rsid w:val="0029799C"/>
    <w:rsid w:val="00297B92"/>
    <w:rsid w:val="002A00BC"/>
    <w:rsid w:val="002A2108"/>
    <w:rsid w:val="002A2C78"/>
    <w:rsid w:val="002A3D34"/>
    <w:rsid w:val="002A400A"/>
    <w:rsid w:val="002A6E47"/>
    <w:rsid w:val="002A7F37"/>
    <w:rsid w:val="002B4150"/>
    <w:rsid w:val="002B5490"/>
    <w:rsid w:val="002B6CF7"/>
    <w:rsid w:val="002B7BE3"/>
    <w:rsid w:val="002C0D4D"/>
    <w:rsid w:val="002C3473"/>
    <w:rsid w:val="002C3B62"/>
    <w:rsid w:val="002C45D7"/>
    <w:rsid w:val="002C5054"/>
    <w:rsid w:val="002D0FFC"/>
    <w:rsid w:val="002D21E5"/>
    <w:rsid w:val="002D2B62"/>
    <w:rsid w:val="002D34B1"/>
    <w:rsid w:val="002D6126"/>
    <w:rsid w:val="002E0B49"/>
    <w:rsid w:val="002E254E"/>
    <w:rsid w:val="002E267B"/>
    <w:rsid w:val="002E36F5"/>
    <w:rsid w:val="002E45A6"/>
    <w:rsid w:val="002E4E3F"/>
    <w:rsid w:val="002E5710"/>
    <w:rsid w:val="002E5B37"/>
    <w:rsid w:val="002E6979"/>
    <w:rsid w:val="002E7940"/>
    <w:rsid w:val="002E7B7F"/>
    <w:rsid w:val="002F04E1"/>
    <w:rsid w:val="002F1F02"/>
    <w:rsid w:val="002F2B56"/>
    <w:rsid w:val="002F7A38"/>
    <w:rsid w:val="002F7F52"/>
    <w:rsid w:val="003032E1"/>
    <w:rsid w:val="003035F6"/>
    <w:rsid w:val="00304A7B"/>
    <w:rsid w:val="00304F8D"/>
    <w:rsid w:val="00306208"/>
    <w:rsid w:val="00306972"/>
    <w:rsid w:val="00306E3D"/>
    <w:rsid w:val="00307635"/>
    <w:rsid w:val="00307B31"/>
    <w:rsid w:val="003109FC"/>
    <w:rsid w:val="003114DD"/>
    <w:rsid w:val="00311769"/>
    <w:rsid w:val="00312B51"/>
    <w:rsid w:val="00313B93"/>
    <w:rsid w:val="003150DE"/>
    <w:rsid w:val="00317F98"/>
    <w:rsid w:val="00321C4E"/>
    <w:rsid w:val="0032300E"/>
    <w:rsid w:val="00325468"/>
    <w:rsid w:val="00327EB9"/>
    <w:rsid w:val="0033104C"/>
    <w:rsid w:val="0033190F"/>
    <w:rsid w:val="00331C71"/>
    <w:rsid w:val="00333294"/>
    <w:rsid w:val="00334326"/>
    <w:rsid w:val="00334811"/>
    <w:rsid w:val="003353BF"/>
    <w:rsid w:val="003362FF"/>
    <w:rsid w:val="00336F0B"/>
    <w:rsid w:val="00337CA4"/>
    <w:rsid w:val="0034121E"/>
    <w:rsid w:val="0034198E"/>
    <w:rsid w:val="00341D7B"/>
    <w:rsid w:val="00344670"/>
    <w:rsid w:val="0034734E"/>
    <w:rsid w:val="00347786"/>
    <w:rsid w:val="00350CD7"/>
    <w:rsid w:val="00353BC7"/>
    <w:rsid w:val="00353BE7"/>
    <w:rsid w:val="00353CD8"/>
    <w:rsid w:val="00353DA0"/>
    <w:rsid w:val="003547AB"/>
    <w:rsid w:val="00354D71"/>
    <w:rsid w:val="00354F5A"/>
    <w:rsid w:val="00355A8A"/>
    <w:rsid w:val="00361A4D"/>
    <w:rsid w:val="00363E67"/>
    <w:rsid w:val="003674E1"/>
    <w:rsid w:val="003675F4"/>
    <w:rsid w:val="00367CED"/>
    <w:rsid w:val="0037044B"/>
    <w:rsid w:val="00370937"/>
    <w:rsid w:val="00372150"/>
    <w:rsid w:val="00372BD4"/>
    <w:rsid w:val="00372E73"/>
    <w:rsid w:val="00377280"/>
    <w:rsid w:val="00381937"/>
    <w:rsid w:val="00383CAF"/>
    <w:rsid w:val="00384700"/>
    <w:rsid w:val="00384A26"/>
    <w:rsid w:val="00386307"/>
    <w:rsid w:val="00391A5F"/>
    <w:rsid w:val="00394544"/>
    <w:rsid w:val="00397878"/>
    <w:rsid w:val="003A189C"/>
    <w:rsid w:val="003A1915"/>
    <w:rsid w:val="003A321C"/>
    <w:rsid w:val="003A3CAC"/>
    <w:rsid w:val="003A4E1C"/>
    <w:rsid w:val="003A6687"/>
    <w:rsid w:val="003A7336"/>
    <w:rsid w:val="003A7881"/>
    <w:rsid w:val="003B025A"/>
    <w:rsid w:val="003B0EFC"/>
    <w:rsid w:val="003B1385"/>
    <w:rsid w:val="003B32DF"/>
    <w:rsid w:val="003B4016"/>
    <w:rsid w:val="003B4720"/>
    <w:rsid w:val="003B67E1"/>
    <w:rsid w:val="003C0C98"/>
    <w:rsid w:val="003C0DD5"/>
    <w:rsid w:val="003C100C"/>
    <w:rsid w:val="003C3661"/>
    <w:rsid w:val="003C57F5"/>
    <w:rsid w:val="003D255F"/>
    <w:rsid w:val="003E3B52"/>
    <w:rsid w:val="003E44E3"/>
    <w:rsid w:val="003E59C1"/>
    <w:rsid w:val="003E64F1"/>
    <w:rsid w:val="003E7D03"/>
    <w:rsid w:val="003F0374"/>
    <w:rsid w:val="003F2239"/>
    <w:rsid w:val="003F5B2A"/>
    <w:rsid w:val="003F5E58"/>
    <w:rsid w:val="003F6BB4"/>
    <w:rsid w:val="003F768C"/>
    <w:rsid w:val="0040073F"/>
    <w:rsid w:val="0040448C"/>
    <w:rsid w:val="004047B4"/>
    <w:rsid w:val="00406C16"/>
    <w:rsid w:val="0041321B"/>
    <w:rsid w:val="00413E5E"/>
    <w:rsid w:val="00417187"/>
    <w:rsid w:val="004174F7"/>
    <w:rsid w:val="00417F9A"/>
    <w:rsid w:val="0042312F"/>
    <w:rsid w:val="00432733"/>
    <w:rsid w:val="0043275E"/>
    <w:rsid w:val="00432813"/>
    <w:rsid w:val="0043318F"/>
    <w:rsid w:val="0043386B"/>
    <w:rsid w:val="00433D37"/>
    <w:rsid w:val="00433E30"/>
    <w:rsid w:val="00433EAB"/>
    <w:rsid w:val="00434E82"/>
    <w:rsid w:val="004363D5"/>
    <w:rsid w:val="00436ECE"/>
    <w:rsid w:val="00437FB6"/>
    <w:rsid w:val="00442857"/>
    <w:rsid w:val="00443F1C"/>
    <w:rsid w:val="004453CF"/>
    <w:rsid w:val="004454F7"/>
    <w:rsid w:val="00445ACB"/>
    <w:rsid w:val="004465E4"/>
    <w:rsid w:val="00450172"/>
    <w:rsid w:val="00451C17"/>
    <w:rsid w:val="00452D44"/>
    <w:rsid w:val="004535B6"/>
    <w:rsid w:val="00453767"/>
    <w:rsid w:val="00456E28"/>
    <w:rsid w:val="0046042E"/>
    <w:rsid w:val="00460764"/>
    <w:rsid w:val="00462503"/>
    <w:rsid w:val="00463739"/>
    <w:rsid w:val="00463BA6"/>
    <w:rsid w:val="00464E93"/>
    <w:rsid w:val="0046572C"/>
    <w:rsid w:val="00465B03"/>
    <w:rsid w:val="00466A5D"/>
    <w:rsid w:val="00466BEE"/>
    <w:rsid w:val="0047381A"/>
    <w:rsid w:val="00481F16"/>
    <w:rsid w:val="00482048"/>
    <w:rsid w:val="00482A41"/>
    <w:rsid w:val="0048308A"/>
    <w:rsid w:val="00483C34"/>
    <w:rsid w:val="004841EA"/>
    <w:rsid w:val="00484370"/>
    <w:rsid w:val="0048520E"/>
    <w:rsid w:val="00487E45"/>
    <w:rsid w:val="004915B0"/>
    <w:rsid w:val="00492435"/>
    <w:rsid w:val="004A1C2B"/>
    <w:rsid w:val="004A731F"/>
    <w:rsid w:val="004A7C83"/>
    <w:rsid w:val="004B0953"/>
    <w:rsid w:val="004B21C9"/>
    <w:rsid w:val="004B3274"/>
    <w:rsid w:val="004B3F9B"/>
    <w:rsid w:val="004B443E"/>
    <w:rsid w:val="004B61EB"/>
    <w:rsid w:val="004B7150"/>
    <w:rsid w:val="004C0417"/>
    <w:rsid w:val="004C0A7F"/>
    <w:rsid w:val="004C1807"/>
    <w:rsid w:val="004C30CD"/>
    <w:rsid w:val="004C4011"/>
    <w:rsid w:val="004C67B1"/>
    <w:rsid w:val="004C7BA0"/>
    <w:rsid w:val="004C7BCD"/>
    <w:rsid w:val="004D076D"/>
    <w:rsid w:val="004D0E31"/>
    <w:rsid w:val="004D0E64"/>
    <w:rsid w:val="004D1EAF"/>
    <w:rsid w:val="004D5F51"/>
    <w:rsid w:val="004D6B02"/>
    <w:rsid w:val="004E0E08"/>
    <w:rsid w:val="004E1521"/>
    <w:rsid w:val="004E2F7C"/>
    <w:rsid w:val="004E4068"/>
    <w:rsid w:val="004E6C6F"/>
    <w:rsid w:val="004F054E"/>
    <w:rsid w:val="004F05F9"/>
    <w:rsid w:val="004F37A1"/>
    <w:rsid w:val="004F3ACF"/>
    <w:rsid w:val="004F50DA"/>
    <w:rsid w:val="004F54B7"/>
    <w:rsid w:val="004F7953"/>
    <w:rsid w:val="005010EF"/>
    <w:rsid w:val="005034B0"/>
    <w:rsid w:val="005049A5"/>
    <w:rsid w:val="00504B0A"/>
    <w:rsid w:val="00506567"/>
    <w:rsid w:val="00507F68"/>
    <w:rsid w:val="00510D3B"/>
    <w:rsid w:val="00511630"/>
    <w:rsid w:val="005122E1"/>
    <w:rsid w:val="00512C30"/>
    <w:rsid w:val="005133C7"/>
    <w:rsid w:val="00513956"/>
    <w:rsid w:val="00515DA6"/>
    <w:rsid w:val="00517051"/>
    <w:rsid w:val="00517ADB"/>
    <w:rsid w:val="0052129B"/>
    <w:rsid w:val="00521437"/>
    <w:rsid w:val="005241D9"/>
    <w:rsid w:val="00524B48"/>
    <w:rsid w:val="0052635A"/>
    <w:rsid w:val="00527615"/>
    <w:rsid w:val="0053052C"/>
    <w:rsid w:val="00530A33"/>
    <w:rsid w:val="00532663"/>
    <w:rsid w:val="00533285"/>
    <w:rsid w:val="005332A3"/>
    <w:rsid w:val="005333D4"/>
    <w:rsid w:val="00533747"/>
    <w:rsid w:val="0053435B"/>
    <w:rsid w:val="0053547D"/>
    <w:rsid w:val="00540886"/>
    <w:rsid w:val="00541152"/>
    <w:rsid w:val="005425E8"/>
    <w:rsid w:val="00543290"/>
    <w:rsid w:val="00544A6A"/>
    <w:rsid w:val="00544BAC"/>
    <w:rsid w:val="005500AA"/>
    <w:rsid w:val="0055024F"/>
    <w:rsid w:val="00550868"/>
    <w:rsid w:val="00552A86"/>
    <w:rsid w:val="00554870"/>
    <w:rsid w:val="005606DB"/>
    <w:rsid w:val="0056244D"/>
    <w:rsid w:val="005628D9"/>
    <w:rsid w:val="00562E0F"/>
    <w:rsid w:val="00564206"/>
    <w:rsid w:val="00564764"/>
    <w:rsid w:val="00565E3C"/>
    <w:rsid w:val="00567D34"/>
    <w:rsid w:val="0057067B"/>
    <w:rsid w:val="005716DD"/>
    <w:rsid w:val="00572C0C"/>
    <w:rsid w:val="0057471E"/>
    <w:rsid w:val="00577069"/>
    <w:rsid w:val="005774B6"/>
    <w:rsid w:val="005778F3"/>
    <w:rsid w:val="00577BD7"/>
    <w:rsid w:val="00580E1C"/>
    <w:rsid w:val="00581032"/>
    <w:rsid w:val="0058143A"/>
    <w:rsid w:val="0058595F"/>
    <w:rsid w:val="005861E1"/>
    <w:rsid w:val="00586C3B"/>
    <w:rsid w:val="005926B4"/>
    <w:rsid w:val="00592C83"/>
    <w:rsid w:val="005930A5"/>
    <w:rsid w:val="005976E2"/>
    <w:rsid w:val="0059773B"/>
    <w:rsid w:val="005A002A"/>
    <w:rsid w:val="005A1BA4"/>
    <w:rsid w:val="005A1D44"/>
    <w:rsid w:val="005A4028"/>
    <w:rsid w:val="005A425D"/>
    <w:rsid w:val="005A56E5"/>
    <w:rsid w:val="005A5F0C"/>
    <w:rsid w:val="005A6162"/>
    <w:rsid w:val="005A79FF"/>
    <w:rsid w:val="005B031B"/>
    <w:rsid w:val="005B3C4B"/>
    <w:rsid w:val="005B4124"/>
    <w:rsid w:val="005B5853"/>
    <w:rsid w:val="005B7F39"/>
    <w:rsid w:val="005C2AFB"/>
    <w:rsid w:val="005C4C39"/>
    <w:rsid w:val="005D3985"/>
    <w:rsid w:val="005D6226"/>
    <w:rsid w:val="005D7AEA"/>
    <w:rsid w:val="005E0428"/>
    <w:rsid w:val="005E09DE"/>
    <w:rsid w:val="005E0DDE"/>
    <w:rsid w:val="005E20F0"/>
    <w:rsid w:val="005E2D16"/>
    <w:rsid w:val="005E4840"/>
    <w:rsid w:val="005E495E"/>
    <w:rsid w:val="005E6FA9"/>
    <w:rsid w:val="005F4180"/>
    <w:rsid w:val="005F45F6"/>
    <w:rsid w:val="005F4875"/>
    <w:rsid w:val="005F4D00"/>
    <w:rsid w:val="005F53B0"/>
    <w:rsid w:val="005F53BC"/>
    <w:rsid w:val="005F5554"/>
    <w:rsid w:val="005F6CB0"/>
    <w:rsid w:val="005F7441"/>
    <w:rsid w:val="005F77B9"/>
    <w:rsid w:val="00602EF3"/>
    <w:rsid w:val="00603485"/>
    <w:rsid w:val="006034B2"/>
    <w:rsid w:val="00603DA2"/>
    <w:rsid w:val="00603E2A"/>
    <w:rsid w:val="006045BF"/>
    <w:rsid w:val="00607733"/>
    <w:rsid w:val="00611C4E"/>
    <w:rsid w:val="00612323"/>
    <w:rsid w:val="0061483F"/>
    <w:rsid w:val="00614FD7"/>
    <w:rsid w:val="006203DA"/>
    <w:rsid w:val="00621C1A"/>
    <w:rsid w:val="00622DA3"/>
    <w:rsid w:val="00623FFB"/>
    <w:rsid w:val="006276AF"/>
    <w:rsid w:val="00630048"/>
    <w:rsid w:val="006312DD"/>
    <w:rsid w:val="006371D4"/>
    <w:rsid w:val="00637532"/>
    <w:rsid w:val="00637B01"/>
    <w:rsid w:val="006419B5"/>
    <w:rsid w:val="00642426"/>
    <w:rsid w:val="00643002"/>
    <w:rsid w:val="00643774"/>
    <w:rsid w:val="00644368"/>
    <w:rsid w:val="00645107"/>
    <w:rsid w:val="006471A6"/>
    <w:rsid w:val="006477D8"/>
    <w:rsid w:val="0065057E"/>
    <w:rsid w:val="00651DD9"/>
    <w:rsid w:val="006541B3"/>
    <w:rsid w:val="00654851"/>
    <w:rsid w:val="00654905"/>
    <w:rsid w:val="00654A1C"/>
    <w:rsid w:val="00657C5A"/>
    <w:rsid w:val="00660593"/>
    <w:rsid w:val="006621C7"/>
    <w:rsid w:val="00667D4D"/>
    <w:rsid w:val="00670149"/>
    <w:rsid w:val="00680976"/>
    <w:rsid w:val="00680FDD"/>
    <w:rsid w:val="00683F08"/>
    <w:rsid w:val="006840F3"/>
    <w:rsid w:val="00684E55"/>
    <w:rsid w:val="00685069"/>
    <w:rsid w:val="0068663D"/>
    <w:rsid w:val="006867F9"/>
    <w:rsid w:val="006900E0"/>
    <w:rsid w:val="00690207"/>
    <w:rsid w:val="00691244"/>
    <w:rsid w:val="0069175E"/>
    <w:rsid w:val="00692B78"/>
    <w:rsid w:val="00694C3B"/>
    <w:rsid w:val="00697BE5"/>
    <w:rsid w:val="00697D4A"/>
    <w:rsid w:val="006A0CCA"/>
    <w:rsid w:val="006A192C"/>
    <w:rsid w:val="006A30DE"/>
    <w:rsid w:val="006A3B7E"/>
    <w:rsid w:val="006A3C55"/>
    <w:rsid w:val="006A3D58"/>
    <w:rsid w:val="006A4081"/>
    <w:rsid w:val="006A4167"/>
    <w:rsid w:val="006A647B"/>
    <w:rsid w:val="006A6FEA"/>
    <w:rsid w:val="006B19C8"/>
    <w:rsid w:val="006B1D50"/>
    <w:rsid w:val="006B2FEF"/>
    <w:rsid w:val="006B3809"/>
    <w:rsid w:val="006B4338"/>
    <w:rsid w:val="006B4C0F"/>
    <w:rsid w:val="006C113C"/>
    <w:rsid w:val="006C1CF1"/>
    <w:rsid w:val="006C1EA4"/>
    <w:rsid w:val="006C29C6"/>
    <w:rsid w:val="006C2AE7"/>
    <w:rsid w:val="006C40C4"/>
    <w:rsid w:val="006D0099"/>
    <w:rsid w:val="006D14FB"/>
    <w:rsid w:val="006D3152"/>
    <w:rsid w:val="006D6A20"/>
    <w:rsid w:val="006D6DEF"/>
    <w:rsid w:val="006E086B"/>
    <w:rsid w:val="006E09A8"/>
    <w:rsid w:val="006E12F7"/>
    <w:rsid w:val="006E243B"/>
    <w:rsid w:val="006E3BD6"/>
    <w:rsid w:val="006E46DA"/>
    <w:rsid w:val="006E4B70"/>
    <w:rsid w:val="006E4E43"/>
    <w:rsid w:val="006E5CE2"/>
    <w:rsid w:val="006E63BB"/>
    <w:rsid w:val="006F3655"/>
    <w:rsid w:val="006F45BF"/>
    <w:rsid w:val="006F4641"/>
    <w:rsid w:val="006F7014"/>
    <w:rsid w:val="006F716D"/>
    <w:rsid w:val="006F7BD2"/>
    <w:rsid w:val="00700878"/>
    <w:rsid w:val="00700A7E"/>
    <w:rsid w:val="0070180B"/>
    <w:rsid w:val="007025BC"/>
    <w:rsid w:val="00704DFD"/>
    <w:rsid w:val="007052A1"/>
    <w:rsid w:val="00711A65"/>
    <w:rsid w:val="007120BF"/>
    <w:rsid w:val="007122D3"/>
    <w:rsid w:val="00712AC6"/>
    <w:rsid w:val="00713CEC"/>
    <w:rsid w:val="00714075"/>
    <w:rsid w:val="007146D3"/>
    <w:rsid w:val="00715000"/>
    <w:rsid w:val="007156E0"/>
    <w:rsid w:val="00717F1F"/>
    <w:rsid w:val="00722FA1"/>
    <w:rsid w:val="00723143"/>
    <w:rsid w:val="00726795"/>
    <w:rsid w:val="00730728"/>
    <w:rsid w:val="00732417"/>
    <w:rsid w:val="0073384C"/>
    <w:rsid w:val="00733F73"/>
    <w:rsid w:val="007348C0"/>
    <w:rsid w:val="00734ADE"/>
    <w:rsid w:val="007358AA"/>
    <w:rsid w:val="00737BC1"/>
    <w:rsid w:val="00740FC7"/>
    <w:rsid w:val="0074529D"/>
    <w:rsid w:val="007466F7"/>
    <w:rsid w:val="00747C54"/>
    <w:rsid w:val="0075036D"/>
    <w:rsid w:val="00750809"/>
    <w:rsid w:val="00751468"/>
    <w:rsid w:val="00751DB6"/>
    <w:rsid w:val="00751E3B"/>
    <w:rsid w:val="00752AAF"/>
    <w:rsid w:val="00754878"/>
    <w:rsid w:val="00757F85"/>
    <w:rsid w:val="00761441"/>
    <w:rsid w:val="00763240"/>
    <w:rsid w:val="00763D8A"/>
    <w:rsid w:val="007647F4"/>
    <w:rsid w:val="0076729C"/>
    <w:rsid w:val="0076786B"/>
    <w:rsid w:val="00771529"/>
    <w:rsid w:val="007737B4"/>
    <w:rsid w:val="00774F6D"/>
    <w:rsid w:val="00776118"/>
    <w:rsid w:val="007762B7"/>
    <w:rsid w:val="007762F6"/>
    <w:rsid w:val="00776CA4"/>
    <w:rsid w:val="00780FC6"/>
    <w:rsid w:val="007849C2"/>
    <w:rsid w:val="007854F1"/>
    <w:rsid w:val="00786209"/>
    <w:rsid w:val="00786DF6"/>
    <w:rsid w:val="00787127"/>
    <w:rsid w:val="00790334"/>
    <w:rsid w:val="00790600"/>
    <w:rsid w:val="00790A8E"/>
    <w:rsid w:val="00791404"/>
    <w:rsid w:val="00792F16"/>
    <w:rsid w:val="00794507"/>
    <w:rsid w:val="0079629C"/>
    <w:rsid w:val="007972B9"/>
    <w:rsid w:val="007A117C"/>
    <w:rsid w:val="007A33C9"/>
    <w:rsid w:val="007A453D"/>
    <w:rsid w:val="007A4D41"/>
    <w:rsid w:val="007A66C0"/>
    <w:rsid w:val="007A6974"/>
    <w:rsid w:val="007A6A75"/>
    <w:rsid w:val="007A720F"/>
    <w:rsid w:val="007B0DA8"/>
    <w:rsid w:val="007B144E"/>
    <w:rsid w:val="007B2687"/>
    <w:rsid w:val="007B3F5D"/>
    <w:rsid w:val="007B44C8"/>
    <w:rsid w:val="007B4945"/>
    <w:rsid w:val="007B72D7"/>
    <w:rsid w:val="007C175E"/>
    <w:rsid w:val="007C1DF1"/>
    <w:rsid w:val="007C2E55"/>
    <w:rsid w:val="007C5B31"/>
    <w:rsid w:val="007C7DAC"/>
    <w:rsid w:val="007D1124"/>
    <w:rsid w:val="007D13E0"/>
    <w:rsid w:val="007D1FEF"/>
    <w:rsid w:val="007D37C3"/>
    <w:rsid w:val="007D4E2F"/>
    <w:rsid w:val="007D57E4"/>
    <w:rsid w:val="007D63FE"/>
    <w:rsid w:val="007E14C8"/>
    <w:rsid w:val="007E1761"/>
    <w:rsid w:val="007E20FA"/>
    <w:rsid w:val="007E333B"/>
    <w:rsid w:val="007E43FF"/>
    <w:rsid w:val="007E4CC1"/>
    <w:rsid w:val="007E52A7"/>
    <w:rsid w:val="007E6C1B"/>
    <w:rsid w:val="007F03E2"/>
    <w:rsid w:val="007F0658"/>
    <w:rsid w:val="007F07D0"/>
    <w:rsid w:val="007F08A0"/>
    <w:rsid w:val="007F1409"/>
    <w:rsid w:val="007F1DF6"/>
    <w:rsid w:val="007F2D55"/>
    <w:rsid w:val="007F5035"/>
    <w:rsid w:val="007F54FD"/>
    <w:rsid w:val="007F7C95"/>
    <w:rsid w:val="0080046C"/>
    <w:rsid w:val="008005B9"/>
    <w:rsid w:val="00800BC7"/>
    <w:rsid w:val="00801044"/>
    <w:rsid w:val="00802914"/>
    <w:rsid w:val="00804504"/>
    <w:rsid w:val="00805FDF"/>
    <w:rsid w:val="008068D5"/>
    <w:rsid w:val="00807521"/>
    <w:rsid w:val="008140FA"/>
    <w:rsid w:val="00816479"/>
    <w:rsid w:val="00821AB7"/>
    <w:rsid w:val="008257B6"/>
    <w:rsid w:val="00827D63"/>
    <w:rsid w:val="00835A8B"/>
    <w:rsid w:val="00835C91"/>
    <w:rsid w:val="008364DC"/>
    <w:rsid w:val="0083774B"/>
    <w:rsid w:val="00840E55"/>
    <w:rsid w:val="00841462"/>
    <w:rsid w:val="0084211A"/>
    <w:rsid w:val="00844206"/>
    <w:rsid w:val="00845972"/>
    <w:rsid w:val="008462A5"/>
    <w:rsid w:val="008464D1"/>
    <w:rsid w:val="00851113"/>
    <w:rsid w:val="00851FFB"/>
    <w:rsid w:val="00852524"/>
    <w:rsid w:val="00855A7F"/>
    <w:rsid w:val="00857235"/>
    <w:rsid w:val="00863351"/>
    <w:rsid w:val="008659F3"/>
    <w:rsid w:val="00867E4C"/>
    <w:rsid w:val="008704D0"/>
    <w:rsid w:val="008739C3"/>
    <w:rsid w:val="008741F5"/>
    <w:rsid w:val="008748C5"/>
    <w:rsid w:val="00876BD1"/>
    <w:rsid w:val="00877A35"/>
    <w:rsid w:val="00877B62"/>
    <w:rsid w:val="008864EE"/>
    <w:rsid w:val="00886CFC"/>
    <w:rsid w:val="008910BE"/>
    <w:rsid w:val="008921E5"/>
    <w:rsid w:val="008931CF"/>
    <w:rsid w:val="00893B95"/>
    <w:rsid w:val="00895AA4"/>
    <w:rsid w:val="008975CA"/>
    <w:rsid w:val="0089766B"/>
    <w:rsid w:val="00897A3D"/>
    <w:rsid w:val="008A0187"/>
    <w:rsid w:val="008A030C"/>
    <w:rsid w:val="008A1C29"/>
    <w:rsid w:val="008A296D"/>
    <w:rsid w:val="008A3550"/>
    <w:rsid w:val="008A44FB"/>
    <w:rsid w:val="008A4B0F"/>
    <w:rsid w:val="008A76DE"/>
    <w:rsid w:val="008A788C"/>
    <w:rsid w:val="008B1E05"/>
    <w:rsid w:val="008B348E"/>
    <w:rsid w:val="008B5437"/>
    <w:rsid w:val="008B7595"/>
    <w:rsid w:val="008B7761"/>
    <w:rsid w:val="008B7AEC"/>
    <w:rsid w:val="008B7B45"/>
    <w:rsid w:val="008B7F64"/>
    <w:rsid w:val="008C0445"/>
    <w:rsid w:val="008C384F"/>
    <w:rsid w:val="008C3D6C"/>
    <w:rsid w:val="008C4B04"/>
    <w:rsid w:val="008D2169"/>
    <w:rsid w:val="008D2DD0"/>
    <w:rsid w:val="008D43B0"/>
    <w:rsid w:val="008D70E2"/>
    <w:rsid w:val="008D7A82"/>
    <w:rsid w:val="008D7E79"/>
    <w:rsid w:val="008E02C4"/>
    <w:rsid w:val="008E0A7A"/>
    <w:rsid w:val="008E1BCA"/>
    <w:rsid w:val="008E2766"/>
    <w:rsid w:val="008E3398"/>
    <w:rsid w:val="008E3662"/>
    <w:rsid w:val="008E4175"/>
    <w:rsid w:val="008E516E"/>
    <w:rsid w:val="008E5CF9"/>
    <w:rsid w:val="008E7022"/>
    <w:rsid w:val="008F02F1"/>
    <w:rsid w:val="008F16D6"/>
    <w:rsid w:val="008F226E"/>
    <w:rsid w:val="008F2933"/>
    <w:rsid w:val="008F5784"/>
    <w:rsid w:val="00902678"/>
    <w:rsid w:val="00902820"/>
    <w:rsid w:val="00904E3C"/>
    <w:rsid w:val="00905AAE"/>
    <w:rsid w:val="009065CA"/>
    <w:rsid w:val="00906E56"/>
    <w:rsid w:val="00910295"/>
    <w:rsid w:val="009129DB"/>
    <w:rsid w:val="00914CCC"/>
    <w:rsid w:val="00914CE8"/>
    <w:rsid w:val="00922740"/>
    <w:rsid w:val="00922BB4"/>
    <w:rsid w:val="00923B4B"/>
    <w:rsid w:val="00924DC0"/>
    <w:rsid w:val="009265B2"/>
    <w:rsid w:val="00927425"/>
    <w:rsid w:val="009279CD"/>
    <w:rsid w:val="00927A65"/>
    <w:rsid w:val="0093121F"/>
    <w:rsid w:val="00931995"/>
    <w:rsid w:val="00931BBA"/>
    <w:rsid w:val="00934F0C"/>
    <w:rsid w:val="0093587A"/>
    <w:rsid w:val="009376FA"/>
    <w:rsid w:val="0094157F"/>
    <w:rsid w:val="009423E3"/>
    <w:rsid w:val="009506F9"/>
    <w:rsid w:val="00951333"/>
    <w:rsid w:val="00956178"/>
    <w:rsid w:val="00956B9B"/>
    <w:rsid w:val="00962A11"/>
    <w:rsid w:val="00963F59"/>
    <w:rsid w:val="0096434C"/>
    <w:rsid w:val="00965EEA"/>
    <w:rsid w:val="00967880"/>
    <w:rsid w:val="00967CF0"/>
    <w:rsid w:val="00972B88"/>
    <w:rsid w:val="0097732C"/>
    <w:rsid w:val="00981115"/>
    <w:rsid w:val="009827A2"/>
    <w:rsid w:val="00982BC0"/>
    <w:rsid w:val="00990A16"/>
    <w:rsid w:val="00991889"/>
    <w:rsid w:val="009924DD"/>
    <w:rsid w:val="0099326C"/>
    <w:rsid w:val="00993918"/>
    <w:rsid w:val="009A206D"/>
    <w:rsid w:val="009A38EA"/>
    <w:rsid w:val="009A4241"/>
    <w:rsid w:val="009A68A3"/>
    <w:rsid w:val="009B0051"/>
    <w:rsid w:val="009B28F9"/>
    <w:rsid w:val="009B2DDC"/>
    <w:rsid w:val="009B44A7"/>
    <w:rsid w:val="009B6548"/>
    <w:rsid w:val="009B689B"/>
    <w:rsid w:val="009B6959"/>
    <w:rsid w:val="009B738E"/>
    <w:rsid w:val="009B7486"/>
    <w:rsid w:val="009B766F"/>
    <w:rsid w:val="009C002B"/>
    <w:rsid w:val="009C0DB6"/>
    <w:rsid w:val="009C1D72"/>
    <w:rsid w:val="009C52B6"/>
    <w:rsid w:val="009C7C27"/>
    <w:rsid w:val="009D0D0B"/>
    <w:rsid w:val="009D2A0F"/>
    <w:rsid w:val="009D2A9C"/>
    <w:rsid w:val="009D4BEA"/>
    <w:rsid w:val="009D6EBE"/>
    <w:rsid w:val="009D76F6"/>
    <w:rsid w:val="009E0EAE"/>
    <w:rsid w:val="009E1EFF"/>
    <w:rsid w:val="009E2757"/>
    <w:rsid w:val="009E5DF0"/>
    <w:rsid w:val="009E6921"/>
    <w:rsid w:val="009E7C86"/>
    <w:rsid w:val="009E7CA0"/>
    <w:rsid w:val="009E7CF5"/>
    <w:rsid w:val="009E7D2C"/>
    <w:rsid w:val="009F1AFE"/>
    <w:rsid w:val="009F35D4"/>
    <w:rsid w:val="009F3E8B"/>
    <w:rsid w:val="009F41B3"/>
    <w:rsid w:val="009F5F59"/>
    <w:rsid w:val="009F65E6"/>
    <w:rsid w:val="009F6900"/>
    <w:rsid w:val="00A00CB3"/>
    <w:rsid w:val="00A03D09"/>
    <w:rsid w:val="00A10EEE"/>
    <w:rsid w:val="00A1145B"/>
    <w:rsid w:val="00A12441"/>
    <w:rsid w:val="00A1367D"/>
    <w:rsid w:val="00A155A6"/>
    <w:rsid w:val="00A16C3C"/>
    <w:rsid w:val="00A201F4"/>
    <w:rsid w:val="00A20B93"/>
    <w:rsid w:val="00A21256"/>
    <w:rsid w:val="00A21827"/>
    <w:rsid w:val="00A2219B"/>
    <w:rsid w:val="00A326B0"/>
    <w:rsid w:val="00A332B0"/>
    <w:rsid w:val="00A34199"/>
    <w:rsid w:val="00A34CC5"/>
    <w:rsid w:val="00A3748B"/>
    <w:rsid w:val="00A403DB"/>
    <w:rsid w:val="00A41381"/>
    <w:rsid w:val="00A41540"/>
    <w:rsid w:val="00A42096"/>
    <w:rsid w:val="00A4210A"/>
    <w:rsid w:val="00A437B5"/>
    <w:rsid w:val="00A43D55"/>
    <w:rsid w:val="00A44629"/>
    <w:rsid w:val="00A45020"/>
    <w:rsid w:val="00A46AD7"/>
    <w:rsid w:val="00A47A34"/>
    <w:rsid w:val="00A50013"/>
    <w:rsid w:val="00A502DE"/>
    <w:rsid w:val="00A5661E"/>
    <w:rsid w:val="00A57294"/>
    <w:rsid w:val="00A574AB"/>
    <w:rsid w:val="00A57617"/>
    <w:rsid w:val="00A609E7"/>
    <w:rsid w:val="00A60DD7"/>
    <w:rsid w:val="00A61204"/>
    <w:rsid w:val="00A62707"/>
    <w:rsid w:val="00A63029"/>
    <w:rsid w:val="00A63CD4"/>
    <w:rsid w:val="00A66397"/>
    <w:rsid w:val="00A674E7"/>
    <w:rsid w:val="00A70A8C"/>
    <w:rsid w:val="00A720FC"/>
    <w:rsid w:val="00A72FBB"/>
    <w:rsid w:val="00A733A3"/>
    <w:rsid w:val="00A73B6E"/>
    <w:rsid w:val="00A73DF3"/>
    <w:rsid w:val="00A74247"/>
    <w:rsid w:val="00A747AE"/>
    <w:rsid w:val="00A7683E"/>
    <w:rsid w:val="00A80211"/>
    <w:rsid w:val="00A80FE0"/>
    <w:rsid w:val="00A81758"/>
    <w:rsid w:val="00A81CC7"/>
    <w:rsid w:val="00A82B52"/>
    <w:rsid w:val="00A8419B"/>
    <w:rsid w:val="00A84617"/>
    <w:rsid w:val="00A84958"/>
    <w:rsid w:val="00A8572C"/>
    <w:rsid w:val="00A85A74"/>
    <w:rsid w:val="00A86A92"/>
    <w:rsid w:val="00A87054"/>
    <w:rsid w:val="00A879C8"/>
    <w:rsid w:val="00A906CE"/>
    <w:rsid w:val="00A907E8"/>
    <w:rsid w:val="00A90932"/>
    <w:rsid w:val="00A90AFA"/>
    <w:rsid w:val="00A943C7"/>
    <w:rsid w:val="00A94C87"/>
    <w:rsid w:val="00A97A26"/>
    <w:rsid w:val="00A97E14"/>
    <w:rsid w:val="00AA1974"/>
    <w:rsid w:val="00AA46B8"/>
    <w:rsid w:val="00AA6836"/>
    <w:rsid w:val="00AB0071"/>
    <w:rsid w:val="00AB48FF"/>
    <w:rsid w:val="00AB6216"/>
    <w:rsid w:val="00AB74AD"/>
    <w:rsid w:val="00AC06C9"/>
    <w:rsid w:val="00AC07BB"/>
    <w:rsid w:val="00AC0F87"/>
    <w:rsid w:val="00AC0F9B"/>
    <w:rsid w:val="00AC1803"/>
    <w:rsid w:val="00AC1E91"/>
    <w:rsid w:val="00AC1FD2"/>
    <w:rsid w:val="00AC33BA"/>
    <w:rsid w:val="00AC390C"/>
    <w:rsid w:val="00AC44AD"/>
    <w:rsid w:val="00AC473F"/>
    <w:rsid w:val="00AC5EA0"/>
    <w:rsid w:val="00AC7F62"/>
    <w:rsid w:val="00AD08D0"/>
    <w:rsid w:val="00AD099B"/>
    <w:rsid w:val="00AD257E"/>
    <w:rsid w:val="00AD2690"/>
    <w:rsid w:val="00AD4155"/>
    <w:rsid w:val="00AD5FEF"/>
    <w:rsid w:val="00AD6A46"/>
    <w:rsid w:val="00AD70E8"/>
    <w:rsid w:val="00AE2337"/>
    <w:rsid w:val="00AE2C82"/>
    <w:rsid w:val="00AE4C0F"/>
    <w:rsid w:val="00AE6CFA"/>
    <w:rsid w:val="00AE6E33"/>
    <w:rsid w:val="00AE7D5B"/>
    <w:rsid w:val="00AF3168"/>
    <w:rsid w:val="00AF5695"/>
    <w:rsid w:val="00AF6B8C"/>
    <w:rsid w:val="00B028F4"/>
    <w:rsid w:val="00B02D0C"/>
    <w:rsid w:val="00B032C3"/>
    <w:rsid w:val="00B048BD"/>
    <w:rsid w:val="00B060CF"/>
    <w:rsid w:val="00B07BF7"/>
    <w:rsid w:val="00B1048B"/>
    <w:rsid w:val="00B1185C"/>
    <w:rsid w:val="00B12AC9"/>
    <w:rsid w:val="00B145E7"/>
    <w:rsid w:val="00B1662E"/>
    <w:rsid w:val="00B21841"/>
    <w:rsid w:val="00B218AF"/>
    <w:rsid w:val="00B224EB"/>
    <w:rsid w:val="00B27990"/>
    <w:rsid w:val="00B32098"/>
    <w:rsid w:val="00B33049"/>
    <w:rsid w:val="00B33458"/>
    <w:rsid w:val="00B341A9"/>
    <w:rsid w:val="00B3506B"/>
    <w:rsid w:val="00B3507A"/>
    <w:rsid w:val="00B35BB4"/>
    <w:rsid w:val="00B37092"/>
    <w:rsid w:val="00B4028B"/>
    <w:rsid w:val="00B4068A"/>
    <w:rsid w:val="00B41780"/>
    <w:rsid w:val="00B41949"/>
    <w:rsid w:val="00B45621"/>
    <w:rsid w:val="00B45B86"/>
    <w:rsid w:val="00B5044C"/>
    <w:rsid w:val="00B50E2E"/>
    <w:rsid w:val="00B51C48"/>
    <w:rsid w:val="00B52FC2"/>
    <w:rsid w:val="00B53351"/>
    <w:rsid w:val="00B5394C"/>
    <w:rsid w:val="00B55788"/>
    <w:rsid w:val="00B60258"/>
    <w:rsid w:val="00B6036E"/>
    <w:rsid w:val="00B614AB"/>
    <w:rsid w:val="00B62293"/>
    <w:rsid w:val="00B6381F"/>
    <w:rsid w:val="00B640D5"/>
    <w:rsid w:val="00B64A1C"/>
    <w:rsid w:val="00B64DC9"/>
    <w:rsid w:val="00B652DF"/>
    <w:rsid w:val="00B673CE"/>
    <w:rsid w:val="00B70A53"/>
    <w:rsid w:val="00B73D45"/>
    <w:rsid w:val="00B77424"/>
    <w:rsid w:val="00B802EA"/>
    <w:rsid w:val="00B81F05"/>
    <w:rsid w:val="00B8419B"/>
    <w:rsid w:val="00B8761D"/>
    <w:rsid w:val="00B90BA2"/>
    <w:rsid w:val="00B919F7"/>
    <w:rsid w:val="00B91EDC"/>
    <w:rsid w:val="00B9209C"/>
    <w:rsid w:val="00B929D1"/>
    <w:rsid w:val="00B92A74"/>
    <w:rsid w:val="00B9421D"/>
    <w:rsid w:val="00B97333"/>
    <w:rsid w:val="00B974E9"/>
    <w:rsid w:val="00B97958"/>
    <w:rsid w:val="00BA0213"/>
    <w:rsid w:val="00BA4D47"/>
    <w:rsid w:val="00BA5163"/>
    <w:rsid w:val="00BA73F0"/>
    <w:rsid w:val="00BB1324"/>
    <w:rsid w:val="00BB13CF"/>
    <w:rsid w:val="00BB21D6"/>
    <w:rsid w:val="00BB3B30"/>
    <w:rsid w:val="00BB3B44"/>
    <w:rsid w:val="00BB41D1"/>
    <w:rsid w:val="00BB4491"/>
    <w:rsid w:val="00BC00C8"/>
    <w:rsid w:val="00BC0F1C"/>
    <w:rsid w:val="00BC16BD"/>
    <w:rsid w:val="00BC3808"/>
    <w:rsid w:val="00BC496D"/>
    <w:rsid w:val="00BD3B1C"/>
    <w:rsid w:val="00BD604A"/>
    <w:rsid w:val="00BD629C"/>
    <w:rsid w:val="00BD670B"/>
    <w:rsid w:val="00BD7B97"/>
    <w:rsid w:val="00BE0C50"/>
    <w:rsid w:val="00BE279A"/>
    <w:rsid w:val="00BE4845"/>
    <w:rsid w:val="00BE518C"/>
    <w:rsid w:val="00BE5AB9"/>
    <w:rsid w:val="00BE6150"/>
    <w:rsid w:val="00BF05E9"/>
    <w:rsid w:val="00BF6677"/>
    <w:rsid w:val="00BF68B6"/>
    <w:rsid w:val="00BF7200"/>
    <w:rsid w:val="00C00355"/>
    <w:rsid w:val="00C02357"/>
    <w:rsid w:val="00C04A4B"/>
    <w:rsid w:val="00C04B01"/>
    <w:rsid w:val="00C05733"/>
    <w:rsid w:val="00C05C2B"/>
    <w:rsid w:val="00C07220"/>
    <w:rsid w:val="00C0773C"/>
    <w:rsid w:val="00C117E9"/>
    <w:rsid w:val="00C11B05"/>
    <w:rsid w:val="00C11F82"/>
    <w:rsid w:val="00C12E20"/>
    <w:rsid w:val="00C154FE"/>
    <w:rsid w:val="00C156B5"/>
    <w:rsid w:val="00C15E8C"/>
    <w:rsid w:val="00C16792"/>
    <w:rsid w:val="00C167E9"/>
    <w:rsid w:val="00C20B74"/>
    <w:rsid w:val="00C25B5E"/>
    <w:rsid w:val="00C25D58"/>
    <w:rsid w:val="00C27A84"/>
    <w:rsid w:val="00C30412"/>
    <w:rsid w:val="00C348D9"/>
    <w:rsid w:val="00C348F4"/>
    <w:rsid w:val="00C37362"/>
    <w:rsid w:val="00C41937"/>
    <w:rsid w:val="00C41FE0"/>
    <w:rsid w:val="00C42BBB"/>
    <w:rsid w:val="00C42D87"/>
    <w:rsid w:val="00C442CF"/>
    <w:rsid w:val="00C44546"/>
    <w:rsid w:val="00C45E40"/>
    <w:rsid w:val="00C46319"/>
    <w:rsid w:val="00C46A5F"/>
    <w:rsid w:val="00C46A89"/>
    <w:rsid w:val="00C46FFA"/>
    <w:rsid w:val="00C47048"/>
    <w:rsid w:val="00C50069"/>
    <w:rsid w:val="00C52991"/>
    <w:rsid w:val="00C5400F"/>
    <w:rsid w:val="00C57D12"/>
    <w:rsid w:val="00C6185A"/>
    <w:rsid w:val="00C63477"/>
    <w:rsid w:val="00C64CC0"/>
    <w:rsid w:val="00C651C8"/>
    <w:rsid w:val="00C6549B"/>
    <w:rsid w:val="00C67997"/>
    <w:rsid w:val="00C7080D"/>
    <w:rsid w:val="00C725F4"/>
    <w:rsid w:val="00C72C1C"/>
    <w:rsid w:val="00C7654D"/>
    <w:rsid w:val="00C77E8C"/>
    <w:rsid w:val="00C81464"/>
    <w:rsid w:val="00C8146B"/>
    <w:rsid w:val="00C8192E"/>
    <w:rsid w:val="00C82C80"/>
    <w:rsid w:val="00C8305F"/>
    <w:rsid w:val="00C84584"/>
    <w:rsid w:val="00C864BC"/>
    <w:rsid w:val="00C86F73"/>
    <w:rsid w:val="00C87759"/>
    <w:rsid w:val="00C9024B"/>
    <w:rsid w:val="00C90F61"/>
    <w:rsid w:val="00C93550"/>
    <w:rsid w:val="00C94878"/>
    <w:rsid w:val="00C958F9"/>
    <w:rsid w:val="00C96417"/>
    <w:rsid w:val="00C971C6"/>
    <w:rsid w:val="00CA250C"/>
    <w:rsid w:val="00CA2FB3"/>
    <w:rsid w:val="00CA380B"/>
    <w:rsid w:val="00CA3D06"/>
    <w:rsid w:val="00CA4246"/>
    <w:rsid w:val="00CA63E4"/>
    <w:rsid w:val="00CA704A"/>
    <w:rsid w:val="00CA7631"/>
    <w:rsid w:val="00CB0B9A"/>
    <w:rsid w:val="00CB2DA4"/>
    <w:rsid w:val="00CB3522"/>
    <w:rsid w:val="00CB4FE7"/>
    <w:rsid w:val="00CB55A0"/>
    <w:rsid w:val="00CB7A5A"/>
    <w:rsid w:val="00CC02CE"/>
    <w:rsid w:val="00CC0B4C"/>
    <w:rsid w:val="00CC278D"/>
    <w:rsid w:val="00CC3A68"/>
    <w:rsid w:val="00CC3CC1"/>
    <w:rsid w:val="00CC56E1"/>
    <w:rsid w:val="00CC67CD"/>
    <w:rsid w:val="00CC6D30"/>
    <w:rsid w:val="00CC7F49"/>
    <w:rsid w:val="00CD0721"/>
    <w:rsid w:val="00CD180C"/>
    <w:rsid w:val="00CD1983"/>
    <w:rsid w:val="00CD5585"/>
    <w:rsid w:val="00CD69FC"/>
    <w:rsid w:val="00CD78D9"/>
    <w:rsid w:val="00CE0818"/>
    <w:rsid w:val="00CE2A09"/>
    <w:rsid w:val="00CE4A5D"/>
    <w:rsid w:val="00CE5CA4"/>
    <w:rsid w:val="00CF050C"/>
    <w:rsid w:val="00CF3A6D"/>
    <w:rsid w:val="00CF3C8D"/>
    <w:rsid w:val="00CF4529"/>
    <w:rsid w:val="00CF45C2"/>
    <w:rsid w:val="00CF5722"/>
    <w:rsid w:val="00CF5877"/>
    <w:rsid w:val="00CF59BF"/>
    <w:rsid w:val="00CF654D"/>
    <w:rsid w:val="00CF6E57"/>
    <w:rsid w:val="00CF79DB"/>
    <w:rsid w:val="00D00497"/>
    <w:rsid w:val="00D03A18"/>
    <w:rsid w:val="00D074BE"/>
    <w:rsid w:val="00D075D0"/>
    <w:rsid w:val="00D07DAD"/>
    <w:rsid w:val="00D11522"/>
    <w:rsid w:val="00D11EE0"/>
    <w:rsid w:val="00D12B46"/>
    <w:rsid w:val="00D12B63"/>
    <w:rsid w:val="00D12F1F"/>
    <w:rsid w:val="00D1327F"/>
    <w:rsid w:val="00D23785"/>
    <w:rsid w:val="00D2581D"/>
    <w:rsid w:val="00D25A9F"/>
    <w:rsid w:val="00D25AE8"/>
    <w:rsid w:val="00D268B6"/>
    <w:rsid w:val="00D273E4"/>
    <w:rsid w:val="00D30067"/>
    <w:rsid w:val="00D3040A"/>
    <w:rsid w:val="00D3062A"/>
    <w:rsid w:val="00D346CB"/>
    <w:rsid w:val="00D3559B"/>
    <w:rsid w:val="00D42297"/>
    <w:rsid w:val="00D44161"/>
    <w:rsid w:val="00D44554"/>
    <w:rsid w:val="00D4610D"/>
    <w:rsid w:val="00D510ED"/>
    <w:rsid w:val="00D52124"/>
    <w:rsid w:val="00D536B0"/>
    <w:rsid w:val="00D6112F"/>
    <w:rsid w:val="00D66240"/>
    <w:rsid w:val="00D66760"/>
    <w:rsid w:val="00D67038"/>
    <w:rsid w:val="00D701C0"/>
    <w:rsid w:val="00D7116C"/>
    <w:rsid w:val="00D718F3"/>
    <w:rsid w:val="00D71E7B"/>
    <w:rsid w:val="00D71ED3"/>
    <w:rsid w:val="00D74FE7"/>
    <w:rsid w:val="00D7594A"/>
    <w:rsid w:val="00D75AC8"/>
    <w:rsid w:val="00D75AEA"/>
    <w:rsid w:val="00D7609B"/>
    <w:rsid w:val="00D7774C"/>
    <w:rsid w:val="00D818D5"/>
    <w:rsid w:val="00D83FAB"/>
    <w:rsid w:val="00D83FFA"/>
    <w:rsid w:val="00D84E14"/>
    <w:rsid w:val="00D85240"/>
    <w:rsid w:val="00D858C1"/>
    <w:rsid w:val="00D90111"/>
    <w:rsid w:val="00D905BC"/>
    <w:rsid w:val="00D91CD9"/>
    <w:rsid w:val="00D93B2B"/>
    <w:rsid w:val="00D94528"/>
    <w:rsid w:val="00D9523C"/>
    <w:rsid w:val="00D97998"/>
    <w:rsid w:val="00DA18EC"/>
    <w:rsid w:val="00DA2137"/>
    <w:rsid w:val="00DA3963"/>
    <w:rsid w:val="00DA4115"/>
    <w:rsid w:val="00DA41CC"/>
    <w:rsid w:val="00DA5673"/>
    <w:rsid w:val="00DA6E95"/>
    <w:rsid w:val="00DB4AF8"/>
    <w:rsid w:val="00DB50EF"/>
    <w:rsid w:val="00DB66D1"/>
    <w:rsid w:val="00DB6EF5"/>
    <w:rsid w:val="00DB7AA5"/>
    <w:rsid w:val="00DC0CFB"/>
    <w:rsid w:val="00DC15DC"/>
    <w:rsid w:val="00DC29EF"/>
    <w:rsid w:val="00DC3A50"/>
    <w:rsid w:val="00DC4924"/>
    <w:rsid w:val="00DC5560"/>
    <w:rsid w:val="00DC5F7A"/>
    <w:rsid w:val="00DC63E0"/>
    <w:rsid w:val="00DC6A6B"/>
    <w:rsid w:val="00DD1588"/>
    <w:rsid w:val="00DD2F80"/>
    <w:rsid w:val="00DD3E92"/>
    <w:rsid w:val="00DD5B7E"/>
    <w:rsid w:val="00DE09DE"/>
    <w:rsid w:val="00DE1EAC"/>
    <w:rsid w:val="00DE21C7"/>
    <w:rsid w:val="00DE22D0"/>
    <w:rsid w:val="00DE4391"/>
    <w:rsid w:val="00DE4F99"/>
    <w:rsid w:val="00DE5582"/>
    <w:rsid w:val="00DE61CD"/>
    <w:rsid w:val="00DE7718"/>
    <w:rsid w:val="00DE79FD"/>
    <w:rsid w:val="00DE7A30"/>
    <w:rsid w:val="00DF290F"/>
    <w:rsid w:val="00DF376C"/>
    <w:rsid w:val="00E01B1C"/>
    <w:rsid w:val="00E03203"/>
    <w:rsid w:val="00E03E74"/>
    <w:rsid w:val="00E074E1"/>
    <w:rsid w:val="00E10468"/>
    <w:rsid w:val="00E12585"/>
    <w:rsid w:val="00E139B8"/>
    <w:rsid w:val="00E15BB1"/>
    <w:rsid w:val="00E15D2D"/>
    <w:rsid w:val="00E165C0"/>
    <w:rsid w:val="00E16A06"/>
    <w:rsid w:val="00E17ECD"/>
    <w:rsid w:val="00E2074B"/>
    <w:rsid w:val="00E25DA8"/>
    <w:rsid w:val="00E269B0"/>
    <w:rsid w:val="00E271BA"/>
    <w:rsid w:val="00E3344A"/>
    <w:rsid w:val="00E33F2F"/>
    <w:rsid w:val="00E36679"/>
    <w:rsid w:val="00E419CC"/>
    <w:rsid w:val="00E41B0A"/>
    <w:rsid w:val="00E42971"/>
    <w:rsid w:val="00E45A9B"/>
    <w:rsid w:val="00E478C4"/>
    <w:rsid w:val="00E47AAC"/>
    <w:rsid w:val="00E5107F"/>
    <w:rsid w:val="00E530AC"/>
    <w:rsid w:val="00E53C30"/>
    <w:rsid w:val="00E54FF7"/>
    <w:rsid w:val="00E555AC"/>
    <w:rsid w:val="00E57CEC"/>
    <w:rsid w:val="00E605B0"/>
    <w:rsid w:val="00E6070F"/>
    <w:rsid w:val="00E60BCA"/>
    <w:rsid w:val="00E63631"/>
    <w:rsid w:val="00E642CE"/>
    <w:rsid w:val="00E646E2"/>
    <w:rsid w:val="00E70C03"/>
    <w:rsid w:val="00E71CA2"/>
    <w:rsid w:val="00E76882"/>
    <w:rsid w:val="00E81151"/>
    <w:rsid w:val="00E81494"/>
    <w:rsid w:val="00E83EC5"/>
    <w:rsid w:val="00E854C1"/>
    <w:rsid w:val="00E85F6D"/>
    <w:rsid w:val="00E869A9"/>
    <w:rsid w:val="00E86F1F"/>
    <w:rsid w:val="00E918FA"/>
    <w:rsid w:val="00E919EA"/>
    <w:rsid w:val="00E91E1C"/>
    <w:rsid w:val="00E9240B"/>
    <w:rsid w:val="00EA1D21"/>
    <w:rsid w:val="00EA301E"/>
    <w:rsid w:val="00EA41C2"/>
    <w:rsid w:val="00EA4DBE"/>
    <w:rsid w:val="00EA6A02"/>
    <w:rsid w:val="00EB1996"/>
    <w:rsid w:val="00EB2336"/>
    <w:rsid w:val="00EB2E61"/>
    <w:rsid w:val="00EB3B72"/>
    <w:rsid w:val="00EB5EB7"/>
    <w:rsid w:val="00EB629E"/>
    <w:rsid w:val="00EB6872"/>
    <w:rsid w:val="00EC0A0A"/>
    <w:rsid w:val="00EC2409"/>
    <w:rsid w:val="00EC5026"/>
    <w:rsid w:val="00EC5C18"/>
    <w:rsid w:val="00EC7186"/>
    <w:rsid w:val="00EC7DF8"/>
    <w:rsid w:val="00ED0BAB"/>
    <w:rsid w:val="00ED0FEC"/>
    <w:rsid w:val="00ED1DAE"/>
    <w:rsid w:val="00ED2975"/>
    <w:rsid w:val="00ED38F5"/>
    <w:rsid w:val="00ED4F19"/>
    <w:rsid w:val="00ED5428"/>
    <w:rsid w:val="00ED5FAD"/>
    <w:rsid w:val="00ED7818"/>
    <w:rsid w:val="00EE070B"/>
    <w:rsid w:val="00EE1F2F"/>
    <w:rsid w:val="00EE2676"/>
    <w:rsid w:val="00EE5D5C"/>
    <w:rsid w:val="00EE685D"/>
    <w:rsid w:val="00EE733B"/>
    <w:rsid w:val="00EE7551"/>
    <w:rsid w:val="00EE77FA"/>
    <w:rsid w:val="00EF0D14"/>
    <w:rsid w:val="00EF1183"/>
    <w:rsid w:val="00EF28AC"/>
    <w:rsid w:val="00EF32C9"/>
    <w:rsid w:val="00EF3F86"/>
    <w:rsid w:val="00EF433D"/>
    <w:rsid w:val="00EF4369"/>
    <w:rsid w:val="00EF582E"/>
    <w:rsid w:val="00EF67ED"/>
    <w:rsid w:val="00EF7181"/>
    <w:rsid w:val="00F0000D"/>
    <w:rsid w:val="00F00063"/>
    <w:rsid w:val="00F016FB"/>
    <w:rsid w:val="00F02554"/>
    <w:rsid w:val="00F03358"/>
    <w:rsid w:val="00F06682"/>
    <w:rsid w:val="00F07AAB"/>
    <w:rsid w:val="00F1075F"/>
    <w:rsid w:val="00F119DC"/>
    <w:rsid w:val="00F12202"/>
    <w:rsid w:val="00F12481"/>
    <w:rsid w:val="00F14EDF"/>
    <w:rsid w:val="00F2005F"/>
    <w:rsid w:val="00F20CAC"/>
    <w:rsid w:val="00F20E96"/>
    <w:rsid w:val="00F21C56"/>
    <w:rsid w:val="00F241C7"/>
    <w:rsid w:val="00F24969"/>
    <w:rsid w:val="00F25E65"/>
    <w:rsid w:val="00F2657F"/>
    <w:rsid w:val="00F310C3"/>
    <w:rsid w:val="00F322F6"/>
    <w:rsid w:val="00F3288E"/>
    <w:rsid w:val="00F32EF9"/>
    <w:rsid w:val="00F33345"/>
    <w:rsid w:val="00F33831"/>
    <w:rsid w:val="00F35D88"/>
    <w:rsid w:val="00F37C8B"/>
    <w:rsid w:val="00F429D3"/>
    <w:rsid w:val="00F45C46"/>
    <w:rsid w:val="00F465F1"/>
    <w:rsid w:val="00F50E47"/>
    <w:rsid w:val="00F5346A"/>
    <w:rsid w:val="00F54A0D"/>
    <w:rsid w:val="00F55044"/>
    <w:rsid w:val="00F55628"/>
    <w:rsid w:val="00F55A8B"/>
    <w:rsid w:val="00F56D6A"/>
    <w:rsid w:val="00F61CBE"/>
    <w:rsid w:val="00F62E4C"/>
    <w:rsid w:val="00F641FB"/>
    <w:rsid w:val="00F646BF"/>
    <w:rsid w:val="00F65350"/>
    <w:rsid w:val="00F66931"/>
    <w:rsid w:val="00F66ECB"/>
    <w:rsid w:val="00F7439B"/>
    <w:rsid w:val="00F74AD9"/>
    <w:rsid w:val="00F7525A"/>
    <w:rsid w:val="00F80797"/>
    <w:rsid w:val="00F80E47"/>
    <w:rsid w:val="00F81A49"/>
    <w:rsid w:val="00F83E9D"/>
    <w:rsid w:val="00F84243"/>
    <w:rsid w:val="00F84FB6"/>
    <w:rsid w:val="00F858E2"/>
    <w:rsid w:val="00F90236"/>
    <w:rsid w:val="00F9152F"/>
    <w:rsid w:val="00F92A26"/>
    <w:rsid w:val="00F93819"/>
    <w:rsid w:val="00F9503C"/>
    <w:rsid w:val="00F95314"/>
    <w:rsid w:val="00F955A9"/>
    <w:rsid w:val="00F95EF2"/>
    <w:rsid w:val="00F97946"/>
    <w:rsid w:val="00FA129E"/>
    <w:rsid w:val="00FA60B5"/>
    <w:rsid w:val="00FA75C2"/>
    <w:rsid w:val="00FB2521"/>
    <w:rsid w:val="00FB2843"/>
    <w:rsid w:val="00FB3B4A"/>
    <w:rsid w:val="00FB45B5"/>
    <w:rsid w:val="00FB51F7"/>
    <w:rsid w:val="00FB5296"/>
    <w:rsid w:val="00FB5666"/>
    <w:rsid w:val="00FB5DEF"/>
    <w:rsid w:val="00FB707D"/>
    <w:rsid w:val="00FC0C7E"/>
    <w:rsid w:val="00FC47BD"/>
    <w:rsid w:val="00FC64A9"/>
    <w:rsid w:val="00FD0207"/>
    <w:rsid w:val="00FD0286"/>
    <w:rsid w:val="00FD0398"/>
    <w:rsid w:val="00FD0936"/>
    <w:rsid w:val="00FD0ABF"/>
    <w:rsid w:val="00FD0E81"/>
    <w:rsid w:val="00FD295B"/>
    <w:rsid w:val="00FD3C0F"/>
    <w:rsid w:val="00FD3D16"/>
    <w:rsid w:val="00FD5BB4"/>
    <w:rsid w:val="00FE0509"/>
    <w:rsid w:val="00FE52F8"/>
    <w:rsid w:val="00FE5906"/>
    <w:rsid w:val="00FE5AE1"/>
    <w:rsid w:val="00FE6EB5"/>
    <w:rsid w:val="00FF189B"/>
    <w:rsid w:val="00FF26EA"/>
    <w:rsid w:val="00FF3279"/>
    <w:rsid w:val="00FF3823"/>
    <w:rsid w:val="00FF4C4C"/>
    <w:rsid w:val="00FF7D59"/>
    <w:rsid w:val="00FF7F8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856E36"/>
  <w15:docId w15:val="{99F3CAB3-9B55-475B-BFF0-EC50A6F1A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3"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54F7"/>
  </w:style>
  <w:style w:type="paragraph" w:styleId="Heading1">
    <w:name w:val="heading 1"/>
    <w:basedOn w:val="Normal"/>
    <w:next w:val="Normal"/>
    <w:link w:val="Heading1Char"/>
    <w:uiPriority w:val="9"/>
    <w:qFormat/>
    <w:rsid w:val="00D03A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03A1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03A1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3384C"/>
    <w:pPr>
      <w:keepNext/>
      <w:keepLines/>
      <w:spacing w:before="200" w:after="0"/>
      <w:ind w:left="1416"/>
      <w:outlineLvl w:val="3"/>
    </w:pPr>
    <w:rPr>
      <w:rFonts w:ascii="Times New Roman" w:eastAsiaTheme="majorEastAsia" w:hAnsi="Times New Roman" w:cstheme="majorBidi"/>
      <w:b/>
      <w:bCs/>
      <w:iCs/>
      <w:sz w:val="24"/>
    </w:rPr>
  </w:style>
  <w:style w:type="paragraph" w:styleId="Heading5">
    <w:name w:val="heading 5"/>
    <w:basedOn w:val="Normal"/>
    <w:next w:val="Normal"/>
    <w:link w:val="Heading5Char"/>
    <w:uiPriority w:val="9"/>
    <w:qFormat/>
    <w:rsid w:val="008F16D6"/>
    <w:pPr>
      <w:keepNext/>
      <w:suppressAutoHyphens/>
      <w:spacing w:before="240" w:after="120" w:line="288" w:lineRule="auto"/>
      <w:ind w:left="1008" w:hanging="1008"/>
      <w:jc w:val="both"/>
      <w:outlineLvl w:val="4"/>
    </w:pPr>
    <w:rPr>
      <w:rFonts w:ascii="Arial" w:eastAsia="Times New Roman" w:hAnsi="Arial" w:cs="Times New Roman"/>
      <w:b/>
      <w:bCs/>
      <w:iCs/>
      <w:color w:val="C00000"/>
      <w:szCs w:val="26"/>
      <w:lang w:eastAsia="hr-HR"/>
    </w:rPr>
  </w:style>
  <w:style w:type="paragraph" w:styleId="Heading6">
    <w:name w:val="heading 6"/>
    <w:basedOn w:val="Normal"/>
    <w:next w:val="Normal"/>
    <w:link w:val="Heading6Char"/>
    <w:uiPriority w:val="9"/>
    <w:unhideWhenUsed/>
    <w:qFormat/>
    <w:rsid w:val="008F16D6"/>
    <w:pPr>
      <w:keepNext/>
      <w:pageBreakBefore/>
      <w:suppressAutoHyphens/>
      <w:spacing w:before="240" w:after="240" w:line="288" w:lineRule="auto"/>
      <w:ind w:left="1152" w:hanging="1152"/>
      <w:jc w:val="both"/>
      <w:outlineLvl w:val="5"/>
    </w:pPr>
    <w:rPr>
      <w:rFonts w:ascii="Arial" w:eastAsia="Times New Roman" w:hAnsi="Arial" w:cs="Times New Roman"/>
      <w:bCs/>
      <w:i/>
      <w:lang w:eastAsia="hr-HR"/>
    </w:rPr>
  </w:style>
  <w:style w:type="paragraph" w:styleId="Heading7">
    <w:name w:val="heading 7"/>
    <w:basedOn w:val="Normal"/>
    <w:next w:val="Normal"/>
    <w:link w:val="Heading7Char"/>
    <w:uiPriority w:val="9"/>
    <w:unhideWhenUsed/>
    <w:qFormat/>
    <w:rsid w:val="008F16D6"/>
    <w:pPr>
      <w:suppressAutoHyphens/>
      <w:spacing w:before="240" w:after="60" w:line="288" w:lineRule="auto"/>
      <w:ind w:left="1296" w:hanging="1296"/>
      <w:jc w:val="both"/>
      <w:outlineLvl w:val="6"/>
    </w:pPr>
    <w:rPr>
      <w:rFonts w:ascii="Times New Roman" w:eastAsia="Times New Roman" w:hAnsi="Times New Roman" w:cs="Times New Roman"/>
      <w:lang w:eastAsia="hr-HR"/>
    </w:rPr>
  </w:style>
  <w:style w:type="paragraph" w:styleId="Heading8">
    <w:name w:val="heading 8"/>
    <w:basedOn w:val="Normal"/>
    <w:next w:val="Normal"/>
    <w:link w:val="Heading8Char"/>
    <w:uiPriority w:val="9"/>
    <w:unhideWhenUsed/>
    <w:qFormat/>
    <w:rsid w:val="008F16D6"/>
    <w:pPr>
      <w:suppressAutoHyphens/>
      <w:spacing w:before="240" w:after="60" w:line="288" w:lineRule="auto"/>
      <w:ind w:left="1440" w:hanging="1440"/>
      <w:jc w:val="both"/>
      <w:outlineLvl w:val="7"/>
    </w:pPr>
    <w:rPr>
      <w:rFonts w:ascii="Times New Roman" w:eastAsia="Times New Roman" w:hAnsi="Times New Roman" w:cs="Times New Roman"/>
      <w:i/>
      <w:iCs/>
      <w:lang w:eastAsia="hr-HR"/>
    </w:rPr>
  </w:style>
  <w:style w:type="paragraph" w:styleId="Heading9">
    <w:name w:val="heading 9"/>
    <w:basedOn w:val="Normal"/>
    <w:next w:val="Normal"/>
    <w:link w:val="Heading9Char"/>
    <w:uiPriority w:val="9"/>
    <w:unhideWhenUsed/>
    <w:qFormat/>
    <w:rsid w:val="008F16D6"/>
    <w:pPr>
      <w:suppressAutoHyphens/>
      <w:spacing w:before="240" w:after="60" w:line="288" w:lineRule="auto"/>
      <w:ind w:left="1584" w:hanging="1584"/>
      <w:jc w:val="both"/>
      <w:outlineLvl w:val="8"/>
    </w:pPr>
    <w:rPr>
      <w:rFonts w:ascii="Arial" w:eastAsia="Times New Roman" w:hAnsi="Arial" w:cs="Arial"/>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REPORT Bullet,Nabrajanje,Tocka,List Paragraph1,KiF bullets,UNIZG_ALU_bullet,Lettre d'introduction,FM,Akapit z listą BS,Bullet1,References,List Paragraph (numbered (a)),List_Paragraph,Multilevel para_II,Yellow Bullet,Normal bullet 2,Dot pt"/>
    <w:basedOn w:val="Normal"/>
    <w:link w:val="ListParagraphChar"/>
    <w:uiPriority w:val="34"/>
    <w:qFormat/>
    <w:rsid w:val="008F226E"/>
    <w:pPr>
      <w:ind w:left="720"/>
      <w:contextualSpacing/>
    </w:pPr>
  </w:style>
  <w:style w:type="paragraph" w:styleId="FootnoteText">
    <w:name w:val="footnote text"/>
    <w:aliases w:val="Sprotna opomba-besedilo,Char Char Char Char,Char Char Char,Sprotna opomba - besedilo Znak1,Sprotna opomba - besedilo Znak Znak2,Sprotna opomba - besedilo Znak1 Znak Znak1,Sprotna opomba - besedilo Znak1 Znak Znak Znak,Footnote1"/>
    <w:basedOn w:val="Normal"/>
    <w:link w:val="FootnoteTextChar"/>
    <w:uiPriority w:val="99"/>
    <w:unhideWhenUsed/>
    <w:qFormat/>
    <w:rsid w:val="00F20CAC"/>
    <w:pPr>
      <w:spacing w:after="0" w:line="240" w:lineRule="auto"/>
    </w:pPr>
    <w:rPr>
      <w:sz w:val="20"/>
      <w:szCs w:val="20"/>
    </w:rPr>
  </w:style>
  <w:style w:type="character" w:customStyle="1" w:styleId="FootnoteTextChar">
    <w:name w:val="Footnote Text Char"/>
    <w:aliases w:val="Sprotna opomba-besedilo Char,Char Char Char Char Char,Char Char Char Char1,Sprotna opomba - besedilo Znak1 Char,Sprotna opomba - besedilo Znak Znak2 Char,Sprotna opomba - besedilo Znak1 Znak Znak1 Char,Footnote1 Char"/>
    <w:basedOn w:val="DefaultParagraphFont"/>
    <w:link w:val="FootnoteText"/>
    <w:uiPriority w:val="99"/>
    <w:rsid w:val="00F20CAC"/>
    <w:rPr>
      <w:sz w:val="20"/>
      <w:szCs w:val="20"/>
    </w:rPr>
  </w:style>
  <w:style w:type="character" w:styleId="FootnoteReference">
    <w:name w:val="footnote reference"/>
    <w:aliases w:val="Footnote symbol,Fussnota,Footnote,Footnote reference number,note TESI,SUPERS,EN Footnote Reference,-E Fußnotenzeichen,ESPON Footnote No,number,Times 10 Point,Exposant 3 Point,Footnote Reference_LVL6,Footnote Reference_LVL61,BVI fnr"/>
    <w:basedOn w:val="DefaultParagraphFont"/>
    <w:uiPriority w:val="99"/>
    <w:unhideWhenUsed/>
    <w:rsid w:val="00F20CAC"/>
    <w:rPr>
      <w:vertAlign w:val="superscript"/>
    </w:rPr>
  </w:style>
  <w:style w:type="character" w:styleId="CommentReference">
    <w:name w:val="annotation reference"/>
    <w:basedOn w:val="DefaultParagraphFont"/>
    <w:uiPriority w:val="99"/>
    <w:unhideWhenUsed/>
    <w:rsid w:val="00E3344A"/>
    <w:rPr>
      <w:sz w:val="16"/>
      <w:szCs w:val="16"/>
    </w:rPr>
  </w:style>
  <w:style w:type="paragraph" w:styleId="CommentText">
    <w:name w:val="annotation text"/>
    <w:basedOn w:val="Normal"/>
    <w:link w:val="CommentTextChar"/>
    <w:unhideWhenUsed/>
    <w:rsid w:val="00E3344A"/>
    <w:pPr>
      <w:spacing w:line="240" w:lineRule="auto"/>
    </w:pPr>
    <w:rPr>
      <w:sz w:val="20"/>
      <w:szCs w:val="20"/>
    </w:rPr>
  </w:style>
  <w:style w:type="character" w:customStyle="1" w:styleId="CommentTextChar">
    <w:name w:val="Comment Text Char"/>
    <w:basedOn w:val="DefaultParagraphFont"/>
    <w:link w:val="CommentText"/>
    <w:rsid w:val="00E3344A"/>
    <w:rPr>
      <w:sz w:val="20"/>
      <w:szCs w:val="20"/>
    </w:rPr>
  </w:style>
  <w:style w:type="paragraph" w:styleId="CommentSubject">
    <w:name w:val="annotation subject"/>
    <w:basedOn w:val="CommentText"/>
    <w:next w:val="CommentText"/>
    <w:link w:val="CommentSubjectChar"/>
    <w:uiPriority w:val="99"/>
    <w:semiHidden/>
    <w:unhideWhenUsed/>
    <w:rsid w:val="00E3344A"/>
    <w:rPr>
      <w:b/>
      <w:bCs/>
    </w:rPr>
  </w:style>
  <w:style w:type="character" w:customStyle="1" w:styleId="CommentSubjectChar">
    <w:name w:val="Comment Subject Char"/>
    <w:basedOn w:val="CommentTextChar"/>
    <w:link w:val="CommentSubject"/>
    <w:uiPriority w:val="99"/>
    <w:semiHidden/>
    <w:rsid w:val="00E3344A"/>
    <w:rPr>
      <w:b/>
      <w:bCs/>
      <w:sz w:val="20"/>
      <w:szCs w:val="20"/>
    </w:rPr>
  </w:style>
  <w:style w:type="paragraph" w:styleId="BalloonText">
    <w:name w:val="Balloon Text"/>
    <w:basedOn w:val="Normal"/>
    <w:link w:val="BalloonTextChar"/>
    <w:uiPriority w:val="99"/>
    <w:semiHidden/>
    <w:unhideWhenUsed/>
    <w:rsid w:val="00E334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344A"/>
    <w:rPr>
      <w:rFonts w:ascii="Segoe UI" w:hAnsi="Segoe UI" w:cs="Segoe UI"/>
      <w:sz w:val="18"/>
      <w:szCs w:val="18"/>
    </w:rPr>
  </w:style>
  <w:style w:type="character" w:styleId="Hyperlink">
    <w:name w:val="Hyperlink"/>
    <w:basedOn w:val="DefaultParagraphFont"/>
    <w:uiPriority w:val="99"/>
    <w:unhideWhenUsed/>
    <w:rsid w:val="00FA75C2"/>
    <w:rPr>
      <w:color w:val="0000FF"/>
      <w:u w:val="single"/>
    </w:rPr>
  </w:style>
  <w:style w:type="paragraph" w:styleId="NoSpacing">
    <w:name w:val="No Spacing"/>
    <w:basedOn w:val="Normal"/>
    <w:link w:val="NoSpacingChar"/>
    <w:uiPriority w:val="1"/>
    <w:qFormat/>
    <w:rsid w:val="00FA75C2"/>
    <w:pPr>
      <w:spacing w:after="0" w:line="240" w:lineRule="auto"/>
    </w:pPr>
    <w:rPr>
      <w:rFonts w:ascii="Times New Roman" w:hAnsi="Times New Roman" w:cs="Times New Roman"/>
      <w:sz w:val="24"/>
      <w:szCs w:val="24"/>
    </w:rPr>
  </w:style>
  <w:style w:type="character" w:styleId="FollowedHyperlink">
    <w:name w:val="FollowedHyperlink"/>
    <w:basedOn w:val="DefaultParagraphFont"/>
    <w:semiHidden/>
    <w:unhideWhenUsed/>
    <w:rsid w:val="0075036D"/>
    <w:rPr>
      <w:color w:val="800080" w:themeColor="followedHyperlink"/>
      <w:u w:val="single"/>
    </w:rPr>
  </w:style>
  <w:style w:type="paragraph" w:customStyle="1" w:styleId="Default">
    <w:name w:val="Default"/>
    <w:rsid w:val="009506F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9-8">
    <w:name w:val="t-9-8"/>
    <w:basedOn w:val="Normal"/>
    <w:rsid w:val="00386307"/>
    <w:pPr>
      <w:spacing w:before="100" w:beforeAutospacing="1" w:after="225" w:line="240" w:lineRule="auto"/>
    </w:pPr>
    <w:rPr>
      <w:rFonts w:ascii="Times New Roman" w:eastAsia="Times New Roman" w:hAnsi="Times New Roman" w:cs="Times New Roman"/>
      <w:sz w:val="24"/>
      <w:szCs w:val="24"/>
      <w:lang w:eastAsia="hr-HR"/>
    </w:rPr>
  </w:style>
  <w:style w:type="paragraph" w:styleId="Header">
    <w:name w:val="header"/>
    <w:basedOn w:val="Normal"/>
    <w:link w:val="HeaderChar"/>
    <w:uiPriority w:val="99"/>
    <w:unhideWhenUsed/>
    <w:rsid w:val="00654851"/>
    <w:pPr>
      <w:tabs>
        <w:tab w:val="center" w:pos="4536"/>
        <w:tab w:val="right" w:pos="9072"/>
      </w:tabs>
      <w:spacing w:after="0" w:line="240" w:lineRule="auto"/>
    </w:pPr>
  </w:style>
  <w:style w:type="character" w:customStyle="1" w:styleId="HeaderChar">
    <w:name w:val="Header Char"/>
    <w:basedOn w:val="DefaultParagraphFont"/>
    <w:link w:val="Header"/>
    <w:uiPriority w:val="99"/>
    <w:rsid w:val="00654851"/>
  </w:style>
  <w:style w:type="paragraph" w:styleId="Footer">
    <w:name w:val="footer"/>
    <w:basedOn w:val="Normal"/>
    <w:link w:val="FooterChar"/>
    <w:uiPriority w:val="99"/>
    <w:unhideWhenUsed/>
    <w:rsid w:val="00654851"/>
    <w:pPr>
      <w:tabs>
        <w:tab w:val="center" w:pos="4536"/>
        <w:tab w:val="right" w:pos="9072"/>
      </w:tabs>
      <w:spacing w:after="0" w:line="240" w:lineRule="auto"/>
    </w:pPr>
  </w:style>
  <w:style w:type="character" w:customStyle="1" w:styleId="FooterChar">
    <w:name w:val="Footer Char"/>
    <w:basedOn w:val="DefaultParagraphFont"/>
    <w:link w:val="Footer"/>
    <w:uiPriority w:val="99"/>
    <w:rsid w:val="00654851"/>
  </w:style>
  <w:style w:type="paragraph" w:customStyle="1" w:styleId="uvlaka-broj">
    <w:name w:val="uvlaka-broj"/>
    <w:basedOn w:val="Normal"/>
    <w:rsid w:val="009D0D0B"/>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bold">
    <w:name w:val="bold"/>
    <w:basedOn w:val="DefaultParagraphFont"/>
    <w:rsid w:val="009D0D0B"/>
  </w:style>
  <w:style w:type="paragraph" w:customStyle="1" w:styleId="t-11-9-sred">
    <w:name w:val="t-11-9-sred"/>
    <w:basedOn w:val="Normal"/>
    <w:rsid w:val="009D0D0B"/>
    <w:pPr>
      <w:spacing w:before="100" w:beforeAutospacing="1" w:after="100" w:afterAutospacing="1" w:line="240" w:lineRule="auto"/>
    </w:pPr>
    <w:rPr>
      <w:rFonts w:ascii="Times New Roman" w:eastAsia="Times New Roman" w:hAnsi="Times New Roman" w:cs="Times New Roman"/>
      <w:sz w:val="24"/>
      <w:szCs w:val="24"/>
      <w:lang w:eastAsia="hr-HR"/>
    </w:rPr>
  </w:style>
  <w:style w:type="table" w:styleId="TableGrid">
    <w:name w:val="Table Grid"/>
    <w:basedOn w:val="TableNormal"/>
    <w:uiPriority w:val="59"/>
    <w:rsid w:val="00AA6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9065CA"/>
    <w:rPr>
      <w:b/>
      <w:bCs/>
      <w:smallCaps/>
      <w:color w:val="C0504D" w:themeColor="accent2"/>
      <w:spacing w:val="5"/>
      <w:u w:val="single"/>
    </w:rPr>
  </w:style>
  <w:style w:type="paragraph" w:customStyle="1" w:styleId="pt-normal-000004">
    <w:name w:val="pt-normal-000004"/>
    <w:basedOn w:val="Normal"/>
    <w:rsid w:val="006471A6"/>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pt-zadanifontodlomka-000005">
    <w:name w:val="pt-zadanifontodlomka-000005"/>
    <w:basedOn w:val="DefaultParagraphFont"/>
    <w:rsid w:val="006471A6"/>
  </w:style>
  <w:style w:type="character" w:customStyle="1" w:styleId="pt-000007">
    <w:name w:val="pt-000007"/>
    <w:basedOn w:val="DefaultParagraphFont"/>
    <w:rsid w:val="006471A6"/>
  </w:style>
  <w:style w:type="paragraph" w:customStyle="1" w:styleId="pt-normal">
    <w:name w:val="pt-normal"/>
    <w:basedOn w:val="Normal"/>
    <w:rsid w:val="006471A6"/>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pt-zadanifontodlomka-000009">
    <w:name w:val="pt-zadanifontodlomka-000009"/>
    <w:basedOn w:val="DefaultParagraphFont"/>
    <w:rsid w:val="006471A6"/>
  </w:style>
  <w:style w:type="character" w:customStyle="1" w:styleId="Heading1Char">
    <w:name w:val="Heading 1 Char"/>
    <w:basedOn w:val="DefaultParagraphFont"/>
    <w:link w:val="Heading1"/>
    <w:uiPriority w:val="9"/>
    <w:rsid w:val="00D03A1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D03A18"/>
    <w:pPr>
      <w:outlineLvl w:val="9"/>
    </w:pPr>
    <w:rPr>
      <w:lang w:eastAsia="hr-HR"/>
    </w:rPr>
  </w:style>
  <w:style w:type="character" w:customStyle="1" w:styleId="Heading2Char">
    <w:name w:val="Heading 2 Char"/>
    <w:basedOn w:val="DefaultParagraphFont"/>
    <w:link w:val="Heading2"/>
    <w:uiPriority w:val="9"/>
    <w:rsid w:val="00D03A1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03A18"/>
    <w:rPr>
      <w:rFonts w:asciiTheme="majorHAnsi" w:eastAsiaTheme="majorEastAsia" w:hAnsiTheme="majorHAnsi" w:cstheme="majorBidi"/>
      <w:b/>
      <w:bCs/>
      <w:color w:val="4F81BD" w:themeColor="accent1"/>
    </w:rPr>
  </w:style>
  <w:style w:type="paragraph" w:styleId="TOC1">
    <w:name w:val="toc 1"/>
    <w:basedOn w:val="Normal"/>
    <w:next w:val="Normal"/>
    <w:autoRedefine/>
    <w:uiPriority w:val="39"/>
    <w:unhideWhenUsed/>
    <w:rsid w:val="00CE4A5D"/>
    <w:pPr>
      <w:spacing w:after="100"/>
    </w:pPr>
  </w:style>
  <w:style w:type="paragraph" w:styleId="TOC2">
    <w:name w:val="toc 2"/>
    <w:basedOn w:val="Normal"/>
    <w:next w:val="Normal"/>
    <w:autoRedefine/>
    <w:uiPriority w:val="39"/>
    <w:unhideWhenUsed/>
    <w:rsid w:val="00CE4A5D"/>
    <w:pPr>
      <w:spacing w:after="100"/>
      <w:ind w:left="220"/>
    </w:pPr>
  </w:style>
  <w:style w:type="paragraph" w:styleId="TOC3">
    <w:name w:val="toc 3"/>
    <w:basedOn w:val="Normal"/>
    <w:next w:val="Normal"/>
    <w:autoRedefine/>
    <w:uiPriority w:val="39"/>
    <w:unhideWhenUsed/>
    <w:rsid w:val="00CE4A5D"/>
    <w:pPr>
      <w:spacing w:after="100"/>
      <w:ind w:left="440"/>
    </w:pPr>
  </w:style>
  <w:style w:type="paragraph" w:customStyle="1" w:styleId="Stil1">
    <w:name w:val="Stil1"/>
    <w:basedOn w:val="Heading4"/>
    <w:link w:val="Stil1Char"/>
    <w:qFormat/>
    <w:rsid w:val="001417D1"/>
    <w:pPr>
      <w:spacing w:line="360" w:lineRule="auto"/>
      <w:jc w:val="both"/>
    </w:pPr>
    <w:rPr>
      <w:rFonts w:cs="Times New Roman"/>
      <w:b w:val="0"/>
      <w:szCs w:val="24"/>
    </w:rPr>
  </w:style>
  <w:style w:type="paragraph" w:styleId="TOC4">
    <w:name w:val="toc 4"/>
    <w:basedOn w:val="Normal"/>
    <w:next w:val="Normal"/>
    <w:autoRedefine/>
    <w:uiPriority w:val="39"/>
    <w:unhideWhenUsed/>
    <w:rsid w:val="00506567"/>
    <w:pPr>
      <w:spacing w:after="100"/>
      <w:ind w:left="660"/>
    </w:pPr>
  </w:style>
  <w:style w:type="character" w:customStyle="1" w:styleId="Heading4Char">
    <w:name w:val="Heading 4 Char"/>
    <w:basedOn w:val="DefaultParagraphFont"/>
    <w:link w:val="Heading4"/>
    <w:uiPriority w:val="9"/>
    <w:rsid w:val="0073384C"/>
    <w:rPr>
      <w:rFonts w:ascii="Times New Roman" w:eastAsiaTheme="majorEastAsia" w:hAnsi="Times New Roman" w:cstheme="majorBidi"/>
      <w:b/>
      <w:bCs/>
      <w:iCs/>
      <w:sz w:val="24"/>
    </w:rPr>
  </w:style>
  <w:style w:type="character" w:customStyle="1" w:styleId="Stil1Char">
    <w:name w:val="Stil1 Char"/>
    <w:basedOn w:val="Heading4Char"/>
    <w:link w:val="Stil1"/>
    <w:rsid w:val="001417D1"/>
    <w:rPr>
      <w:rFonts w:ascii="Times New Roman" w:eastAsiaTheme="majorEastAsia" w:hAnsi="Times New Roman" w:cs="Times New Roman"/>
      <w:b w:val="0"/>
      <w:bCs/>
      <w:iCs/>
      <w:sz w:val="24"/>
      <w:szCs w:val="24"/>
    </w:rPr>
  </w:style>
  <w:style w:type="table" w:customStyle="1" w:styleId="Reetkatablice1">
    <w:name w:val="Rešetka tablice1"/>
    <w:basedOn w:val="TableNormal"/>
    <w:next w:val="TableGrid"/>
    <w:uiPriority w:val="59"/>
    <w:rsid w:val="00C373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REPORT Bullet Char,Nabrajanje Char,Tocka Char,List Paragraph1 Char,KiF bullets Char,UNIZG_ALU_bullet Char,Lettre d'introduction Char,FM Char,Akapit z listą BS Char,Bullet1 Char,References Char,List Paragraph (numbered (a)) Char"/>
    <w:link w:val="ListParagraph"/>
    <w:uiPriority w:val="34"/>
    <w:qFormat/>
    <w:locked/>
    <w:rsid w:val="00C5400F"/>
  </w:style>
  <w:style w:type="paragraph" w:styleId="Quote">
    <w:name w:val="Quote"/>
    <w:basedOn w:val="Normal"/>
    <w:next w:val="Normal"/>
    <w:link w:val="QuoteChar"/>
    <w:uiPriority w:val="29"/>
    <w:qFormat/>
    <w:rsid w:val="00C5400F"/>
    <w:pPr>
      <w:spacing w:after="0" w:line="240" w:lineRule="auto"/>
    </w:pPr>
    <w:rPr>
      <w:rFonts w:ascii="Times New Roman" w:hAnsi="Times New Roman"/>
      <w:i/>
      <w:iCs/>
      <w:color w:val="000000" w:themeColor="text1"/>
      <w:sz w:val="24"/>
      <w:szCs w:val="24"/>
    </w:rPr>
  </w:style>
  <w:style w:type="character" w:customStyle="1" w:styleId="QuoteChar">
    <w:name w:val="Quote Char"/>
    <w:basedOn w:val="DefaultParagraphFont"/>
    <w:link w:val="Quote"/>
    <w:uiPriority w:val="29"/>
    <w:rsid w:val="00C5400F"/>
    <w:rPr>
      <w:rFonts w:ascii="Times New Roman" w:hAnsi="Times New Roman"/>
      <w:i/>
      <w:iCs/>
      <w:color w:val="000000" w:themeColor="text1"/>
      <w:sz w:val="24"/>
      <w:szCs w:val="24"/>
    </w:rPr>
  </w:style>
  <w:style w:type="paragraph" w:styleId="Revision">
    <w:name w:val="Revision"/>
    <w:hidden/>
    <w:uiPriority w:val="99"/>
    <w:semiHidden/>
    <w:rsid w:val="009F35D4"/>
    <w:pPr>
      <w:spacing w:after="0" w:line="240" w:lineRule="auto"/>
    </w:pPr>
  </w:style>
  <w:style w:type="paragraph" w:customStyle="1" w:styleId="box457773">
    <w:name w:val="box_457773"/>
    <w:basedOn w:val="Normal"/>
    <w:rsid w:val="001D4C1C"/>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PlainText">
    <w:name w:val="Plain Text"/>
    <w:basedOn w:val="Normal"/>
    <w:link w:val="PlainTextChar"/>
    <w:uiPriority w:val="99"/>
    <w:unhideWhenUsed/>
    <w:rsid w:val="00F32EF9"/>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F32EF9"/>
    <w:rPr>
      <w:rFonts w:ascii="Calibri" w:hAnsi="Calibri" w:cs="Consolas"/>
      <w:szCs w:val="21"/>
    </w:rPr>
  </w:style>
  <w:style w:type="paragraph" w:styleId="NormalWeb">
    <w:name w:val="Normal (Web)"/>
    <w:basedOn w:val="Normal"/>
    <w:uiPriority w:val="99"/>
    <w:unhideWhenUsed/>
    <w:rsid w:val="00FF3279"/>
    <w:pPr>
      <w:spacing w:before="100" w:beforeAutospacing="1" w:after="100" w:afterAutospacing="1" w:line="240" w:lineRule="auto"/>
    </w:pPr>
    <w:rPr>
      <w:rFonts w:ascii="Times New Roman" w:eastAsiaTheme="minorEastAsia" w:hAnsi="Times New Roman" w:cs="Times New Roman"/>
      <w:sz w:val="24"/>
      <w:szCs w:val="24"/>
      <w:lang w:eastAsia="hr-HR"/>
    </w:rPr>
  </w:style>
  <w:style w:type="table" w:customStyle="1" w:styleId="TableGrid1">
    <w:name w:val="Table Grid1"/>
    <w:basedOn w:val="TableNormal"/>
    <w:next w:val="TableGrid"/>
    <w:uiPriority w:val="59"/>
    <w:rsid w:val="00577B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EC0A0A"/>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8F16D6"/>
    <w:rPr>
      <w:rFonts w:ascii="Arial" w:eastAsia="Times New Roman" w:hAnsi="Arial" w:cs="Times New Roman"/>
      <w:b/>
      <w:bCs/>
      <w:iCs/>
      <w:color w:val="C00000"/>
      <w:szCs w:val="26"/>
      <w:lang w:eastAsia="hr-HR"/>
    </w:rPr>
  </w:style>
  <w:style w:type="character" w:customStyle="1" w:styleId="Heading6Char">
    <w:name w:val="Heading 6 Char"/>
    <w:basedOn w:val="DefaultParagraphFont"/>
    <w:link w:val="Heading6"/>
    <w:uiPriority w:val="9"/>
    <w:rsid w:val="008F16D6"/>
    <w:rPr>
      <w:rFonts w:ascii="Arial" w:eastAsia="Times New Roman" w:hAnsi="Arial" w:cs="Times New Roman"/>
      <w:bCs/>
      <w:i/>
      <w:lang w:eastAsia="hr-HR"/>
    </w:rPr>
  </w:style>
  <w:style w:type="character" w:customStyle="1" w:styleId="Heading7Char">
    <w:name w:val="Heading 7 Char"/>
    <w:basedOn w:val="DefaultParagraphFont"/>
    <w:link w:val="Heading7"/>
    <w:uiPriority w:val="9"/>
    <w:rsid w:val="008F16D6"/>
    <w:rPr>
      <w:rFonts w:ascii="Times New Roman" w:eastAsia="Times New Roman" w:hAnsi="Times New Roman" w:cs="Times New Roman"/>
      <w:lang w:eastAsia="hr-HR"/>
    </w:rPr>
  </w:style>
  <w:style w:type="character" w:customStyle="1" w:styleId="Heading8Char">
    <w:name w:val="Heading 8 Char"/>
    <w:basedOn w:val="DefaultParagraphFont"/>
    <w:link w:val="Heading8"/>
    <w:uiPriority w:val="9"/>
    <w:rsid w:val="008F16D6"/>
    <w:rPr>
      <w:rFonts w:ascii="Times New Roman" w:eastAsia="Times New Roman" w:hAnsi="Times New Roman" w:cs="Times New Roman"/>
      <w:i/>
      <w:iCs/>
      <w:lang w:eastAsia="hr-HR"/>
    </w:rPr>
  </w:style>
  <w:style w:type="character" w:customStyle="1" w:styleId="Heading9Char">
    <w:name w:val="Heading 9 Char"/>
    <w:basedOn w:val="DefaultParagraphFont"/>
    <w:link w:val="Heading9"/>
    <w:uiPriority w:val="9"/>
    <w:rsid w:val="008F16D6"/>
    <w:rPr>
      <w:rFonts w:ascii="Arial" w:eastAsia="Times New Roman" w:hAnsi="Arial" w:cs="Arial"/>
      <w:lang w:eastAsia="hr-HR"/>
    </w:rPr>
  </w:style>
  <w:style w:type="numbering" w:customStyle="1" w:styleId="Bezpopisa1">
    <w:name w:val="Bez popisa1"/>
    <w:next w:val="NoList"/>
    <w:uiPriority w:val="99"/>
    <w:semiHidden/>
    <w:unhideWhenUsed/>
    <w:rsid w:val="008F16D6"/>
  </w:style>
  <w:style w:type="paragraph" w:customStyle="1" w:styleId="Body">
    <w:name w:val="Body"/>
    <w:basedOn w:val="Normal"/>
    <w:uiPriority w:val="3"/>
    <w:rsid w:val="008F16D6"/>
    <w:pPr>
      <w:widowControl w:val="0"/>
      <w:suppressAutoHyphens/>
      <w:autoSpaceDE w:val="0"/>
      <w:autoSpaceDN w:val="0"/>
      <w:adjustRightInd w:val="0"/>
      <w:spacing w:before="240" w:beforeAutospacing="1" w:after="120" w:afterAutospacing="1" w:line="240" w:lineRule="atLeast"/>
      <w:ind w:left="680"/>
      <w:jc w:val="both"/>
      <w:textAlignment w:val="center"/>
    </w:pPr>
    <w:rPr>
      <w:rFonts w:ascii="Arial" w:eastAsia="Times New Roman" w:hAnsi="Arial" w:cs="Myriad Pro"/>
      <w:szCs w:val="24"/>
      <w:lang w:eastAsia="hr-HR"/>
    </w:rPr>
  </w:style>
  <w:style w:type="paragraph" w:styleId="DocumentMap">
    <w:name w:val="Document Map"/>
    <w:basedOn w:val="Normal"/>
    <w:link w:val="DocumentMapChar"/>
    <w:semiHidden/>
    <w:rsid w:val="008F16D6"/>
    <w:pPr>
      <w:shd w:val="clear" w:color="auto" w:fill="000080"/>
      <w:suppressAutoHyphens/>
      <w:spacing w:before="240" w:after="120" w:line="288" w:lineRule="auto"/>
      <w:jc w:val="both"/>
    </w:pPr>
    <w:rPr>
      <w:rFonts w:ascii="Tahoma" w:eastAsia="Times New Roman" w:hAnsi="Tahoma" w:cs="Tahoma"/>
      <w:sz w:val="20"/>
      <w:szCs w:val="20"/>
      <w:lang w:eastAsia="hr-HR"/>
    </w:rPr>
  </w:style>
  <w:style w:type="character" w:customStyle="1" w:styleId="DocumentMapChar">
    <w:name w:val="Document Map Char"/>
    <w:basedOn w:val="DefaultParagraphFont"/>
    <w:link w:val="DocumentMap"/>
    <w:semiHidden/>
    <w:rsid w:val="008F16D6"/>
    <w:rPr>
      <w:rFonts w:ascii="Tahoma" w:eastAsia="Times New Roman" w:hAnsi="Tahoma" w:cs="Tahoma"/>
      <w:sz w:val="20"/>
      <w:szCs w:val="20"/>
      <w:shd w:val="clear" w:color="auto" w:fill="000080"/>
      <w:lang w:eastAsia="hr-HR"/>
    </w:rPr>
  </w:style>
  <w:style w:type="paragraph" w:styleId="BodyText">
    <w:name w:val="Body Text"/>
    <w:basedOn w:val="Normal"/>
    <w:link w:val="BodyTextChar"/>
    <w:uiPriority w:val="3"/>
    <w:rsid w:val="008F16D6"/>
    <w:pPr>
      <w:suppressAutoHyphens/>
      <w:spacing w:before="100" w:beforeAutospacing="1" w:after="100" w:afterAutospacing="1" w:line="288" w:lineRule="auto"/>
      <w:jc w:val="both"/>
    </w:pPr>
    <w:rPr>
      <w:rFonts w:ascii="Arial" w:eastAsia="Times New Roman" w:hAnsi="Arial" w:cs="Arial"/>
      <w:szCs w:val="24"/>
      <w:lang w:eastAsia="hr-HR"/>
    </w:rPr>
  </w:style>
  <w:style w:type="character" w:customStyle="1" w:styleId="BodyTextChar">
    <w:name w:val="Body Text Char"/>
    <w:basedOn w:val="DefaultParagraphFont"/>
    <w:link w:val="BodyText"/>
    <w:uiPriority w:val="3"/>
    <w:rsid w:val="008F16D6"/>
    <w:rPr>
      <w:rFonts w:ascii="Arial" w:eastAsia="Times New Roman" w:hAnsi="Arial" w:cs="Arial"/>
      <w:szCs w:val="24"/>
      <w:lang w:eastAsia="hr-HR"/>
    </w:rPr>
  </w:style>
  <w:style w:type="paragraph" w:styleId="E-mailSignature">
    <w:name w:val="E-mail Signature"/>
    <w:basedOn w:val="Normal"/>
    <w:link w:val="E-mailSignatureChar"/>
    <w:semiHidden/>
    <w:rsid w:val="008F16D6"/>
    <w:pPr>
      <w:suppressAutoHyphens/>
      <w:spacing w:before="240" w:after="120" w:line="288" w:lineRule="auto"/>
      <w:jc w:val="both"/>
    </w:pPr>
    <w:rPr>
      <w:rFonts w:ascii="Times New Roman" w:eastAsia="Times New Roman" w:hAnsi="Times New Roman" w:cs="Times New Roman"/>
      <w:lang w:eastAsia="hr-HR"/>
    </w:rPr>
  </w:style>
  <w:style w:type="character" w:customStyle="1" w:styleId="E-mailSignatureChar">
    <w:name w:val="E-mail Signature Char"/>
    <w:basedOn w:val="DefaultParagraphFont"/>
    <w:link w:val="E-mailSignature"/>
    <w:semiHidden/>
    <w:rsid w:val="008F16D6"/>
    <w:rPr>
      <w:rFonts w:ascii="Times New Roman" w:eastAsia="Times New Roman" w:hAnsi="Times New Roman" w:cs="Times New Roman"/>
      <w:lang w:eastAsia="hr-HR"/>
    </w:rPr>
  </w:style>
  <w:style w:type="paragraph" w:styleId="HTMLAddress">
    <w:name w:val="HTML Address"/>
    <w:basedOn w:val="Normal"/>
    <w:link w:val="HTMLAddressChar"/>
    <w:semiHidden/>
    <w:rsid w:val="008F16D6"/>
    <w:pPr>
      <w:suppressAutoHyphens/>
      <w:spacing w:before="240" w:after="120" w:line="288" w:lineRule="auto"/>
      <w:jc w:val="both"/>
    </w:pPr>
    <w:rPr>
      <w:rFonts w:ascii="Times New Roman" w:eastAsia="Times New Roman" w:hAnsi="Times New Roman" w:cs="Times New Roman"/>
      <w:i/>
      <w:iCs/>
      <w:lang w:eastAsia="hr-HR"/>
    </w:rPr>
  </w:style>
  <w:style w:type="character" w:customStyle="1" w:styleId="HTMLAddressChar">
    <w:name w:val="HTML Address Char"/>
    <w:basedOn w:val="DefaultParagraphFont"/>
    <w:link w:val="HTMLAddress"/>
    <w:semiHidden/>
    <w:rsid w:val="008F16D6"/>
    <w:rPr>
      <w:rFonts w:ascii="Times New Roman" w:eastAsia="Times New Roman" w:hAnsi="Times New Roman" w:cs="Times New Roman"/>
      <w:i/>
      <w:iCs/>
      <w:lang w:eastAsia="hr-HR"/>
    </w:rPr>
  </w:style>
  <w:style w:type="paragraph" w:styleId="HTMLPreformatted">
    <w:name w:val="HTML Preformatted"/>
    <w:basedOn w:val="Normal"/>
    <w:link w:val="HTMLPreformattedChar"/>
    <w:semiHidden/>
    <w:rsid w:val="008F16D6"/>
    <w:pPr>
      <w:suppressAutoHyphens/>
      <w:spacing w:before="240" w:after="120" w:line="288" w:lineRule="auto"/>
      <w:jc w:val="both"/>
    </w:pPr>
    <w:rPr>
      <w:rFonts w:ascii="Courier New" w:eastAsia="Times New Roman" w:hAnsi="Courier New" w:cs="Courier New"/>
      <w:sz w:val="20"/>
      <w:szCs w:val="20"/>
      <w:lang w:eastAsia="hr-HR"/>
    </w:rPr>
  </w:style>
  <w:style w:type="character" w:customStyle="1" w:styleId="HTMLPreformattedChar">
    <w:name w:val="HTML Preformatted Char"/>
    <w:basedOn w:val="DefaultParagraphFont"/>
    <w:link w:val="HTMLPreformatted"/>
    <w:semiHidden/>
    <w:rsid w:val="008F16D6"/>
    <w:rPr>
      <w:rFonts w:ascii="Courier New" w:eastAsia="Times New Roman" w:hAnsi="Courier New" w:cs="Courier New"/>
      <w:sz w:val="20"/>
      <w:szCs w:val="20"/>
      <w:lang w:eastAsia="hr-HR"/>
    </w:rPr>
  </w:style>
  <w:style w:type="character" w:styleId="PageNumber">
    <w:name w:val="page number"/>
    <w:basedOn w:val="DefaultParagraphFont"/>
    <w:uiPriority w:val="3"/>
    <w:rsid w:val="008F16D6"/>
  </w:style>
  <w:style w:type="paragraph" w:customStyle="1" w:styleId="Izvor">
    <w:name w:val="Izvor"/>
    <w:basedOn w:val="Normal"/>
    <w:link w:val="IzvorChar"/>
    <w:rsid w:val="008F16D6"/>
    <w:pPr>
      <w:suppressAutoHyphens/>
      <w:spacing w:before="100" w:beforeAutospacing="1" w:after="100" w:afterAutospacing="1" w:line="288" w:lineRule="auto"/>
      <w:jc w:val="center"/>
    </w:pPr>
    <w:rPr>
      <w:rFonts w:ascii="Arial" w:eastAsia="Times New Roman" w:hAnsi="Arial" w:cs="Arial"/>
      <w:i/>
      <w:sz w:val="20"/>
      <w:lang w:eastAsia="hr-HR"/>
    </w:rPr>
  </w:style>
  <w:style w:type="paragraph" w:customStyle="1" w:styleId="Naslovstudije">
    <w:name w:val="Naslov studije"/>
    <w:basedOn w:val="Normal"/>
    <w:uiPriority w:val="3"/>
    <w:rsid w:val="008F16D6"/>
    <w:pPr>
      <w:suppressAutoHyphens/>
      <w:spacing w:before="240" w:after="120" w:line="288" w:lineRule="auto"/>
      <w:jc w:val="both"/>
    </w:pPr>
    <w:rPr>
      <w:rFonts w:ascii="Arial" w:eastAsia="Times New Roman" w:hAnsi="Arial" w:cs="Arial"/>
      <w:b/>
      <w:color w:val="BE1D2D"/>
      <w:sz w:val="36"/>
      <w:szCs w:val="36"/>
      <w:lang w:eastAsia="hr-HR"/>
    </w:rPr>
  </w:style>
  <w:style w:type="paragraph" w:customStyle="1" w:styleId="Naslovslika">
    <w:name w:val="Naslov slika"/>
    <w:basedOn w:val="Normal"/>
    <w:link w:val="NaslovslikaChar"/>
    <w:uiPriority w:val="99"/>
    <w:qFormat/>
    <w:rsid w:val="008F16D6"/>
    <w:pPr>
      <w:tabs>
        <w:tab w:val="left" w:pos="1021"/>
      </w:tabs>
      <w:suppressAutoHyphens/>
      <w:spacing w:before="120" w:after="360" w:line="288" w:lineRule="auto"/>
      <w:ind w:left="1021" w:hanging="1021"/>
      <w:jc w:val="center"/>
    </w:pPr>
    <w:rPr>
      <w:rFonts w:ascii="Arial" w:eastAsia="Times New Roman" w:hAnsi="Arial" w:cs="Times New Roman"/>
      <w:b/>
      <w:sz w:val="20"/>
      <w:szCs w:val="28"/>
      <w:lang w:eastAsia="hr-HR"/>
    </w:rPr>
  </w:style>
  <w:style w:type="paragraph" w:styleId="TableofFigures">
    <w:name w:val="table of figures"/>
    <w:basedOn w:val="Normal"/>
    <w:next w:val="Normal"/>
    <w:uiPriority w:val="99"/>
    <w:rsid w:val="008F16D6"/>
    <w:pPr>
      <w:tabs>
        <w:tab w:val="left" w:pos="1247"/>
        <w:tab w:val="right" w:leader="dot" w:pos="9061"/>
      </w:tabs>
      <w:suppressAutoHyphens/>
      <w:spacing w:before="120" w:after="120" w:line="240" w:lineRule="auto"/>
      <w:ind w:left="1247" w:hanging="1247"/>
      <w:jc w:val="both"/>
    </w:pPr>
    <w:rPr>
      <w:rFonts w:ascii="Arial" w:eastAsia="Times New Roman" w:hAnsi="Arial" w:cs="Times New Roman"/>
      <w:lang w:eastAsia="hr-HR"/>
    </w:rPr>
  </w:style>
  <w:style w:type="paragraph" w:customStyle="1" w:styleId="Literatura">
    <w:name w:val="Literatura"/>
    <w:basedOn w:val="Normal"/>
    <w:link w:val="LiteraturaCharChar"/>
    <w:uiPriority w:val="3"/>
    <w:rsid w:val="008F16D6"/>
    <w:pPr>
      <w:numPr>
        <w:numId w:val="1"/>
      </w:numPr>
      <w:suppressAutoHyphens/>
      <w:spacing w:before="100" w:beforeAutospacing="1" w:after="240" w:line="288" w:lineRule="auto"/>
      <w:jc w:val="both"/>
    </w:pPr>
    <w:rPr>
      <w:rFonts w:ascii="Arial" w:eastAsia="Times New Roman" w:hAnsi="Arial" w:cs="Arial"/>
      <w:lang w:eastAsia="hr-HR"/>
    </w:rPr>
  </w:style>
  <w:style w:type="paragraph" w:customStyle="1" w:styleId="Naslovtablica">
    <w:name w:val="Naslov tablica"/>
    <w:basedOn w:val="Normal"/>
    <w:uiPriority w:val="1"/>
    <w:qFormat/>
    <w:rsid w:val="008F16D6"/>
    <w:pPr>
      <w:keepNext/>
      <w:tabs>
        <w:tab w:val="left" w:pos="1247"/>
      </w:tabs>
      <w:suppressAutoHyphens/>
      <w:spacing w:before="360" w:after="120" w:line="288" w:lineRule="auto"/>
      <w:ind w:left="1247" w:hanging="1247"/>
      <w:jc w:val="center"/>
    </w:pPr>
    <w:rPr>
      <w:rFonts w:ascii="Arial" w:eastAsia="Times New Roman" w:hAnsi="Arial" w:cs="Arial"/>
      <w:b/>
      <w:sz w:val="20"/>
      <w:lang w:eastAsia="hr-HR"/>
    </w:rPr>
  </w:style>
  <w:style w:type="paragraph" w:customStyle="1" w:styleId="zaglavlje">
    <w:name w:val="zaglavlje"/>
    <w:basedOn w:val="Normal"/>
    <w:uiPriority w:val="3"/>
    <w:rsid w:val="008F16D6"/>
    <w:pPr>
      <w:numPr>
        <w:numId w:val="2"/>
      </w:numPr>
      <w:suppressAutoHyphens/>
      <w:spacing w:before="240" w:after="120" w:line="288" w:lineRule="auto"/>
      <w:jc w:val="both"/>
    </w:pPr>
    <w:rPr>
      <w:rFonts w:ascii="Arial" w:eastAsia="Times New Roman" w:hAnsi="Arial" w:cs="Times New Roman"/>
      <w:b/>
      <w:color w:val="808080"/>
      <w:sz w:val="16"/>
      <w:lang w:eastAsia="hr-HR"/>
    </w:rPr>
  </w:style>
  <w:style w:type="paragraph" w:customStyle="1" w:styleId="Podnoje1">
    <w:name w:val="Podnožje 1"/>
    <w:basedOn w:val="Normal"/>
    <w:uiPriority w:val="3"/>
    <w:rsid w:val="008F16D6"/>
    <w:pPr>
      <w:suppressAutoHyphens/>
      <w:spacing w:before="240" w:after="120" w:line="288" w:lineRule="auto"/>
      <w:jc w:val="both"/>
    </w:pPr>
    <w:rPr>
      <w:rFonts w:ascii="Arial" w:eastAsia="Times New Roman" w:hAnsi="Arial" w:cs="Times New Roman"/>
      <w:sz w:val="20"/>
      <w:lang w:eastAsia="hr-HR"/>
    </w:rPr>
  </w:style>
  <w:style w:type="table" w:customStyle="1" w:styleId="Reetkatablice2">
    <w:name w:val="Rešetka tablice2"/>
    <w:basedOn w:val="TableNormal"/>
    <w:next w:val="TableGrid"/>
    <w:uiPriority w:val="39"/>
    <w:rsid w:val="008F16D6"/>
    <w:pPr>
      <w:spacing w:after="0" w:line="240" w:lineRule="auto"/>
      <w:contextualSpacing/>
    </w:pPr>
    <w:rPr>
      <w:rFonts w:ascii="Arial" w:eastAsia="Times New Roman" w:hAnsi="Arial" w:cs="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FBFBF"/>
      <w:vAlign w:val="center"/>
    </w:tcPr>
  </w:style>
  <w:style w:type="numbering" w:styleId="1ai">
    <w:name w:val="Outline List 1"/>
    <w:basedOn w:val="NoList"/>
    <w:semiHidden/>
    <w:rsid w:val="008F16D6"/>
  </w:style>
  <w:style w:type="numbering" w:customStyle="1" w:styleId="StyleBulleted">
    <w:name w:val="Style Bulleted"/>
    <w:basedOn w:val="NoList"/>
    <w:rsid w:val="008F16D6"/>
    <w:pPr>
      <w:numPr>
        <w:numId w:val="6"/>
      </w:numPr>
    </w:pPr>
  </w:style>
  <w:style w:type="paragraph" w:styleId="TOC5">
    <w:name w:val="toc 5"/>
    <w:basedOn w:val="Normal"/>
    <w:next w:val="Normal"/>
    <w:autoRedefine/>
    <w:uiPriority w:val="39"/>
    <w:rsid w:val="008F16D6"/>
    <w:pPr>
      <w:suppressAutoHyphens/>
      <w:spacing w:before="240" w:after="120" w:line="288" w:lineRule="auto"/>
      <w:ind w:left="880"/>
      <w:jc w:val="both"/>
    </w:pPr>
    <w:rPr>
      <w:rFonts w:ascii="Arial" w:eastAsia="Times New Roman" w:hAnsi="Arial" w:cs="Times New Roman"/>
      <w:lang w:eastAsia="hr-HR"/>
    </w:rPr>
  </w:style>
  <w:style w:type="paragraph" w:styleId="TOC6">
    <w:name w:val="toc 6"/>
    <w:basedOn w:val="Normal"/>
    <w:next w:val="Normal"/>
    <w:autoRedefine/>
    <w:uiPriority w:val="39"/>
    <w:rsid w:val="008F16D6"/>
    <w:pPr>
      <w:suppressAutoHyphens/>
      <w:spacing w:before="240" w:after="120" w:line="288" w:lineRule="auto"/>
      <w:ind w:left="1100"/>
      <w:jc w:val="both"/>
    </w:pPr>
    <w:rPr>
      <w:rFonts w:ascii="Arial" w:eastAsia="Times New Roman" w:hAnsi="Arial" w:cs="Times New Roman"/>
      <w:lang w:eastAsia="hr-HR"/>
    </w:rPr>
  </w:style>
  <w:style w:type="paragraph" w:customStyle="1" w:styleId="Slike">
    <w:name w:val="Slike"/>
    <w:basedOn w:val="Normal"/>
    <w:uiPriority w:val="3"/>
    <w:qFormat/>
    <w:rsid w:val="008F16D6"/>
    <w:pPr>
      <w:keepNext/>
      <w:spacing w:before="120" w:after="240" w:line="240" w:lineRule="auto"/>
      <w:jc w:val="center"/>
    </w:pPr>
    <w:rPr>
      <w:rFonts w:ascii="Arial" w:eastAsia="Times New Roman" w:hAnsi="Arial" w:cs="Times New Roman"/>
      <w:bCs/>
      <w:i/>
      <w:sz w:val="20"/>
      <w:szCs w:val="20"/>
      <w:lang w:eastAsia="hr-HR"/>
    </w:rPr>
  </w:style>
  <w:style w:type="table" w:customStyle="1" w:styleId="GridTable1Light1">
    <w:name w:val="Grid Table 1 Light1"/>
    <w:basedOn w:val="TableNormal"/>
    <w:uiPriority w:val="46"/>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1">
    <w:name w:val="Grid Table 1 Light11"/>
    <w:basedOn w:val="TableNormal"/>
    <w:uiPriority w:val="46"/>
    <w:rsid w:val="008F16D6"/>
    <w:pPr>
      <w:spacing w:after="0" w:line="240" w:lineRule="auto"/>
      <w:ind w:right="510"/>
      <w:jc w:val="right"/>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Style1">
    <w:name w:val="Style1"/>
    <w:basedOn w:val="Normal"/>
    <w:link w:val="Style1Char"/>
    <w:rsid w:val="008F16D6"/>
    <w:pPr>
      <w:tabs>
        <w:tab w:val="left" w:pos="3960"/>
        <w:tab w:val="left" w:pos="5400"/>
      </w:tabs>
      <w:suppressAutoHyphens/>
      <w:spacing w:after="120"/>
      <w:ind w:left="5398"/>
      <w:jc w:val="both"/>
    </w:pPr>
    <w:rPr>
      <w:rFonts w:ascii="Arial" w:eastAsia="Times New Roman" w:hAnsi="Arial" w:cs="Arial"/>
      <w:b/>
      <w:sz w:val="24"/>
      <w:szCs w:val="24"/>
      <w:lang w:eastAsia="de-DE"/>
    </w:rPr>
  </w:style>
  <w:style w:type="character" w:customStyle="1" w:styleId="Style1Char">
    <w:name w:val="Style1 Char"/>
    <w:link w:val="Style1"/>
    <w:rsid w:val="008F16D6"/>
    <w:rPr>
      <w:rFonts w:ascii="Arial" w:eastAsia="Times New Roman" w:hAnsi="Arial" w:cs="Arial"/>
      <w:b/>
      <w:sz w:val="24"/>
      <w:szCs w:val="24"/>
      <w:lang w:eastAsia="de-DE"/>
    </w:rPr>
  </w:style>
  <w:style w:type="table" w:customStyle="1" w:styleId="PlainTable11">
    <w:name w:val="Plain Table 11"/>
    <w:basedOn w:val="TableNormal"/>
    <w:uiPriority w:val="41"/>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Caption">
    <w:name w:val="caption"/>
    <w:aliases w:val="Figures,Map,Map Char Char Char,Map Char Char,Tabellen,Char"/>
    <w:basedOn w:val="Naslovslika"/>
    <w:next w:val="Normal"/>
    <w:link w:val="CaptionChar"/>
    <w:uiPriority w:val="35"/>
    <w:qFormat/>
    <w:rsid w:val="008F16D6"/>
  </w:style>
  <w:style w:type="character" w:customStyle="1" w:styleId="LiteraturaCharChar">
    <w:name w:val="Literatura Char Char"/>
    <w:link w:val="Literatura"/>
    <w:uiPriority w:val="3"/>
    <w:rsid w:val="008F16D6"/>
    <w:rPr>
      <w:rFonts w:ascii="Arial" w:eastAsia="Times New Roman" w:hAnsi="Arial" w:cs="Arial"/>
      <w:lang w:eastAsia="hr-HR"/>
    </w:rPr>
  </w:style>
  <w:style w:type="paragraph" w:customStyle="1" w:styleId="StyleNaslovstudije14pt">
    <w:name w:val="Style Naslov studije + 14 pt"/>
    <w:basedOn w:val="Naslovstudije"/>
    <w:link w:val="StyleNaslovstudije14ptChar"/>
    <w:rsid w:val="008F16D6"/>
    <w:pPr>
      <w:suppressAutoHyphens w:val="0"/>
      <w:spacing w:before="0" w:after="0" w:line="240" w:lineRule="auto"/>
    </w:pPr>
    <w:rPr>
      <w:bCs/>
      <w:color w:val="auto"/>
      <w:sz w:val="28"/>
    </w:rPr>
  </w:style>
  <w:style w:type="character" w:customStyle="1" w:styleId="StyleNaslovstudije14ptChar">
    <w:name w:val="Style Naslov studije + 14 pt Char"/>
    <w:link w:val="StyleNaslovstudije14pt"/>
    <w:rsid w:val="008F16D6"/>
    <w:rPr>
      <w:rFonts w:ascii="Arial" w:eastAsia="Times New Roman" w:hAnsi="Arial" w:cs="Arial"/>
      <w:b/>
      <w:bCs/>
      <w:sz w:val="28"/>
      <w:szCs w:val="36"/>
      <w:lang w:eastAsia="hr-HR"/>
    </w:rPr>
  </w:style>
  <w:style w:type="character" w:styleId="Strong">
    <w:name w:val="Strong"/>
    <w:basedOn w:val="DefaultParagraphFont"/>
    <w:uiPriority w:val="22"/>
    <w:qFormat/>
    <w:rsid w:val="008F16D6"/>
    <w:rPr>
      <w:b/>
      <w:bCs/>
    </w:rPr>
  </w:style>
  <w:style w:type="character" w:customStyle="1" w:styleId="apple-converted-space">
    <w:name w:val="apple-converted-space"/>
    <w:basedOn w:val="DefaultParagraphFont"/>
    <w:rsid w:val="008F16D6"/>
  </w:style>
  <w:style w:type="character" w:customStyle="1" w:styleId="CaptionChar">
    <w:name w:val="Caption Char"/>
    <w:aliases w:val="Figures Char,Map Char,Map Char Char Char Char,Map Char Char Char1,Tabellen Char,Char Char"/>
    <w:link w:val="Caption"/>
    <w:uiPriority w:val="35"/>
    <w:rsid w:val="008F16D6"/>
    <w:rPr>
      <w:rFonts w:ascii="Arial" w:eastAsia="Times New Roman" w:hAnsi="Arial" w:cs="Times New Roman"/>
      <w:b/>
      <w:sz w:val="20"/>
      <w:szCs w:val="28"/>
      <w:lang w:eastAsia="hr-HR"/>
    </w:rPr>
  </w:style>
  <w:style w:type="character" w:customStyle="1" w:styleId="TekststudijeChar">
    <w:name w:val="Tekst studije Char"/>
    <w:rsid w:val="008F16D6"/>
    <w:rPr>
      <w:rFonts w:ascii="Arial" w:hAnsi="Arial" w:cs="Arial"/>
      <w:sz w:val="22"/>
      <w:szCs w:val="22"/>
    </w:rPr>
  </w:style>
  <w:style w:type="paragraph" w:styleId="ListBullet5">
    <w:name w:val="List Bullet 5"/>
    <w:basedOn w:val="Normal"/>
    <w:autoRedefine/>
    <w:rsid w:val="008F16D6"/>
    <w:pPr>
      <w:numPr>
        <w:numId w:val="3"/>
      </w:numPr>
      <w:suppressAutoHyphens/>
      <w:spacing w:before="120" w:after="120"/>
      <w:jc w:val="both"/>
    </w:pPr>
    <w:rPr>
      <w:rFonts w:ascii="Times New Roman" w:eastAsia="Times New Roman" w:hAnsi="Times New Roman" w:cs="Times New Roman"/>
      <w:szCs w:val="24"/>
      <w:lang w:eastAsia="hr-HR"/>
    </w:rPr>
  </w:style>
  <w:style w:type="character" w:customStyle="1" w:styleId="spelle">
    <w:name w:val="spelle"/>
    <w:basedOn w:val="DefaultParagraphFont"/>
    <w:rsid w:val="008F16D6"/>
  </w:style>
  <w:style w:type="numbering" w:styleId="111111">
    <w:name w:val="Outline List 2"/>
    <w:basedOn w:val="NoList"/>
    <w:rsid w:val="008F16D6"/>
    <w:pPr>
      <w:numPr>
        <w:numId w:val="14"/>
      </w:numPr>
    </w:pPr>
  </w:style>
  <w:style w:type="table" w:customStyle="1" w:styleId="TableNormal1">
    <w:name w:val="Table Normal1"/>
    <w:uiPriority w:val="2"/>
    <w:semiHidden/>
    <w:unhideWhenUsed/>
    <w:qFormat/>
    <w:rsid w:val="008F16D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F16D6"/>
    <w:pPr>
      <w:widowControl w:val="0"/>
      <w:spacing w:after="0" w:line="240" w:lineRule="auto"/>
    </w:pPr>
    <w:rPr>
      <w:lang w:val="en-US"/>
    </w:rPr>
  </w:style>
  <w:style w:type="paragraph" w:customStyle="1" w:styleId="Sadraj">
    <w:name w:val="Sadržaj"/>
    <w:basedOn w:val="Normal"/>
    <w:qFormat/>
    <w:rsid w:val="008F16D6"/>
    <w:pPr>
      <w:pBdr>
        <w:top w:val="single" w:sz="48" w:space="5" w:color="F5C1C6"/>
      </w:pBdr>
      <w:suppressAutoHyphens/>
      <w:spacing w:before="120" w:after="320" w:line="240" w:lineRule="auto"/>
      <w:jc w:val="both"/>
    </w:pPr>
    <w:rPr>
      <w:rFonts w:ascii="Arial" w:eastAsia="Times New Roman" w:hAnsi="Arial" w:cs="Times New Roman"/>
      <w:b/>
      <w:caps/>
      <w:color w:val="BE1D2D"/>
      <w:sz w:val="32"/>
      <w:lang w:eastAsia="hr-HR"/>
    </w:rPr>
  </w:style>
  <w:style w:type="paragraph" w:customStyle="1" w:styleId="Naslovslike">
    <w:name w:val="Naslov slike"/>
    <w:basedOn w:val="Normal"/>
    <w:link w:val="NaslovslikeChar"/>
    <w:qFormat/>
    <w:rsid w:val="008F16D6"/>
    <w:pPr>
      <w:spacing w:before="120" w:after="360" w:line="240" w:lineRule="auto"/>
      <w:jc w:val="center"/>
    </w:pPr>
    <w:rPr>
      <w:rFonts w:ascii="Arial" w:eastAsia="Times New Roman" w:hAnsi="Arial" w:cs="Arial"/>
      <w:b/>
      <w:sz w:val="20"/>
      <w:szCs w:val="24"/>
    </w:rPr>
  </w:style>
  <w:style w:type="character" w:customStyle="1" w:styleId="NaslovslikeChar">
    <w:name w:val="Naslov slike Char"/>
    <w:link w:val="Naslovslike"/>
    <w:rsid w:val="008F16D6"/>
    <w:rPr>
      <w:rFonts w:ascii="Arial" w:eastAsia="Times New Roman" w:hAnsi="Arial" w:cs="Arial"/>
      <w:b/>
      <w:sz w:val="20"/>
      <w:szCs w:val="24"/>
    </w:rPr>
  </w:style>
  <w:style w:type="paragraph" w:customStyle="1" w:styleId="line">
    <w:name w:val="line"/>
    <w:basedOn w:val="Normal"/>
    <w:rsid w:val="008F16D6"/>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bodytext0">
    <w:name w:val="bodytext"/>
    <w:basedOn w:val="Normal"/>
    <w:rsid w:val="008F16D6"/>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ableofTables">
    <w:name w:val="Table of Tables"/>
    <w:basedOn w:val="TableofFigures"/>
    <w:qFormat/>
    <w:rsid w:val="008F16D6"/>
  </w:style>
  <w:style w:type="paragraph" w:styleId="ListBullet">
    <w:name w:val="List Bullet"/>
    <w:basedOn w:val="Normal"/>
    <w:autoRedefine/>
    <w:uiPriority w:val="99"/>
    <w:semiHidden/>
    <w:rsid w:val="008F16D6"/>
    <w:pPr>
      <w:numPr>
        <w:numId w:val="4"/>
      </w:numPr>
      <w:spacing w:after="0" w:line="240" w:lineRule="auto"/>
    </w:pPr>
    <w:rPr>
      <w:rFonts w:ascii="Times New Roman" w:eastAsia="Times New Roman" w:hAnsi="Times New Roman" w:cs="Times New Roman"/>
      <w:sz w:val="24"/>
      <w:szCs w:val="24"/>
      <w:lang w:eastAsia="hr-HR"/>
    </w:rPr>
  </w:style>
  <w:style w:type="table" w:customStyle="1" w:styleId="GridTable1Light2">
    <w:name w:val="Grid Table 1 Light2"/>
    <w:basedOn w:val="TableNormal"/>
    <w:next w:val="GridTable1Light1"/>
    <w:uiPriority w:val="46"/>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11">
    <w:name w:val="Table Grid11"/>
    <w:basedOn w:val="TableNormal"/>
    <w:next w:val="TableGrid"/>
    <w:rsid w:val="008F16D6"/>
    <w:pPr>
      <w:spacing w:after="0" w:line="240" w:lineRule="auto"/>
      <w:contextualSpacing/>
    </w:pPr>
    <w:rPr>
      <w:rFonts w:ascii="Arial" w:eastAsia="Times New Roman" w:hAnsi="Arial" w:cs="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FBFBF"/>
      <w:vAlign w:val="center"/>
    </w:tcPr>
  </w:style>
  <w:style w:type="character" w:customStyle="1" w:styleId="font81">
    <w:name w:val="font81"/>
    <w:basedOn w:val="DefaultParagraphFont"/>
    <w:rsid w:val="008F16D6"/>
    <w:rPr>
      <w:rFonts w:ascii="Calibri" w:hAnsi="Calibri" w:hint="default"/>
      <w:b w:val="0"/>
      <w:bCs w:val="0"/>
      <w:i w:val="0"/>
      <w:iCs w:val="0"/>
      <w:strike w:val="0"/>
      <w:dstrike w:val="0"/>
      <w:color w:val="000000"/>
      <w:sz w:val="22"/>
      <w:szCs w:val="22"/>
      <w:u w:val="none"/>
      <w:effect w:val="none"/>
    </w:rPr>
  </w:style>
  <w:style w:type="character" w:customStyle="1" w:styleId="NaslovslikaChar">
    <w:name w:val="Naslov slika Char"/>
    <w:link w:val="Naslovslika"/>
    <w:uiPriority w:val="99"/>
    <w:rsid w:val="008F16D6"/>
    <w:rPr>
      <w:rFonts w:ascii="Arial" w:eastAsia="Times New Roman" w:hAnsi="Arial" w:cs="Times New Roman"/>
      <w:b/>
      <w:sz w:val="20"/>
      <w:szCs w:val="28"/>
      <w:lang w:eastAsia="hr-HR"/>
    </w:rPr>
  </w:style>
  <w:style w:type="character" w:customStyle="1" w:styleId="IzvorChar">
    <w:name w:val="Izvor Char"/>
    <w:link w:val="Izvor"/>
    <w:rsid w:val="008F16D6"/>
    <w:rPr>
      <w:rFonts w:ascii="Arial" w:eastAsia="Times New Roman" w:hAnsi="Arial" w:cs="Arial"/>
      <w:i/>
      <w:sz w:val="20"/>
      <w:lang w:eastAsia="hr-HR"/>
    </w:rPr>
  </w:style>
  <w:style w:type="table" w:customStyle="1" w:styleId="PlainTable41">
    <w:name w:val="Plain Table 41"/>
    <w:basedOn w:val="TableNormal"/>
    <w:uiPriority w:val="44"/>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uiPriority w:val="40"/>
    <w:rsid w:val="008F16D6"/>
    <w:pPr>
      <w:spacing w:after="0" w:line="240" w:lineRule="auto"/>
    </w:pPr>
    <w:rPr>
      <w:rFonts w:ascii="Arial" w:eastAsia="Times New Roman" w:hAnsi="Arial" w:cs="Times New Roman"/>
      <w:lang w:eastAsia="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
    <w:name w:val="Plain Table 31"/>
    <w:basedOn w:val="TableNormal"/>
    <w:uiPriority w:val="43"/>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UnresolvedMention1">
    <w:name w:val="Unresolved Mention1"/>
    <w:basedOn w:val="DefaultParagraphFont"/>
    <w:uiPriority w:val="99"/>
    <w:semiHidden/>
    <w:unhideWhenUsed/>
    <w:rsid w:val="008F16D6"/>
    <w:rPr>
      <w:color w:val="808080"/>
      <w:shd w:val="clear" w:color="auto" w:fill="E6E6E6"/>
    </w:rPr>
  </w:style>
  <w:style w:type="paragraph" w:styleId="EndnoteText">
    <w:name w:val="endnote text"/>
    <w:basedOn w:val="Normal"/>
    <w:link w:val="EndnoteTextChar"/>
    <w:uiPriority w:val="99"/>
    <w:unhideWhenUsed/>
    <w:rsid w:val="008F16D6"/>
    <w:pPr>
      <w:suppressAutoHyphens/>
      <w:spacing w:after="0" w:line="240" w:lineRule="auto"/>
      <w:jc w:val="both"/>
    </w:pPr>
    <w:rPr>
      <w:rFonts w:ascii="Arial" w:eastAsia="Times New Roman" w:hAnsi="Arial" w:cs="Times New Roman"/>
      <w:sz w:val="20"/>
      <w:szCs w:val="20"/>
      <w:lang w:eastAsia="hr-HR"/>
    </w:rPr>
  </w:style>
  <w:style w:type="character" w:customStyle="1" w:styleId="EndnoteTextChar">
    <w:name w:val="Endnote Text Char"/>
    <w:basedOn w:val="DefaultParagraphFont"/>
    <w:link w:val="EndnoteText"/>
    <w:uiPriority w:val="99"/>
    <w:rsid w:val="008F16D6"/>
    <w:rPr>
      <w:rFonts w:ascii="Arial" w:eastAsia="Times New Roman" w:hAnsi="Arial" w:cs="Times New Roman"/>
      <w:sz w:val="20"/>
      <w:szCs w:val="20"/>
      <w:lang w:eastAsia="hr-HR"/>
    </w:rPr>
  </w:style>
  <w:style w:type="character" w:styleId="EndnoteReference">
    <w:name w:val="endnote reference"/>
    <w:basedOn w:val="DefaultParagraphFont"/>
    <w:uiPriority w:val="99"/>
    <w:semiHidden/>
    <w:unhideWhenUsed/>
    <w:rsid w:val="008F16D6"/>
    <w:rPr>
      <w:vertAlign w:val="superscript"/>
    </w:rPr>
  </w:style>
  <w:style w:type="paragraph" w:styleId="BodyTextIndent">
    <w:name w:val="Body Text Indent"/>
    <w:basedOn w:val="Normal"/>
    <w:link w:val="BodyTextIndentChar"/>
    <w:uiPriority w:val="99"/>
    <w:unhideWhenUsed/>
    <w:rsid w:val="008F16D6"/>
    <w:pPr>
      <w:spacing w:after="120" w:line="240" w:lineRule="auto"/>
      <w:ind w:left="283"/>
    </w:pPr>
    <w:rPr>
      <w:rFonts w:ascii="Times New Roman" w:eastAsia="Times New Roman" w:hAnsi="Times New Roman" w:cs="Times New Roman"/>
      <w:sz w:val="24"/>
      <w:szCs w:val="24"/>
      <w:lang w:eastAsia="hr-HR"/>
    </w:rPr>
  </w:style>
  <w:style w:type="character" w:customStyle="1" w:styleId="BodyTextIndentChar">
    <w:name w:val="Body Text Indent Char"/>
    <w:basedOn w:val="DefaultParagraphFont"/>
    <w:link w:val="BodyTextIndent"/>
    <w:uiPriority w:val="99"/>
    <w:rsid w:val="008F16D6"/>
    <w:rPr>
      <w:rFonts w:ascii="Times New Roman" w:eastAsia="Times New Roman" w:hAnsi="Times New Roman" w:cs="Times New Roman"/>
      <w:sz w:val="24"/>
      <w:szCs w:val="24"/>
      <w:lang w:eastAsia="hr-HR"/>
    </w:rPr>
  </w:style>
  <w:style w:type="paragraph" w:customStyle="1" w:styleId="msonormal0">
    <w:name w:val="msonormal"/>
    <w:basedOn w:val="Normal"/>
    <w:rsid w:val="008F16D6"/>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SpacingChar">
    <w:name w:val="No Spacing Char"/>
    <w:basedOn w:val="DefaultParagraphFont"/>
    <w:link w:val="NoSpacing"/>
    <w:uiPriority w:val="1"/>
    <w:rsid w:val="008F16D6"/>
    <w:rPr>
      <w:rFonts w:ascii="Times New Roman" w:hAnsi="Times New Roman" w:cs="Times New Roman"/>
      <w:sz w:val="24"/>
      <w:szCs w:val="24"/>
    </w:rPr>
  </w:style>
  <w:style w:type="table" w:customStyle="1" w:styleId="GridTable1Light-Accent11">
    <w:name w:val="Grid Table 1 Light - Accent 11"/>
    <w:basedOn w:val="TableNormal"/>
    <w:uiPriority w:val="46"/>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12">
    <w:name w:val="Grid Table 1 Light12"/>
    <w:basedOn w:val="TableNormal"/>
    <w:uiPriority w:val="46"/>
    <w:rsid w:val="008F16D6"/>
    <w:pPr>
      <w:spacing w:after="0" w:line="240" w:lineRule="auto"/>
      <w:ind w:right="510"/>
      <w:jc w:val="right"/>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Caption-tbl">
    <w:name w:val="Caption-tbl"/>
    <w:basedOn w:val="Normal"/>
    <w:next w:val="Normal"/>
    <w:rsid w:val="008F16D6"/>
    <w:pPr>
      <w:keepNext/>
      <w:spacing w:before="270" w:after="90" w:line="240" w:lineRule="auto"/>
      <w:jc w:val="center"/>
    </w:pPr>
    <w:rPr>
      <w:rFonts w:ascii="Arial" w:eastAsia="Times New Roman" w:hAnsi="Arial" w:cs="Times New Roman"/>
      <w:b/>
      <w:i/>
      <w:sz w:val="20"/>
      <w:lang w:eastAsia="ko-KR"/>
    </w:rPr>
  </w:style>
  <w:style w:type="paragraph" w:styleId="Bibliography">
    <w:name w:val="Bibliography"/>
    <w:basedOn w:val="Normal"/>
    <w:next w:val="Normal"/>
    <w:uiPriority w:val="37"/>
    <w:unhideWhenUsed/>
    <w:rsid w:val="008F16D6"/>
    <w:pPr>
      <w:suppressAutoHyphens/>
      <w:spacing w:before="120" w:after="120" w:line="288" w:lineRule="auto"/>
      <w:jc w:val="both"/>
    </w:pPr>
    <w:rPr>
      <w:rFonts w:ascii="Arial" w:eastAsia="Times New Roman" w:hAnsi="Arial" w:cs="Times New Roman"/>
      <w:lang w:eastAsia="hr-HR"/>
    </w:rPr>
  </w:style>
  <w:style w:type="numbering" w:customStyle="1" w:styleId="NoList1">
    <w:name w:val="No List1"/>
    <w:next w:val="NoList"/>
    <w:uiPriority w:val="99"/>
    <w:semiHidden/>
    <w:unhideWhenUsed/>
    <w:rsid w:val="008F16D6"/>
  </w:style>
  <w:style w:type="paragraph" w:customStyle="1" w:styleId="Bullets">
    <w:name w:val="Bullets"/>
    <w:basedOn w:val="Normal"/>
    <w:rsid w:val="008F16D6"/>
    <w:pPr>
      <w:numPr>
        <w:numId w:val="5"/>
      </w:numPr>
      <w:spacing w:before="90" w:after="90" w:line="240" w:lineRule="auto"/>
      <w:jc w:val="both"/>
    </w:pPr>
    <w:rPr>
      <w:rFonts w:ascii="Arial" w:eastAsia="Times New Roman" w:hAnsi="Arial" w:cs="Arial"/>
      <w:lang w:eastAsia="ko-KR"/>
    </w:rPr>
  </w:style>
  <w:style w:type="paragraph" w:customStyle="1" w:styleId="Caption-sl">
    <w:name w:val="Caption-sl"/>
    <w:basedOn w:val="Caption"/>
    <w:next w:val="Normal"/>
    <w:link w:val="Caption-slChar"/>
    <w:rsid w:val="008F16D6"/>
    <w:pPr>
      <w:tabs>
        <w:tab w:val="clear" w:pos="1021"/>
      </w:tabs>
      <w:suppressAutoHyphens w:val="0"/>
      <w:spacing w:before="0" w:after="270" w:line="240" w:lineRule="auto"/>
      <w:ind w:left="0" w:firstLine="0"/>
    </w:pPr>
    <w:rPr>
      <w:i/>
      <w:szCs w:val="20"/>
      <w:lang w:eastAsia="ko-KR"/>
    </w:rPr>
  </w:style>
  <w:style w:type="character" w:customStyle="1" w:styleId="Caption-slChar">
    <w:name w:val="Caption-sl Char"/>
    <w:basedOn w:val="DefaultParagraphFont"/>
    <w:link w:val="Caption-sl"/>
    <w:rsid w:val="008F16D6"/>
    <w:rPr>
      <w:rFonts w:ascii="Arial" w:eastAsia="Times New Roman" w:hAnsi="Arial" w:cs="Times New Roman"/>
      <w:b/>
      <w:i/>
      <w:sz w:val="20"/>
      <w:szCs w:val="20"/>
      <w:lang w:eastAsia="ko-KR"/>
    </w:rPr>
  </w:style>
  <w:style w:type="paragraph" w:styleId="BodyText3">
    <w:name w:val="Body Text 3"/>
    <w:basedOn w:val="Normal"/>
    <w:link w:val="BodyText3Char"/>
    <w:semiHidden/>
    <w:rsid w:val="008F16D6"/>
    <w:pPr>
      <w:spacing w:after="120" w:line="240" w:lineRule="auto"/>
    </w:pPr>
    <w:rPr>
      <w:rFonts w:ascii="Times New Roman" w:eastAsia="Times New Roman" w:hAnsi="Times New Roman" w:cs="Times New Roman"/>
      <w:sz w:val="16"/>
      <w:szCs w:val="16"/>
      <w:lang w:eastAsia="hr-HR"/>
    </w:rPr>
  </w:style>
  <w:style w:type="character" w:customStyle="1" w:styleId="BodyText3Char">
    <w:name w:val="Body Text 3 Char"/>
    <w:basedOn w:val="DefaultParagraphFont"/>
    <w:link w:val="BodyText3"/>
    <w:semiHidden/>
    <w:rsid w:val="008F16D6"/>
    <w:rPr>
      <w:rFonts w:ascii="Times New Roman" w:eastAsia="Times New Roman" w:hAnsi="Times New Roman" w:cs="Times New Roman"/>
      <w:sz w:val="16"/>
      <w:szCs w:val="16"/>
      <w:lang w:eastAsia="hr-HR"/>
    </w:rPr>
  </w:style>
  <w:style w:type="paragraph" w:styleId="BlockText">
    <w:name w:val="Block Text"/>
    <w:basedOn w:val="Normal"/>
    <w:semiHidden/>
    <w:rsid w:val="008F16D6"/>
    <w:pPr>
      <w:spacing w:after="120" w:line="240" w:lineRule="auto"/>
      <w:ind w:left="1440" w:right="1440"/>
    </w:pPr>
    <w:rPr>
      <w:rFonts w:ascii="Times New Roman" w:eastAsia="Times New Roman" w:hAnsi="Times New Roman" w:cs="Times New Roman"/>
      <w:sz w:val="24"/>
      <w:szCs w:val="24"/>
      <w:lang w:eastAsia="hr-HR"/>
    </w:rPr>
  </w:style>
  <w:style w:type="table" w:customStyle="1" w:styleId="TableGrid21">
    <w:name w:val="Table Grid21"/>
    <w:basedOn w:val="TableNormal"/>
    <w:next w:val="TableGrid"/>
    <w:uiPriority w:val="39"/>
    <w:rsid w:val="008F16D6"/>
    <w:pPr>
      <w:spacing w:after="0" w:line="240" w:lineRule="auto"/>
    </w:pPr>
    <w:rPr>
      <w:rFonts w:ascii="Arial" w:eastAsia="Times New Roman" w:hAnsi="Arial" w:cs="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8F16D6"/>
  </w:style>
  <w:style w:type="paragraph" w:customStyle="1" w:styleId="fusnota">
    <w:name w:val="fusnota"/>
    <w:basedOn w:val="FootnoteText"/>
    <w:link w:val="fusnotaChar"/>
    <w:rsid w:val="008F16D6"/>
    <w:pPr>
      <w:spacing w:before="120" w:after="60"/>
      <w:jc w:val="both"/>
    </w:pPr>
    <w:rPr>
      <w:rFonts w:ascii="Arial" w:eastAsia="Times New Roman" w:hAnsi="Arial" w:cs="Arial"/>
      <w:sz w:val="18"/>
      <w:lang w:eastAsia="hr-HR"/>
    </w:rPr>
  </w:style>
  <w:style w:type="character" w:customStyle="1" w:styleId="fusnotaChar">
    <w:name w:val="fusnota Char"/>
    <w:link w:val="fusnota"/>
    <w:rsid w:val="008F16D6"/>
    <w:rPr>
      <w:rFonts w:ascii="Arial" w:eastAsia="Times New Roman" w:hAnsi="Arial" w:cs="Arial"/>
      <w:sz w:val="18"/>
      <w:szCs w:val="20"/>
      <w:lang w:eastAsia="hr-HR"/>
    </w:rPr>
  </w:style>
  <w:style w:type="table" w:customStyle="1" w:styleId="GridTable1Light-Accent51">
    <w:name w:val="Grid Table 1 Light - Accent 51"/>
    <w:basedOn w:val="TableNormal"/>
    <w:uiPriority w:val="46"/>
    <w:rsid w:val="008F16D6"/>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3">
    <w:name w:val="Grid Table 1 Light3"/>
    <w:basedOn w:val="TableNormal"/>
    <w:next w:val="GridTable1Light1"/>
    <w:uiPriority w:val="46"/>
    <w:rsid w:val="008F16D6"/>
    <w:pPr>
      <w:spacing w:after="0" w:line="240" w:lineRule="auto"/>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Sadraj71">
    <w:name w:val="Sadržaj 71"/>
    <w:basedOn w:val="Normal"/>
    <w:next w:val="Normal"/>
    <w:autoRedefine/>
    <w:uiPriority w:val="39"/>
    <w:unhideWhenUsed/>
    <w:rsid w:val="008F16D6"/>
    <w:pPr>
      <w:spacing w:after="100" w:line="259" w:lineRule="auto"/>
      <w:ind w:left="1320"/>
    </w:pPr>
    <w:rPr>
      <w:rFonts w:eastAsia="Yu Mincho"/>
      <w:lang w:eastAsia="hr-HR"/>
    </w:rPr>
  </w:style>
  <w:style w:type="paragraph" w:customStyle="1" w:styleId="Sadraj81">
    <w:name w:val="Sadržaj 81"/>
    <w:basedOn w:val="Normal"/>
    <w:next w:val="Normal"/>
    <w:autoRedefine/>
    <w:uiPriority w:val="39"/>
    <w:unhideWhenUsed/>
    <w:rsid w:val="008F16D6"/>
    <w:pPr>
      <w:spacing w:after="100" w:line="259" w:lineRule="auto"/>
      <w:ind w:left="1540"/>
    </w:pPr>
    <w:rPr>
      <w:rFonts w:eastAsia="Yu Mincho"/>
      <w:lang w:eastAsia="hr-HR"/>
    </w:rPr>
  </w:style>
  <w:style w:type="paragraph" w:customStyle="1" w:styleId="Sadraj91">
    <w:name w:val="Sadržaj 91"/>
    <w:basedOn w:val="Normal"/>
    <w:next w:val="Normal"/>
    <w:autoRedefine/>
    <w:uiPriority w:val="39"/>
    <w:unhideWhenUsed/>
    <w:rsid w:val="008F16D6"/>
    <w:pPr>
      <w:spacing w:after="100" w:line="259" w:lineRule="auto"/>
      <w:ind w:left="1760"/>
    </w:pPr>
    <w:rPr>
      <w:rFonts w:eastAsia="Yu Mincho"/>
      <w:lang w:eastAsia="hr-HR"/>
    </w:rPr>
  </w:style>
  <w:style w:type="character" w:customStyle="1" w:styleId="UnresolvedMention2">
    <w:name w:val="Unresolved Mention2"/>
    <w:basedOn w:val="DefaultParagraphFont"/>
    <w:uiPriority w:val="99"/>
    <w:semiHidden/>
    <w:unhideWhenUsed/>
    <w:rsid w:val="008F16D6"/>
    <w:rPr>
      <w:color w:val="605E5C"/>
      <w:shd w:val="clear" w:color="auto" w:fill="E1DFDD"/>
    </w:rPr>
  </w:style>
  <w:style w:type="character" w:customStyle="1" w:styleId="UnresolvedMention3">
    <w:name w:val="Unresolved Mention3"/>
    <w:basedOn w:val="DefaultParagraphFont"/>
    <w:uiPriority w:val="99"/>
    <w:semiHidden/>
    <w:unhideWhenUsed/>
    <w:rsid w:val="008F16D6"/>
    <w:rPr>
      <w:color w:val="605E5C"/>
      <w:shd w:val="clear" w:color="auto" w:fill="E1DFDD"/>
    </w:rPr>
  </w:style>
  <w:style w:type="table" w:customStyle="1" w:styleId="GridTable5Dark-Accent21">
    <w:name w:val="Grid Table 5 Dark - Accent 21"/>
    <w:basedOn w:val="TableNormal"/>
    <w:uiPriority w:val="50"/>
    <w:rsid w:val="008F16D6"/>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2-Accent31">
    <w:name w:val="Grid Table 2 - Accent 31"/>
    <w:basedOn w:val="TableNormal"/>
    <w:uiPriority w:val="47"/>
    <w:rsid w:val="008F16D6"/>
    <w:pPr>
      <w:spacing w:after="0" w:line="240" w:lineRule="auto"/>
    </w:pPr>
    <w:rPr>
      <w:rFonts w:ascii="Arial" w:eastAsia="Times New Roman" w:hAnsi="Arial" w:cs="Times New Roman"/>
      <w:lang w:eastAsia="hr-HR"/>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31">
    <w:name w:val="Grid Table 4 - Accent 31"/>
    <w:basedOn w:val="TableNormal"/>
    <w:uiPriority w:val="49"/>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3">
    <w:name w:val="Table Grid3"/>
    <w:basedOn w:val="TableNormal"/>
    <w:next w:val="TableGrid"/>
    <w:uiPriority w:val="39"/>
    <w:rsid w:val="008F16D6"/>
    <w:pPr>
      <w:spacing w:after="0" w:line="240" w:lineRule="auto"/>
      <w:contextualSpacing/>
    </w:pPr>
    <w:rPr>
      <w:rFonts w:ascii="Arial" w:eastAsia="Times New Roman" w:hAnsi="Arial" w:cs="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FBFBF"/>
      <w:vAlign w:val="center"/>
    </w:tcPr>
  </w:style>
  <w:style w:type="table" w:customStyle="1" w:styleId="TableGrid211">
    <w:name w:val="Table Grid211"/>
    <w:basedOn w:val="TableNormal"/>
    <w:next w:val="TableGrid"/>
    <w:uiPriority w:val="39"/>
    <w:rsid w:val="008F1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8F16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8F1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8F1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8F16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8F1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8F1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8F1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F16D6"/>
  </w:style>
  <w:style w:type="table" w:customStyle="1" w:styleId="TableGrid4">
    <w:name w:val="Table Grid4"/>
    <w:basedOn w:val="TableNormal"/>
    <w:next w:val="TableGrid"/>
    <w:uiPriority w:val="39"/>
    <w:rsid w:val="008F16D6"/>
    <w:pPr>
      <w:spacing w:after="0" w:line="240" w:lineRule="auto"/>
      <w:contextualSpacing/>
    </w:pPr>
    <w:rPr>
      <w:rFonts w:ascii="Arial" w:eastAsia="Times New Roman" w:hAnsi="Arial" w:cs="Times New Roman"/>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BFBFBF"/>
      <w:vAlign w:val="center"/>
    </w:tcPr>
  </w:style>
  <w:style w:type="table" w:customStyle="1" w:styleId="GridTable1Light4">
    <w:name w:val="Grid Table 1 Light4"/>
    <w:basedOn w:val="TableNormal"/>
    <w:next w:val="GridTable1Light1"/>
    <w:uiPriority w:val="46"/>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3">
    <w:name w:val="Grid Table 1 Light13"/>
    <w:basedOn w:val="TableNormal"/>
    <w:uiPriority w:val="46"/>
    <w:rsid w:val="008F16D6"/>
    <w:pPr>
      <w:spacing w:after="0" w:line="240" w:lineRule="auto"/>
      <w:ind w:right="510"/>
      <w:jc w:val="right"/>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Normal11">
    <w:name w:val="Table Normal11"/>
    <w:uiPriority w:val="2"/>
    <w:semiHidden/>
    <w:unhideWhenUsed/>
    <w:qFormat/>
    <w:rsid w:val="008F16D6"/>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GridTable1Light21">
    <w:name w:val="Grid Table 1 Light21"/>
    <w:basedOn w:val="TableNormal"/>
    <w:next w:val="GridTable1Light1"/>
    <w:uiPriority w:val="46"/>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11">
    <w:name w:val="Grid Table 1 Light111"/>
    <w:basedOn w:val="TableNormal"/>
    <w:uiPriority w:val="46"/>
    <w:rsid w:val="008F16D6"/>
    <w:pPr>
      <w:spacing w:after="0" w:line="240" w:lineRule="auto"/>
      <w:ind w:right="510"/>
      <w:jc w:val="right"/>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Podnaslov1">
    <w:name w:val="Podnaslov1"/>
    <w:basedOn w:val="Normal"/>
    <w:next w:val="Normal"/>
    <w:uiPriority w:val="11"/>
    <w:qFormat/>
    <w:rsid w:val="008F16D6"/>
    <w:pPr>
      <w:numPr>
        <w:ilvl w:val="1"/>
      </w:numPr>
      <w:spacing w:after="160" w:line="259" w:lineRule="auto"/>
    </w:pPr>
    <w:rPr>
      <w:rFonts w:eastAsia="Yu Mincho"/>
      <w:color w:val="5A5A5A"/>
      <w:spacing w:val="15"/>
    </w:rPr>
  </w:style>
  <w:style w:type="character" w:customStyle="1" w:styleId="SubtitleChar">
    <w:name w:val="Subtitle Char"/>
    <w:basedOn w:val="DefaultParagraphFont"/>
    <w:link w:val="Subtitle"/>
    <w:uiPriority w:val="11"/>
    <w:rsid w:val="008F16D6"/>
    <w:rPr>
      <w:rFonts w:ascii="Calibri" w:eastAsia="Yu Mincho" w:hAnsi="Calibri" w:cs="Arial"/>
      <w:color w:val="5A5A5A"/>
      <w:spacing w:val="15"/>
      <w:lang w:eastAsia="en-US"/>
    </w:rPr>
  </w:style>
  <w:style w:type="character" w:customStyle="1" w:styleId="Neupadljivoisticanje1">
    <w:name w:val="Neupadljivo isticanje1"/>
    <w:basedOn w:val="DefaultParagraphFont"/>
    <w:uiPriority w:val="19"/>
    <w:qFormat/>
    <w:rsid w:val="008F16D6"/>
    <w:rPr>
      <w:i/>
      <w:iCs/>
      <w:color w:val="404040"/>
    </w:rPr>
  </w:style>
  <w:style w:type="character" w:styleId="Emphasis">
    <w:name w:val="Emphasis"/>
    <w:basedOn w:val="BodyTextChar"/>
    <w:qFormat/>
    <w:rsid w:val="008F16D6"/>
    <w:rPr>
      <w:rFonts w:ascii="Arial" w:eastAsia="Times New Roman" w:hAnsi="Arial" w:cs="Arial"/>
      <w:b/>
      <w:i/>
      <w:iCs/>
      <w:sz w:val="28"/>
      <w:szCs w:val="24"/>
      <w:lang w:eastAsia="hr-HR"/>
    </w:rPr>
  </w:style>
  <w:style w:type="table" w:customStyle="1" w:styleId="TableGrid27">
    <w:name w:val="Table Grid27"/>
    <w:basedOn w:val="TableNormal"/>
    <w:next w:val="TableGrid"/>
    <w:uiPriority w:val="39"/>
    <w:rsid w:val="008F1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8F16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8F16D6"/>
    <w:rPr>
      <w:color w:val="605E5C"/>
      <w:shd w:val="clear" w:color="auto" w:fill="E1DFDD"/>
    </w:rPr>
  </w:style>
  <w:style w:type="character" w:customStyle="1" w:styleId="UnresolvedMention5">
    <w:name w:val="Unresolved Mention5"/>
    <w:basedOn w:val="DefaultParagraphFont"/>
    <w:uiPriority w:val="99"/>
    <w:semiHidden/>
    <w:unhideWhenUsed/>
    <w:rsid w:val="008F16D6"/>
    <w:rPr>
      <w:color w:val="605E5C"/>
      <w:shd w:val="clear" w:color="auto" w:fill="E1DFDD"/>
    </w:rPr>
  </w:style>
  <w:style w:type="character" w:customStyle="1" w:styleId="UnresolvedMention6">
    <w:name w:val="Unresolved Mention6"/>
    <w:basedOn w:val="DefaultParagraphFont"/>
    <w:uiPriority w:val="99"/>
    <w:semiHidden/>
    <w:unhideWhenUsed/>
    <w:rsid w:val="008F16D6"/>
    <w:rPr>
      <w:color w:val="605E5C"/>
      <w:shd w:val="clear" w:color="auto" w:fill="E1DFDD"/>
    </w:rPr>
  </w:style>
  <w:style w:type="character" w:customStyle="1" w:styleId="UnresolvedMention7">
    <w:name w:val="Unresolved Mention7"/>
    <w:basedOn w:val="DefaultParagraphFont"/>
    <w:uiPriority w:val="99"/>
    <w:semiHidden/>
    <w:unhideWhenUsed/>
    <w:rsid w:val="008F16D6"/>
    <w:rPr>
      <w:color w:val="605E5C"/>
      <w:shd w:val="clear" w:color="auto" w:fill="E1DFDD"/>
    </w:rPr>
  </w:style>
  <w:style w:type="character" w:customStyle="1" w:styleId="kurziv">
    <w:name w:val="kurziv"/>
    <w:basedOn w:val="DefaultParagraphFont"/>
    <w:rsid w:val="008F16D6"/>
  </w:style>
  <w:style w:type="character" w:customStyle="1" w:styleId="UnresolvedMention8">
    <w:name w:val="Unresolved Mention8"/>
    <w:basedOn w:val="DefaultParagraphFont"/>
    <w:uiPriority w:val="99"/>
    <w:semiHidden/>
    <w:unhideWhenUsed/>
    <w:rsid w:val="008F16D6"/>
    <w:rPr>
      <w:color w:val="605E5C"/>
      <w:shd w:val="clear" w:color="auto" w:fill="E1DFDD"/>
    </w:rPr>
  </w:style>
  <w:style w:type="character" w:customStyle="1" w:styleId="fontstyle01">
    <w:name w:val="fontstyle01"/>
    <w:basedOn w:val="DefaultParagraphFont"/>
    <w:rsid w:val="008F16D6"/>
    <w:rPr>
      <w:rFonts w:ascii="Times New Roman" w:hAnsi="Times New Roman" w:cs="Times New Roman" w:hint="default"/>
      <w:b w:val="0"/>
      <w:bCs w:val="0"/>
      <w:i w:val="0"/>
      <w:iCs w:val="0"/>
      <w:color w:val="000000"/>
      <w:sz w:val="24"/>
      <w:szCs w:val="24"/>
    </w:rPr>
  </w:style>
  <w:style w:type="paragraph" w:customStyle="1" w:styleId="Point0">
    <w:name w:val="Point 0"/>
    <w:basedOn w:val="Normal"/>
    <w:rsid w:val="008F16D6"/>
    <w:pPr>
      <w:spacing w:before="120" w:after="120" w:line="240" w:lineRule="auto"/>
      <w:ind w:left="850" w:hanging="850"/>
      <w:jc w:val="both"/>
    </w:pPr>
    <w:rPr>
      <w:rFonts w:ascii="Times New Roman" w:hAnsi="Times New Roman" w:cs="Times New Roman"/>
      <w:sz w:val="24"/>
      <w:szCs w:val="24"/>
      <w:lang w:eastAsia="en-GB"/>
    </w:rPr>
  </w:style>
  <w:style w:type="character" w:customStyle="1" w:styleId="CRMarker">
    <w:name w:val="CR Marker"/>
    <w:basedOn w:val="DefaultParagraphFont"/>
    <w:uiPriority w:val="99"/>
    <w:rsid w:val="008F16D6"/>
    <w:rPr>
      <w:rFonts w:ascii="Wingdings" w:hAnsi="Wingdings" w:hint="default"/>
    </w:rPr>
  </w:style>
  <w:style w:type="paragraph" w:customStyle="1" w:styleId="Slika">
    <w:name w:val="Slika"/>
    <w:basedOn w:val="Normal"/>
    <w:next w:val="Normal"/>
    <w:link w:val="SlikaChar"/>
    <w:autoRedefine/>
    <w:qFormat/>
    <w:rsid w:val="008F16D6"/>
    <w:pPr>
      <w:keepNext/>
      <w:spacing w:before="120" w:after="120" w:line="240" w:lineRule="auto"/>
      <w:jc w:val="center"/>
    </w:pPr>
    <w:rPr>
      <w:rFonts w:ascii="Tahoma" w:eastAsia="Times New Roman" w:hAnsi="Tahoma" w:cs="Myriad Pro"/>
      <w:sz w:val="20"/>
      <w:szCs w:val="24"/>
      <w:lang w:eastAsia="hr-HR"/>
    </w:rPr>
  </w:style>
  <w:style w:type="character" w:customStyle="1" w:styleId="SlikaChar">
    <w:name w:val="Slika Char"/>
    <w:basedOn w:val="DefaultParagraphFont"/>
    <w:link w:val="Slika"/>
    <w:rsid w:val="008F16D6"/>
    <w:rPr>
      <w:rFonts w:ascii="Tahoma" w:eastAsia="Times New Roman" w:hAnsi="Tahoma" w:cs="Myriad Pro"/>
      <w:sz w:val="20"/>
      <w:szCs w:val="24"/>
      <w:lang w:eastAsia="hr-HR"/>
    </w:rPr>
  </w:style>
  <w:style w:type="paragraph" w:customStyle="1" w:styleId="Naslovtablice">
    <w:name w:val="Naslov tablice"/>
    <w:basedOn w:val="Caption"/>
    <w:next w:val="Normal"/>
    <w:link w:val="NaslovtabliceChar"/>
    <w:autoRedefine/>
    <w:qFormat/>
    <w:rsid w:val="008F16D6"/>
    <w:pPr>
      <w:keepNext/>
      <w:keepLines/>
      <w:tabs>
        <w:tab w:val="clear" w:pos="1021"/>
      </w:tabs>
      <w:spacing w:after="60" w:line="240" w:lineRule="auto"/>
      <w:ind w:left="0" w:firstLine="0"/>
    </w:pPr>
    <w:rPr>
      <w:rFonts w:ascii="Tahoma" w:hAnsi="Tahoma" w:cs="Tahoma"/>
      <w:b w:val="0"/>
      <w:i/>
      <w:iCs/>
      <w:sz w:val="16"/>
      <w:szCs w:val="20"/>
    </w:rPr>
  </w:style>
  <w:style w:type="character" w:customStyle="1" w:styleId="NaslovtabliceChar">
    <w:name w:val="Naslov tablice Char"/>
    <w:basedOn w:val="DefaultParagraphFont"/>
    <w:link w:val="Naslovtablice"/>
    <w:rsid w:val="008F16D6"/>
    <w:rPr>
      <w:rFonts w:ascii="Tahoma" w:eastAsia="Times New Roman" w:hAnsi="Tahoma" w:cs="Tahoma"/>
      <w:i/>
      <w:iCs/>
      <w:sz w:val="16"/>
      <w:szCs w:val="20"/>
      <w:lang w:eastAsia="hr-HR"/>
    </w:rPr>
  </w:style>
  <w:style w:type="paragraph" w:customStyle="1" w:styleId="Slikanaslov">
    <w:name w:val="Slika naslov"/>
    <w:basedOn w:val="Normal"/>
    <w:next w:val="Normal"/>
    <w:link w:val="SlikanaslovChar"/>
    <w:autoRedefine/>
    <w:uiPriority w:val="99"/>
    <w:qFormat/>
    <w:rsid w:val="008F16D6"/>
    <w:pPr>
      <w:keepLines/>
      <w:suppressAutoHyphens/>
      <w:spacing w:before="60" w:after="120" w:line="240" w:lineRule="auto"/>
      <w:jc w:val="center"/>
    </w:pPr>
    <w:rPr>
      <w:rFonts w:ascii="Tahoma" w:eastAsia="Times New Roman" w:hAnsi="Tahoma" w:cs="Tahoma"/>
      <w:bCs/>
      <w:i/>
      <w:sz w:val="16"/>
      <w:szCs w:val="28"/>
      <w:lang w:eastAsia="hr-HR"/>
    </w:rPr>
  </w:style>
  <w:style w:type="paragraph" w:customStyle="1" w:styleId="Tblnaslov">
    <w:name w:val="Tbl naslov"/>
    <w:basedOn w:val="Normal"/>
    <w:next w:val="Normal"/>
    <w:link w:val="TblnaslovChar"/>
    <w:qFormat/>
    <w:rsid w:val="008F16D6"/>
    <w:pPr>
      <w:keepNext/>
      <w:keepLines/>
      <w:suppressAutoHyphens/>
      <w:spacing w:before="120" w:after="60" w:line="240" w:lineRule="auto"/>
      <w:jc w:val="right"/>
    </w:pPr>
    <w:rPr>
      <w:rFonts w:ascii="Tahoma" w:eastAsia="Times New Roman" w:hAnsi="Tahoma" w:cs="Myriad Pro"/>
      <w:i/>
      <w:sz w:val="16"/>
      <w:szCs w:val="24"/>
      <w:lang w:eastAsia="de-DE"/>
    </w:rPr>
  </w:style>
  <w:style w:type="character" w:customStyle="1" w:styleId="SlikanaslovChar">
    <w:name w:val="Slika naslov Char"/>
    <w:basedOn w:val="DefaultParagraphFont"/>
    <w:link w:val="Slikanaslov"/>
    <w:uiPriority w:val="99"/>
    <w:rsid w:val="008F16D6"/>
    <w:rPr>
      <w:rFonts w:ascii="Tahoma" w:eastAsia="Times New Roman" w:hAnsi="Tahoma" w:cs="Tahoma"/>
      <w:bCs/>
      <w:i/>
      <w:sz w:val="16"/>
      <w:szCs w:val="28"/>
      <w:lang w:eastAsia="hr-HR"/>
    </w:rPr>
  </w:style>
  <w:style w:type="character" w:customStyle="1" w:styleId="TblnaslovChar">
    <w:name w:val="Tbl naslov Char"/>
    <w:basedOn w:val="DefaultParagraphFont"/>
    <w:link w:val="Tblnaslov"/>
    <w:rsid w:val="008F16D6"/>
    <w:rPr>
      <w:rFonts w:ascii="Tahoma" w:eastAsia="Times New Roman" w:hAnsi="Tahoma" w:cs="Myriad Pro"/>
      <w:i/>
      <w:sz w:val="16"/>
      <w:szCs w:val="24"/>
      <w:lang w:eastAsia="de-DE"/>
    </w:rPr>
  </w:style>
  <w:style w:type="character" w:customStyle="1" w:styleId="UnresolvedMention80">
    <w:name w:val="Unresolved Mention80"/>
    <w:basedOn w:val="DefaultParagraphFont"/>
    <w:uiPriority w:val="99"/>
    <w:semiHidden/>
    <w:unhideWhenUsed/>
    <w:rsid w:val="008F16D6"/>
    <w:rPr>
      <w:color w:val="605E5C"/>
      <w:shd w:val="clear" w:color="auto" w:fill="E1DFDD"/>
    </w:rPr>
  </w:style>
  <w:style w:type="character" w:customStyle="1" w:styleId="UnresolvedMention800">
    <w:name w:val="Unresolved Mention800"/>
    <w:basedOn w:val="DefaultParagraphFont"/>
    <w:uiPriority w:val="99"/>
    <w:semiHidden/>
    <w:unhideWhenUsed/>
    <w:rsid w:val="008F16D6"/>
    <w:rPr>
      <w:color w:val="605E5C"/>
      <w:shd w:val="clear" w:color="auto" w:fill="E1DFDD"/>
    </w:rPr>
  </w:style>
  <w:style w:type="character" w:customStyle="1" w:styleId="normaltextrun">
    <w:name w:val="normaltextrun"/>
    <w:basedOn w:val="DefaultParagraphFont"/>
    <w:rsid w:val="008F16D6"/>
  </w:style>
  <w:style w:type="character" w:customStyle="1" w:styleId="UnresolvedMention8000">
    <w:name w:val="Unresolved Mention8000"/>
    <w:basedOn w:val="DefaultParagraphFont"/>
    <w:uiPriority w:val="99"/>
    <w:semiHidden/>
    <w:unhideWhenUsed/>
    <w:rsid w:val="008F16D6"/>
    <w:rPr>
      <w:color w:val="605E5C"/>
      <w:shd w:val="clear" w:color="auto" w:fill="E1DFDD"/>
    </w:rPr>
  </w:style>
  <w:style w:type="character" w:customStyle="1" w:styleId="UnresolvedMention9">
    <w:name w:val="Unresolved Mention9"/>
    <w:basedOn w:val="DefaultParagraphFont"/>
    <w:uiPriority w:val="99"/>
    <w:semiHidden/>
    <w:unhideWhenUsed/>
    <w:rsid w:val="008F16D6"/>
    <w:rPr>
      <w:color w:val="605E5C"/>
      <w:shd w:val="clear" w:color="auto" w:fill="E1DFDD"/>
    </w:rPr>
  </w:style>
  <w:style w:type="character" w:customStyle="1" w:styleId="st">
    <w:name w:val="st"/>
    <w:basedOn w:val="DefaultParagraphFont"/>
    <w:rsid w:val="008F16D6"/>
  </w:style>
  <w:style w:type="character" w:customStyle="1" w:styleId="UnresolvedMention10">
    <w:name w:val="Unresolved Mention10"/>
    <w:basedOn w:val="DefaultParagraphFont"/>
    <w:uiPriority w:val="99"/>
    <w:semiHidden/>
    <w:unhideWhenUsed/>
    <w:rsid w:val="008F16D6"/>
    <w:rPr>
      <w:color w:val="605E5C"/>
      <w:shd w:val="clear" w:color="auto" w:fill="E1DFDD"/>
    </w:rPr>
  </w:style>
  <w:style w:type="character" w:customStyle="1" w:styleId="eop">
    <w:name w:val="eop"/>
    <w:basedOn w:val="DefaultParagraphFont"/>
    <w:rsid w:val="008F16D6"/>
  </w:style>
  <w:style w:type="paragraph" w:customStyle="1" w:styleId="paragraph">
    <w:name w:val="paragraph"/>
    <w:basedOn w:val="Normal"/>
    <w:rsid w:val="008F16D6"/>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scxw235390581">
    <w:name w:val="scxw235390581"/>
    <w:basedOn w:val="DefaultParagraphFont"/>
    <w:rsid w:val="008F16D6"/>
  </w:style>
  <w:style w:type="character" w:customStyle="1" w:styleId="spellingerror">
    <w:name w:val="spellingerror"/>
    <w:basedOn w:val="DefaultParagraphFont"/>
    <w:rsid w:val="008F16D6"/>
  </w:style>
  <w:style w:type="character" w:customStyle="1" w:styleId="scxw195926880">
    <w:name w:val="scxw195926880"/>
    <w:basedOn w:val="DefaultParagraphFont"/>
    <w:rsid w:val="008F16D6"/>
  </w:style>
  <w:style w:type="character" w:customStyle="1" w:styleId="Zadanifontodlomka1">
    <w:name w:val="Zadani font odlomka1"/>
    <w:rsid w:val="008F16D6"/>
  </w:style>
  <w:style w:type="paragraph" w:customStyle="1" w:styleId="Odlomakpopisa1">
    <w:name w:val="Odlomak popisa1"/>
    <w:basedOn w:val="Normal"/>
    <w:rsid w:val="008F16D6"/>
    <w:pPr>
      <w:suppressAutoHyphens/>
      <w:autoSpaceDN w:val="0"/>
      <w:spacing w:after="160" w:line="240" w:lineRule="auto"/>
      <w:ind w:left="720"/>
      <w:textAlignment w:val="baseline"/>
    </w:pPr>
    <w:rPr>
      <w:rFonts w:ascii="Calibri" w:eastAsia="Calibri" w:hAnsi="Calibri" w:cs="Times New Roman"/>
    </w:rPr>
  </w:style>
  <w:style w:type="numbering" w:customStyle="1" w:styleId="WWOutlineListStyle6">
    <w:name w:val="WW_OutlineListStyle_6"/>
    <w:basedOn w:val="NoList"/>
    <w:rsid w:val="008F16D6"/>
    <w:pPr>
      <w:numPr>
        <w:numId w:val="15"/>
      </w:numPr>
    </w:pPr>
  </w:style>
  <w:style w:type="character" w:customStyle="1" w:styleId="tlid-translation">
    <w:name w:val="tlid-translation"/>
    <w:basedOn w:val="DefaultParagraphFont"/>
    <w:rsid w:val="008F16D6"/>
  </w:style>
  <w:style w:type="numbering" w:customStyle="1" w:styleId="WWOutlineListStyle1">
    <w:name w:val="WW_OutlineListStyle_1"/>
    <w:basedOn w:val="NoList"/>
    <w:rsid w:val="008F16D6"/>
    <w:pPr>
      <w:numPr>
        <w:numId w:val="10"/>
      </w:numPr>
    </w:pPr>
  </w:style>
  <w:style w:type="paragraph" w:customStyle="1" w:styleId="Naslov11">
    <w:name w:val="Naslov 11"/>
    <w:basedOn w:val="Normal"/>
    <w:next w:val="Normal"/>
    <w:rsid w:val="008F16D6"/>
    <w:pPr>
      <w:keepNext/>
      <w:keepLines/>
      <w:numPr>
        <w:numId w:val="10"/>
      </w:numPr>
      <w:suppressAutoHyphens/>
      <w:autoSpaceDN w:val="0"/>
      <w:spacing w:before="240" w:after="0" w:line="240" w:lineRule="auto"/>
      <w:jc w:val="both"/>
      <w:textAlignment w:val="baseline"/>
      <w:outlineLvl w:val="0"/>
    </w:pPr>
    <w:rPr>
      <w:rFonts w:ascii="Arial" w:eastAsia="Times New Roman" w:hAnsi="Arial" w:cs="Times New Roman"/>
      <w:b/>
      <w:sz w:val="32"/>
      <w:szCs w:val="32"/>
      <w:lang w:eastAsia="hr-HR"/>
    </w:rPr>
  </w:style>
  <w:style w:type="paragraph" w:customStyle="1" w:styleId="Naslov21">
    <w:name w:val="Naslov 21"/>
    <w:basedOn w:val="Normal"/>
    <w:next w:val="Normal"/>
    <w:rsid w:val="008F16D6"/>
    <w:pPr>
      <w:keepNext/>
      <w:widowControl w:val="0"/>
      <w:numPr>
        <w:ilvl w:val="1"/>
        <w:numId w:val="10"/>
      </w:numPr>
      <w:suppressAutoHyphens/>
      <w:autoSpaceDE w:val="0"/>
      <w:autoSpaceDN w:val="0"/>
      <w:spacing w:before="240" w:after="0" w:line="240" w:lineRule="auto"/>
      <w:jc w:val="both"/>
      <w:textAlignment w:val="center"/>
      <w:outlineLvl w:val="1"/>
    </w:pPr>
    <w:rPr>
      <w:rFonts w:ascii="Arial" w:eastAsia="Calibri" w:hAnsi="Arial" w:cs="Myriad Pro Cond"/>
      <w:b/>
      <w:bCs/>
      <w:sz w:val="28"/>
      <w:szCs w:val="36"/>
      <w:lang w:eastAsia="hr-HR"/>
    </w:rPr>
  </w:style>
  <w:style w:type="paragraph" w:customStyle="1" w:styleId="Naslov31">
    <w:name w:val="Naslov 31"/>
    <w:basedOn w:val="Normal"/>
    <w:next w:val="Normal"/>
    <w:rsid w:val="008F16D6"/>
    <w:pPr>
      <w:keepNext/>
      <w:widowControl w:val="0"/>
      <w:numPr>
        <w:ilvl w:val="2"/>
        <w:numId w:val="10"/>
      </w:numPr>
      <w:suppressAutoHyphens/>
      <w:autoSpaceDE w:val="0"/>
      <w:autoSpaceDN w:val="0"/>
      <w:spacing w:before="240" w:after="0" w:line="240" w:lineRule="auto"/>
      <w:jc w:val="both"/>
      <w:textAlignment w:val="center"/>
      <w:outlineLvl w:val="2"/>
    </w:pPr>
    <w:rPr>
      <w:rFonts w:ascii="Arial" w:eastAsia="Calibri" w:hAnsi="Arial" w:cs="Arial"/>
      <w:bCs/>
      <w:iCs/>
      <w:sz w:val="28"/>
      <w:lang w:eastAsia="hr-HR"/>
    </w:rPr>
  </w:style>
  <w:style w:type="paragraph" w:customStyle="1" w:styleId="Naslov41">
    <w:name w:val="Naslov 41"/>
    <w:basedOn w:val="Naslov31"/>
    <w:next w:val="Normal"/>
    <w:rsid w:val="008F16D6"/>
    <w:pPr>
      <w:widowControl/>
      <w:numPr>
        <w:ilvl w:val="3"/>
      </w:numPr>
      <w:autoSpaceDE/>
      <w:spacing w:before="360" w:after="120"/>
      <w:textAlignment w:val="auto"/>
      <w:outlineLvl w:val="3"/>
    </w:pPr>
    <w:rPr>
      <w:rFonts w:eastAsia="Times New Roman"/>
      <w:bCs w:val="0"/>
      <w:color w:val="BE1D2D"/>
      <w:kern w:val="3"/>
      <w:sz w:val="24"/>
      <w:szCs w:val="28"/>
    </w:rPr>
  </w:style>
  <w:style w:type="paragraph" w:customStyle="1" w:styleId="Tekstkomentara1">
    <w:name w:val="Tekst komentara1"/>
    <w:basedOn w:val="Normal"/>
    <w:rsid w:val="008F16D6"/>
    <w:pPr>
      <w:widowControl w:val="0"/>
      <w:suppressAutoHyphens/>
      <w:autoSpaceDN w:val="0"/>
      <w:spacing w:before="240" w:after="120" w:line="288" w:lineRule="auto"/>
      <w:ind w:firstLine="720"/>
      <w:jc w:val="both"/>
      <w:textAlignment w:val="baseline"/>
    </w:pPr>
    <w:rPr>
      <w:rFonts w:ascii="Times New Roman" w:eastAsia="Times New Roman" w:hAnsi="Times New Roman" w:cs="Times New Roman"/>
      <w:sz w:val="20"/>
      <w:szCs w:val="20"/>
      <w:lang w:val="en-US" w:eastAsia="ru-RU"/>
    </w:rPr>
  </w:style>
  <w:style w:type="character" w:customStyle="1" w:styleId="Istaknuto1">
    <w:name w:val="Istaknuto1"/>
    <w:basedOn w:val="Zadanifontodlomka1"/>
    <w:rsid w:val="008F16D6"/>
    <w:rPr>
      <w:i/>
      <w:iCs/>
    </w:rPr>
  </w:style>
  <w:style w:type="paragraph" w:customStyle="1" w:styleId="ydpf213a7aemsonormal">
    <w:name w:val="ydpf213a7aemsonormal"/>
    <w:basedOn w:val="Normal"/>
    <w:rsid w:val="008F16D6"/>
    <w:pPr>
      <w:spacing w:before="100" w:beforeAutospacing="1" w:after="100" w:afterAutospacing="1" w:line="240" w:lineRule="auto"/>
    </w:pPr>
    <w:rPr>
      <w:rFonts w:ascii="Calibri" w:hAnsi="Calibri" w:cs="Calibri"/>
      <w:lang w:eastAsia="hr-HR"/>
    </w:rPr>
  </w:style>
  <w:style w:type="character" w:customStyle="1" w:styleId="ydpf213a7aeyiv5553754999zadanifontodlomka1">
    <w:name w:val="ydpf213a7aeyiv5553754999zadanifontodlomka1"/>
    <w:basedOn w:val="DefaultParagraphFont"/>
    <w:rsid w:val="008F16D6"/>
  </w:style>
  <w:style w:type="character" w:customStyle="1" w:styleId="UnresolvedMention11">
    <w:name w:val="Unresolved Mention11"/>
    <w:basedOn w:val="DefaultParagraphFont"/>
    <w:uiPriority w:val="99"/>
    <w:semiHidden/>
    <w:unhideWhenUsed/>
    <w:rsid w:val="008F16D6"/>
    <w:rPr>
      <w:color w:val="605E5C"/>
      <w:shd w:val="clear" w:color="auto" w:fill="E1DFDD"/>
    </w:rPr>
  </w:style>
  <w:style w:type="character" w:customStyle="1" w:styleId="UnresolvedMention12">
    <w:name w:val="Unresolved Mention12"/>
    <w:basedOn w:val="DefaultParagraphFont"/>
    <w:uiPriority w:val="99"/>
    <w:semiHidden/>
    <w:unhideWhenUsed/>
    <w:rsid w:val="008F16D6"/>
    <w:rPr>
      <w:color w:val="605E5C"/>
      <w:shd w:val="clear" w:color="auto" w:fill="E1DFDD"/>
    </w:rPr>
  </w:style>
  <w:style w:type="paragraph" w:customStyle="1" w:styleId="Odlomakpopisa2">
    <w:name w:val="Odlomak popisa2"/>
    <w:basedOn w:val="Normal"/>
    <w:rsid w:val="008F16D6"/>
    <w:pPr>
      <w:tabs>
        <w:tab w:val="left" w:pos="431"/>
      </w:tabs>
      <w:suppressAutoHyphens/>
      <w:autoSpaceDN w:val="0"/>
      <w:spacing w:after="120" w:line="240" w:lineRule="auto"/>
      <w:jc w:val="both"/>
    </w:pPr>
    <w:rPr>
      <w:rFonts w:ascii="Arial" w:eastAsia="Times New Roman" w:hAnsi="Arial" w:cs="Tahoma"/>
      <w:lang w:eastAsia="ar-SA"/>
    </w:rPr>
  </w:style>
  <w:style w:type="character" w:customStyle="1" w:styleId="Zadanifontodlomka2">
    <w:name w:val="Zadani font odlomka2"/>
    <w:rsid w:val="008F16D6"/>
  </w:style>
  <w:style w:type="table" w:customStyle="1" w:styleId="GridTable1Light1000">
    <w:name w:val="Grid Table 1 Light1000"/>
    <w:basedOn w:val="TableNormal"/>
    <w:uiPriority w:val="46"/>
    <w:rsid w:val="008F16D6"/>
    <w:pPr>
      <w:spacing w:after="0" w:line="240" w:lineRule="auto"/>
      <w:ind w:right="510"/>
      <w:jc w:val="right"/>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10">
    <w:name w:val="Grid Table 1 Light10"/>
    <w:basedOn w:val="TableNormal"/>
    <w:uiPriority w:val="46"/>
    <w:rsid w:val="008F16D6"/>
    <w:pPr>
      <w:spacing w:after="0" w:line="240" w:lineRule="auto"/>
      <w:ind w:right="510"/>
      <w:jc w:val="right"/>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0">
    <w:name w:val="Plain Table 110"/>
    <w:basedOn w:val="TableNormal"/>
    <w:next w:val="PlainTable11"/>
    <w:uiPriority w:val="41"/>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0">
    <w:name w:val="Plain Table 410"/>
    <w:basedOn w:val="TableNormal"/>
    <w:next w:val="PlainTable41"/>
    <w:uiPriority w:val="44"/>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0">
    <w:name w:val="Table Grid Light10"/>
    <w:basedOn w:val="TableNormal"/>
    <w:next w:val="TableGridLight1"/>
    <w:uiPriority w:val="40"/>
    <w:rsid w:val="008F16D6"/>
    <w:pPr>
      <w:spacing w:after="0" w:line="240" w:lineRule="auto"/>
    </w:pPr>
    <w:rPr>
      <w:rFonts w:ascii="Arial" w:eastAsia="Times New Roman" w:hAnsi="Arial" w:cs="Times New Roman"/>
      <w:lang w:eastAsia="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0">
    <w:name w:val="Plain Table 310"/>
    <w:basedOn w:val="TableNormal"/>
    <w:next w:val="PlainTable31"/>
    <w:uiPriority w:val="43"/>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10">
    <w:name w:val="Grid Table 1 Light - Accent 110"/>
    <w:basedOn w:val="TableNormal"/>
    <w:next w:val="GridTable1Light-Accent11"/>
    <w:uiPriority w:val="46"/>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UnresolvedMention13">
    <w:name w:val="Unresolved Mention13"/>
    <w:basedOn w:val="DefaultParagraphFont"/>
    <w:uiPriority w:val="99"/>
    <w:semiHidden/>
    <w:unhideWhenUsed/>
    <w:rsid w:val="008F16D6"/>
    <w:rPr>
      <w:color w:val="605E5C"/>
      <w:shd w:val="clear" w:color="auto" w:fill="E1DFDD"/>
    </w:rPr>
  </w:style>
  <w:style w:type="table" w:customStyle="1" w:styleId="GridTable1Light100">
    <w:name w:val="Grid Table 1 Light100"/>
    <w:basedOn w:val="TableNormal"/>
    <w:uiPriority w:val="46"/>
    <w:rsid w:val="008F16D6"/>
    <w:pPr>
      <w:spacing w:after="0" w:line="240" w:lineRule="auto"/>
      <w:ind w:right="510"/>
      <w:jc w:val="right"/>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00">
    <w:name w:val="Plain Table 1100"/>
    <w:basedOn w:val="TableNormal"/>
    <w:next w:val="PlainTable110"/>
    <w:uiPriority w:val="41"/>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00">
    <w:name w:val="Plain Table 4100"/>
    <w:basedOn w:val="TableNormal"/>
    <w:next w:val="PlainTable410"/>
    <w:uiPriority w:val="44"/>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00">
    <w:name w:val="Table Grid Light100"/>
    <w:basedOn w:val="TableNormal"/>
    <w:next w:val="TableGridLight10"/>
    <w:uiPriority w:val="40"/>
    <w:rsid w:val="008F16D6"/>
    <w:pPr>
      <w:spacing w:after="0" w:line="240" w:lineRule="auto"/>
    </w:pPr>
    <w:rPr>
      <w:rFonts w:ascii="Arial" w:eastAsia="Times New Roman" w:hAnsi="Arial" w:cs="Times New Roman"/>
      <w:lang w:eastAsia="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00">
    <w:name w:val="Plain Table 3100"/>
    <w:basedOn w:val="TableNormal"/>
    <w:next w:val="PlainTable310"/>
    <w:uiPriority w:val="43"/>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100">
    <w:name w:val="Grid Table 1 Light - Accent 1100"/>
    <w:basedOn w:val="TableNormal"/>
    <w:next w:val="GridTable1Light-Accent110"/>
    <w:uiPriority w:val="46"/>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11000">
    <w:name w:val="Plain Table 11000"/>
    <w:basedOn w:val="TableNormal"/>
    <w:next w:val="PlainTable1100"/>
    <w:uiPriority w:val="41"/>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000">
    <w:name w:val="Plain Table 41000"/>
    <w:basedOn w:val="TableNormal"/>
    <w:next w:val="PlainTable4100"/>
    <w:uiPriority w:val="44"/>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000">
    <w:name w:val="Table Grid Light1000"/>
    <w:basedOn w:val="TableNormal"/>
    <w:next w:val="TableGridLight100"/>
    <w:uiPriority w:val="40"/>
    <w:rsid w:val="008F16D6"/>
    <w:pPr>
      <w:spacing w:after="0" w:line="240" w:lineRule="auto"/>
    </w:pPr>
    <w:rPr>
      <w:rFonts w:ascii="Arial" w:eastAsia="Times New Roman" w:hAnsi="Arial" w:cs="Times New Roman"/>
      <w:lang w:eastAsia="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000">
    <w:name w:val="Plain Table 31000"/>
    <w:basedOn w:val="TableNormal"/>
    <w:next w:val="PlainTable3100"/>
    <w:uiPriority w:val="43"/>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1000">
    <w:name w:val="Grid Table 1 Light - Accent 11000"/>
    <w:basedOn w:val="TableNormal"/>
    <w:next w:val="GridTable1Light-Accent1100"/>
    <w:uiPriority w:val="46"/>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doc-ti">
    <w:name w:val="doc-ti"/>
    <w:basedOn w:val="Normal"/>
    <w:rsid w:val="008F16D6"/>
    <w:pPr>
      <w:spacing w:before="100" w:beforeAutospacing="1" w:after="100" w:afterAutospacing="1" w:line="240" w:lineRule="auto"/>
    </w:pPr>
    <w:rPr>
      <w:rFonts w:ascii="Times New Roman" w:eastAsia="Times New Roman" w:hAnsi="Times New Roman" w:cs="Times New Roman"/>
      <w:sz w:val="24"/>
      <w:szCs w:val="24"/>
      <w:lang w:eastAsia="hr-HR"/>
    </w:rPr>
  </w:style>
  <w:style w:type="table" w:customStyle="1" w:styleId="GridTable1Light1001">
    <w:name w:val="Grid Table 1 Light1001"/>
    <w:basedOn w:val="TableNormal"/>
    <w:uiPriority w:val="46"/>
    <w:rsid w:val="008F16D6"/>
    <w:pPr>
      <w:spacing w:after="0" w:line="240" w:lineRule="auto"/>
      <w:ind w:right="510"/>
      <w:jc w:val="right"/>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0000">
    <w:name w:val="Plain Table 110000"/>
    <w:basedOn w:val="TableNormal"/>
    <w:next w:val="PlainTable11000"/>
    <w:uiPriority w:val="41"/>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0000">
    <w:name w:val="Plain Table 410000"/>
    <w:basedOn w:val="TableNormal"/>
    <w:next w:val="PlainTable41000"/>
    <w:uiPriority w:val="44"/>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0000">
    <w:name w:val="Table Grid Light10000"/>
    <w:basedOn w:val="TableNormal"/>
    <w:next w:val="TableGridLight1000"/>
    <w:uiPriority w:val="40"/>
    <w:rsid w:val="008F16D6"/>
    <w:pPr>
      <w:spacing w:after="0" w:line="240" w:lineRule="auto"/>
    </w:pPr>
    <w:rPr>
      <w:rFonts w:ascii="Arial" w:eastAsia="Times New Roman" w:hAnsi="Arial" w:cs="Times New Roman"/>
      <w:lang w:eastAsia="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0000">
    <w:name w:val="Plain Table 310000"/>
    <w:basedOn w:val="TableNormal"/>
    <w:next w:val="PlainTable31000"/>
    <w:uiPriority w:val="43"/>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10000">
    <w:name w:val="Grid Table 1 Light - Accent 110000"/>
    <w:basedOn w:val="TableNormal"/>
    <w:next w:val="GridTable1Light-Accent11000"/>
    <w:uiPriority w:val="46"/>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10010">
    <w:name w:val="Grid Table 1 Light10010"/>
    <w:basedOn w:val="TableNormal"/>
    <w:uiPriority w:val="46"/>
    <w:rsid w:val="008F16D6"/>
    <w:pPr>
      <w:spacing w:after="0" w:line="240" w:lineRule="auto"/>
      <w:ind w:right="510"/>
      <w:jc w:val="right"/>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00000">
    <w:name w:val="Plain Table 1100000"/>
    <w:basedOn w:val="TableNormal"/>
    <w:next w:val="PlainTable110000"/>
    <w:uiPriority w:val="41"/>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00000">
    <w:name w:val="Plain Table 4100000"/>
    <w:basedOn w:val="TableNormal"/>
    <w:next w:val="PlainTable410000"/>
    <w:uiPriority w:val="44"/>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00000">
    <w:name w:val="Table Grid Light100000"/>
    <w:basedOn w:val="TableNormal"/>
    <w:next w:val="TableGridLight10000"/>
    <w:uiPriority w:val="40"/>
    <w:rsid w:val="008F16D6"/>
    <w:pPr>
      <w:spacing w:after="0" w:line="240" w:lineRule="auto"/>
    </w:pPr>
    <w:rPr>
      <w:rFonts w:ascii="Arial" w:eastAsia="Times New Roman" w:hAnsi="Arial" w:cs="Times New Roman"/>
      <w:lang w:eastAsia="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00000">
    <w:name w:val="Plain Table 3100000"/>
    <w:basedOn w:val="TableNormal"/>
    <w:next w:val="PlainTable310000"/>
    <w:uiPriority w:val="43"/>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100000">
    <w:name w:val="Grid Table 1 Light - Accent 1100000"/>
    <w:basedOn w:val="TableNormal"/>
    <w:next w:val="GridTable1Light-Accent110000"/>
    <w:uiPriority w:val="46"/>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100100">
    <w:name w:val="Grid Table 1 Light100100"/>
    <w:basedOn w:val="TableNormal"/>
    <w:uiPriority w:val="46"/>
    <w:rsid w:val="008F16D6"/>
    <w:pPr>
      <w:spacing w:after="0" w:line="240" w:lineRule="auto"/>
      <w:ind w:right="510"/>
      <w:jc w:val="right"/>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000000">
    <w:name w:val="Plain Table 11000000"/>
    <w:basedOn w:val="TableNormal"/>
    <w:next w:val="PlainTable1100000"/>
    <w:uiPriority w:val="41"/>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000000">
    <w:name w:val="Plain Table 41000000"/>
    <w:basedOn w:val="TableNormal"/>
    <w:next w:val="PlainTable4100000"/>
    <w:uiPriority w:val="44"/>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000000">
    <w:name w:val="Table Grid Light1000000"/>
    <w:basedOn w:val="TableNormal"/>
    <w:next w:val="TableGridLight100000"/>
    <w:uiPriority w:val="40"/>
    <w:rsid w:val="008F16D6"/>
    <w:pPr>
      <w:spacing w:after="0" w:line="240" w:lineRule="auto"/>
    </w:pPr>
    <w:rPr>
      <w:rFonts w:ascii="Arial" w:eastAsia="Times New Roman" w:hAnsi="Arial" w:cs="Times New Roman"/>
      <w:lang w:eastAsia="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000000">
    <w:name w:val="Plain Table 31000000"/>
    <w:basedOn w:val="TableNormal"/>
    <w:next w:val="PlainTable3100000"/>
    <w:uiPriority w:val="43"/>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
    <w:name w:val="Grid Table 1 Light - Accent 11000000"/>
    <w:basedOn w:val="TableNormal"/>
    <w:next w:val="GridTable1Light-Accent1100000"/>
    <w:uiPriority w:val="46"/>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1001000">
    <w:name w:val="Grid Table 1 Light1001000"/>
    <w:basedOn w:val="TableNormal"/>
    <w:uiPriority w:val="46"/>
    <w:rsid w:val="008F16D6"/>
    <w:pPr>
      <w:spacing w:after="0" w:line="240" w:lineRule="auto"/>
      <w:ind w:right="510"/>
      <w:jc w:val="right"/>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0000000">
    <w:name w:val="Plain Table 110000000"/>
    <w:basedOn w:val="TableNormal"/>
    <w:next w:val="PlainTable11000000"/>
    <w:uiPriority w:val="41"/>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0000000">
    <w:name w:val="Plain Table 410000000"/>
    <w:basedOn w:val="TableNormal"/>
    <w:next w:val="PlainTable41000000"/>
    <w:uiPriority w:val="44"/>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0000000">
    <w:name w:val="Table Grid Light10000000"/>
    <w:basedOn w:val="TableNormal"/>
    <w:next w:val="TableGridLight1000000"/>
    <w:uiPriority w:val="40"/>
    <w:rsid w:val="008F16D6"/>
    <w:pPr>
      <w:spacing w:after="0" w:line="240" w:lineRule="auto"/>
    </w:pPr>
    <w:rPr>
      <w:rFonts w:ascii="Arial" w:eastAsia="Times New Roman" w:hAnsi="Arial" w:cs="Times New Roman"/>
      <w:lang w:eastAsia="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0000000">
    <w:name w:val="Plain Table 310000000"/>
    <w:basedOn w:val="TableNormal"/>
    <w:next w:val="PlainTable31000000"/>
    <w:uiPriority w:val="43"/>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
    <w:name w:val="Grid Table 1 Light - Accent 110000000"/>
    <w:basedOn w:val="TableNormal"/>
    <w:next w:val="GridTable1Light-Accent11000000"/>
    <w:uiPriority w:val="46"/>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10010000">
    <w:name w:val="Grid Table 1 Light10010000"/>
    <w:basedOn w:val="TableNormal"/>
    <w:uiPriority w:val="46"/>
    <w:rsid w:val="008F16D6"/>
    <w:pPr>
      <w:spacing w:after="0" w:line="240" w:lineRule="auto"/>
      <w:ind w:right="510"/>
      <w:jc w:val="right"/>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00000000">
    <w:name w:val="Plain Table 1100000000"/>
    <w:basedOn w:val="TableNormal"/>
    <w:next w:val="PlainTable110000000"/>
    <w:uiPriority w:val="41"/>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00000000">
    <w:name w:val="Plain Table 4100000000"/>
    <w:basedOn w:val="TableNormal"/>
    <w:next w:val="PlainTable410000000"/>
    <w:uiPriority w:val="44"/>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00000000">
    <w:name w:val="Table Grid Light100000000"/>
    <w:basedOn w:val="TableNormal"/>
    <w:next w:val="TableGridLight10000000"/>
    <w:uiPriority w:val="40"/>
    <w:rsid w:val="008F16D6"/>
    <w:pPr>
      <w:spacing w:after="0" w:line="240" w:lineRule="auto"/>
    </w:pPr>
    <w:rPr>
      <w:rFonts w:ascii="Arial" w:eastAsia="Times New Roman" w:hAnsi="Arial" w:cs="Times New Roman"/>
      <w:lang w:eastAsia="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00000000">
    <w:name w:val="Plain Table 3100000000"/>
    <w:basedOn w:val="TableNormal"/>
    <w:next w:val="PlainTable310000000"/>
    <w:uiPriority w:val="43"/>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
    <w:name w:val="Grid Table 1 Light - Accent 1100000000"/>
    <w:basedOn w:val="TableNormal"/>
    <w:next w:val="GridTable1Light-Accent110000000"/>
    <w:uiPriority w:val="46"/>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100100000">
    <w:name w:val="Grid Table 1 Light100100000"/>
    <w:basedOn w:val="TableNormal"/>
    <w:uiPriority w:val="46"/>
    <w:rsid w:val="008F16D6"/>
    <w:pPr>
      <w:spacing w:after="0" w:line="240" w:lineRule="auto"/>
      <w:ind w:right="510"/>
      <w:jc w:val="right"/>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000000000">
    <w:name w:val="Plain Table 11000000000"/>
    <w:basedOn w:val="TableNormal"/>
    <w:next w:val="PlainTable1100000000"/>
    <w:uiPriority w:val="41"/>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000000000">
    <w:name w:val="Plain Table 41000000000"/>
    <w:basedOn w:val="TableNormal"/>
    <w:next w:val="PlainTable4100000000"/>
    <w:uiPriority w:val="44"/>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000000000">
    <w:name w:val="Table Grid Light1000000000"/>
    <w:basedOn w:val="TableNormal"/>
    <w:next w:val="TableGridLight100000000"/>
    <w:uiPriority w:val="40"/>
    <w:rsid w:val="008F16D6"/>
    <w:pPr>
      <w:spacing w:after="0" w:line="240" w:lineRule="auto"/>
    </w:pPr>
    <w:rPr>
      <w:rFonts w:ascii="Arial" w:eastAsia="Times New Roman" w:hAnsi="Arial" w:cs="Times New Roman"/>
      <w:lang w:eastAsia="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000000000">
    <w:name w:val="Plain Table 31000000000"/>
    <w:basedOn w:val="TableNormal"/>
    <w:next w:val="PlainTable3100000000"/>
    <w:uiPriority w:val="43"/>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
    <w:name w:val="Grid Table 1 Light - Accent 11000000000"/>
    <w:basedOn w:val="TableNormal"/>
    <w:next w:val="GridTable1Light-Accent1100000000"/>
    <w:uiPriority w:val="46"/>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1001000000">
    <w:name w:val="Grid Table 1 Light1001000000"/>
    <w:basedOn w:val="TableNormal"/>
    <w:uiPriority w:val="46"/>
    <w:rsid w:val="008F16D6"/>
    <w:pPr>
      <w:spacing w:after="0" w:line="240" w:lineRule="auto"/>
      <w:ind w:right="510"/>
      <w:jc w:val="right"/>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0000000000">
    <w:name w:val="Plain Table 110000000000"/>
    <w:basedOn w:val="TableNormal"/>
    <w:next w:val="PlainTable11000000000"/>
    <w:uiPriority w:val="41"/>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0000000000">
    <w:name w:val="Plain Table 410000000000"/>
    <w:basedOn w:val="TableNormal"/>
    <w:next w:val="PlainTable41000000000"/>
    <w:uiPriority w:val="44"/>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0000000000">
    <w:name w:val="Table Grid Light10000000000"/>
    <w:basedOn w:val="TableNormal"/>
    <w:next w:val="TableGridLight1000000000"/>
    <w:uiPriority w:val="40"/>
    <w:rsid w:val="008F16D6"/>
    <w:pPr>
      <w:spacing w:after="0" w:line="240" w:lineRule="auto"/>
    </w:pPr>
    <w:rPr>
      <w:rFonts w:ascii="Arial" w:eastAsia="Times New Roman" w:hAnsi="Arial" w:cs="Times New Roman"/>
      <w:lang w:eastAsia="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0000000000">
    <w:name w:val="Plain Table 310000000000"/>
    <w:basedOn w:val="TableNormal"/>
    <w:next w:val="PlainTable31000000000"/>
    <w:uiPriority w:val="43"/>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0">
    <w:name w:val="Grid Table 1 Light - Accent 110000000000"/>
    <w:basedOn w:val="TableNormal"/>
    <w:next w:val="GridTable1Light-Accent11000000000"/>
    <w:uiPriority w:val="46"/>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10010000000">
    <w:name w:val="Grid Table 1 Light10010000000"/>
    <w:basedOn w:val="TableNormal"/>
    <w:uiPriority w:val="46"/>
    <w:rsid w:val="008F16D6"/>
    <w:pPr>
      <w:spacing w:after="0" w:line="240" w:lineRule="auto"/>
      <w:ind w:right="510"/>
      <w:jc w:val="right"/>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00000000000">
    <w:name w:val="Plain Table 1100000000000"/>
    <w:basedOn w:val="TableNormal"/>
    <w:next w:val="PlainTable110000000000"/>
    <w:uiPriority w:val="41"/>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00000000000">
    <w:name w:val="Plain Table 4100000000000"/>
    <w:basedOn w:val="TableNormal"/>
    <w:next w:val="PlainTable410000000000"/>
    <w:uiPriority w:val="44"/>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00000000000">
    <w:name w:val="Table Grid Light100000000000"/>
    <w:basedOn w:val="TableNormal"/>
    <w:next w:val="TableGridLight10000000000"/>
    <w:uiPriority w:val="40"/>
    <w:rsid w:val="008F16D6"/>
    <w:pPr>
      <w:spacing w:after="0" w:line="240" w:lineRule="auto"/>
    </w:pPr>
    <w:rPr>
      <w:rFonts w:ascii="Arial" w:eastAsia="Times New Roman" w:hAnsi="Arial" w:cs="Times New Roman"/>
      <w:lang w:eastAsia="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00000000000">
    <w:name w:val="Plain Table 3100000000000"/>
    <w:basedOn w:val="TableNormal"/>
    <w:next w:val="PlainTable310000000000"/>
    <w:uiPriority w:val="43"/>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00">
    <w:name w:val="Grid Table 1 Light - Accent 1100000000000"/>
    <w:basedOn w:val="TableNormal"/>
    <w:next w:val="GridTable1Light-Accent110000000000"/>
    <w:uiPriority w:val="46"/>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100100000000">
    <w:name w:val="Grid Table 1 Light100100000000"/>
    <w:basedOn w:val="TableNormal"/>
    <w:uiPriority w:val="46"/>
    <w:rsid w:val="008F16D6"/>
    <w:pPr>
      <w:spacing w:after="0" w:line="240" w:lineRule="auto"/>
      <w:ind w:right="510"/>
      <w:jc w:val="right"/>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000000000000">
    <w:name w:val="Plain Table 11000000000000"/>
    <w:basedOn w:val="TableNormal"/>
    <w:next w:val="PlainTable1100000000000"/>
    <w:uiPriority w:val="41"/>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000000000000">
    <w:name w:val="Plain Table 41000000000000"/>
    <w:basedOn w:val="TableNormal"/>
    <w:next w:val="PlainTable4100000000000"/>
    <w:uiPriority w:val="44"/>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000000000000">
    <w:name w:val="Table Grid Light1000000000000"/>
    <w:basedOn w:val="TableNormal"/>
    <w:next w:val="TableGridLight100000000000"/>
    <w:uiPriority w:val="40"/>
    <w:rsid w:val="008F16D6"/>
    <w:pPr>
      <w:spacing w:after="0" w:line="240" w:lineRule="auto"/>
    </w:pPr>
    <w:rPr>
      <w:rFonts w:ascii="Arial" w:eastAsia="Times New Roman" w:hAnsi="Arial" w:cs="Times New Roman"/>
      <w:lang w:eastAsia="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000000000000">
    <w:name w:val="Plain Table 31000000000000"/>
    <w:basedOn w:val="TableNormal"/>
    <w:next w:val="PlainTable3100000000000"/>
    <w:uiPriority w:val="43"/>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000">
    <w:name w:val="Grid Table 1 Light - Accent 11000000000000"/>
    <w:basedOn w:val="TableNormal"/>
    <w:next w:val="GridTable1Light-Accent1100000000000"/>
    <w:uiPriority w:val="46"/>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1001000000000">
    <w:name w:val="Grid Table 1 Light1001000000000"/>
    <w:basedOn w:val="TableNormal"/>
    <w:uiPriority w:val="46"/>
    <w:rsid w:val="008F16D6"/>
    <w:pPr>
      <w:spacing w:after="0" w:line="240" w:lineRule="auto"/>
      <w:ind w:right="510"/>
      <w:jc w:val="right"/>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0000000000000">
    <w:name w:val="Plain Table 110000000000000"/>
    <w:basedOn w:val="TableNormal"/>
    <w:next w:val="PlainTable11000000000000"/>
    <w:uiPriority w:val="41"/>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0000000000000">
    <w:name w:val="Plain Table 410000000000000"/>
    <w:basedOn w:val="TableNormal"/>
    <w:next w:val="PlainTable41000000000000"/>
    <w:uiPriority w:val="44"/>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0000000000000">
    <w:name w:val="Table Grid Light10000000000000"/>
    <w:basedOn w:val="TableNormal"/>
    <w:next w:val="TableGridLight1000000000000"/>
    <w:uiPriority w:val="40"/>
    <w:rsid w:val="008F16D6"/>
    <w:pPr>
      <w:spacing w:after="0" w:line="240" w:lineRule="auto"/>
    </w:pPr>
    <w:rPr>
      <w:rFonts w:ascii="Arial" w:eastAsia="Times New Roman" w:hAnsi="Arial" w:cs="Times New Roman"/>
      <w:lang w:eastAsia="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0000000000000">
    <w:name w:val="Plain Table 310000000000000"/>
    <w:basedOn w:val="TableNormal"/>
    <w:next w:val="PlainTable31000000000000"/>
    <w:uiPriority w:val="43"/>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0000">
    <w:name w:val="Grid Table 1 Light - Accent 110000000000000"/>
    <w:basedOn w:val="TableNormal"/>
    <w:next w:val="GridTable1Light-Accent11000000000000"/>
    <w:uiPriority w:val="46"/>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10010000000000">
    <w:name w:val="Grid Table 1 Light10010000000000"/>
    <w:basedOn w:val="TableNormal"/>
    <w:uiPriority w:val="46"/>
    <w:rsid w:val="008F16D6"/>
    <w:pPr>
      <w:spacing w:after="0" w:line="240" w:lineRule="auto"/>
      <w:ind w:right="510"/>
      <w:jc w:val="right"/>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00000000000000">
    <w:name w:val="Plain Table 1100000000000000"/>
    <w:basedOn w:val="TableNormal"/>
    <w:next w:val="PlainTable110000000000000"/>
    <w:uiPriority w:val="41"/>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00000000000000">
    <w:name w:val="Plain Table 4100000000000000"/>
    <w:basedOn w:val="TableNormal"/>
    <w:next w:val="PlainTable410000000000000"/>
    <w:uiPriority w:val="44"/>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00000000000000">
    <w:name w:val="Table Grid Light100000000000000"/>
    <w:basedOn w:val="TableNormal"/>
    <w:next w:val="TableGridLight10000000000000"/>
    <w:uiPriority w:val="40"/>
    <w:rsid w:val="008F16D6"/>
    <w:pPr>
      <w:spacing w:after="0" w:line="240" w:lineRule="auto"/>
    </w:pPr>
    <w:rPr>
      <w:rFonts w:ascii="Arial" w:eastAsia="Times New Roman" w:hAnsi="Arial" w:cs="Times New Roman"/>
      <w:lang w:eastAsia="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00000000000000">
    <w:name w:val="Plain Table 3100000000000000"/>
    <w:basedOn w:val="TableNormal"/>
    <w:next w:val="PlainTable310000000000000"/>
    <w:uiPriority w:val="43"/>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00000">
    <w:name w:val="Grid Table 1 Light - Accent 1100000000000000"/>
    <w:basedOn w:val="TableNormal"/>
    <w:next w:val="GridTable1Light-Accent110000000000000"/>
    <w:uiPriority w:val="46"/>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100100000000000">
    <w:name w:val="Grid Table 1 Light100100000000000"/>
    <w:basedOn w:val="TableNormal"/>
    <w:uiPriority w:val="46"/>
    <w:rsid w:val="008F16D6"/>
    <w:pPr>
      <w:spacing w:after="0" w:line="240" w:lineRule="auto"/>
      <w:ind w:right="510"/>
      <w:jc w:val="right"/>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000000000000000">
    <w:name w:val="Plain Table 11000000000000000"/>
    <w:basedOn w:val="TableNormal"/>
    <w:next w:val="PlainTable1100000000000000"/>
    <w:uiPriority w:val="41"/>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000000000000000">
    <w:name w:val="Plain Table 41000000000000000"/>
    <w:basedOn w:val="TableNormal"/>
    <w:next w:val="PlainTable4100000000000000"/>
    <w:uiPriority w:val="44"/>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000000000000000">
    <w:name w:val="Table Grid Light1000000000000000"/>
    <w:basedOn w:val="TableNormal"/>
    <w:next w:val="TableGridLight100000000000000"/>
    <w:uiPriority w:val="40"/>
    <w:rsid w:val="008F16D6"/>
    <w:pPr>
      <w:spacing w:after="0" w:line="240" w:lineRule="auto"/>
    </w:pPr>
    <w:rPr>
      <w:rFonts w:ascii="Arial" w:eastAsia="Times New Roman" w:hAnsi="Arial" w:cs="Times New Roman"/>
      <w:lang w:eastAsia="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000000000000000">
    <w:name w:val="Plain Table 31000000000000000"/>
    <w:basedOn w:val="TableNormal"/>
    <w:next w:val="PlainTable3100000000000000"/>
    <w:uiPriority w:val="43"/>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000000">
    <w:name w:val="Grid Table 1 Light - Accent 11000000000000000"/>
    <w:basedOn w:val="TableNormal"/>
    <w:next w:val="GridTable1Light-Accent1100000000000000"/>
    <w:uiPriority w:val="46"/>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1001000000000000">
    <w:name w:val="Grid Table 1 Light1001000000000000"/>
    <w:basedOn w:val="TableNormal"/>
    <w:uiPriority w:val="46"/>
    <w:rsid w:val="008F16D6"/>
    <w:pPr>
      <w:spacing w:after="0" w:line="240" w:lineRule="auto"/>
      <w:ind w:right="510"/>
      <w:jc w:val="right"/>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0000000000000000">
    <w:name w:val="Plain Table 110000000000000000"/>
    <w:basedOn w:val="TableNormal"/>
    <w:next w:val="PlainTable11000000000000000"/>
    <w:uiPriority w:val="41"/>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0000000000000000">
    <w:name w:val="Plain Table 410000000000000000"/>
    <w:basedOn w:val="TableNormal"/>
    <w:next w:val="PlainTable41000000000000000"/>
    <w:uiPriority w:val="44"/>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0000000000000000">
    <w:name w:val="Table Grid Light10000000000000000"/>
    <w:basedOn w:val="TableNormal"/>
    <w:next w:val="TableGridLight1000000000000000"/>
    <w:uiPriority w:val="40"/>
    <w:rsid w:val="008F16D6"/>
    <w:pPr>
      <w:spacing w:after="0" w:line="240" w:lineRule="auto"/>
    </w:pPr>
    <w:rPr>
      <w:rFonts w:ascii="Arial" w:eastAsia="Times New Roman" w:hAnsi="Arial" w:cs="Times New Roman"/>
      <w:lang w:eastAsia="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0000000000000000">
    <w:name w:val="Plain Table 310000000000000000"/>
    <w:basedOn w:val="TableNormal"/>
    <w:next w:val="PlainTable31000000000000000"/>
    <w:uiPriority w:val="43"/>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0000000">
    <w:name w:val="Grid Table 1 Light - Accent 110000000000000000"/>
    <w:basedOn w:val="TableNormal"/>
    <w:next w:val="GridTable1Light-Accent11000000000000000"/>
    <w:uiPriority w:val="46"/>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10010000000000000">
    <w:name w:val="Grid Table 1 Light10010000000000000"/>
    <w:basedOn w:val="TableNormal"/>
    <w:uiPriority w:val="46"/>
    <w:rsid w:val="008F16D6"/>
    <w:pPr>
      <w:spacing w:after="0" w:line="240" w:lineRule="auto"/>
      <w:ind w:right="510"/>
      <w:jc w:val="right"/>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00000000000000000">
    <w:name w:val="Plain Table 1100000000000000000"/>
    <w:basedOn w:val="TableNormal"/>
    <w:next w:val="PlainTable110000000000000000"/>
    <w:uiPriority w:val="41"/>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00000000000000000">
    <w:name w:val="Plain Table 4100000000000000000"/>
    <w:basedOn w:val="TableNormal"/>
    <w:next w:val="PlainTable410000000000000000"/>
    <w:uiPriority w:val="44"/>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00000000000000000">
    <w:name w:val="Table Grid Light100000000000000000"/>
    <w:basedOn w:val="TableNormal"/>
    <w:next w:val="TableGridLight10000000000000000"/>
    <w:uiPriority w:val="40"/>
    <w:rsid w:val="008F16D6"/>
    <w:pPr>
      <w:spacing w:after="0" w:line="240" w:lineRule="auto"/>
    </w:pPr>
    <w:rPr>
      <w:rFonts w:ascii="Arial" w:eastAsia="Times New Roman" w:hAnsi="Arial" w:cs="Times New Roman"/>
      <w:lang w:eastAsia="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00000000000000000">
    <w:name w:val="Plain Table 3100000000000000000"/>
    <w:basedOn w:val="TableNormal"/>
    <w:next w:val="PlainTable310000000000000000"/>
    <w:uiPriority w:val="43"/>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00000000">
    <w:name w:val="Grid Table 1 Light - Accent 1100000000000000000"/>
    <w:basedOn w:val="TableNormal"/>
    <w:next w:val="GridTable1Light-Accent110000000000000000"/>
    <w:uiPriority w:val="46"/>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100100000000000000">
    <w:name w:val="Grid Table 1 Light100100000000000000"/>
    <w:basedOn w:val="TableNormal"/>
    <w:uiPriority w:val="46"/>
    <w:rsid w:val="008F16D6"/>
    <w:pPr>
      <w:spacing w:after="0" w:line="240" w:lineRule="auto"/>
      <w:ind w:right="510"/>
      <w:jc w:val="right"/>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000000000000000000">
    <w:name w:val="Plain Table 11000000000000000000"/>
    <w:basedOn w:val="TableNormal"/>
    <w:next w:val="PlainTable1100000000000000000"/>
    <w:uiPriority w:val="41"/>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000000000000000000">
    <w:name w:val="Plain Table 41000000000000000000"/>
    <w:basedOn w:val="TableNormal"/>
    <w:next w:val="PlainTable4100000000000000000"/>
    <w:uiPriority w:val="44"/>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000000000000000000">
    <w:name w:val="Table Grid Light1000000000000000000"/>
    <w:basedOn w:val="TableNormal"/>
    <w:next w:val="TableGridLight100000000000000000"/>
    <w:uiPriority w:val="40"/>
    <w:rsid w:val="008F16D6"/>
    <w:pPr>
      <w:spacing w:after="0" w:line="240" w:lineRule="auto"/>
    </w:pPr>
    <w:rPr>
      <w:rFonts w:ascii="Arial" w:eastAsia="Times New Roman" w:hAnsi="Arial" w:cs="Times New Roman"/>
      <w:lang w:eastAsia="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000000000000000000">
    <w:name w:val="Plain Table 31000000000000000000"/>
    <w:basedOn w:val="TableNormal"/>
    <w:next w:val="PlainTable3100000000000000000"/>
    <w:uiPriority w:val="43"/>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000000000">
    <w:name w:val="Grid Table 1 Light - Accent 11000000000000000000"/>
    <w:basedOn w:val="TableNormal"/>
    <w:next w:val="GridTable1Light-Accent1100000000000000000"/>
    <w:uiPriority w:val="46"/>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1001000000000000000">
    <w:name w:val="Grid Table 1 Light1001000000000000000"/>
    <w:basedOn w:val="TableNormal"/>
    <w:uiPriority w:val="46"/>
    <w:rsid w:val="008F16D6"/>
    <w:pPr>
      <w:spacing w:after="0" w:line="240" w:lineRule="auto"/>
      <w:ind w:right="510"/>
      <w:jc w:val="right"/>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0000000000000000000">
    <w:name w:val="Plain Table 110000000000000000000"/>
    <w:basedOn w:val="TableNormal"/>
    <w:next w:val="PlainTable11000000000000000000"/>
    <w:uiPriority w:val="41"/>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0000000000000000000">
    <w:name w:val="Plain Table 410000000000000000000"/>
    <w:basedOn w:val="TableNormal"/>
    <w:next w:val="PlainTable41000000000000000000"/>
    <w:uiPriority w:val="44"/>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0000000000000000000">
    <w:name w:val="Table Grid Light10000000000000000000"/>
    <w:basedOn w:val="TableNormal"/>
    <w:next w:val="TableGridLight1000000000000000000"/>
    <w:uiPriority w:val="40"/>
    <w:rsid w:val="008F16D6"/>
    <w:pPr>
      <w:spacing w:after="0" w:line="240" w:lineRule="auto"/>
    </w:pPr>
    <w:rPr>
      <w:rFonts w:ascii="Arial" w:eastAsia="Times New Roman" w:hAnsi="Arial" w:cs="Times New Roman"/>
      <w:lang w:eastAsia="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0000000000000000000">
    <w:name w:val="Plain Table 310000000000000000000"/>
    <w:basedOn w:val="TableNormal"/>
    <w:next w:val="PlainTable31000000000000000000"/>
    <w:uiPriority w:val="43"/>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0000000000">
    <w:name w:val="Grid Table 1 Light - Accent 110000000000000000000"/>
    <w:basedOn w:val="TableNormal"/>
    <w:next w:val="GridTable1Light-Accent11000000000000000000"/>
    <w:uiPriority w:val="46"/>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10010000000000000000">
    <w:name w:val="Grid Table 1 Light10010000000000000000"/>
    <w:basedOn w:val="TableNormal"/>
    <w:uiPriority w:val="46"/>
    <w:rsid w:val="008F16D6"/>
    <w:pPr>
      <w:spacing w:after="0" w:line="240" w:lineRule="auto"/>
      <w:ind w:right="510"/>
      <w:jc w:val="right"/>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00000000000000000000">
    <w:name w:val="Plain Table 1100000000000000000000"/>
    <w:basedOn w:val="TableNormal"/>
    <w:next w:val="PlainTable110000000000000000000"/>
    <w:uiPriority w:val="41"/>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00000000000000000000">
    <w:name w:val="Plain Table 4100000000000000000000"/>
    <w:basedOn w:val="TableNormal"/>
    <w:next w:val="PlainTable410000000000000000000"/>
    <w:uiPriority w:val="44"/>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00000000000000000000">
    <w:name w:val="Table Grid Light100000000000000000000"/>
    <w:basedOn w:val="TableNormal"/>
    <w:next w:val="TableGridLight10000000000000000000"/>
    <w:uiPriority w:val="40"/>
    <w:rsid w:val="008F16D6"/>
    <w:pPr>
      <w:spacing w:after="0" w:line="240" w:lineRule="auto"/>
    </w:pPr>
    <w:rPr>
      <w:rFonts w:ascii="Arial" w:eastAsia="Times New Roman" w:hAnsi="Arial" w:cs="Times New Roman"/>
      <w:lang w:eastAsia="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00000000000000000000">
    <w:name w:val="Plain Table 3100000000000000000000"/>
    <w:basedOn w:val="TableNormal"/>
    <w:next w:val="PlainTable310000000000000000000"/>
    <w:uiPriority w:val="43"/>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00000000000">
    <w:name w:val="Grid Table 1 Light - Accent 1100000000000000000000"/>
    <w:basedOn w:val="TableNormal"/>
    <w:next w:val="GridTable1Light-Accent110000000000000000000"/>
    <w:uiPriority w:val="46"/>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100100000000000000000">
    <w:name w:val="Grid Table 1 Light100100000000000000000"/>
    <w:basedOn w:val="TableNormal"/>
    <w:uiPriority w:val="46"/>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000000000000000000000">
    <w:name w:val="Plain Table 11000000000000000000000"/>
    <w:basedOn w:val="TableNormal"/>
    <w:next w:val="PlainTable1100000000000000000000"/>
    <w:uiPriority w:val="41"/>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000000000000000000000">
    <w:name w:val="Plain Table 41000000000000000000000"/>
    <w:basedOn w:val="TableNormal"/>
    <w:next w:val="PlainTable4100000000000000000000"/>
    <w:uiPriority w:val="44"/>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000000000000000000000">
    <w:name w:val="Table Grid Light1000000000000000000000"/>
    <w:basedOn w:val="TableNormal"/>
    <w:next w:val="TableGridLight100000000000000000000"/>
    <w:uiPriority w:val="40"/>
    <w:rsid w:val="008F16D6"/>
    <w:pPr>
      <w:spacing w:after="0" w:line="240" w:lineRule="auto"/>
    </w:pPr>
    <w:rPr>
      <w:rFonts w:ascii="Arial" w:eastAsia="Times New Roman" w:hAnsi="Arial" w:cs="Times New Roman"/>
      <w:lang w:eastAsia="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000000000000000000000">
    <w:name w:val="Plain Table 31000000000000000000000"/>
    <w:basedOn w:val="TableNormal"/>
    <w:next w:val="PlainTable3100000000000000000000"/>
    <w:uiPriority w:val="43"/>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000000000000">
    <w:name w:val="Grid Table 1 Light - Accent 11000000000000000000000"/>
    <w:basedOn w:val="TableNormal"/>
    <w:next w:val="GridTable1Light-Accent1100000000000000000000"/>
    <w:uiPriority w:val="46"/>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1001000000000000000000">
    <w:name w:val="Grid Table 1 Light1001000000000000000000"/>
    <w:basedOn w:val="TableNormal"/>
    <w:uiPriority w:val="46"/>
    <w:rsid w:val="008F16D6"/>
    <w:pPr>
      <w:spacing w:after="0" w:line="240" w:lineRule="auto"/>
      <w:ind w:right="510"/>
      <w:jc w:val="right"/>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0000000000000000000000">
    <w:name w:val="Plain Table 110000000000000000000000"/>
    <w:basedOn w:val="TableNormal"/>
    <w:next w:val="PlainTable11000000000000000000000"/>
    <w:uiPriority w:val="41"/>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0000000000000000000000">
    <w:name w:val="Plain Table 410000000000000000000000"/>
    <w:basedOn w:val="TableNormal"/>
    <w:next w:val="PlainTable41000000000000000000000"/>
    <w:uiPriority w:val="44"/>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0000000000000000000000">
    <w:name w:val="Table Grid Light10000000000000000000000"/>
    <w:basedOn w:val="TableNormal"/>
    <w:next w:val="TableGridLight1000000000000000000000"/>
    <w:uiPriority w:val="40"/>
    <w:rsid w:val="008F16D6"/>
    <w:pPr>
      <w:spacing w:after="0" w:line="240" w:lineRule="auto"/>
    </w:pPr>
    <w:rPr>
      <w:rFonts w:ascii="Arial" w:eastAsia="Times New Roman" w:hAnsi="Arial" w:cs="Times New Roman"/>
      <w:lang w:eastAsia="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0000000000000000000000">
    <w:name w:val="Plain Table 310000000000000000000000"/>
    <w:basedOn w:val="TableNormal"/>
    <w:next w:val="PlainTable31000000000000000000000"/>
    <w:uiPriority w:val="43"/>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0000000000000">
    <w:name w:val="Grid Table 1 Light - Accent 110000000000000000000000"/>
    <w:basedOn w:val="TableNormal"/>
    <w:next w:val="GridTable1Light-Accent11000000000000000000000"/>
    <w:uiPriority w:val="46"/>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10010000000000000000000">
    <w:name w:val="Grid Table 1 Light10010000000000000000000"/>
    <w:basedOn w:val="TableNormal"/>
    <w:uiPriority w:val="46"/>
    <w:rsid w:val="008F16D6"/>
    <w:pPr>
      <w:spacing w:after="0" w:line="240" w:lineRule="auto"/>
      <w:ind w:right="510"/>
      <w:jc w:val="right"/>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00000000000000000000000">
    <w:name w:val="Plain Table 1100000000000000000000000"/>
    <w:basedOn w:val="TableNormal"/>
    <w:next w:val="PlainTable110000000000000000000000"/>
    <w:uiPriority w:val="41"/>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00000000000000000000000">
    <w:name w:val="Plain Table 4100000000000000000000000"/>
    <w:basedOn w:val="TableNormal"/>
    <w:next w:val="PlainTable410000000000000000000000"/>
    <w:uiPriority w:val="44"/>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00000000000000000000000">
    <w:name w:val="Table Grid Light100000000000000000000000"/>
    <w:basedOn w:val="TableNormal"/>
    <w:next w:val="TableGridLight10000000000000000000000"/>
    <w:uiPriority w:val="40"/>
    <w:rsid w:val="008F16D6"/>
    <w:pPr>
      <w:spacing w:after="0" w:line="240" w:lineRule="auto"/>
    </w:pPr>
    <w:rPr>
      <w:rFonts w:ascii="Arial" w:eastAsia="Times New Roman" w:hAnsi="Arial" w:cs="Times New Roman"/>
      <w:lang w:eastAsia="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00000000000000000000000">
    <w:name w:val="Plain Table 3100000000000000000000000"/>
    <w:basedOn w:val="TableNormal"/>
    <w:next w:val="PlainTable310000000000000000000000"/>
    <w:uiPriority w:val="43"/>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00000000000000">
    <w:name w:val="Grid Table 1 Light - Accent 1100000000000000000000000"/>
    <w:basedOn w:val="TableNormal"/>
    <w:next w:val="GridTable1Light-Accent110000000000000000000000"/>
    <w:uiPriority w:val="46"/>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100100000000000000000000">
    <w:name w:val="Grid Table 1 Light100100000000000000000000"/>
    <w:basedOn w:val="TableNormal"/>
    <w:uiPriority w:val="46"/>
    <w:rsid w:val="008F16D6"/>
    <w:pPr>
      <w:spacing w:after="0" w:line="240" w:lineRule="auto"/>
      <w:ind w:right="510"/>
      <w:jc w:val="right"/>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000000000000000000000000">
    <w:name w:val="Plain Table 11000000000000000000000000"/>
    <w:basedOn w:val="TableNormal"/>
    <w:next w:val="PlainTable1100000000000000000000000"/>
    <w:uiPriority w:val="41"/>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000000000000000000000000">
    <w:name w:val="Plain Table 41000000000000000000000000"/>
    <w:basedOn w:val="TableNormal"/>
    <w:next w:val="PlainTable4100000000000000000000000"/>
    <w:uiPriority w:val="44"/>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000000000000000000000000">
    <w:name w:val="Table Grid Light1000000000000000000000000"/>
    <w:basedOn w:val="TableNormal"/>
    <w:next w:val="TableGridLight100000000000000000000000"/>
    <w:uiPriority w:val="40"/>
    <w:rsid w:val="008F16D6"/>
    <w:pPr>
      <w:spacing w:after="0" w:line="240" w:lineRule="auto"/>
    </w:pPr>
    <w:rPr>
      <w:rFonts w:ascii="Arial" w:eastAsia="Times New Roman" w:hAnsi="Arial" w:cs="Times New Roman"/>
      <w:lang w:eastAsia="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000000000000000000000000">
    <w:name w:val="Plain Table 31000000000000000000000000"/>
    <w:basedOn w:val="TableNormal"/>
    <w:next w:val="PlainTable3100000000000000000000000"/>
    <w:uiPriority w:val="43"/>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000000000000000">
    <w:name w:val="Grid Table 1 Light - Accent 11000000000000000000000000"/>
    <w:basedOn w:val="TableNormal"/>
    <w:next w:val="GridTable1Light-Accent1100000000000000000000000"/>
    <w:uiPriority w:val="46"/>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1001000000000000000000000">
    <w:name w:val="Grid Table 1 Light1001000000000000000000000"/>
    <w:basedOn w:val="TableNormal"/>
    <w:uiPriority w:val="46"/>
    <w:rsid w:val="008F16D6"/>
    <w:pPr>
      <w:spacing w:after="0" w:line="240" w:lineRule="auto"/>
      <w:ind w:right="510"/>
      <w:jc w:val="right"/>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0000000000000000000000000">
    <w:name w:val="Plain Table 110000000000000000000000000"/>
    <w:basedOn w:val="TableNormal"/>
    <w:next w:val="PlainTable11000000000000000000000000"/>
    <w:uiPriority w:val="41"/>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0000000000000000000000000">
    <w:name w:val="Plain Table 410000000000000000000000000"/>
    <w:basedOn w:val="TableNormal"/>
    <w:next w:val="PlainTable41000000000000000000000000"/>
    <w:uiPriority w:val="44"/>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0000000000000000000000000">
    <w:name w:val="Table Grid Light10000000000000000000000000"/>
    <w:basedOn w:val="TableNormal"/>
    <w:next w:val="TableGridLight1000000000000000000000000"/>
    <w:uiPriority w:val="40"/>
    <w:rsid w:val="008F16D6"/>
    <w:pPr>
      <w:spacing w:after="0" w:line="240" w:lineRule="auto"/>
    </w:pPr>
    <w:rPr>
      <w:rFonts w:ascii="Arial" w:eastAsia="Times New Roman" w:hAnsi="Arial" w:cs="Times New Roman"/>
      <w:lang w:eastAsia="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0000000000000000000000000">
    <w:name w:val="Plain Table 310000000000000000000000000"/>
    <w:basedOn w:val="TableNormal"/>
    <w:next w:val="PlainTable31000000000000000000000000"/>
    <w:uiPriority w:val="43"/>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0000000000000000">
    <w:name w:val="Grid Table 1 Light - Accent 110000000000000000000000000"/>
    <w:basedOn w:val="TableNormal"/>
    <w:next w:val="GridTable1Light-Accent11000000000000000000000000"/>
    <w:uiPriority w:val="46"/>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10010000000000000000000000">
    <w:name w:val="Grid Table 1 Light10010000000000000000000000"/>
    <w:basedOn w:val="TableNormal"/>
    <w:uiPriority w:val="46"/>
    <w:rsid w:val="008F16D6"/>
    <w:pPr>
      <w:spacing w:after="0" w:line="240" w:lineRule="auto"/>
      <w:ind w:right="510"/>
      <w:jc w:val="right"/>
    </w:pPr>
    <w:rPr>
      <w:rFonts w:ascii="Arial" w:eastAsia="Times New Roman" w:hAnsi="Arial" w:cs="Times New Roman"/>
      <w:lang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100000000000000000000000000">
    <w:name w:val="Plain Table 1100000000000000000000000000"/>
    <w:basedOn w:val="TableNormal"/>
    <w:next w:val="PlainTable110000000000000000000000000"/>
    <w:uiPriority w:val="41"/>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4100000000000000000000000000">
    <w:name w:val="Plain Table 4100000000000000000000000000"/>
    <w:basedOn w:val="TableNormal"/>
    <w:next w:val="PlainTable410000000000000000000000000"/>
    <w:uiPriority w:val="44"/>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00000000000000000000000000">
    <w:name w:val="Table Grid Light100000000000000000000000000"/>
    <w:basedOn w:val="TableNormal"/>
    <w:next w:val="TableGridLight10000000000000000000000000"/>
    <w:uiPriority w:val="40"/>
    <w:rsid w:val="008F16D6"/>
    <w:pPr>
      <w:spacing w:after="0" w:line="240" w:lineRule="auto"/>
    </w:pPr>
    <w:rPr>
      <w:rFonts w:ascii="Arial" w:eastAsia="Times New Roman" w:hAnsi="Arial" w:cs="Times New Roman"/>
      <w:lang w:eastAsia="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3100000000000000000000000000">
    <w:name w:val="Plain Table 3100000000000000000000000000"/>
    <w:basedOn w:val="TableNormal"/>
    <w:next w:val="PlainTable310000000000000000000000000"/>
    <w:uiPriority w:val="43"/>
    <w:rsid w:val="008F16D6"/>
    <w:pPr>
      <w:spacing w:after="0" w:line="240" w:lineRule="auto"/>
    </w:pPr>
    <w:rPr>
      <w:rFonts w:ascii="Arial" w:eastAsia="Times New Roman" w:hAnsi="Arial" w:cs="Times New Roman"/>
      <w:lang w:eastAsia="hr-HR"/>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Accent1100000000000000000000000000">
    <w:name w:val="Grid Table 1 Light - Accent 1100000000000000000000000000"/>
    <w:basedOn w:val="TableNormal"/>
    <w:next w:val="GridTable1Light-Accent110000000000000000000000000"/>
    <w:uiPriority w:val="46"/>
    <w:rsid w:val="008F16D6"/>
    <w:pPr>
      <w:spacing w:after="0" w:line="240" w:lineRule="auto"/>
    </w:pPr>
    <w:rPr>
      <w:rFonts w:ascii="Arial" w:eastAsia="Times New Roman" w:hAnsi="Arial" w:cs="Times New Roman"/>
      <w:lang w:eastAsia="hr-H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Subtitle">
    <w:name w:val="Subtitle"/>
    <w:basedOn w:val="Normal"/>
    <w:next w:val="Normal"/>
    <w:link w:val="SubtitleChar"/>
    <w:uiPriority w:val="11"/>
    <w:qFormat/>
    <w:rsid w:val="008F16D6"/>
    <w:pPr>
      <w:numPr>
        <w:ilvl w:val="1"/>
      </w:numPr>
      <w:spacing w:after="160"/>
    </w:pPr>
    <w:rPr>
      <w:rFonts w:ascii="Calibri" w:eastAsia="Yu Mincho" w:hAnsi="Calibri" w:cs="Arial"/>
      <w:color w:val="5A5A5A"/>
      <w:spacing w:val="15"/>
    </w:rPr>
  </w:style>
  <w:style w:type="character" w:customStyle="1" w:styleId="PodnaslovChar1">
    <w:name w:val="Podnaslov Char1"/>
    <w:basedOn w:val="DefaultParagraphFont"/>
    <w:uiPriority w:val="11"/>
    <w:rsid w:val="008F16D6"/>
    <w:rPr>
      <w:rFonts w:eastAsiaTheme="minorEastAsia"/>
      <w:color w:val="5A5A5A" w:themeColor="text1" w:themeTint="A5"/>
      <w:spacing w:val="15"/>
    </w:rPr>
  </w:style>
  <w:style w:type="character" w:styleId="SubtleEmphasis">
    <w:name w:val="Subtle Emphasis"/>
    <w:basedOn w:val="DefaultParagraphFont"/>
    <w:uiPriority w:val="19"/>
    <w:qFormat/>
    <w:rsid w:val="008F16D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303003">
      <w:bodyDiv w:val="1"/>
      <w:marLeft w:val="0"/>
      <w:marRight w:val="0"/>
      <w:marTop w:val="0"/>
      <w:marBottom w:val="0"/>
      <w:divBdr>
        <w:top w:val="none" w:sz="0" w:space="0" w:color="auto"/>
        <w:left w:val="none" w:sz="0" w:space="0" w:color="auto"/>
        <w:bottom w:val="none" w:sz="0" w:space="0" w:color="auto"/>
        <w:right w:val="none" w:sz="0" w:space="0" w:color="auto"/>
      </w:divBdr>
      <w:divsChild>
        <w:div w:id="934436880">
          <w:marLeft w:val="547"/>
          <w:marRight w:val="0"/>
          <w:marTop w:val="96"/>
          <w:marBottom w:val="0"/>
          <w:divBdr>
            <w:top w:val="none" w:sz="0" w:space="0" w:color="auto"/>
            <w:left w:val="none" w:sz="0" w:space="0" w:color="auto"/>
            <w:bottom w:val="none" w:sz="0" w:space="0" w:color="auto"/>
            <w:right w:val="none" w:sz="0" w:space="0" w:color="auto"/>
          </w:divBdr>
        </w:div>
        <w:div w:id="77874484">
          <w:marLeft w:val="547"/>
          <w:marRight w:val="0"/>
          <w:marTop w:val="96"/>
          <w:marBottom w:val="0"/>
          <w:divBdr>
            <w:top w:val="none" w:sz="0" w:space="0" w:color="auto"/>
            <w:left w:val="none" w:sz="0" w:space="0" w:color="auto"/>
            <w:bottom w:val="none" w:sz="0" w:space="0" w:color="auto"/>
            <w:right w:val="none" w:sz="0" w:space="0" w:color="auto"/>
          </w:divBdr>
        </w:div>
      </w:divsChild>
    </w:div>
    <w:div w:id="143160672">
      <w:bodyDiv w:val="1"/>
      <w:marLeft w:val="0"/>
      <w:marRight w:val="0"/>
      <w:marTop w:val="0"/>
      <w:marBottom w:val="0"/>
      <w:divBdr>
        <w:top w:val="none" w:sz="0" w:space="0" w:color="auto"/>
        <w:left w:val="none" w:sz="0" w:space="0" w:color="auto"/>
        <w:bottom w:val="none" w:sz="0" w:space="0" w:color="auto"/>
        <w:right w:val="none" w:sz="0" w:space="0" w:color="auto"/>
      </w:divBdr>
    </w:div>
    <w:div w:id="220295152">
      <w:bodyDiv w:val="1"/>
      <w:marLeft w:val="0"/>
      <w:marRight w:val="0"/>
      <w:marTop w:val="0"/>
      <w:marBottom w:val="0"/>
      <w:divBdr>
        <w:top w:val="none" w:sz="0" w:space="0" w:color="auto"/>
        <w:left w:val="none" w:sz="0" w:space="0" w:color="auto"/>
        <w:bottom w:val="none" w:sz="0" w:space="0" w:color="auto"/>
        <w:right w:val="none" w:sz="0" w:space="0" w:color="auto"/>
      </w:divBdr>
    </w:div>
    <w:div w:id="221185114">
      <w:bodyDiv w:val="1"/>
      <w:marLeft w:val="0"/>
      <w:marRight w:val="0"/>
      <w:marTop w:val="0"/>
      <w:marBottom w:val="0"/>
      <w:divBdr>
        <w:top w:val="none" w:sz="0" w:space="0" w:color="auto"/>
        <w:left w:val="none" w:sz="0" w:space="0" w:color="auto"/>
        <w:bottom w:val="none" w:sz="0" w:space="0" w:color="auto"/>
        <w:right w:val="none" w:sz="0" w:space="0" w:color="auto"/>
      </w:divBdr>
    </w:div>
    <w:div w:id="277370730">
      <w:bodyDiv w:val="1"/>
      <w:marLeft w:val="0"/>
      <w:marRight w:val="0"/>
      <w:marTop w:val="0"/>
      <w:marBottom w:val="0"/>
      <w:divBdr>
        <w:top w:val="none" w:sz="0" w:space="0" w:color="auto"/>
        <w:left w:val="none" w:sz="0" w:space="0" w:color="auto"/>
        <w:bottom w:val="none" w:sz="0" w:space="0" w:color="auto"/>
        <w:right w:val="none" w:sz="0" w:space="0" w:color="auto"/>
      </w:divBdr>
      <w:divsChild>
        <w:div w:id="12925900">
          <w:marLeft w:val="0"/>
          <w:marRight w:val="0"/>
          <w:marTop w:val="0"/>
          <w:marBottom w:val="0"/>
          <w:divBdr>
            <w:top w:val="none" w:sz="0" w:space="0" w:color="auto"/>
            <w:left w:val="none" w:sz="0" w:space="0" w:color="auto"/>
            <w:bottom w:val="none" w:sz="0" w:space="0" w:color="auto"/>
            <w:right w:val="none" w:sz="0" w:space="0" w:color="auto"/>
          </w:divBdr>
          <w:divsChild>
            <w:div w:id="1069890317">
              <w:marLeft w:val="0"/>
              <w:marRight w:val="0"/>
              <w:marTop w:val="0"/>
              <w:marBottom w:val="0"/>
              <w:divBdr>
                <w:top w:val="none" w:sz="0" w:space="0" w:color="auto"/>
                <w:left w:val="none" w:sz="0" w:space="0" w:color="auto"/>
                <w:bottom w:val="none" w:sz="0" w:space="0" w:color="auto"/>
                <w:right w:val="none" w:sz="0" w:space="0" w:color="auto"/>
              </w:divBdr>
              <w:divsChild>
                <w:div w:id="748160933">
                  <w:marLeft w:val="0"/>
                  <w:marRight w:val="0"/>
                  <w:marTop w:val="0"/>
                  <w:marBottom w:val="0"/>
                  <w:divBdr>
                    <w:top w:val="none" w:sz="0" w:space="0" w:color="auto"/>
                    <w:left w:val="none" w:sz="0" w:space="0" w:color="auto"/>
                    <w:bottom w:val="none" w:sz="0" w:space="0" w:color="auto"/>
                    <w:right w:val="none" w:sz="0" w:space="0" w:color="auto"/>
                  </w:divBdr>
                  <w:divsChild>
                    <w:div w:id="1089085440">
                      <w:marLeft w:val="0"/>
                      <w:marRight w:val="0"/>
                      <w:marTop w:val="0"/>
                      <w:marBottom w:val="0"/>
                      <w:divBdr>
                        <w:top w:val="single" w:sz="6" w:space="0" w:color="E4E4E6"/>
                        <w:left w:val="none" w:sz="0" w:space="0" w:color="auto"/>
                        <w:bottom w:val="none" w:sz="0" w:space="0" w:color="auto"/>
                        <w:right w:val="none" w:sz="0" w:space="0" w:color="auto"/>
                      </w:divBdr>
                      <w:divsChild>
                        <w:div w:id="1984120538">
                          <w:marLeft w:val="0"/>
                          <w:marRight w:val="0"/>
                          <w:marTop w:val="0"/>
                          <w:marBottom w:val="0"/>
                          <w:divBdr>
                            <w:top w:val="single" w:sz="6" w:space="0" w:color="E4E4E6"/>
                            <w:left w:val="none" w:sz="0" w:space="0" w:color="auto"/>
                            <w:bottom w:val="none" w:sz="0" w:space="0" w:color="auto"/>
                            <w:right w:val="none" w:sz="0" w:space="0" w:color="auto"/>
                          </w:divBdr>
                          <w:divsChild>
                            <w:div w:id="936333741">
                              <w:marLeft w:val="0"/>
                              <w:marRight w:val="1500"/>
                              <w:marTop w:val="100"/>
                              <w:marBottom w:val="100"/>
                              <w:divBdr>
                                <w:top w:val="none" w:sz="0" w:space="0" w:color="auto"/>
                                <w:left w:val="none" w:sz="0" w:space="0" w:color="auto"/>
                                <w:bottom w:val="none" w:sz="0" w:space="0" w:color="auto"/>
                                <w:right w:val="none" w:sz="0" w:space="0" w:color="auto"/>
                              </w:divBdr>
                              <w:divsChild>
                                <w:div w:id="1234896441">
                                  <w:marLeft w:val="0"/>
                                  <w:marRight w:val="0"/>
                                  <w:marTop w:val="300"/>
                                  <w:marBottom w:val="450"/>
                                  <w:divBdr>
                                    <w:top w:val="none" w:sz="0" w:space="0" w:color="auto"/>
                                    <w:left w:val="none" w:sz="0" w:space="0" w:color="auto"/>
                                    <w:bottom w:val="none" w:sz="0" w:space="0" w:color="auto"/>
                                    <w:right w:val="none" w:sz="0" w:space="0" w:color="auto"/>
                                  </w:divBdr>
                                  <w:divsChild>
                                    <w:div w:id="501891919">
                                      <w:marLeft w:val="0"/>
                                      <w:marRight w:val="0"/>
                                      <w:marTop w:val="0"/>
                                      <w:marBottom w:val="0"/>
                                      <w:divBdr>
                                        <w:top w:val="none" w:sz="0" w:space="0" w:color="auto"/>
                                        <w:left w:val="none" w:sz="0" w:space="0" w:color="auto"/>
                                        <w:bottom w:val="none" w:sz="0" w:space="0" w:color="auto"/>
                                        <w:right w:val="none" w:sz="0" w:space="0" w:color="auto"/>
                                      </w:divBdr>
                                      <w:divsChild>
                                        <w:div w:id="1779519337">
                                          <w:marLeft w:val="0"/>
                                          <w:marRight w:val="0"/>
                                          <w:marTop w:val="0"/>
                                          <w:marBottom w:val="0"/>
                                          <w:divBdr>
                                            <w:top w:val="none" w:sz="0" w:space="0" w:color="auto"/>
                                            <w:left w:val="none" w:sz="0" w:space="0" w:color="auto"/>
                                            <w:bottom w:val="none" w:sz="0" w:space="0" w:color="auto"/>
                                            <w:right w:val="none" w:sz="0" w:space="0" w:color="auto"/>
                                          </w:divBdr>
                                          <w:divsChild>
                                            <w:div w:id="274942060">
                                              <w:marLeft w:val="0"/>
                                              <w:marRight w:val="0"/>
                                              <w:marTop w:val="0"/>
                                              <w:marBottom w:val="0"/>
                                              <w:divBdr>
                                                <w:top w:val="none" w:sz="0" w:space="0" w:color="auto"/>
                                                <w:left w:val="none" w:sz="0" w:space="0" w:color="auto"/>
                                                <w:bottom w:val="none" w:sz="0" w:space="0" w:color="auto"/>
                                                <w:right w:val="none" w:sz="0" w:space="0" w:color="auto"/>
                                              </w:divBdr>
                                              <w:divsChild>
                                                <w:div w:id="41474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6418596">
      <w:bodyDiv w:val="1"/>
      <w:marLeft w:val="0"/>
      <w:marRight w:val="0"/>
      <w:marTop w:val="0"/>
      <w:marBottom w:val="0"/>
      <w:divBdr>
        <w:top w:val="none" w:sz="0" w:space="0" w:color="auto"/>
        <w:left w:val="none" w:sz="0" w:space="0" w:color="auto"/>
        <w:bottom w:val="none" w:sz="0" w:space="0" w:color="auto"/>
        <w:right w:val="none" w:sz="0" w:space="0" w:color="auto"/>
      </w:divBdr>
    </w:div>
    <w:div w:id="444083986">
      <w:bodyDiv w:val="1"/>
      <w:marLeft w:val="0"/>
      <w:marRight w:val="0"/>
      <w:marTop w:val="0"/>
      <w:marBottom w:val="0"/>
      <w:divBdr>
        <w:top w:val="none" w:sz="0" w:space="0" w:color="auto"/>
        <w:left w:val="none" w:sz="0" w:space="0" w:color="auto"/>
        <w:bottom w:val="none" w:sz="0" w:space="0" w:color="auto"/>
        <w:right w:val="none" w:sz="0" w:space="0" w:color="auto"/>
      </w:divBdr>
    </w:div>
    <w:div w:id="562763805">
      <w:bodyDiv w:val="1"/>
      <w:marLeft w:val="0"/>
      <w:marRight w:val="0"/>
      <w:marTop w:val="0"/>
      <w:marBottom w:val="0"/>
      <w:divBdr>
        <w:top w:val="none" w:sz="0" w:space="0" w:color="auto"/>
        <w:left w:val="none" w:sz="0" w:space="0" w:color="auto"/>
        <w:bottom w:val="none" w:sz="0" w:space="0" w:color="auto"/>
        <w:right w:val="none" w:sz="0" w:space="0" w:color="auto"/>
      </w:divBdr>
    </w:div>
    <w:div w:id="575212114">
      <w:bodyDiv w:val="1"/>
      <w:marLeft w:val="0"/>
      <w:marRight w:val="0"/>
      <w:marTop w:val="0"/>
      <w:marBottom w:val="0"/>
      <w:divBdr>
        <w:top w:val="none" w:sz="0" w:space="0" w:color="auto"/>
        <w:left w:val="none" w:sz="0" w:space="0" w:color="auto"/>
        <w:bottom w:val="none" w:sz="0" w:space="0" w:color="auto"/>
        <w:right w:val="none" w:sz="0" w:space="0" w:color="auto"/>
      </w:divBdr>
      <w:divsChild>
        <w:div w:id="1160970734">
          <w:marLeft w:val="547"/>
          <w:marRight w:val="0"/>
          <w:marTop w:val="96"/>
          <w:marBottom w:val="0"/>
          <w:divBdr>
            <w:top w:val="none" w:sz="0" w:space="0" w:color="auto"/>
            <w:left w:val="none" w:sz="0" w:space="0" w:color="auto"/>
            <w:bottom w:val="none" w:sz="0" w:space="0" w:color="auto"/>
            <w:right w:val="none" w:sz="0" w:space="0" w:color="auto"/>
          </w:divBdr>
        </w:div>
        <w:div w:id="2131438759">
          <w:marLeft w:val="547"/>
          <w:marRight w:val="0"/>
          <w:marTop w:val="96"/>
          <w:marBottom w:val="0"/>
          <w:divBdr>
            <w:top w:val="none" w:sz="0" w:space="0" w:color="auto"/>
            <w:left w:val="none" w:sz="0" w:space="0" w:color="auto"/>
            <w:bottom w:val="none" w:sz="0" w:space="0" w:color="auto"/>
            <w:right w:val="none" w:sz="0" w:space="0" w:color="auto"/>
          </w:divBdr>
        </w:div>
      </w:divsChild>
    </w:div>
    <w:div w:id="620692638">
      <w:bodyDiv w:val="1"/>
      <w:marLeft w:val="0"/>
      <w:marRight w:val="0"/>
      <w:marTop w:val="0"/>
      <w:marBottom w:val="0"/>
      <w:divBdr>
        <w:top w:val="none" w:sz="0" w:space="0" w:color="auto"/>
        <w:left w:val="none" w:sz="0" w:space="0" w:color="auto"/>
        <w:bottom w:val="none" w:sz="0" w:space="0" w:color="auto"/>
        <w:right w:val="none" w:sz="0" w:space="0" w:color="auto"/>
      </w:divBdr>
    </w:div>
    <w:div w:id="726144335">
      <w:bodyDiv w:val="1"/>
      <w:marLeft w:val="0"/>
      <w:marRight w:val="0"/>
      <w:marTop w:val="0"/>
      <w:marBottom w:val="0"/>
      <w:divBdr>
        <w:top w:val="none" w:sz="0" w:space="0" w:color="auto"/>
        <w:left w:val="none" w:sz="0" w:space="0" w:color="auto"/>
        <w:bottom w:val="none" w:sz="0" w:space="0" w:color="auto"/>
        <w:right w:val="none" w:sz="0" w:space="0" w:color="auto"/>
      </w:divBdr>
    </w:div>
    <w:div w:id="889417003">
      <w:bodyDiv w:val="1"/>
      <w:marLeft w:val="0"/>
      <w:marRight w:val="0"/>
      <w:marTop w:val="0"/>
      <w:marBottom w:val="0"/>
      <w:divBdr>
        <w:top w:val="none" w:sz="0" w:space="0" w:color="auto"/>
        <w:left w:val="none" w:sz="0" w:space="0" w:color="auto"/>
        <w:bottom w:val="none" w:sz="0" w:space="0" w:color="auto"/>
        <w:right w:val="none" w:sz="0" w:space="0" w:color="auto"/>
      </w:divBdr>
    </w:div>
    <w:div w:id="905458941">
      <w:bodyDiv w:val="1"/>
      <w:marLeft w:val="0"/>
      <w:marRight w:val="0"/>
      <w:marTop w:val="0"/>
      <w:marBottom w:val="0"/>
      <w:divBdr>
        <w:top w:val="none" w:sz="0" w:space="0" w:color="auto"/>
        <w:left w:val="none" w:sz="0" w:space="0" w:color="auto"/>
        <w:bottom w:val="none" w:sz="0" w:space="0" w:color="auto"/>
        <w:right w:val="none" w:sz="0" w:space="0" w:color="auto"/>
      </w:divBdr>
    </w:div>
    <w:div w:id="962806998">
      <w:bodyDiv w:val="1"/>
      <w:marLeft w:val="0"/>
      <w:marRight w:val="0"/>
      <w:marTop w:val="0"/>
      <w:marBottom w:val="0"/>
      <w:divBdr>
        <w:top w:val="none" w:sz="0" w:space="0" w:color="auto"/>
        <w:left w:val="none" w:sz="0" w:space="0" w:color="auto"/>
        <w:bottom w:val="none" w:sz="0" w:space="0" w:color="auto"/>
        <w:right w:val="none" w:sz="0" w:space="0" w:color="auto"/>
      </w:divBdr>
    </w:div>
    <w:div w:id="972369652">
      <w:bodyDiv w:val="1"/>
      <w:marLeft w:val="0"/>
      <w:marRight w:val="0"/>
      <w:marTop w:val="0"/>
      <w:marBottom w:val="0"/>
      <w:divBdr>
        <w:top w:val="none" w:sz="0" w:space="0" w:color="auto"/>
        <w:left w:val="none" w:sz="0" w:space="0" w:color="auto"/>
        <w:bottom w:val="none" w:sz="0" w:space="0" w:color="auto"/>
        <w:right w:val="none" w:sz="0" w:space="0" w:color="auto"/>
      </w:divBdr>
    </w:div>
    <w:div w:id="980574974">
      <w:bodyDiv w:val="1"/>
      <w:marLeft w:val="0"/>
      <w:marRight w:val="0"/>
      <w:marTop w:val="0"/>
      <w:marBottom w:val="0"/>
      <w:divBdr>
        <w:top w:val="none" w:sz="0" w:space="0" w:color="auto"/>
        <w:left w:val="none" w:sz="0" w:space="0" w:color="auto"/>
        <w:bottom w:val="none" w:sz="0" w:space="0" w:color="auto"/>
        <w:right w:val="none" w:sz="0" w:space="0" w:color="auto"/>
      </w:divBdr>
    </w:div>
    <w:div w:id="1091971093">
      <w:bodyDiv w:val="1"/>
      <w:marLeft w:val="0"/>
      <w:marRight w:val="0"/>
      <w:marTop w:val="0"/>
      <w:marBottom w:val="0"/>
      <w:divBdr>
        <w:top w:val="none" w:sz="0" w:space="0" w:color="auto"/>
        <w:left w:val="none" w:sz="0" w:space="0" w:color="auto"/>
        <w:bottom w:val="none" w:sz="0" w:space="0" w:color="auto"/>
        <w:right w:val="none" w:sz="0" w:space="0" w:color="auto"/>
      </w:divBdr>
    </w:div>
    <w:div w:id="1144005456">
      <w:bodyDiv w:val="1"/>
      <w:marLeft w:val="0"/>
      <w:marRight w:val="0"/>
      <w:marTop w:val="0"/>
      <w:marBottom w:val="0"/>
      <w:divBdr>
        <w:top w:val="none" w:sz="0" w:space="0" w:color="auto"/>
        <w:left w:val="none" w:sz="0" w:space="0" w:color="auto"/>
        <w:bottom w:val="none" w:sz="0" w:space="0" w:color="auto"/>
        <w:right w:val="none" w:sz="0" w:space="0" w:color="auto"/>
      </w:divBdr>
    </w:div>
    <w:div w:id="1212038038">
      <w:bodyDiv w:val="1"/>
      <w:marLeft w:val="0"/>
      <w:marRight w:val="0"/>
      <w:marTop w:val="0"/>
      <w:marBottom w:val="0"/>
      <w:divBdr>
        <w:top w:val="none" w:sz="0" w:space="0" w:color="auto"/>
        <w:left w:val="none" w:sz="0" w:space="0" w:color="auto"/>
        <w:bottom w:val="none" w:sz="0" w:space="0" w:color="auto"/>
        <w:right w:val="none" w:sz="0" w:space="0" w:color="auto"/>
      </w:divBdr>
    </w:div>
    <w:div w:id="1252009616">
      <w:bodyDiv w:val="1"/>
      <w:marLeft w:val="0"/>
      <w:marRight w:val="0"/>
      <w:marTop w:val="0"/>
      <w:marBottom w:val="0"/>
      <w:divBdr>
        <w:top w:val="none" w:sz="0" w:space="0" w:color="auto"/>
        <w:left w:val="none" w:sz="0" w:space="0" w:color="auto"/>
        <w:bottom w:val="none" w:sz="0" w:space="0" w:color="auto"/>
        <w:right w:val="none" w:sz="0" w:space="0" w:color="auto"/>
      </w:divBdr>
    </w:div>
    <w:div w:id="1265503766">
      <w:bodyDiv w:val="1"/>
      <w:marLeft w:val="0"/>
      <w:marRight w:val="0"/>
      <w:marTop w:val="0"/>
      <w:marBottom w:val="0"/>
      <w:divBdr>
        <w:top w:val="none" w:sz="0" w:space="0" w:color="auto"/>
        <w:left w:val="none" w:sz="0" w:space="0" w:color="auto"/>
        <w:bottom w:val="none" w:sz="0" w:space="0" w:color="auto"/>
        <w:right w:val="none" w:sz="0" w:space="0" w:color="auto"/>
      </w:divBdr>
      <w:divsChild>
        <w:div w:id="1292633143">
          <w:marLeft w:val="0"/>
          <w:marRight w:val="0"/>
          <w:marTop w:val="0"/>
          <w:marBottom w:val="0"/>
          <w:divBdr>
            <w:top w:val="none" w:sz="0" w:space="0" w:color="auto"/>
            <w:left w:val="none" w:sz="0" w:space="0" w:color="auto"/>
            <w:bottom w:val="none" w:sz="0" w:space="0" w:color="auto"/>
            <w:right w:val="none" w:sz="0" w:space="0" w:color="auto"/>
          </w:divBdr>
        </w:div>
      </w:divsChild>
    </w:div>
    <w:div w:id="1330518939">
      <w:bodyDiv w:val="1"/>
      <w:marLeft w:val="0"/>
      <w:marRight w:val="0"/>
      <w:marTop w:val="0"/>
      <w:marBottom w:val="0"/>
      <w:divBdr>
        <w:top w:val="none" w:sz="0" w:space="0" w:color="auto"/>
        <w:left w:val="none" w:sz="0" w:space="0" w:color="auto"/>
        <w:bottom w:val="none" w:sz="0" w:space="0" w:color="auto"/>
        <w:right w:val="none" w:sz="0" w:space="0" w:color="auto"/>
      </w:divBdr>
    </w:div>
    <w:div w:id="1442645787">
      <w:bodyDiv w:val="1"/>
      <w:marLeft w:val="0"/>
      <w:marRight w:val="0"/>
      <w:marTop w:val="0"/>
      <w:marBottom w:val="0"/>
      <w:divBdr>
        <w:top w:val="none" w:sz="0" w:space="0" w:color="auto"/>
        <w:left w:val="none" w:sz="0" w:space="0" w:color="auto"/>
        <w:bottom w:val="none" w:sz="0" w:space="0" w:color="auto"/>
        <w:right w:val="none" w:sz="0" w:space="0" w:color="auto"/>
      </w:divBdr>
    </w:div>
    <w:div w:id="1449396899">
      <w:bodyDiv w:val="1"/>
      <w:marLeft w:val="0"/>
      <w:marRight w:val="0"/>
      <w:marTop w:val="0"/>
      <w:marBottom w:val="0"/>
      <w:divBdr>
        <w:top w:val="none" w:sz="0" w:space="0" w:color="auto"/>
        <w:left w:val="none" w:sz="0" w:space="0" w:color="auto"/>
        <w:bottom w:val="none" w:sz="0" w:space="0" w:color="auto"/>
        <w:right w:val="none" w:sz="0" w:space="0" w:color="auto"/>
      </w:divBdr>
    </w:div>
    <w:div w:id="1468088247">
      <w:bodyDiv w:val="1"/>
      <w:marLeft w:val="0"/>
      <w:marRight w:val="0"/>
      <w:marTop w:val="0"/>
      <w:marBottom w:val="0"/>
      <w:divBdr>
        <w:top w:val="none" w:sz="0" w:space="0" w:color="auto"/>
        <w:left w:val="none" w:sz="0" w:space="0" w:color="auto"/>
        <w:bottom w:val="none" w:sz="0" w:space="0" w:color="auto"/>
        <w:right w:val="none" w:sz="0" w:space="0" w:color="auto"/>
      </w:divBdr>
    </w:div>
    <w:div w:id="1474718489">
      <w:bodyDiv w:val="1"/>
      <w:marLeft w:val="0"/>
      <w:marRight w:val="0"/>
      <w:marTop w:val="0"/>
      <w:marBottom w:val="0"/>
      <w:divBdr>
        <w:top w:val="none" w:sz="0" w:space="0" w:color="auto"/>
        <w:left w:val="none" w:sz="0" w:space="0" w:color="auto"/>
        <w:bottom w:val="none" w:sz="0" w:space="0" w:color="auto"/>
        <w:right w:val="none" w:sz="0" w:space="0" w:color="auto"/>
      </w:divBdr>
    </w:div>
    <w:div w:id="1531339719">
      <w:bodyDiv w:val="1"/>
      <w:marLeft w:val="0"/>
      <w:marRight w:val="0"/>
      <w:marTop w:val="0"/>
      <w:marBottom w:val="0"/>
      <w:divBdr>
        <w:top w:val="none" w:sz="0" w:space="0" w:color="auto"/>
        <w:left w:val="none" w:sz="0" w:space="0" w:color="auto"/>
        <w:bottom w:val="none" w:sz="0" w:space="0" w:color="auto"/>
        <w:right w:val="none" w:sz="0" w:space="0" w:color="auto"/>
      </w:divBdr>
    </w:div>
    <w:div w:id="1573003370">
      <w:bodyDiv w:val="1"/>
      <w:marLeft w:val="0"/>
      <w:marRight w:val="0"/>
      <w:marTop w:val="0"/>
      <w:marBottom w:val="0"/>
      <w:divBdr>
        <w:top w:val="none" w:sz="0" w:space="0" w:color="auto"/>
        <w:left w:val="none" w:sz="0" w:space="0" w:color="auto"/>
        <w:bottom w:val="none" w:sz="0" w:space="0" w:color="auto"/>
        <w:right w:val="none" w:sz="0" w:space="0" w:color="auto"/>
      </w:divBdr>
      <w:divsChild>
        <w:div w:id="1235555488">
          <w:marLeft w:val="0"/>
          <w:marRight w:val="0"/>
          <w:marTop w:val="0"/>
          <w:marBottom w:val="0"/>
          <w:divBdr>
            <w:top w:val="none" w:sz="0" w:space="0" w:color="auto"/>
            <w:left w:val="none" w:sz="0" w:space="0" w:color="auto"/>
            <w:bottom w:val="none" w:sz="0" w:space="0" w:color="auto"/>
            <w:right w:val="none" w:sz="0" w:space="0" w:color="auto"/>
          </w:divBdr>
          <w:divsChild>
            <w:div w:id="1183784774">
              <w:marLeft w:val="0"/>
              <w:marRight w:val="0"/>
              <w:marTop w:val="0"/>
              <w:marBottom w:val="0"/>
              <w:divBdr>
                <w:top w:val="none" w:sz="0" w:space="0" w:color="auto"/>
                <w:left w:val="none" w:sz="0" w:space="0" w:color="auto"/>
                <w:bottom w:val="none" w:sz="0" w:space="0" w:color="auto"/>
                <w:right w:val="none" w:sz="0" w:space="0" w:color="auto"/>
              </w:divBdr>
              <w:divsChild>
                <w:div w:id="1492067496">
                  <w:marLeft w:val="0"/>
                  <w:marRight w:val="0"/>
                  <w:marTop w:val="0"/>
                  <w:marBottom w:val="0"/>
                  <w:divBdr>
                    <w:top w:val="none" w:sz="0" w:space="0" w:color="auto"/>
                    <w:left w:val="none" w:sz="0" w:space="0" w:color="auto"/>
                    <w:bottom w:val="none" w:sz="0" w:space="0" w:color="auto"/>
                    <w:right w:val="none" w:sz="0" w:space="0" w:color="auto"/>
                  </w:divBdr>
                  <w:divsChild>
                    <w:div w:id="1561280902">
                      <w:marLeft w:val="0"/>
                      <w:marRight w:val="0"/>
                      <w:marTop w:val="0"/>
                      <w:marBottom w:val="0"/>
                      <w:divBdr>
                        <w:top w:val="none" w:sz="0" w:space="0" w:color="auto"/>
                        <w:left w:val="none" w:sz="0" w:space="0" w:color="auto"/>
                        <w:bottom w:val="none" w:sz="0" w:space="0" w:color="auto"/>
                        <w:right w:val="none" w:sz="0" w:space="0" w:color="auto"/>
                      </w:divBdr>
                      <w:divsChild>
                        <w:div w:id="2110805521">
                          <w:marLeft w:val="0"/>
                          <w:marRight w:val="0"/>
                          <w:marTop w:val="0"/>
                          <w:marBottom w:val="0"/>
                          <w:divBdr>
                            <w:top w:val="none" w:sz="0" w:space="0" w:color="auto"/>
                            <w:left w:val="none" w:sz="0" w:space="0" w:color="auto"/>
                            <w:bottom w:val="none" w:sz="0" w:space="0" w:color="auto"/>
                            <w:right w:val="none" w:sz="0" w:space="0" w:color="auto"/>
                          </w:divBdr>
                          <w:divsChild>
                            <w:div w:id="126975992">
                              <w:marLeft w:val="0"/>
                              <w:marRight w:val="0"/>
                              <w:marTop w:val="0"/>
                              <w:marBottom w:val="0"/>
                              <w:divBdr>
                                <w:top w:val="none" w:sz="0" w:space="0" w:color="auto"/>
                                <w:left w:val="none" w:sz="0" w:space="0" w:color="auto"/>
                                <w:bottom w:val="none" w:sz="0" w:space="0" w:color="auto"/>
                                <w:right w:val="none" w:sz="0" w:space="0" w:color="auto"/>
                              </w:divBdr>
                              <w:divsChild>
                                <w:div w:id="792988853">
                                  <w:marLeft w:val="0"/>
                                  <w:marRight w:val="-255"/>
                                  <w:marTop w:val="0"/>
                                  <w:marBottom w:val="0"/>
                                  <w:divBdr>
                                    <w:top w:val="none" w:sz="0" w:space="0" w:color="auto"/>
                                    <w:left w:val="none" w:sz="0" w:space="0" w:color="auto"/>
                                    <w:bottom w:val="none" w:sz="0" w:space="0" w:color="auto"/>
                                    <w:right w:val="none" w:sz="0" w:space="0" w:color="auto"/>
                                  </w:divBdr>
                                  <w:divsChild>
                                    <w:div w:id="1281840642">
                                      <w:marLeft w:val="0"/>
                                      <w:marRight w:val="0"/>
                                      <w:marTop w:val="0"/>
                                      <w:marBottom w:val="0"/>
                                      <w:divBdr>
                                        <w:top w:val="none" w:sz="0" w:space="0" w:color="auto"/>
                                        <w:left w:val="none" w:sz="0" w:space="0" w:color="auto"/>
                                        <w:bottom w:val="none" w:sz="0" w:space="0" w:color="auto"/>
                                        <w:right w:val="none" w:sz="0" w:space="0" w:color="auto"/>
                                      </w:divBdr>
                                      <w:divsChild>
                                        <w:div w:id="211944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4779183">
      <w:bodyDiv w:val="1"/>
      <w:marLeft w:val="0"/>
      <w:marRight w:val="0"/>
      <w:marTop w:val="0"/>
      <w:marBottom w:val="0"/>
      <w:divBdr>
        <w:top w:val="none" w:sz="0" w:space="0" w:color="auto"/>
        <w:left w:val="none" w:sz="0" w:space="0" w:color="auto"/>
        <w:bottom w:val="none" w:sz="0" w:space="0" w:color="auto"/>
        <w:right w:val="none" w:sz="0" w:space="0" w:color="auto"/>
      </w:divBdr>
      <w:divsChild>
        <w:div w:id="968362220">
          <w:marLeft w:val="0"/>
          <w:marRight w:val="0"/>
          <w:marTop w:val="0"/>
          <w:marBottom w:val="0"/>
          <w:divBdr>
            <w:top w:val="none" w:sz="0" w:space="0" w:color="auto"/>
            <w:left w:val="none" w:sz="0" w:space="0" w:color="auto"/>
            <w:bottom w:val="none" w:sz="0" w:space="0" w:color="auto"/>
            <w:right w:val="none" w:sz="0" w:space="0" w:color="auto"/>
          </w:divBdr>
          <w:divsChild>
            <w:div w:id="1087456753">
              <w:marLeft w:val="0"/>
              <w:marRight w:val="0"/>
              <w:marTop w:val="0"/>
              <w:marBottom w:val="0"/>
              <w:divBdr>
                <w:top w:val="none" w:sz="0" w:space="0" w:color="auto"/>
                <w:left w:val="none" w:sz="0" w:space="0" w:color="auto"/>
                <w:bottom w:val="none" w:sz="0" w:space="0" w:color="auto"/>
                <w:right w:val="none" w:sz="0" w:space="0" w:color="auto"/>
              </w:divBdr>
              <w:divsChild>
                <w:div w:id="542137589">
                  <w:marLeft w:val="0"/>
                  <w:marRight w:val="0"/>
                  <w:marTop w:val="0"/>
                  <w:marBottom w:val="0"/>
                  <w:divBdr>
                    <w:top w:val="none" w:sz="0" w:space="0" w:color="auto"/>
                    <w:left w:val="none" w:sz="0" w:space="0" w:color="auto"/>
                    <w:bottom w:val="none" w:sz="0" w:space="0" w:color="auto"/>
                    <w:right w:val="none" w:sz="0" w:space="0" w:color="auto"/>
                  </w:divBdr>
                  <w:divsChild>
                    <w:div w:id="838815714">
                      <w:marLeft w:val="0"/>
                      <w:marRight w:val="0"/>
                      <w:marTop w:val="0"/>
                      <w:marBottom w:val="0"/>
                      <w:divBdr>
                        <w:top w:val="single" w:sz="6" w:space="0" w:color="E4E4E6"/>
                        <w:left w:val="none" w:sz="0" w:space="0" w:color="auto"/>
                        <w:bottom w:val="none" w:sz="0" w:space="0" w:color="auto"/>
                        <w:right w:val="none" w:sz="0" w:space="0" w:color="auto"/>
                      </w:divBdr>
                      <w:divsChild>
                        <w:div w:id="977688450">
                          <w:marLeft w:val="0"/>
                          <w:marRight w:val="0"/>
                          <w:marTop w:val="0"/>
                          <w:marBottom w:val="0"/>
                          <w:divBdr>
                            <w:top w:val="single" w:sz="6" w:space="0" w:color="E4E4E6"/>
                            <w:left w:val="none" w:sz="0" w:space="0" w:color="auto"/>
                            <w:bottom w:val="none" w:sz="0" w:space="0" w:color="auto"/>
                            <w:right w:val="none" w:sz="0" w:space="0" w:color="auto"/>
                          </w:divBdr>
                          <w:divsChild>
                            <w:div w:id="566837734">
                              <w:marLeft w:val="0"/>
                              <w:marRight w:val="1500"/>
                              <w:marTop w:val="100"/>
                              <w:marBottom w:val="100"/>
                              <w:divBdr>
                                <w:top w:val="none" w:sz="0" w:space="0" w:color="auto"/>
                                <w:left w:val="none" w:sz="0" w:space="0" w:color="auto"/>
                                <w:bottom w:val="none" w:sz="0" w:space="0" w:color="auto"/>
                                <w:right w:val="none" w:sz="0" w:space="0" w:color="auto"/>
                              </w:divBdr>
                              <w:divsChild>
                                <w:div w:id="1462723722">
                                  <w:marLeft w:val="0"/>
                                  <w:marRight w:val="0"/>
                                  <w:marTop w:val="300"/>
                                  <w:marBottom w:val="450"/>
                                  <w:divBdr>
                                    <w:top w:val="none" w:sz="0" w:space="0" w:color="auto"/>
                                    <w:left w:val="none" w:sz="0" w:space="0" w:color="auto"/>
                                    <w:bottom w:val="none" w:sz="0" w:space="0" w:color="auto"/>
                                    <w:right w:val="none" w:sz="0" w:space="0" w:color="auto"/>
                                  </w:divBdr>
                                  <w:divsChild>
                                    <w:div w:id="729158766">
                                      <w:marLeft w:val="0"/>
                                      <w:marRight w:val="0"/>
                                      <w:marTop w:val="0"/>
                                      <w:marBottom w:val="0"/>
                                      <w:divBdr>
                                        <w:top w:val="none" w:sz="0" w:space="0" w:color="auto"/>
                                        <w:left w:val="none" w:sz="0" w:space="0" w:color="auto"/>
                                        <w:bottom w:val="none" w:sz="0" w:space="0" w:color="auto"/>
                                        <w:right w:val="none" w:sz="0" w:space="0" w:color="auto"/>
                                      </w:divBdr>
                                      <w:divsChild>
                                        <w:div w:id="1011681605">
                                          <w:marLeft w:val="0"/>
                                          <w:marRight w:val="0"/>
                                          <w:marTop w:val="0"/>
                                          <w:marBottom w:val="0"/>
                                          <w:divBdr>
                                            <w:top w:val="none" w:sz="0" w:space="0" w:color="auto"/>
                                            <w:left w:val="none" w:sz="0" w:space="0" w:color="auto"/>
                                            <w:bottom w:val="none" w:sz="0" w:space="0" w:color="auto"/>
                                            <w:right w:val="none" w:sz="0" w:space="0" w:color="auto"/>
                                          </w:divBdr>
                                          <w:divsChild>
                                            <w:div w:id="1524703286">
                                              <w:marLeft w:val="0"/>
                                              <w:marRight w:val="0"/>
                                              <w:marTop w:val="0"/>
                                              <w:marBottom w:val="0"/>
                                              <w:divBdr>
                                                <w:top w:val="none" w:sz="0" w:space="0" w:color="auto"/>
                                                <w:left w:val="none" w:sz="0" w:space="0" w:color="auto"/>
                                                <w:bottom w:val="none" w:sz="0" w:space="0" w:color="auto"/>
                                                <w:right w:val="none" w:sz="0" w:space="0" w:color="auto"/>
                                              </w:divBdr>
                                              <w:divsChild>
                                                <w:div w:id="138794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7777540">
      <w:bodyDiv w:val="1"/>
      <w:marLeft w:val="0"/>
      <w:marRight w:val="0"/>
      <w:marTop w:val="0"/>
      <w:marBottom w:val="0"/>
      <w:divBdr>
        <w:top w:val="none" w:sz="0" w:space="0" w:color="auto"/>
        <w:left w:val="none" w:sz="0" w:space="0" w:color="auto"/>
        <w:bottom w:val="none" w:sz="0" w:space="0" w:color="auto"/>
        <w:right w:val="none" w:sz="0" w:space="0" w:color="auto"/>
      </w:divBdr>
    </w:div>
    <w:div w:id="1718507828">
      <w:bodyDiv w:val="1"/>
      <w:marLeft w:val="0"/>
      <w:marRight w:val="0"/>
      <w:marTop w:val="0"/>
      <w:marBottom w:val="0"/>
      <w:divBdr>
        <w:top w:val="none" w:sz="0" w:space="0" w:color="auto"/>
        <w:left w:val="none" w:sz="0" w:space="0" w:color="auto"/>
        <w:bottom w:val="none" w:sz="0" w:space="0" w:color="auto"/>
        <w:right w:val="none" w:sz="0" w:space="0" w:color="auto"/>
      </w:divBdr>
    </w:div>
    <w:div w:id="1724138535">
      <w:bodyDiv w:val="1"/>
      <w:marLeft w:val="0"/>
      <w:marRight w:val="0"/>
      <w:marTop w:val="0"/>
      <w:marBottom w:val="0"/>
      <w:divBdr>
        <w:top w:val="none" w:sz="0" w:space="0" w:color="auto"/>
        <w:left w:val="none" w:sz="0" w:space="0" w:color="auto"/>
        <w:bottom w:val="none" w:sz="0" w:space="0" w:color="auto"/>
        <w:right w:val="none" w:sz="0" w:space="0" w:color="auto"/>
      </w:divBdr>
    </w:div>
    <w:div w:id="1768497587">
      <w:bodyDiv w:val="1"/>
      <w:marLeft w:val="0"/>
      <w:marRight w:val="0"/>
      <w:marTop w:val="0"/>
      <w:marBottom w:val="0"/>
      <w:divBdr>
        <w:top w:val="none" w:sz="0" w:space="0" w:color="auto"/>
        <w:left w:val="none" w:sz="0" w:space="0" w:color="auto"/>
        <w:bottom w:val="none" w:sz="0" w:space="0" w:color="auto"/>
        <w:right w:val="none" w:sz="0" w:space="0" w:color="auto"/>
      </w:divBdr>
    </w:div>
    <w:div w:id="1775707338">
      <w:bodyDiv w:val="1"/>
      <w:marLeft w:val="0"/>
      <w:marRight w:val="0"/>
      <w:marTop w:val="0"/>
      <w:marBottom w:val="0"/>
      <w:divBdr>
        <w:top w:val="none" w:sz="0" w:space="0" w:color="auto"/>
        <w:left w:val="none" w:sz="0" w:space="0" w:color="auto"/>
        <w:bottom w:val="none" w:sz="0" w:space="0" w:color="auto"/>
        <w:right w:val="none" w:sz="0" w:space="0" w:color="auto"/>
      </w:divBdr>
    </w:div>
    <w:div w:id="1868254497">
      <w:bodyDiv w:val="1"/>
      <w:marLeft w:val="0"/>
      <w:marRight w:val="0"/>
      <w:marTop w:val="0"/>
      <w:marBottom w:val="0"/>
      <w:divBdr>
        <w:top w:val="none" w:sz="0" w:space="0" w:color="auto"/>
        <w:left w:val="none" w:sz="0" w:space="0" w:color="auto"/>
        <w:bottom w:val="none" w:sz="0" w:space="0" w:color="auto"/>
        <w:right w:val="none" w:sz="0" w:space="0" w:color="auto"/>
      </w:divBdr>
    </w:div>
    <w:div w:id="1890072614">
      <w:bodyDiv w:val="1"/>
      <w:marLeft w:val="0"/>
      <w:marRight w:val="0"/>
      <w:marTop w:val="0"/>
      <w:marBottom w:val="0"/>
      <w:divBdr>
        <w:top w:val="none" w:sz="0" w:space="0" w:color="auto"/>
        <w:left w:val="none" w:sz="0" w:space="0" w:color="auto"/>
        <w:bottom w:val="none" w:sz="0" w:space="0" w:color="auto"/>
        <w:right w:val="none" w:sz="0" w:space="0" w:color="auto"/>
      </w:divBdr>
    </w:div>
    <w:div w:id="1981380500">
      <w:bodyDiv w:val="1"/>
      <w:marLeft w:val="0"/>
      <w:marRight w:val="0"/>
      <w:marTop w:val="0"/>
      <w:marBottom w:val="0"/>
      <w:divBdr>
        <w:top w:val="none" w:sz="0" w:space="0" w:color="auto"/>
        <w:left w:val="none" w:sz="0" w:space="0" w:color="auto"/>
        <w:bottom w:val="none" w:sz="0" w:space="0" w:color="auto"/>
        <w:right w:val="none" w:sz="0" w:space="0" w:color="auto"/>
      </w:divBdr>
    </w:div>
    <w:div w:id="2053727024">
      <w:bodyDiv w:val="1"/>
      <w:marLeft w:val="0"/>
      <w:marRight w:val="0"/>
      <w:marTop w:val="0"/>
      <w:marBottom w:val="0"/>
      <w:divBdr>
        <w:top w:val="none" w:sz="0" w:space="0" w:color="auto"/>
        <w:left w:val="none" w:sz="0" w:space="0" w:color="auto"/>
        <w:bottom w:val="none" w:sz="0" w:space="0" w:color="auto"/>
        <w:right w:val="none" w:sz="0" w:space="0" w:color="auto"/>
      </w:divBdr>
    </w:div>
    <w:div w:id="2091198710">
      <w:bodyDiv w:val="1"/>
      <w:marLeft w:val="0"/>
      <w:marRight w:val="0"/>
      <w:marTop w:val="0"/>
      <w:marBottom w:val="0"/>
      <w:divBdr>
        <w:top w:val="none" w:sz="0" w:space="0" w:color="auto"/>
        <w:left w:val="none" w:sz="0" w:space="0" w:color="auto"/>
        <w:bottom w:val="none" w:sz="0" w:space="0" w:color="auto"/>
        <w:right w:val="none" w:sz="0" w:space="0" w:color="auto"/>
      </w:divBdr>
    </w:div>
    <w:div w:id="2127193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image" Target="media/image20.png"/><Relationship Id="rId51"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image" Target="media/image15.emf"/><Relationship Id="rId42" Type="http://schemas.openxmlformats.org/officeDocument/2006/relationships/footer" Target="footer5.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emf"/><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12.emf"/><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emf"/><Relationship Id="rId43" Type="http://schemas.openxmlformats.org/officeDocument/2006/relationships/footer" Target="footer6.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C5CC0CA3D02764298E2F4549C840AD7" ma:contentTypeVersion="2" ma:contentTypeDescription="Stvaranje novog dokumenta." ma:contentTypeScope="" ma:versionID="44729848191398b2275691229bbb0535">
  <xsd:schema xmlns:xsd="http://www.w3.org/2001/XMLSchema" xmlns:xs="http://www.w3.org/2001/XMLSchema" xmlns:p="http://schemas.microsoft.com/office/2006/metadata/properties" xmlns:ns1="http://schemas.microsoft.com/sharepoint/v3" xmlns:ns2="e1df3054-5d10-4492-8ff3-1c5d60fd0f9e" targetNamespace="http://schemas.microsoft.com/office/2006/metadata/properties" ma:root="true" ma:fieldsID="2310c5e0cb9de72f7e6f4da80318d015" ns1:_="" ns2:_="">
    <xsd:import namespace="http://schemas.microsoft.com/sharepoint/v3"/>
    <xsd:import namespace="e1df3054-5d10-4492-8ff3-1c5d60fd0f9e"/>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Planiranje datuma početka" ma:description="Planiranje datuma početka predstavlja stupac web-mjesta koji je stvorila značajka objavljivanja, a koristi se za upisivanje datuma i vremena kada će se stranica prvi put prikazati posjetiteljima web-mjesta." ma:internalName="PublishingStartDate">
      <xsd:simpleType>
        <xsd:restriction base="dms:Unknown"/>
      </xsd:simpleType>
    </xsd:element>
    <xsd:element name="PublishingExpirationDate" ma:index="12" nillable="true" ma:displayName="Planiranje datuma završetka" ma:description="Planiranje datuma završetka predstavlja stupac web-mjesta koji je stvorila značajka objavljivanja, a koristi se za upisivanje datuma i vremena kada se stranica više neće prikazivati posjetiteljima web-mjesta."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df3054-5d10-4492-8ff3-1c5d60fd0f9e"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BAD3DE-3E08-496F-B02B-0FA3F78029E6}">
  <ds:schemaRefs>
    <ds:schemaRef ds:uri="http://schemas.microsoft.com/sharepoint/v3/contenttype/forms"/>
  </ds:schemaRefs>
</ds:datastoreItem>
</file>

<file path=customXml/itemProps2.xml><?xml version="1.0" encoding="utf-8"?>
<ds:datastoreItem xmlns:ds="http://schemas.openxmlformats.org/officeDocument/2006/customXml" ds:itemID="{A394FEC5-98BD-4B15-83F6-88E18B314192}">
  <ds:schemaRefs>
    <ds:schemaRef ds:uri="http://purl.org/dc/elements/1.1/"/>
    <ds:schemaRef ds:uri="http://schemas.microsoft.com/office/2006/metadata/properties"/>
    <ds:schemaRef ds:uri="http://schemas.microsoft.com/office/2006/documentManagement/types"/>
    <ds:schemaRef ds:uri="e1df3054-5d10-4492-8ff3-1c5d60fd0f9e"/>
    <ds:schemaRef ds:uri="http://purl.org/dc/terms/"/>
    <ds:schemaRef ds:uri="http://schemas.openxmlformats.org/package/2006/metadata/core-properties"/>
    <ds:schemaRef ds:uri="http://purl.org/dc/dcmitype/"/>
    <ds:schemaRef ds:uri="http://schemas.microsoft.com/office/infopath/2007/PartnerControls"/>
    <ds:schemaRef ds:uri="http://schemas.microsoft.com/sharepoint/v3"/>
    <ds:schemaRef ds:uri="http://www.w3.org/XML/1998/namespace"/>
  </ds:schemaRefs>
</ds:datastoreItem>
</file>

<file path=customXml/itemProps3.xml><?xml version="1.0" encoding="utf-8"?>
<ds:datastoreItem xmlns:ds="http://schemas.openxmlformats.org/officeDocument/2006/customXml" ds:itemID="{544500AC-FFBB-4435-9032-6DA33BFACB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1df3054-5d10-4492-8ff3-1c5d60fd0f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FCD7A5-AFA3-46D0-BD0D-D905010702F6}">
  <ds:schemaRefs>
    <ds:schemaRef ds:uri="http://schemas.microsoft.com/sharepoint/events"/>
  </ds:schemaRefs>
</ds:datastoreItem>
</file>

<file path=customXml/itemProps5.xml><?xml version="1.0" encoding="utf-8"?>
<ds:datastoreItem xmlns:ds="http://schemas.openxmlformats.org/officeDocument/2006/customXml" ds:itemID="{97C50E2F-8339-4AA8-A7AC-B69F796FC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92</Pages>
  <Words>27436</Words>
  <Characters>156389</Characters>
  <Application>Microsoft Office Word</Application>
  <DocSecurity>4</DocSecurity>
  <Lines>1303</Lines>
  <Paragraphs>366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Ekonomski fakultet Zagreb</Company>
  <LinksUpToDate>false</LinksUpToDate>
  <CharactersWithSpaces>183459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Najla Podrug</dc:creator>
  <cp:lastModifiedBy>Vlatka Šelimber</cp:lastModifiedBy>
  <cp:revision>2</cp:revision>
  <cp:lastPrinted>2019-10-22T10:23:00Z</cp:lastPrinted>
  <dcterms:created xsi:type="dcterms:W3CDTF">2019-10-31T08:22:00Z</dcterms:created>
  <dcterms:modified xsi:type="dcterms:W3CDTF">2019-10-31T08:22:00Z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0x010100AC5CC0CA3D02764298E2F4549C840AD7</vt:lpwstr>
  </property>
</Properties>
</file>