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74" w:rsidRDefault="00DB2374" w:rsidP="00460891">
      <w:pPr>
        <w:spacing w:after="0" w:line="240" w:lineRule="auto"/>
        <w:ind w:left="2112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bookmarkStart w:id="0" w:name="_GoBack"/>
      <w:bookmarkEnd w:id="0"/>
    </w:p>
    <w:p w:rsidR="00DB2374" w:rsidRPr="009E4BF6" w:rsidRDefault="00DB2374" w:rsidP="00DB2374">
      <w:pPr>
        <w:spacing w:before="120" w:after="120" w:line="300" w:lineRule="atLeast"/>
        <w:jc w:val="center"/>
        <w:rPr>
          <w:rFonts w:ascii="Arial" w:eastAsia="MS Mincho" w:hAnsi="Arial" w:cs="Times New Roman"/>
          <w:szCs w:val="24"/>
          <w:lang w:eastAsia="ja-JP"/>
        </w:rPr>
      </w:pPr>
      <w:r w:rsidRPr="009E4BF6">
        <w:rPr>
          <w:rFonts w:ascii="Arial" w:eastAsia="MS Mincho" w:hAnsi="Arial" w:cs="Times New Roman"/>
          <w:noProof/>
          <w:szCs w:val="24"/>
          <w:lang w:eastAsia="hr-HR"/>
        </w:rPr>
        <w:drawing>
          <wp:inline distT="0" distB="0" distL="0" distR="0" wp14:anchorId="4B94C238" wp14:editId="24EBCDEA">
            <wp:extent cx="502920" cy="6858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BF6">
        <w:rPr>
          <w:rFonts w:ascii="Arial" w:eastAsia="MS Mincho" w:hAnsi="Arial" w:cs="Times New Roman"/>
          <w:szCs w:val="24"/>
          <w:lang w:eastAsia="ja-JP"/>
        </w:rPr>
        <w:fldChar w:fldCharType="begin"/>
      </w:r>
      <w:r w:rsidRPr="009E4BF6">
        <w:rPr>
          <w:rFonts w:ascii="Arial" w:eastAsia="MS Mincho" w:hAnsi="Arial" w:cs="Times New Roman"/>
          <w:szCs w:val="24"/>
          <w:lang w:eastAsia="ja-JP"/>
        </w:rPr>
        <w:instrText xml:space="preserve"> INCLUDEPICTURE "http://www.inet.hr/~box/images/grb-rh.gif" \* MERGEFORMATINET </w:instrText>
      </w:r>
      <w:r w:rsidRPr="009E4BF6">
        <w:rPr>
          <w:rFonts w:ascii="Arial" w:eastAsia="MS Mincho" w:hAnsi="Arial" w:cs="Times New Roman"/>
          <w:szCs w:val="24"/>
          <w:lang w:eastAsia="ja-JP"/>
        </w:rPr>
        <w:fldChar w:fldCharType="end"/>
      </w:r>
    </w:p>
    <w:p w:rsidR="00DB2374" w:rsidRPr="009E4BF6" w:rsidRDefault="00DB2374" w:rsidP="00DB2374">
      <w:pPr>
        <w:spacing w:before="120" w:after="120" w:line="300" w:lineRule="atLeast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E4BF6">
        <w:rPr>
          <w:rFonts w:ascii="Times New Roman" w:eastAsia="MS Mincho" w:hAnsi="Times New Roman" w:cs="Times New Roman"/>
          <w:sz w:val="24"/>
          <w:szCs w:val="24"/>
          <w:lang w:eastAsia="ja-JP"/>
        </w:rPr>
        <w:t>VLADA REPUBLIKE HRVATSKE</w:t>
      </w:r>
    </w:p>
    <w:p w:rsidR="00DB2374" w:rsidRPr="009E4BF6" w:rsidRDefault="00DB2374" w:rsidP="00DB2374">
      <w:pPr>
        <w:spacing w:before="120" w:after="120" w:line="300" w:lineRule="atLeast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374" w:rsidRPr="009E4BF6" w:rsidRDefault="00DB2374" w:rsidP="00DB2374">
      <w:pPr>
        <w:spacing w:before="120" w:after="120" w:line="300" w:lineRule="atLeast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374" w:rsidRPr="009E4BF6" w:rsidRDefault="00DB2374" w:rsidP="00DB2374">
      <w:pPr>
        <w:spacing w:before="120" w:after="120" w:line="300" w:lineRule="atLeast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374" w:rsidRPr="009E4BF6" w:rsidRDefault="00DB2374" w:rsidP="00DB2374">
      <w:pPr>
        <w:spacing w:before="120" w:after="120" w:line="3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:rsidR="00DB2374" w:rsidRPr="009E4BF6" w:rsidRDefault="00DB2374" w:rsidP="00DB2374">
      <w:pPr>
        <w:spacing w:before="120" w:after="120" w:line="3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9E4BF6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Zagreb, </w:t>
      </w:r>
      <w:r w:rsidR="008A2A92">
        <w:rPr>
          <w:rFonts w:ascii="Times New Roman" w:eastAsia="Calibri" w:hAnsi="Times New Roman" w:cs="Times New Roman"/>
          <w:sz w:val="24"/>
          <w:szCs w:val="24"/>
          <w:lang w:eastAsia="ja-JP"/>
        </w:rPr>
        <w:t>7</w:t>
      </w:r>
      <w:r w:rsidRPr="009E4BF6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. </w:t>
      </w:r>
      <w:r w:rsidR="008A2A92">
        <w:rPr>
          <w:rFonts w:ascii="Times New Roman" w:eastAsia="Calibri" w:hAnsi="Times New Roman" w:cs="Times New Roman"/>
          <w:sz w:val="24"/>
          <w:szCs w:val="24"/>
          <w:lang w:eastAsia="ja-JP"/>
        </w:rPr>
        <w:t>studenoga</w:t>
      </w:r>
      <w:r w:rsidRPr="009E4BF6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2019.</w:t>
      </w:r>
    </w:p>
    <w:p w:rsidR="00DB2374" w:rsidRPr="009E4BF6" w:rsidRDefault="00DB2374" w:rsidP="00DB2374">
      <w:pPr>
        <w:spacing w:before="120" w:after="120" w:line="30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374" w:rsidRPr="009E4BF6" w:rsidRDefault="00DB2374" w:rsidP="00DB2374">
      <w:pPr>
        <w:spacing w:before="120" w:after="120" w:line="30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374" w:rsidRPr="009E4BF6" w:rsidRDefault="00DB2374" w:rsidP="00DB2374">
      <w:pPr>
        <w:spacing w:before="120" w:after="120" w:line="30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374" w:rsidRPr="009E4BF6" w:rsidRDefault="00DB2374" w:rsidP="00DB2374">
      <w:pPr>
        <w:spacing w:before="120" w:after="120" w:line="30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E4BF6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B2374" w:rsidRPr="009E4BF6" w:rsidTr="0040599B">
        <w:tc>
          <w:tcPr>
            <w:tcW w:w="1951" w:type="dxa"/>
          </w:tcPr>
          <w:p w:rsidR="00DB2374" w:rsidRPr="009E4BF6" w:rsidRDefault="00DB2374" w:rsidP="0040599B">
            <w:pPr>
              <w:spacing w:before="120" w:after="120" w:line="300" w:lineRule="atLeast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E4BF6">
              <w:rPr>
                <w:rFonts w:ascii="Times New Roman" w:eastAsia="MS Mincho" w:hAnsi="Times New Roman"/>
                <w:b/>
                <w:smallCaps/>
                <w:sz w:val="24"/>
                <w:szCs w:val="24"/>
                <w:lang w:eastAsia="ja-JP"/>
              </w:rPr>
              <w:t>Predlagatelj</w:t>
            </w:r>
            <w:r w:rsidRPr="009E4BF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229" w:type="dxa"/>
          </w:tcPr>
          <w:p w:rsidR="00DB2374" w:rsidRPr="009E4BF6" w:rsidRDefault="00DB2374" w:rsidP="0040599B">
            <w:pPr>
              <w:spacing w:before="120" w:after="120" w:line="300" w:lineRule="atLeast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E4BF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Ministarstvo zaštite okoliša i energetike</w:t>
            </w:r>
          </w:p>
        </w:tc>
      </w:tr>
    </w:tbl>
    <w:p w:rsidR="00DB2374" w:rsidRPr="009E4BF6" w:rsidRDefault="00DB2374" w:rsidP="00DB2374">
      <w:pPr>
        <w:spacing w:before="120" w:after="120" w:line="30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E4BF6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DB2374" w:rsidRPr="009E4BF6" w:rsidTr="0040599B">
        <w:tc>
          <w:tcPr>
            <w:tcW w:w="1985" w:type="dxa"/>
          </w:tcPr>
          <w:p w:rsidR="00DB2374" w:rsidRPr="009E4BF6" w:rsidRDefault="00DB2374" w:rsidP="0040599B">
            <w:pPr>
              <w:spacing w:before="120" w:after="120" w:line="300" w:lineRule="atLeast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E4BF6">
              <w:rPr>
                <w:rFonts w:ascii="Times New Roman" w:eastAsia="MS Mincho" w:hAnsi="Times New Roman"/>
                <w:b/>
                <w:smallCaps/>
                <w:sz w:val="24"/>
                <w:szCs w:val="24"/>
                <w:lang w:eastAsia="ja-JP"/>
              </w:rPr>
              <w:t>Predmet</w:t>
            </w:r>
            <w:r w:rsidRPr="009E4BF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087" w:type="dxa"/>
          </w:tcPr>
          <w:p w:rsidR="00DB2374" w:rsidRPr="009E4BF6" w:rsidRDefault="00DB2374" w:rsidP="008A2A92">
            <w:pPr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</w:pPr>
            <w:r w:rsidRPr="009E4BF6">
              <w:rPr>
                <w:rFonts w:ascii="Times New Roman" w:eastAsiaTheme="minorEastAsia" w:hAnsi="Times New Roman"/>
                <w:bCs/>
                <w:sz w:val="24"/>
                <w:szCs w:val="24"/>
                <w:lang w:eastAsia="hr-HR"/>
              </w:rPr>
              <w:t xml:space="preserve">Prijedlog </w:t>
            </w:r>
            <w:r w:rsidR="008A2A92">
              <w:rPr>
                <w:rFonts w:ascii="Times New Roman" w:eastAsiaTheme="minorEastAsia" w:hAnsi="Times New Roman"/>
                <w:bCs/>
                <w:sz w:val="24"/>
                <w:szCs w:val="24"/>
                <w:lang w:eastAsia="hr-HR"/>
              </w:rPr>
              <w:t>u</w:t>
            </w:r>
            <w:r w:rsidRPr="009E4BF6">
              <w:rPr>
                <w:rFonts w:ascii="Times New Roman" w:eastAsiaTheme="minorEastAsia" w:hAnsi="Times New Roman"/>
                <w:bCs/>
                <w:sz w:val="24"/>
                <w:szCs w:val="24"/>
                <w:lang w:eastAsia="hr-HR"/>
              </w:rPr>
              <w:t>redbe o izmjenama i dopuni Uredbe o tehničkim standardima zaštite okoliša za smanjenje emisija hlapivih organskih spojeva koje nastaju tijekom punjenja motornih vozila benzinom na benzinskim postajama</w:t>
            </w:r>
          </w:p>
        </w:tc>
      </w:tr>
    </w:tbl>
    <w:p w:rsidR="00DB2374" w:rsidRPr="009E4BF6" w:rsidRDefault="00DB2374" w:rsidP="00DB2374">
      <w:pPr>
        <w:spacing w:before="120" w:after="120" w:line="30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E4BF6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</w:t>
      </w:r>
    </w:p>
    <w:p w:rsidR="00DB2374" w:rsidRPr="009E4BF6" w:rsidRDefault="00DB2374" w:rsidP="00DB2374">
      <w:pPr>
        <w:spacing w:before="120" w:after="120" w:line="30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374" w:rsidRPr="009E4BF6" w:rsidRDefault="00DB2374" w:rsidP="00DB2374">
      <w:pPr>
        <w:spacing w:before="120" w:after="120" w:line="300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2374" w:rsidRPr="009E4BF6" w:rsidRDefault="00DB2374" w:rsidP="00DB2374">
      <w:pPr>
        <w:spacing w:before="120" w:after="120" w:line="300" w:lineRule="atLeast"/>
        <w:jc w:val="both"/>
        <w:rPr>
          <w:rFonts w:ascii="Arial" w:eastAsia="MS Mincho" w:hAnsi="Arial" w:cs="Times New Roman"/>
          <w:szCs w:val="24"/>
          <w:lang w:eastAsia="ja-JP"/>
        </w:rPr>
      </w:pPr>
    </w:p>
    <w:p w:rsidR="00DB2374" w:rsidRPr="009E4BF6" w:rsidRDefault="00DB2374" w:rsidP="00DB2374">
      <w:pPr>
        <w:tabs>
          <w:tab w:val="center" w:pos="4536"/>
          <w:tab w:val="right" w:pos="9072"/>
        </w:tabs>
        <w:spacing w:before="120" w:after="120" w:line="300" w:lineRule="atLeast"/>
        <w:jc w:val="both"/>
        <w:rPr>
          <w:rFonts w:ascii="Arial" w:eastAsia="MS Mincho" w:hAnsi="Arial" w:cs="Times New Roman"/>
          <w:szCs w:val="24"/>
          <w:lang w:eastAsia="ja-JP"/>
        </w:rPr>
      </w:pPr>
    </w:p>
    <w:p w:rsidR="00DB2374" w:rsidRPr="009E4BF6" w:rsidRDefault="00DB2374" w:rsidP="00DB2374">
      <w:pPr>
        <w:spacing w:before="120" w:after="120" w:line="300" w:lineRule="atLeast"/>
        <w:jc w:val="both"/>
        <w:rPr>
          <w:rFonts w:ascii="Arial" w:eastAsia="MS Mincho" w:hAnsi="Arial" w:cs="Times New Roman"/>
          <w:szCs w:val="24"/>
          <w:lang w:eastAsia="ja-JP"/>
        </w:rPr>
      </w:pPr>
    </w:p>
    <w:p w:rsidR="00DB2374" w:rsidRPr="009E4BF6" w:rsidRDefault="00DB2374" w:rsidP="00DB2374">
      <w:pPr>
        <w:tabs>
          <w:tab w:val="center" w:pos="4536"/>
          <w:tab w:val="right" w:pos="9072"/>
        </w:tabs>
        <w:spacing w:before="120" w:after="120" w:line="300" w:lineRule="atLeast"/>
        <w:jc w:val="both"/>
        <w:rPr>
          <w:rFonts w:ascii="Arial" w:eastAsia="MS Mincho" w:hAnsi="Arial" w:cs="Times New Roman"/>
          <w:szCs w:val="24"/>
          <w:lang w:eastAsia="ja-JP"/>
        </w:rPr>
      </w:pPr>
    </w:p>
    <w:p w:rsidR="00DB2374" w:rsidRPr="009E4BF6" w:rsidRDefault="00DB2374" w:rsidP="00DB2374">
      <w:pPr>
        <w:tabs>
          <w:tab w:val="center" w:pos="4536"/>
          <w:tab w:val="right" w:pos="9072"/>
        </w:tabs>
        <w:spacing w:before="120" w:after="120" w:line="300" w:lineRule="atLeast"/>
        <w:jc w:val="both"/>
        <w:rPr>
          <w:rFonts w:ascii="Arial" w:eastAsia="MS Mincho" w:hAnsi="Arial" w:cs="Times New Roman"/>
          <w:szCs w:val="24"/>
          <w:lang w:eastAsia="ja-JP"/>
        </w:rPr>
      </w:pPr>
    </w:p>
    <w:p w:rsidR="00DB2374" w:rsidRPr="009E4BF6" w:rsidRDefault="00DB2374" w:rsidP="00DB2374">
      <w:pPr>
        <w:tabs>
          <w:tab w:val="center" w:pos="4536"/>
          <w:tab w:val="right" w:pos="9072"/>
        </w:tabs>
        <w:spacing w:before="120" w:after="120" w:line="300" w:lineRule="atLeast"/>
        <w:jc w:val="both"/>
        <w:rPr>
          <w:rFonts w:ascii="Arial" w:eastAsia="MS Mincho" w:hAnsi="Arial" w:cs="Times New Roman"/>
          <w:szCs w:val="24"/>
          <w:lang w:eastAsia="ja-JP"/>
        </w:rPr>
      </w:pPr>
    </w:p>
    <w:p w:rsidR="00DB2374" w:rsidRPr="009E4BF6" w:rsidRDefault="00DB2374" w:rsidP="00DB2374">
      <w:pPr>
        <w:tabs>
          <w:tab w:val="center" w:pos="4536"/>
          <w:tab w:val="right" w:pos="9072"/>
        </w:tabs>
        <w:spacing w:before="120" w:after="120" w:line="300" w:lineRule="atLeast"/>
        <w:jc w:val="both"/>
        <w:rPr>
          <w:rFonts w:ascii="Arial" w:eastAsia="MS Mincho" w:hAnsi="Arial" w:cs="Times New Roman"/>
          <w:szCs w:val="24"/>
          <w:lang w:eastAsia="ja-JP"/>
        </w:rPr>
      </w:pPr>
    </w:p>
    <w:p w:rsidR="00DB2374" w:rsidRPr="009E4BF6" w:rsidRDefault="00DB2374" w:rsidP="00DB2374">
      <w:pPr>
        <w:tabs>
          <w:tab w:val="center" w:pos="4536"/>
          <w:tab w:val="right" w:pos="9072"/>
        </w:tabs>
        <w:spacing w:before="120" w:after="120" w:line="300" w:lineRule="atLeast"/>
        <w:jc w:val="both"/>
        <w:rPr>
          <w:rFonts w:ascii="Arial" w:eastAsia="MS Mincho" w:hAnsi="Arial" w:cs="Times New Roman"/>
          <w:szCs w:val="24"/>
          <w:lang w:eastAsia="ja-JP"/>
        </w:rPr>
      </w:pPr>
    </w:p>
    <w:p w:rsidR="00DB2374" w:rsidRPr="009E4BF6" w:rsidRDefault="00DB2374" w:rsidP="00DB2374">
      <w:pPr>
        <w:tabs>
          <w:tab w:val="center" w:pos="4536"/>
          <w:tab w:val="right" w:pos="9072"/>
        </w:tabs>
        <w:spacing w:before="120" w:after="120" w:line="300" w:lineRule="atLeast"/>
        <w:jc w:val="both"/>
        <w:rPr>
          <w:rFonts w:ascii="Arial" w:eastAsia="MS Mincho" w:hAnsi="Arial" w:cs="Times New Roman"/>
          <w:szCs w:val="24"/>
          <w:lang w:eastAsia="ja-JP"/>
        </w:rPr>
      </w:pPr>
    </w:p>
    <w:p w:rsidR="00DB2374" w:rsidRPr="009E4BF6" w:rsidRDefault="00DB2374" w:rsidP="00DB2374">
      <w:pPr>
        <w:tabs>
          <w:tab w:val="center" w:pos="4536"/>
          <w:tab w:val="right" w:pos="9072"/>
        </w:tabs>
        <w:spacing w:before="120" w:after="120" w:line="300" w:lineRule="atLeast"/>
        <w:jc w:val="both"/>
        <w:rPr>
          <w:rFonts w:ascii="Arial" w:eastAsia="MS Mincho" w:hAnsi="Arial" w:cs="Times New Roman"/>
          <w:szCs w:val="24"/>
          <w:lang w:eastAsia="ja-JP"/>
        </w:rPr>
      </w:pPr>
    </w:p>
    <w:p w:rsidR="00DB2374" w:rsidRPr="009E4BF6" w:rsidRDefault="00DB2374" w:rsidP="00DB2374">
      <w:pPr>
        <w:pBdr>
          <w:top w:val="single" w:sz="4" w:space="1" w:color="404040"/>
        </w:pBdr>
        <w:tabs>
          <w:tab w:val="center" w:pos="4536"/>
          <w:tab w:val="right" w:pos="9072"/>
        </w:tabs>
        <w:spacing w:before="120" w:after="120" w:line="300" w:lineRule="atLeast"/>
        <w:jc w:val="center"/>
        <w:rPr>
          <w:rFonts w:ascii="Times New Roman" w:eastAsia="MS Mincho" w:hAnsi="Times New Roman" w:cs="Times New Roman"/>
          <w:color w:val="404040"/>
          <w:spacing w:val="20"/>
          <w:lang w:eastAsia="ja-JP"/>
        </w:rPr>
      </w:pPr>
      <w:r w:rsidRPr="009E4BF6">
        <w:rPr>
          <w:rFonts w:ascii="Times New Roman" w:eastAsia="MS Mincho" w:hAnsi="Times New Roman" w:cs="Times New Roman"/>
          <w:color w:val="404040"/>
          <w:spacing w:val="20"/>
          <w:lang w:eastAsia="ja-JP"/>
        </w:rPr>
        <w:t>Banski dvori | Trg Sv. Marka 2  | 10000 Zagreb | tel. 01 4569 222 | vlada.gov.hr</w:t>
      </w:r>
    </w:p>
    <w:p w:rsidR="00CE52CF" w:rsidRDefault="008A2A92" w:rsidP="008A2A9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>Prijedlog</w:t>
      </w:r>
    </w:p>
    <w:p w:rsidR="008A2A92" w:rsidRDefault="008A2A92" w:rsidP="008A2A9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867496" w:rsidRPr="00A511AA" w:rsidRDefault="00CB1298" w:rsidP="007F4E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Na temelju članka 61. stav</w:t>
      </w:r>
      <w:r w:rsidR="00EB7FDE"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ka 6.</w:t>
      </w:r>
      <w:r w:rsidR="00EB7FD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7.</w:t>
      </w:r>
      <w:r w:rsidR="00572AA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Zakona o zaštiti okoliša („Narodne novine“</w:t>
      </w:r>
      <w:r w:rsidR="00AE303E"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broj </w:t>
      </w:r>
      <w:r w:rsidR="0098143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80/13, 153/13, </w:t>
      </w:r>
      <w:r w:rsidR="00AE303E"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>78/15</w:t>
      </w:r>
      <w:r w:rsidR="00C54401">
        <w:rPr>
          <w:rFonts w:ascii="Times New Roman" w:eastAsiaTheme="minorEastAsia" w:hAnsi="Times New Roman" w:cs="Times New Roman"/>
          <w:sz w:val="24"/>
          <w:szCs w:val="24"/>
          <w:lang w:eastAsia="hr-HR"/>
        </w:rPr>
        <w:t>,</w:t>
      </w:r>
      <w:r w:rsidR="0098143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12/18</w:t>
      </w:r>
      <w:r w:rsidR="00C5440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118/18</w:t>
      </w:r>
      <w:r w:rsidR="00AE303E"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>), Vlada Republike Hrvatske je na s</w:t>
      </w:r>
      <w:r w:rsidR="00CE52CF">
        <w:rPr>
          <w:rFonts w:ascii="Times New Roman" w:eastAsiaTheme="minorEastAsia" w:hAnsi="Times New Roman" w:cs="Times New Roman"/>
          <w:sz w:val="24"/>
          <w:szCs w:val="24"/>
          <w:lang w:eastAsia="hr-HR"/>
        </w:rPr>
        <w:t>jednici održanoj __________ 2019</w:t>
      </w:r>
      <w:r w:rsidR="00AE303E"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>. godine donijela</w:t>
      </w:r>
    </w:p>
    <w:p w:rsidR="00390A84" w:rsidRPr="00A511AA" w:rsidRDefault="00390A84" w:rsidP="007F4E4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867496" w:rsidRPr="00A511AA" w:rsidRDefault="00867496" w:rsidP="007F4E4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>  </w:t>
      </w:r>
    </w:p>
    <w:p w:rsidR="00867496" w:rsidRPr="00A511AA" w:rsidRDefault="00AE303E" w:rsidP="007F4E4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511AA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Uredbu </w:t>
      </w:r>
      <w:r w:rsidRPr="00C54401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o</w:t>
      </w:r>
      <w:r w:rsidR="00BB79D7" w:rsidRPr="00C54401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73E3D" w:rsidRPr="00C54401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izmjenama</w:t>
      </w:r>
      <w:r w:rsidR="00BB79D7" w:rsidRPr="00C54401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 i</w:t>
      </w:r>
      <w:r w:rsidRPr="00C54401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3553D" w:rsidRPr="00C54401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dopun</w:t>
      </w:r>
      <w:r w:rsidR="00BB79D7" w:rsidRPr="00C54401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i</w:t>
      </w:r>
      <w:r w:rsidR="00A3553D" w:rsidRPr="00C54401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67496" w:rsidRPr="00C54401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Uredbe </w:t>
      </w:r>
    </w:p>
    <w:p w:rsidR="00867496" w:rsidRPr="00A511AA" w:rsidRDefault="00AE303E" w:rsidP="007F4E4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511AA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o tehničkim standardima zaštite okoliša za smanjenje emisija hlapivih organskih spojeva koje nastaju tijekom punjenja motornih vozila benzinom na benzinskim postajama</w:t>
      </w:r>
    </w:p>
    <w:p w:rsidR="007F4E4D" w:rsidRPr="00A511AA" w:rsidRDefault="007F4E4D" w:rsidP="007F4E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:rsidR="00390A84" w:rsidRPr="00A511AA" w:rsidRDefault="00390A84" w:rsidP="007F4E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:rsidR="00867496" w:rsidRPr="00A511AA" w:rsidRDefault="00867496" w:rsidP="007F4E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A511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Članak 1. </w:t>
      </w:r>
    </w:p>
    <w:p w:rsidR="007F4E4D" w:rsidRPr="00A511AA" w:rsidRDefault="007F4E4D" w:rsidP="007F4E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867496" w:rsidRPr="00A511AA" w:rsidRDefault="00867496" w:rsidP="001C714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Uredbi </w:t>
      </w:r>
      <w:r w:rsidR="00AE303E"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>o tehničkim standardima zaštite okoliša za smanjenje emisija hlapivih organskih spojeva koje nastaju tijekom punjenja motornih vozila benzinom na benzinskim postajama</w:t>
      </w:r>
      <w:r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(„Narodne novine“, broj </w:t>
      </w:r>
      <w:r w:rsidR="00AE303E"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>44/16</w:t>
      </w:r>
      <w:r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), </w:t>
      </w:r>
      <w:r w:rsidR="00AE303E"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>u član</w:t>
      </w:r>
      <w:r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>k</w:t>
      </w:r>
      <w:r w:rsidR="00AE303E"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>u 3</w:t>
      </w:r>
      <w:r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 w:rsidR="00AE303E"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točka 5.</w:t>
      </w:r>
      <w:r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mijenja se i glasi:</w:t>
      </w:r>
    </w:p>
    <w:p w:rsidR="007F4E4D" w:rsidRPr="00A511AA" w:rsidRDefault="007F4E4D" w:rsidP="007F4E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F4E4D" w:rsidRPr="00A511AA" w:rsidRDefault="00867496" w:rsidP="007F4E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>„</w:t>
      </w:r>
      <w:r w:rsidR="00BB79D7"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>5. inspekcijska tijela vrste A i C su pravne osobe akreditirane</w:t>
      </w:r>
      <w:r w:rsidR="00AE303E"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prema hrvatskoj normi koja utvrđuje zahtjeve za </w:t>
      </w:r>
      <w:r w:rsidR="00BB79D7"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>rad različitih vrsta tijela koja</w:t>
      </w:r>
      <w:r w:rsidR="00AE303E"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provode inspekciju</w:t>
      </w:r>
      <w:r w:rsidR="00A3553D"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>“</w:t>
      </w:r>
      <w:r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:rsidR="00390A84" w:rsidRPr="00A511AA" w:rsidRDefault="00390A84" w:rsidP="007F4E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867496" w:rsidRPr="00A511AA" w:rsidRDefault="00867496" w:rsidP="004608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A511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Članak 2.</w:t>
      </w:r>
    </w:p>
    <w:p w:rsidR="007F4E4D" w:rsidRPr="00A511AA" w:rsidRDefault="007F4E4D" w:rsidP="007F4E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90A84" w:rsidRPr="00A511AA" w:rsidRDefault="00867496" w:rsidP="001C714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članku 6. </w:t>
      </w:r>
      <w:r w:rsidR="00BB79D7"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>stavku 5</w:t>
      </w:r>
      <w:r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 w:rsidR="00BB79D7"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>iza riječi „vrste A“ dodaju se riječi</w:t>
      </w:r>
      <w:r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: </w:t>
      </w:r>
      <w:r w:rsidR="00BB79D7"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>„i/ili vrste C</w:t>
      </w:r>
      <w:r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.“ </w:t>
      </w:r>
    </w:p>
    <w:p w:rsidR="00390A84" w:rsidRDefault="00390A84" w:rsidP="007F4E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60891" w:rsidRPr="00460891" w:rsidRDefault="00460891" w:rsidP="004608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60891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Članak 3.</w:t>
      </w:r>
    </w:p>
    <w:p w:rsidR="00460891" w:rsidRDefault="00460891" w:rsidP="007F4E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60891" w:rsidRDefault="00460891" w:rsidP="001C714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 članku 8. stavku 1. riječi „Hrvatskoj agenciji za okoliš i prirodu (u daljnjem tekstu: Agencija)“ zamjenjuju se riječima: „</w:t>
      </w:r>
      <w:r w:rsidR="004C17CF">
        <w:rPr>
          <w:rFonts w:ascii="Times New Roman" w:eastAsiaTheme="minorEastAsia" w:hAnsi="Times New Roman" w:cs="Times New Roman"/>
          <w:sz w:val="24"/>
          <w:szCs w:val="24"/>
          <w:lang w:eastAsia="hr-HR"/>
        </w:rPr>
        <w:t>ministarstvu nadležnom za zaštitu okoliša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(u daljnjem tekstu: Ministarstvo)“.</w:t>
      </w:r>
    </w:p>
    <w:p w:rsidR="00460891" w:rsidRDefault="00460891" w:rsidP="001C714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 stav</w:t>
      </w:r>
      <w:r w:rsidR="00ED6CD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cima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2.</w:t>
      </w:r>
      <w:r w:rsidR="00ED6CD7">
        <w:rPr>
          <w:rFonts w:ascii="Times New Roman" w:eastAsiaTheme="minorEastAsia" w:hAnsi="Times New Roman" w:cs="Times New Roman"/>
          <w:sz w:val="24"/>
          <w:szCs w:val="24"/>
          <w:lang w:eastAsia="hr-HR"/>
        </w:rPr>
        <w:t>, 3., 4., i 5.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riječ „</w:t>
      </w:r>
      <w:r w:rsidR="00A73E3D">
        <w:rPr>
          <w:rFonts w:ascii="Times New Roman" w:eastAsiaTheme="minorEastAsia" w:hAnsi="Times New Roman" w:cs="Times New Roman"/>
          <w:sz w:val="24"/>
          <w:szCs w:val="24"/>
          <w:lang w:eastAsia="hr-HR"/>
        </w:rPr>
        <w:t>Agencija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“ zamje</w:t>
      </w:r>
      <w:r w:rsidR="00A73E3D">
        <w:rPr>
          <w:rFonts w:ascii="Times New Roman" w:eastAsiaTheme="minorEastAsia" w:hAnsi="Times New Roman" w:cs="Times New Roman"/>
          <w:sz w:val="24"/>
          <w:szCs w:val="24"/>
          <w:lang w:eastAsia="hr-HR"/>
        </w:rPr>
        <w:t>njuje se riječju: „Ministarstvo“.</w:t>
      </w:r>
    </w:p>
    <w:p w:rsidR="00A73E3D" w:rsidRPr="00A511AA" w:rsidRDefault="00A73E3D" w:rsidP="007F4E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F4542" w:rsidRPr="00A511AA" w:rsidRDefault="00A73E3D" w:rsidP="005F45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Članak 4</w:t>
      </w:r>
      <w:r w:rsidR="005F4542" w:rsidRPr="00A511AA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:rsidR="005F4542" w:rsidRPr="00A511AA" w:rsidRDefault="005F4542" w:rsidP="007F4E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5F4542" w:rsidRPr="00A511AA" w:rsidRDefault="005F4542" w:rsidP="001C714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Članak 10. briše se.</w:t>
      </w:r>
    </w:p>
    <w:p w:rsidR="00A73E3D" w:rsidRPr="00A511AA" w:rsidRDefault="00A73E3D" w:rsidP="007F4E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867496" w:rsidRPr="00A511AA" w:rsidRDefault="00A73E3D" w:rsidP="007F4E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Članak 5</w:t>
      </w:r>
      <w:r w:rsidR="00867496" w:rsidRPr="00A511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. </w:t>
      </w:r>
    </w:p>
    <w:p w:rsidR="007F4E4D" w:rsidRPr="00A511AA" w:rsidRDefault="007F4E4D" w:rsidP="007F4E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867496" w:rsidRPr="00A511AA" w:rsidRDefault="00867496" w:rsidP="001C714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511A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Ova Uredba stupa na snagu </w:t>
      </w:r>
      <w:r w:rsidR="00073369">
        <w:rPr>
          <w:rFonts w:ascii="Times New Roman" w:eastAsiaTheme="minorEastAsia" w:hAnsi="Times New Roman" w:cs="Times New Roman"/>
          <w:sz w:val="24"/>
          <w:szCs w:val="24"/>
          <w:lang w:eastAsia="hr-HR"/>
        </w:rPr>
        <w:t>osmog</w:t>
      </w:r>
      <w:r w:rsidR="00572AAC"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="0007336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dana o</w:t>
      </w:r>
      <w:r w:rsidR="00572AAC">
        <w:rPr>
          <w:rFonts w:ascii="Times New Roman" w:eastAsiaTheme="minorEastAsia" w:hAnsi="Times New Roman" w:cs="Times New Roman"/>
          <w:sz w:val="24"/>
          <w:szCs w:val="24"/>
          <w:lang w:eastAsia="hr-HR"/>
        </w:rPr>
        <w:t>d</w:t>
      </w:r>
      <w:r w:rsidR="0007336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dana objave u </w:t>
      </w:r>
      <w:r w:rsidR="00572AAC">
        <w:rPr>
          <w:rFonts w:ascii="Times New Roman" w:eastAsiaTheme="minorEastAsia" w:hAnsi="Times New Roman" w:cs="Times New Roman"/>
          <w:sz w:val="24"/>
          <w:szCs w:val="24"/>
          <w:lang w:eastAsia="hr-HR"/>
        </w:rPr>
        <w:t>„</w:t>
      </w:r>
      <w:r w:rsidR="00073369">
        <w:rPr>
          <w:rFonts w:ascii="Times New Roman" w:eastAsiaTheme="minorEastAsia" w:hAnsi="Times New Roman" w:cs="Times New Roman"/>
          <w:sz w:val="24"/>
          <w:szCs w:val="24"/>
          <w:lang w:eastAsia="hr-HR"/>
        </w:rPr>
        <w:t>Narodnim novinama</w:t>
      </w:r>
      <w:r w:rsidR="00572AAC">
        <w:rPr>
          <w:rFonts w:ascii="Times New Roman" w:eastAsiaTheme="minorEastAsia" w:hAnsi="Times New Roman" w:cs="Times New Roman"/>
          <w:sz w:val="24"/>
          <w:szCs w:val="24"/>
          <w:lang w:eastAsia="hr-HR"/>
        </w:rPr>
        <w:t>“</w:t>
      </w:r>
      <w:r w:rsidR="00073369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:rsidR="00867496" w:rsidRPr="002D2CF6" w:rsidRDefault="00867496" w:rsidP="007F4E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D2CF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  </w:t>
      </w:r>
    </w:p>
    <w:p w:rsidR="00867496" w:rsidRPr="00294A2B" w:rsidRDefault="006B6FD8" w:rsidP="007F4E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KLASA:</w:t>
      </w:r>
    </w:p>
    <w:p w:rsidR="00867496" w:rsidRPr="00294A2B" w:rsidRDefault="00867496" w:rsidP="007F4E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94A2B">
        <w:rPr>
          <w:rFonts w:ascii="Times New Roman" w:eastAsiaTheme="minorEastAsia" w:hAnsi="Times New Roman" w:cs="Times New Roman"/>
          <w:sz w:val="24"/>
          <w:szCs w:val="24"/>
          <w:lang w:eastAsia="hr-HR"/>
        </w:rPr>
        <w:t>URBROJ:</w:t>
      </w:r>
      <w:r w:rsidR="0007336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:rsidR="000B2C5C" w:rsidRDefault="00073369" w:rsidP="007F4E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Zagreb,</w:t>
      </w:r>
      <w:r w:rsidR="006B6FD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:rsidR="00390A84" w:rsidRDefault="00A73E3D" w:rsidP="007F4E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:rsidR="006B6FD8" w:rsidRPr="002D2CF6" w:rsidRDefault="006B6FD8" w:rsidP="007F4E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867496" w:rsidRPr="002D2CF6" w:rsidRDefault="00390A84" w:rsidP="007F4E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2D2CF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</w:t>
      </w:r>
      <w:r w:rsidRPr="002D2CF6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D2CF6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2D2CF6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867496" w:rsidRPr="002D2CF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Predsjednik </w:t>
      </w:r>
    </w:p>
    <w:p w:rsidR="00867496" w:rsidRPr="00390A84" w:rsidRDefault="00867496" w:rsidP="007F4E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2D2CF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      </w:t>
      </w:r>
      <w:r w:rsidR="00390A84" w:rsidRPr="002D2CF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ab/>
      </w:r>
      <w:r w:rsidR="00390A84" w:rsidRPr="002D2CF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ab/>
      </w:r>
      <w:r w:rsidR="00390A84" w:rsidRPr="002D2CF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ab/>
        <w:t xml:space="preserve">mr. sc. </w:t>
      </w:r>
      <w:r w:rsidRPr="002D2CF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Andrej Plenković </w:t>
      </w:r>
      <w:r w:rsidR="00390A84" w:rsidRPr="002D2CF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, v. r.</w:t>
      </w:r>
    </w:p>
    <w:p w:rsidR="006B6FD8" w:rsidRDefault="00867496" w:rsidP="00C0770E">
      <w:pPr>
        <w:pStyle w:val="BodyText"/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86749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  </w:t>
      </w:r>
    </w:p>
    <w:p w:rsidR="00A03C30" w:rsidRDefault="00A03C30" w:rsidP="00C0770E">
      <w:pPr>
        <w:pStyle w:val="BodyText"/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03C30" w:rsidRDefault="00A03C30" w:rsidP="00A03C30">
      <w:pPr>
        <w:pStyle w:val="BodyTex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D21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OBRAZLOŽENJE: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A03C30" w:rsidRPr="0090062E" w:rsidRDefault="00A03C30" w:rsidP="00A03C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44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Uredba o izmjenama i dopuni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važeće </w:t>
      </w:r>
      <w:r w:rsidRPr="00B1044F">
        <w:rPr>
          <w:rFonts w:ascii="Times New Roman" w:eastAsiaTheme="minorEastAsia" w:hAnsi="Times New Roman" w:cs="Times New Roman"/>
          <w:sz w:val="24"/>
          <w:szCs w:val="24"/>
          <w:lang w:eastAsia="hr-HR"/>
        </w:rPr>
        <w:t>Uredbe</w:t>
      </w:r>
      <w:r w:rsidRPr="00B1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1044F">
        <w:rPr>
          <w:rFonts w:ascii="Times New Roman" w:eastAsiaTheme="minorEastAsia" w:hAnsi="Times New Roman" w:cs="Times New Roman"/>
          <w:sz w:val="24"/>
          <w:szCs w:val="24"/>
          <w:lang w:eastAsia="hr-HR"/>
        </w:rPr>
        <w:t>o tehničkim standardima zaštite okoliša za smanjenje emisija hlapivih organskih spojeva koje nastaju tijekom punjenja motornih vozila benzinom na benzinskim postajama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(Narodne novine, broj 44/16)</w:t>
      </w:r>
      <w:r w:rsidRPr="00B1044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se donosi temeljem članka 61. stavaka 6. i 7. </w:t>
      </w:r>
      <w:r w:rsidRPr="00B1044F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zaštiti okoliša (Narodne novine, broj 80/13, 153/13, 78/15, 12/18 i 118/18).</w:t>
      </w:r>
    </w:p>
    <w:p w:rsidR="00A03C30" w:rsidRDefault="00A03C30" w:rsidP="00A03C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5E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Važećom Uredbom je osim obveznog prenošenja odredbi EU direktiva u nacionalno zakonodavstvo i tehničko usklađivanje sa istima (uvođenje EU normi u propis), propisana i nadležnost za provođenje ispitivanja učinkovitosti sustava za povrat benzinskih para tijekom rada na benzinskoj postaji. Uredbom je propisano da sustav ispitivanja i održavanja (servisa) i nadzora (kontrole) rada navedenih uređaja i opreme za povrat benzinskih para prema normi HRN EN 16321-2:2013 provode Inspekcijska tijela vrste A akreditirana prema normi HRN EN 17020, a umjesto Inspekcijskih tijela vrsta A, B i C koja su te poslove obavljali do 31. prosinca 2017. godine. </w:t>
      </w:r>
    </w:p>
    <w:p w:rsidR="00A03C30" w:rsidRDefault="00A03C30" w:rsidP="00A03C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Norma ISO/IEC 17020 „</w:t>
      </w:r>
      <w:r w:rsidRPr="00A9023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Opći zahtjevi za rad različitih vrsta tijela koja provode inspekciju“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,</w:t>
      </w:r>
      <w:r w:rsidRPr="00A90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propisuje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opće </w:t>
      </w:r>
      <w:r w:rsidRPr="00A90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zahtjeve koje moraju ispunjavati inspekcijska tijela</w:t>
      </w:r>
      <w:r w:rsidRPr="00C24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 bi obavljala poslove definirane pojedinim normama (npr. norma HRN EN 16321)</w:t>
      </w:r>
      <w:r w:rsidRPr="00A90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Među ostalim zahtjevima propisuje se zahtjev vezan za neovisnost koji glasi </w:t>
      </w:r>
      <w:r w:rsidRPr="00A9023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"Inspekcijsko tijelo mora biti neovisno u mjeri koja se zahtijeva s obzirom na uvjete u kojima obavlja svoje usluge. Ovisno o tim uvjetima, ono mora zadovoljit minimalne kriterije ustanovljene u jednom od dodataka A, B ili C. </w:t>
      </w:r>
      <w:r w:rsidRPr="002E476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Osnovna razlika između Inspekcijskih tijela vrste A i C je da je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Inspekcijsko tijelo vrste A </w:t>
      </w:r>
      <w:r w:rsidRPr="00A555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neovisna treća strana i provodi samo inspekciju drugima.</w:t>
      </w:r>
      <w:r w:rsidRPr="00A5552A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 </w:t>
      </w:r>
      <w:r w:rsidRPr="00A555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Inspekcijsko tijelo vrste C provodi inspekciju trećim stranama i još obavlja djelatnosti u svojoj organizaciji vezane iz područja inspekcije.</w:t>
      </w:r>
      <w:r w:rsidRPr="00393C5C">
        <w:rPr>
          <w:rFonts w:ascii="Times New Roman" w:eastAsia="Times New Roman" w:hAnsi="Times New Roman" w:cs="Times New Roman"/>
          <w:b/>
          <w:sz w:val="24"/>
          <w:szCs w:val="24"/>
          <w:lang w:val="sq-AL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hr-HR"/>
        </w:rPr>
        <w:t xml:space="preserve">Nadalje je u suradnji sa Hrvatskom akreditacijskom agencijom kao stručnim tijelom </w:t>
      </w:r>
      <w:r w:rsidRPr="00D604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dodjelu akreditacija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pravnim osobama i provjeru istih</w:t>
      </w:r>
      <w:r w:rsidRPr="00D604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hr-HR"/>
        </w:rPr>
        <w:t>utvrđeno</w:t>
      </w:r>
      <w:r w:rsidRPr="00FD2135">
        <w:rPr>
          <w:rFonts w:ascii="Times New Roman" w:eastAsia="Times New Roman" w:hAnsi="Times New Roman" w:cs="Times New Roman"/>
          <w:b/>
          <w:sz w:val="24"/>
          <w:szCs w:val="24"/>
          <w:lang w:val="sq-AL" w:eastAsia="hr-HR"/>
        </w:rPr>
        <w:t xml:space="preserve"> da u provedbi akreditiranih inspekcijskih metoda i razini stručnosti inspekcijskog osoblja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hr-HR"/>
        </w:rPr>
        <w:t xml:space="preserve"> kao i</w:t>
      </w:r>
      <w:r w:rsidRPr="00FD2135">
        <w:rPr>
          <w:rFonts w:ascii="Times New Roman" w:eastAsia="Times New Roman" w:hAnsi="Times New Roman" w:cs="Times New Roman"/>
          <w:b/>
          <w:sz w:val="24"/>
          <w:szCs w:val="24"/>
          <w:lang w:val="sq-AL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hr-HR"/>
        </w:rPr>
        <w:t xml:space="preserve">u tehničkoj opremljenosti </w:t>
      </w:r>
      <w:r w:rsidRPr="00FD2135">
        <w:rPr>
          <w:rFonts w:ascii="Times New Roman" w:eastAsia="Times New Roman" w:hAnsi="Times New Roman" w:cs="Times New Roman"/>
          <w:b/>
          <w:sz w:val="24"/>
          <w:szCs w:val="24"/>
          <w:lang w:val="sq-AL" w:eastAsia="hr-HR"/>
        </w:rPr>
        <w:t xml:space="preserve">nema razlika te da oba inspekcijska tijela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hr-HR"/>
        </w:rPr>
        <w:t>vrste A i C imaju akreditiranu i zagarantiranu</w:t>
      </w:r>
      <w:r w:rsidRPr="00FD2135">
        <w:rPr>
          <w:rFonts w:ascii="Times New Roman" w:eastAsia="Times New Roman" w:hAnsi="Times New Roman" w:cs="Times New Roman"/>
          <w:b/>
          <w:sz w:val="24"/>
          <w:szCs w:val="24"/>
          <w:lang w:val="sq-AL" w:eastAsia="hr-HR"/>
        </w:rPr>
        <w:t xml:space="preserve"> razinu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hr-HR"/>
        </w:rPr>
        <w:t xml:space="preserve">osposobljenosti i </w:t>
      </w:r>
      <w:r w:rsidRPr="00FD2135">
        <w:rPr>
          <w:rFonts w:ascii="Times New Roman" w:eastAsia="Times New Roman" w:hAnsi="Times New Roman" w:cs="Times New Roman"/>
          <w:b/>
          <w:sz w:val="24"/>
          <w:szCs w:val="24"/>
          <w:lang w:val="sq-AL" w:eastAsia="hr-HR"/>
        </w:rPr>
        <w:t>nepristranosti koja je potrebna z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hr-HR"/>
        </w:rPr>
        <w:t>a provedbu i kontrolu. Razlika između akrediranih inspekcijskih tijela vrste A i C za predmetne poslove nije u razini stručnosti već vrsta A nije ni na koji način povezana sa bilo kojom organizacijom dok vrsta C pripada matičnom organizaciji, ali su jasno poslovno odvojeni i neovisni od ostalih aktivnosti te isto dokazuju načinom rada i akreditacijom.</w:t>
      </w:r>
      <w:r w:rsidRPr="00C24C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A03C30" w:rsidRPr="00393C5C" w:rsidRDefault="00A03C30" w:rsidP="00A03C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D604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bveza provedbe ispitivanja učinkovitosti sustava prema zadanoj normi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HRN EN 16321</w:t>
      </w:r>
      <w:r w:rsidRPr="00D604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je propisana obveza iz direktive te nije oblik preklapanja sa nadležnostima državnog inspektorata. Naime, izvješća o ispitivanjima učinkovitosti koja su izdana od gore navedenih neovisnih inspekcijskih tijela su obveznici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(vlasnici benzinskih postaja) </w:t>
      </w:r>
      <w:r w:rsidRPr="00D604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dužni pokazati inspektoru državnog inspektorata pri njegovom inspekcijskom pregledu.</w:t>
      </w:r>
    </w:p>
    <w:p w:rsidR="00A03C30" w:rsidRPr="002E4767" w:rsidRDefault="00A03C30" w:rsidP="00A03C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5E8A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je trenutno u RH osposobljeno i akreditirano samo dva inspekcijska tijela vrste A (Zavod za ispitivanje kvalitete d.o.o., Croatiainspect d.d.) te pet akreditiranih inspekcijskih tijela vrste C (STSi 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</w:t>
      </w:r>
      <w:r w:rsidRPr="00D15E8A">
        <w:rPr>
          <w:rFonts w:ascii="Times New Roman" w:eastAsia="Times New Roman" w:hAnsi="Times New Roman" w:cs="Times New Roman"/>
          <w:sz w:val="24"/>
          <w:szCs w:val="24"/>
          <w:lang w:eastAsia="hr-HR"/>
        </w:rPr>
        <w:t>tegrirani tehnički servisi d.o.o., Scheidt i Bachmann Tubs d.o.o., EOL Grupa d.o.o., GIA HRVATSKA d.o.o., PIRAEX d.o.o.), Ministarstvo zaštite okoliša i energetike je nakon konzultacija sa Hrvatskom akreditacijskom agencijom kao nadležnim tijelom koje izdaje potvrde o akreditaciji za pojedina područja osposobljenosti, pristupilo izmjenama i dopuni važeće Uredbe kojom će se u potpunosti ukloniti mogućnost pojave problema u provedbi i funkcioniranju postojećeg sustava kontrole i održavanja, posebno zbog obveze obavljanja inspekcija na velikom broju benzinskim postaja u ograničenom razdoblju godine.</w:t>
      </w:r>
    </w:p>
    <w:p w:rsidR="00A03C30" w:rsidRDefault="00A03C30" w:rsidP="00A03C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Prijedlogom izmjena</w:t>
      </w:r>
      <w:r w:rsidRPr="00FD21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dopune Uredbe se omogućuje da uz Inspekcijska tijela vrste A, ispitivanja i nadzor provode i Inspekcijska tijela vrste C, a čime se proširuje broj pravnih osoba koje su osposobljene za navedene poslove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 se time </w:t>
      </w:r>
      <w:r w:rsidRPr="00FD21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zadržavanje postojeće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razine </w:t>
      </w:r>
      <w:r w:rsidRPr="00FD21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kvalitete rada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omogućuje i tržišno proširenje te potencijalno smanjenje financijskih troškova za obveznike (vlasnike benzinskih postaja)</w:t>
      </w:r>
      <w:r w:rsidRPr="00FD21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03C30" w:rsidRDefault="00A03C30" w:rsidP="00A03C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zaštite okoliša i energetike će zbog jasnijeg</w:t>
      </w:r>
      <w:r w:rsidRPr="00FA53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defini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ranja nadležnosti između Državnog inspektorata RH i akreditiranih inspekcijskih tijela vrste A i C, a time i bolje</w:t>
      </w:r>
      <w:r w:rsidRPr="00FA53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provedbe same Uredbe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A53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prilikom prvog postupka izmjena i/ili dopuna Zakona o zaštiti okoliša pristupiti doradi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navedenog.</w:t>
      </w:r>
    </w:p>
    <w:p w:rsidR="00A03C30" w:rsidRPr="00D15E8A" w:rsidRDefault="00A03C30" w:rsidP="00A03C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5E8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Prijedlogom izmjena i dopune Uredbe se ugrađuju i nove odredbe izmjena i dopuna Zakona o zaštiti okoliša (Narodne novine, broj 118/18) vezano uz ukidanje Hrvatske agencije za okoliš i prirodu i promjenu nadležnosti kojom poslove vođenja informacijskog sustava i prikupljanja podataka pravnih osoba preuzima Ministarstvo zaštite okoliša i energetike.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03C30" w:rsidRDefault="00A03C30" w:rsidP="00C0770E">
      <w:pPr>
        <w:pStyle w:val="BodyText"/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03C30" w:rsidRDefault="00A03C30" w:rsidP="00C0770E">
      <w:pPr>
        <w:pStyle w:val="BodyText"/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03C30" w:rsidRDefault="00A03C30" w:rsidP="00C0770E">
      <w:pPr>
        <w:pStyle w:val="BodyText"/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03C30" w:rsidRDefault="00A03C30" w:rsidP="00C0770E">
      <w:pPr>
        <w:pStyle w:val="BodyText"/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03C30" w:rsidRDefault="00A03C30" w:rsidP="00C0770E">
      <w:pPr>
        <w:pStyle w:val="BodyText"/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A03C30" w:rsidRPr="00C0770E" w:rsidRDefault="00A03C30" w:rsidP="00C0770E">
      <w:pPr>
        <w:pStyle w:val="BodyText"/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sectPr w:rsidR="00A03C30" w:rsidRPr="00C0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6"/>
    <w:rsid w:val="00047179"/>
    <w:rsid w:val="00051022"/>
    <w:rsid w:val="00073369"/>
    <w:rsid w:val="00074624"/>
    <w:rsid w:val="000B2C5C"/>
    <w:rsid w:val="00120E15"/>
    <w:rsid w:val="001566FE"/>
    <w:rsid w:val="001C714E"/>
    <w:rsid w:val="001D6947"/>
    <w:rsid w:val="00201D1C"/>
    <w:rsid w:val="0023757D"/>
    <w:rsid w:val="00294A2B"/>
    <w:rsid w:val="002A7CE9"/>
    <w:rsid w:val="002B71ED"/>
    <w:rsid w:val="002D2CF6"/>
    <w:rsid w:val="00370D4E"/>
    <w:rsid w:val="00390A84"/>
    <w:rsid w:val="004075B7"/>
    <w:rsid w:val="00430420"/>
    <w:rsid w:val="00460891"/>
    <w:rsid w:val="00491074"/>
    <w:rsid w:val="004A5945"/>
    <w:rsid w:val="004C17CF"/>
    <w:rsid w:val="00526F56"/>
    <w:rsid w:val="00572AAC"/>
    <w:rsid w:val="005F4542"/>
    <w:rsid w:val="00601E62"/>
    <w:rsid w:val="00642F07"/>
    <w:rsid w:val="00656779"/>
    <w:rsid w:val="006B6FD8"/>
    <w:rsid w:val="006E7AD5"/>
    <w:rsid w:val="00724549"/>
    <w:rsid w:val="007548F5"/>
    <w:rsid w:val="007A1EE8"/>
    <w:rsid w:val="007F4E4D"/>
    <w:rsid w:val="00856726"/>
    <w:rsid w:val="00867496"/>
    <w:rsid w:val="008A2A92"/>
    <w:rsid w:val="009622A1"/>
    <w:rsid w:val="00981436"/>
    <w:rsid w:val="00A03C30"/>
    <w:rsid w:val="00A3553D"/>
    <w:rsid w:val="00A511AA"/>
    <w:rsid w:val="00A64F76"/>
    <w:rsid w:val="00A67A95"/>
    <w:rsid w:val="00A73E3D"/>
    <w:rsid w:val="00A80A23"/>
    <w:rsid w:val="00AB42F7"/>
    <w:rsid w:val="00AE303E"/>
    <w:rsid w:val="00B202BE"/>
    <w:rsid w:val="00B27288"/>
    <w:rsid w:val="00BB79D7"/>
    <w:rsid w:val="00C0770E"/>
    <w:rsid w:val="00C54401"/>
    <w:rsid w:val="00CB1298"/>
    <w:rsid w:val="00CE52CF"/>
    <w:rsid w:val="00DB071F"/>
    <w:rsid w:val="00DB2374"/>
    <w:rsid w:val="00E00D47"/>
    <w:rsid w:val="00E326CB"/>
    <w:rsid w:val="00E55A66"/>
    <w:rsid w:val="00EB7FDE"/>
    <w:rsid w:val="00ED6CD7"/>
    <w:rsid w:val="00F97B1F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9C5B4-51F8-4F23-907A-4774429E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4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FD21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2135"/>
  </w:style>
  <w:style w:type="paragraph" w:customStyle="1" w:styleId="CharChar">
    <w:name w:val="Char Char"/>
    <w:basedOn w:val="Normal"/>
    <w:semiHidden/>
    <w:rsid w:val="00FD213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aliases w:val="Izvjescetablica"/>
    <w:basedOn w:val="TableNormal"/>
    <w:rsid w:val="00DB23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2CD770F-D7FB-4253-8FD6-4B44654B3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DED98-0A8A-49DA-867C-509182EEC7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9956B9-3D19-4617-AFB1-13035E3FD3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AB57CD-3B48-4ABB-9149-494D13381BA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Došen</dc:creator>
  <cp:keywords/>
  <dc:description/>
  <cp:lastModifiedBy>Vlatka Šelimber</cp:lastModifiedBy>
  <cp:revision>2</cp:revision>
  <cp:lastPrinted>2017-10-06T07:18:00Z</cp:lastPrinted>
  <dcterms:created xsi:type="dcterms:W3CDTF">2019-11-06T16:13:00Z</dcterms:created>
  <dcterms:modified xsi:type="dcterms:W3CDTF">2019-11-06T16:13:00Z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