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6E1B3E" w:rsidP="0023763F">
      <w:pPr>
        <w:spacing w:after="2400"/>
        <w:jc w:val="right"/>
      </w:pPr>
      <w:r>
        <w:t xml:space="preserve"> </w:t>
      </w:r>
      <w:r w:rsidR="00C337A4" w:rsidRPr="003A2F05">
        <w:t xml:space="preserve">Zagreb, </w:t>
      </w:r>
      <w:r w:rsidR="00B12A13">
        <w:t>8</w:t>
      </w:r>
      <w:r w:rsidR="00C337A4" w:rsidRPr="003A2F05">
        <w:t xml:space="preserve">. </w:t>
      </w:r>
      <w:r w:rsidR="00B12A13">
        <w:t>ožujka</w:t>
      </w:r>
      <w:r w:rsidR="00C337A4" w:rsidRPr="003A2F05">
        <w:t xml:space="preserve"> 201</w:t>
      </w:r>
      <w:r w:rsidR="002179F8" w:rsidRPr="003A2F05">
        <w:t>9</w:t>
      </w:r>
      <w:r w:rsidR="00C337A4"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B1613" w:rsidP="000350D9">
            <w:pPr>
              <w:spacing w:line="360" w:lineRule="auto"/>
            </w:pPr>
            <w:r>
              <w:t>Središnji državni ured za obnovu i stambeno zbrinjavanje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764DB" w:rsidP="00E764DB">
            <w:pPr>
              <w:spacing w:line="360" w:lineRule="auto"/>
            </w:pPr>
            <w:r>
              <w:t>P</w:t>
            </w:r>
            <w:r w:rsidR="004B1613">
              <w:t xml:space="preserve">rijedlog </w:t>
            </w:r>
            <w:r>
              <w:t>u</w:t>
            </w:r>
            <w:r w:rsidR="004B1613">
              <w:t>redbe o prodajnoj cijeni obiteljske kuće ili stana u državnom vlasništvu</w:t>
            </w:r>
            <w:r w:rsidR="000350D9">
              <w:t xml:space="preserve"> </w:t>
            </w:r>
            <w:r w:rsidR="006E1B3E" w:rsidRPr="006E1B3E">
              <w:t>kojima upravlja Središnji državni ured za obnovu i stambeno zbrinjavanje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D52B8" w:rsidRDefault="008D52B8" w:rsidP="00CE78D1">
      <w:pPr>
        <w:sectPr w:rsidR="008D52B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D52B8" w:rsidRPr="008D52B8" w:rsidRDefault="008D52B8" w:rsidP="008D52B8"/>
    <w:p w:rsidR="008D52B8" w:rsidRDefault="008D52B8" w:rsidP="008D52B8">
      <w:pPr>
        <w:tabs>
          <w:tab w:val="left" w:pos="2843"/>
        </w:tabs>
        <w:rPr>
          <w:b/>
          <w:bCs/>
        </w:rPr>
      </w:pPr>
      <w:r>
        <w:tab/>
      </w:r>
    </w:p>
    <w:p w:rsidR="008D52B8" w:rsidRPr="001B3096" w:rsidRDefault="008D52B8" w:rsidP="008D52B8">
      <w:pPr>
        <w:pBdr>
          <w:bottom w:val="single" w:sz="12" w:space="1" w:color="auto"/>
        </w:pBdr>
        <w:jc w:val="center"/>
        <w:rPr>
          <w:b/>
        </w:rPr>
      </w:pPr>
      <w:r w:rsidRPr="001B3096">
        <w:rPr>
          <w:b/>
        </w:rPr>
        <w:t>VLADA REPUBLIKE HRVATSKE</w:t>
      </w:r>
    </w:p>
    <w:p w:rsidR="008D52B8" w:rsidRPr="001B3096" w:rsidRDefault="008D52B8" w:rsidP="008D52B8">
      <w:pPr>
        <w:rPr>
          <w:b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1B3096" w:rsidRDefault="008D52B8" w:rsidP="008D52B8">
      <w:pPr>
        <w:rPr>
          <w:rFonts w:eastAsia="Calibri"/>
        </w:rPr>
      </w:pPr>
    </w:p>
    <w:p w:rsidR="008D52B8" w:rsidRPr="006E1B3E" w:rsidRDefault="006E1B3E" w:rsidP="008D52B8">
      <w:pPr>
        <w:jc w:val="center"/>
        <w:rPr>
          <w:b/>
        </w:rPr>
      </w:pPr>
      <w:r w:rsidRPr="006E1B3E">
        <w:rPr>
          <w:b/>
        </w:rPr>
        <w:t xml:space="preserve">UREDBA O PRODAJNOJ CIJENI OBITELJSKE KUĆE ILI STANA </w:t>
      </w:r>
    </w:p>
    <w:p w:rsidR="008D52B8" w:rsidRPr="006E1B3E" w:rsidRDefault="006E1B3E" w:rsidP="008D52B8">
      <w:pPr>
        <w:jc w:val="center"/>
        <w:rPr>
          <w:b/>
          <w:strike/>
        </w:rPr>
      </w:pPr>
      <w:r w:rsidRPr="006E1B3E">
        <w:rPr>
          <w:b/>
        </w:rPr>
        <w:t>U DRŽAVNOM VLASNIŠTVU KOJIMA UPRAVLJA SREDIŠNJI DRŽAVNI URED ZA OBNOVU I STAMBENO ZBRINJAVANJE</w:t>
      </w:r>
    </w:p>
    <w:p w:rsidR="008D52B8" w:rsidRPr="001B3096" w:rsidRDefault="008D52B8" w:rsidP="008D52B8">
      <w:pPr>
        <w:jc w:val="center"/>
        <w:rPr>
          <w:b/>
          <w:strike/>
        </w:rPr>
      </w:pPr>
    </w:p>
    <w:p w:rsidR="008D52B8" w:rsidRPr="001B3096" w:rsidRDefault="008D52B8" w:rsidP="008D52B8">
      <w:pPr>
        <w:jc w:val="center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Default="008D52B8" w:rsidP="008D52B8">
      <w:pPr>
        <w:jc w:val="both"/>
        <w:rPr>
          <w:b/>
        </w:rPr>
      </w:pPr>
    </w:p>
    <w:p w:rsidR="00AC6874" w:rsidRPr="001B3096" w:rsidRDefault="00AC6874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jc w:val="both"/>
        <w:rPr>
          <w:b/>
        </w:rPr>
      </w:pPr>
    </w:p>
    <w:p w:rsidR="008D52B8" w:rsidRPr="001B3096" w:rsidRDefault="008D52B8" w:rsidP="008D52B8">
      <w:pPr>
        <w:pBdr>
          <w:bottom w:val="single" w:sz="12" w:space="1" w:color="auto"/>
        </w:pBdr>
        <w:jc w:val="both"/>
        <w:rPr>
          <w:b/>
        </w:rPr>
      </w:pPr>
    </w:p>
    <w:p w:rsidR="008D52B8" w:rsidRPr="00F7113C" w:rsidRDefault="008D52B8" w:rsidP="008D52B8">
      <w:pPr>
        <w:jc w:val="center"/>
        <w:rPr>
          <w:b/>
        </w:rPr>
      </w:pPr>
      <w:r w:rsidRPr="001B3096">
        <w:rPr>
          <w:b/>
        </w:rPr>
        <w:t xml:space="preserve">Zagreb, </w:t>
      </w:r>
      <w:r w:rsidR="00B12A13">
        <w:rPr>
          <w:b/>
        </w:rPr>
        <w:t>ožujak</w:t>
      </w:r>
      <w:r w:rsidRPr="001B3096">
        <w:rPr>
          <w:b/>
        </w:rPr>
        <w:t xml:space="preserve"> 201</w:t>
      </w:r>
      <w:r>
        <w:rPr>
          <w:b/>
        </w:rPr>
        <w:t>9</w:t>
      </w:r>
      <w:r w:rsidRPr="001B3096">
        <w:rPr>
          <w:b/>
        </w:rPr>
        <w:t>.</w:t>
      </w:r>
    </w:p>
    <w:p w:rsidR="008D52B8" w:rsidRDefault="008D52B8" w:rsidP="008D52B8">
      <w:pPr>
        <w:shd w:val="clear" w:color="auto" w:fill="FFFFFF"/>
        <w:spacing w:before="30" w:after="30"/>
        <w:jc w:val="both"/>
        <w:outlineLvl w:val="3"/>
      </w:pPr>
      <w:r w:rsidRPr="00433D4E">
        <w:lastRenderedPageBreak/>
        <w:t>Na temelju članka 30.</w:t>
      </w:r>
      <w:r>
        <w:t xml:space="preserve"> stavka 4.</w:t>
      </w:r>
      <w:r w:rsidRPr="00433D4E">
        <w:t xml:space="preserve"> Zakona o stambenom zbrinjavanju na potpomognutim područjima („Narodne novine“, broj </w:t>
      </w:r>
      <w:r>
        <w:t>106/2018</w:t>
      </w:r>
      <w:r w:rsidRPr="00433D4E">
        <w:t xml:space="preserve">), Vlada Republike Hrvatske je </w:t>
      </w:r>
      <w:r>
        <w:t xml:space="preserve">na sjednici održanoj ______________2019.  </w:t>
      </w:r>
      <w:r w:rsidRPr="00433D4E">
        <w:t>godine donijela</w:t>
      </w:r>
    </w:p>
    <w:p w:rsidR="008D52B8" w:rsidRPr="00433D4E" w:rsidRDefault="008D52B8" w:rsidP="008D52B8">
      <w:pPr>
        <w:shd w:val="clear" w:color="auto" w:fill="FFFFFF"/>
        <w:spacing w:before="30" w:after="30"/>
        <w:jc w:val="both"/>
        <w:outlineLvl w:val="3"/>
      </w:pP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</w:p>
    <w:p w:rsidR="008D52B8" w:rsidRPr="00383D40" w:rsidRDefault="008D52B8" w:rsidP="008D52B8">
      <w:pPr>
        <w:spacing w:after="225"/>
        <w:jc w:val="center"/>
        <w:textAlignment w:val="baseline"/>
        <w:rPr>
          <w:b/>
          <w:bCs/>
          <w:color w:val="000000"/>
          <w:sz w:val="36"/>
          <w:szCs w:val="36"/>
        </w:rPr>
      </w:pPr>
      <w:r w:rsidRPr="00383D40">
        <w:rPr>
          <w:b/>
          <w:bCs/>
          <w:color w:val="000000"/>
          <w:sz w:val="36"/>
          <w:szCs w:val="36"/>
        </w:rPr>
        <w:t>UREDBU</w:t>
      </w:r>
    </w:p>
    <w:p w:rsidR="008D52B8" w:rsidRPr="00346378" w:rsidRDefault="008D52B8" w:rsidP="008D52B8">
      <w:pPr>
        <w:shd w:val="clear" w:color="auto" w:fill="FFFFFF"/>
        <w:spacing w:before="30" w:after="30"/>
        <w:jc w:val="center"/>
        <w:outlineLvl w:val="3"/>
        <w:rPr>
          <w:b/>
          <w:sz w:val="28"/>
          <w:szCs w:val="28"/>
        </w:rPr>
      </w:pPr>
      <w:r w:rsidRPr="00346378">
        <w:rPr>
          <w:b/>
          <w:sz w:val="28"/>
          <w:szCs w:val="28"/>
        </w:rPr>
        <w:t xml:space="preserve">O PRODAJNOJ CIJENI OBITELJSKE KUĆE ILI STANA </w:t>
      </w:r>
    </w:p>
    <w:p w:rsidR="008D52B8" w:rsidRPr="00433D4E" w:rsidRDefault="008D52B8" w:rsidP="008D52B8">
      <w:pPr>
        <w:shd w:val="clear" w:color="auto" w:fill="FFFFFF"/>
        <w:spacing w:before="30" w:after="30"/>
        <w:jc w:val="center"/>
        <w:outlineLvl w:val="3"/>
        <w:rPr>
          <w:b/>
          <w:bCs/>
          <w:sz w:val="32"/>
          <w:szCs w:val="32"/>
        </w:rPr>
      </w:pPr>
      <w:r w:rsidRPr="00346378">
        <w:rPr>
          <w:b/>
          <w:sz w:val="28"/>
          <w:szCs w:val="28"/>
        </w:rPr>
        <w:t>U DRŽAVNOM VLASNIŠTVU</w:t>
      </w:r>
      <w:r w:rsidR="003307B1" w:rsidRPr="003307B1">
        <w:t xml:space="preserve"> </w:t>
      </w:r>
      <w:r w:rsidR="003307B1" w:rsidRPr="003307B1">
        <w:rPr>
          <w:b/>
          <w:sz w:val="28"/>
          <w:szCs w:val="28"/>
        </w:rPr>
        <w:t>KOJIMA UPRAVLJA SREDIŠNJI DRŽAVNI URED ZA OBNOVU I STAMBENO ZBRINJAVANJE</w:t>
      </w:r>
    </w:p>
    <w:p w:rsidR="008D52B8" w:rsidRPr="000A23B6" w:rsidRDefault="008D52B8" w:rsidP="008D52B8">
      <w:pPr>
        <w:spacing w:after="225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 w:rsidRPr="0062100B">
        <w:rPr>
          <w:rFonts w:ascii="Minion Pro" w:hAnsi="Minion Pro"/>
          <w:color w:val="000000"/>
        </w:rPr>
        <w:t>Članak 1.</w:t>
      </w:r>
    </w:p>
    <w:p w:rsidR="008D52B8" w:rsidRDefault="008D52B8" w:rsidP="008D52B8">
      <w:pPr>
        <w:shd w:val="clear" w:color="auto" w:fill="FFFFFF"/>
        <w:spacing w:after="75" w:line="300" w:lineRule="atLeast"/>
        <w:jc w:val="both"/>
      </w:pPr>
      <w:r>
        <w:t xml:space="preserve">(1) </w:t>
      </w:r>
      <w:r w:rsidRPr="00433D4E">
        <w:t xml:space="preserve">Ovom Uredbom </w:t>
      </w:r>
      <w:r>
        <w:t>utvrđuje</w:t>
      </w:r>
      <w:r w:rsidRPr="00433D4E">
        <w:t xml:space="preserve"> se prodajna cijena obiteljske kuće ili stana u državnom vlasništvu</w:t>
      </w:r>
      <w:r>
        <w:t xml:space="preserve">  kojima upravlja Središnji državni ured za obnovu i stambeno zbrinjavanje </w:t>
      </w:r>
      <w:r>
        <w:rPr>
          <w:rFonts w:eastAsia="Arial"/>
          <w:spacing w:val="-1"/>
        </w:rPr>
        <w:t>(u daljnjem tekstu: Središnji državni ured)</w:t>
      </w:r>
      <w:r w:rsidRPr="00147386">
        <w:t xml:space="preserve"> </w:t>
      </w:r>
      <w:r>
        <w:t>sukladno</w:t>
      </w:r>
      <w:r w:rsidRPr="00433D4E">
        <w:t xml:space="preserve"> </w:t>
      </w:r>
      <w:r>
        <w:t>propisu</w:t>
      </w:r>
      <w:r w:rsidRPr="00433D4E">
        <w:t xml:space="preserve"> o stambenom zbrinjavanju na potpomognutim područjima.</w:t>
      </w:r>
    </w:p>
    <w:p w:rsidR="008D52B8" w:rsidRPr="00877AD1" w:rsidRDefault="008D52B8" w:rsidP="008D52B8">
      <w:pPr>
        <w:spacing w:before="100" w:beforeAutospacing="1" w:after="100" w:afterAutospacing="1"/>
        <w:jc w:val="both"/>
        <w:rPr>
          <w:rFonts w:eastAsiaTheme="minorEastAsia"/>
          <w:color w:val="231F20"/>
        </w:rPr>
      </w:pPr>
      <w:r>
        <w:rPr>
          <w:rFonts w:eastAsiaTheme="minorEastAsia"/>
          <w:color w:val="231F20"/>
        </w:rPr>
        <w:t xml:space="preserve">(2) </w:t>
      </w:r>
      <w:r w:rsidRPr="000E68F6">
        <w:rPr>
          <w:rFonts w:eastAsiaTheme="minorEastAsia"/>
          <w:color w:val="231F20"/>
        </w:rPr>
        <w:t xml:space="preserve">Izrazi koji se koriste </w:t>
      </w:r>
      <w:r>
        <w:rPr>
          <w:rFonts w:eastAsiaTheme="minorEastAsia"/>
          <w:color w:val="231F20"/>
        </w:rPr>
        <w:t>u ovoj Uredbi, a imaju rodno značenje</w:t>
      </w:r>
      <w:r w:rsidRPr="000E68F6">
        <w:rPr>
          <w:rFonts w:eastAsiaTheme="minorEastAsia"/>
          <w:color w:val="231F20"/>
        </w:rPr>
        <w:t xml:space="preserve"> odnose se </w:t>
      </w:r>
      <w:r>
        <w:rPr>
          <w:rFonts w:eastAsiaTheme="minorEastAsia"/>
          <w:color w:val="231F20"/>
        </w:rPr>
        <w:t xml:space="preserve">jednako </w:t>
      </w:r>
      <w:r w:rsidRPr="000E68F6">
        <w:rPr>
          <w:rFonts w:eastAsiaTheme="minorEastAsia"/>
          <w:color w:val="231F20"/>
        </w:rPr>
        <w:t>na mušk</w:t>
      </w:r>
      <w:r>
        <w:rPr>
          <w:rFonts w:eastAsiaTheme="minorEastAsia"/>
          <w:color w:val="231F20"/>
        </w:rPr>
        <w:t>i</w:t>
      </w:r>
      <w:r w:rsidRPr="000E68F6">
        <w:rPr>
          <w:rFonts w:eastAsiaTheme="minorEastAsia"/>
          <w:color w:val="231F20"/>
        </w:rPr>
        <w:t xml:space="preserve"> i </w:t>
      </w:r>
      <w:r>
        <w:rPr>
          <w:rFonts w:eastAsiaTheme="minorEastAsia"/>
          <w:color w:val="231F20"/>
        </w:rPr>
        <w:t>ženski</w:t>
      </w:r>
      <w:r w:rsidRPr="000E68F6">
        <w:rPr>
          <w:rFonts w:eastAsiaTheme="minorEastAsia"/>
          <w:color w:val="231F20"/>
        </w:rPr>
        <w:t xml:space="preserve"> </w:t>
      </w:r>
      <w:r>
        <w:rPr>
          <w:rFonts w:eastAsiaTheme="minorEastAsia"/>
          <w:color w:val="231F20"/>
        </w:rPr>
        <w:t>rod</w:t>
      </w:r>
      <w:r w:rsidRPr="000E68F6">
        <w:rPr>
          <w:rFonts w:eastAsiaTheme="minorEastAsia"/>
          <w:color w:val="231F20"/>
        </w:rPr>
        <w:t>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</w:t>
      </w:r>
      <w:r w:rsidRPr="0062100B">
        <w:rPr>
          <w:rFonts w:ascii="Minion Pro" w:hAnsi="Minion Pro"/>
          <w:color w:val="000000"/>
        </w:rPr>
        <w:t>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0A23B6">
        <w:rPr>
          <w:rFonts w:ascii="Minion Pro" w:hAnsi="Minion Pro"/>
          <w:color w:val="000000"/>
        </w:rPr>
        <w:t xml:space="preserve">Kod prodaje stana u </w:t>
      </w:r>
      <w:r>
        <w:rPr>
          <w:rFonts w:ascii="Minion Pro" w:hAnsi="Minion Pro"/>
          <w:color w:val="000000"/>
        </w:rPr>
        <w:t xml:space="preserve">stambenoj </w:t>
      </w:r>
      <w:r w:rsidRPr="000A23B6">
        <w:rPr>
          <w:rFonts w:ascii="Minion Pro" w:hAnsi="Minion Pro"/>
          <w:color w:val="000000"/>
        </w:rPr>
        <w:t xml:space="preserve">zgradi, predmet prodaje uz stan je i odgovarajući dio zajedničkih dijelova i uređaja zgrade te </w:t>
      </w:r>
      <w:r w:rsidRPr="0054584D">
        <w:rPr>
          <w:rFonts w:ascii="Minion Pro" w:hAnsi="Minion Pro"/>
          <w:color w:val="000000"/>
        </w:rPr>
        <w:t>zemlji</w:t>
      </w:r>
      <w:r w:rsidRPr="0054584D">
        <w:rPr>
          <w:rFonts w:ascii="Minion Pro" w:hAnsi="Minion Pro" w:hint="eastAsia"/>
          <w:color w:val="000000"/>
        </w:rPr>
        <w:t>š</w:t>
      </w:r>
      <w:r w:rsidRPr="0054584D">
        <w:rPr>
          <w:rFonts w:ascii="Minion Pro" w:hAnsi="Minion Pro"/>
          <w:color w:val="000000"/>
        </w:rPr>
        <w:t>ta koje pripada zgradi</w:t>
      </w:r>
      <w:r>
        <w:rPr>
          <w:rFonts w:ascii="Minion Pro" w:hAnsi="Minion Pro"/>
          <w:color w:val="000000"/>
        </w:rPr>
        <w:t>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</w:t>
      </w:r>
      <w:r w:rsidRPr="0062100B">
        <w:rPr>
          <w:rFonts w:ascii="Minion Pro" w:hAnsi="Minion Pro"/>
          <w:color w:val="000000"/>
        </w:rPr>
        <w:t>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0A23B6">
        <w:rPr>
          <w:rFonts w:ascii="Minion Pro" w:hAnsi="Minion Pro"/>
          <w:color w:val="000000"/>
        </w:rPr>
        <w:t xml:space="preserve">Kupnjom stana odnosno suvlasničkog dijela nekretnine, kupac preuzima prava i obveze vlasnika koji proizlaze iz ugovora sklopljenih u vezi s upravljanjem i održavanjem zajedničkih dijelova i uređaja te </w:t>
      </w:r>
      <w:r>
        <w:rPr>
          <w:rFonts w:ascii="Minion Pro" w:hAnsi="Minion Pro"/>
          <w:color w:val="000000"/>
        </w:rPr>
        <w:t>nekretnine</w:t>
      </w:r>
      <w:r w:rsidRPr="000A23B6">
        <w:rPr>
          <w:rFonts w:ascii="Minion Pro" w:hAnsi="Minion Pro"/>
          <w:color w:val="000000"/>
        </w:rPr>
        <w:t>.</w:t>
      </w:r>
    </w:p>
    <w:p w:rsidR="008D52B8" w:rsidRPr="009643C6" w:rsidRDefault="008D52B8" w:rsidP="008D52B8">
      <w:pPr>
        <w:spacing w:after="225"/>
        <w:jc w:val="center"/>
        <w:textAlignment w:val="baseline"/>
        <w:rPr>
          <w:rFonts w:ascii="Minion Pro" w:hAnsi="Minion Pro"/>
        </w:rPr>
      </w:pPr>
      <w:r w:rsidRPr="009643C6">
        <w:rPr>
          <w:rFonts w:ascii="Minion Pro" w:hAnsi="Minion Pro"/>
        </w:rPr>
        <w:t>Članak 4.</w:t>
      </w:r>
    </w:p>
    <w:p w:rsidR="008D52B8" w:rsidRPr="009643C6" w:rsidRDefault="008D52B8" w:rsidP="008D52B8">
      <w:pPr>
        <w:spacing w:after="225"/>
        <w:jc w:val="both"/>
        <w:textAlignment w:val="baseline"/>
        <w:rPr>
          <w:rFonts w:ascii="Minion Pro" w:hAnsi="Minion Pro"/>
        </w:rPr>
      </w:pPr>
      <w:r w:rsidRPr="009643C6">
        <w:rPr>
          <w:rFonts w:ascii="Minion Pro" w:hAnsi="Minion Pro"/>
        </w:rPr>
        <w:t xml:space="preserve">Prodajna cijena stana obračunava se prema </w:t>
      </w:r>
      <w:r w:rsidR="002C15E9" w:rsidRPr="009643C6">
        <w:rPr>
          <w:rFonts w:ascii="Minion Pro" w:hAnsi="Minion Pro"/>
        </w:rPr>
        <w:t>stambenoj površini iz</w:t>
      </w:r>
      <w:r w:rsidRPr="009643C6">
        <w:rPr>
          <w:rFonts w:ascii="Minion Pro" w:hAnsi="Minion Pro"/>
        </w:rPr>
        <w:t xml:space="preserve"> vlasničko</w:t>
      </w:r>
      <w:r w:rsidR="002C15E9" w:rsidRPr="009643C6">
        <w:rPr>
          <w:rFonts w:ascii="Minion Pro" w:hAnsi="Minion Pro"/>
        </w:rPr>
        <w:t>g</w:t>
      </w:r>
      <w:r w:rsidRPr="009643C6">
        <w:rPr>
          <w:rFonts w:ascii="Minion Pro" w:hAnsi="Minion Pro"/>
        </w:rPr>
        <w:t xml:space="preserve"> list</w:t>
      </w:r>
      <w:r w:rsidR="002C15E9" w:rsidRPr="009643C6">
        <w:rPr>
          <w:rFonts w:ascii="Minion Pro" w:hAnsi="Minion Pro"/>
        </w:rPr>
        <w:t>a ili druge odgovarajuće isprave o vlasništvu</w:t>
      </w:r>
      <w:r w:rsidRPr="009643C6">
        <w:rPr>
          <w:rFonts w:ascii="Minion Pro" w:hAnsi="Minion Pro"/>
        </w:rPr>
        <w:t>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</w:t>
      </w:r>
      <w:r w:rsidRPr="0062100B">
        <w:rPr>
          <w:rFonts w:ascii="Minion Pro" w:hAnsi="Minion Pro"/>
          <w:color w:val="000000"/>
        </w:rPr>
        <w:t>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Kod prodaje obiteljske kuće, predmet prodaje je obiteljska kuća sa svim pripadajućim pomoćnim objektima i zemljištem koje služi redovitoj upotrebi obiteljske kuće. 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Prodajna cijena obiteljske kuće obračunava se prema utvrđenoj stambenoj površini za koju se plaća najamnina.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U prodajnu cijenu obiteljske kuće ne ulaze </w:t>
      </w:r>
      <w:r w:rsidRPr="000A23B6">
        <w:rPr>
          <w:rFonts w:ascii="Minion Pro" w:hAnsi="Minion Pro"/>
          <w:color w:val="000000"/>
        </w:rPr>
        <w:t>pripadajuć</w:t>
      </w:r>
      <w:r>
        <w:rPr>
          <w:rFonts w:ascii="Minion Pro" w:hAnsi="Minion Pro"/>
          <w:color w:val="000000"/>
        </w:rPr>
        <w:t>i</w:t>
      </w:r>
      <w:r w:rsidRPr="000A23B6">
        <w:rPr>
          <w:rFonts w:ascii="Minion Pro" w:hAnsi="Minion Pro"/>
          <w:color w:val="000000"/>
        </w:rPr>
        <w:t xml:space="preserve"> pomoćn</w:t>
      </w:r>
      <w:r>
        <w:rPr>
          <w:rFonts w:ascii="Minion Pro" w:hAnsi="Minion Pro"/>
          <w:color w:val="000000"/>
        </w:rPr>
        <w:t>i</w:t>
      </w:r>
      <w:r w:rsidRPr="000A23B6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>objekti koji nisu u sastavu objekta koji je predmet prodaje kao i</w:t>
      </w:r>
      <w:r w:rsidRPr="000A23B6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>građevinske čestice na kojima se nalazi objekt koji je predmet prodaje.</w:t>
      </w:r>
      <w:r w:rsidRPr="000A23B6">
        <w:rPr>
          <w:rFonts w:ascii="Minion Pro" w:hAnsi="Minion Pro"/>
          <w:color w:val="000000"/>
        </w:rPr>
        <w:t xml:space="preserve"> 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6</w:t>
      </w:r>
      <w:r w:rsidRPr="0062100B">
        <w:rPr>
          <w:rFonts w:ascii="Minion Pro" w:hAnsi="Minion Pro"/>
          <w:color w:val="000000"/>
        </w:rPr>
        <w:t>.</w:t>
      </w:r>
    </w:p>
    <w:p w:rsidR="008D52B8" w:rsidRPr="00E73FBE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</w:t>
      </w:r>
      <w:r w:rsidRPr="000A23B6">
        <w:rPr>
          <w:rFonts w:ascii="Minion Pro" w:hAnsi="Minion Pro"/>
          <w:color w:val="000000"/>
        </w:rPr>
        <w:t>Osnovica</w:t>
      </w:r>
      <w:r>
        <w:rPr>
          <w:rFonts w:ascii="Minion Pro" w:hAnsi="Minion Pro"/>
          <w:color w:val="000000"/>
        </w:rPr>
        <w:t xml:space="preserve"> </w:t>
      </w:r>
      <w:r w:rsidRPr="000A23B6">
        <w:rPr>
          <w:rFonts w:ascii="Minion Pro" w:hAnsi="Minion Pro"/>
          <w:color w:val="000000"/>
        </w:rPr>
        <w:t xml:space="preserve">za utvrđivanje prodajne cijene </w:t>
      </w:r>
      <w:r>
        <w:rPr>
          <w:rFonts w:ascii="Minion Pro" w:hAnsi="Minion Pro"/>
          <w:color w:val="000000"/>
        </w:rPr>
        <w:t xml:space="preserve">obiteljske </w:t>
      </w:r>
      <w:r w:rsidRPr="000A23B6">
        <w:rPr>
          <w:rFonts w:ascii="Minion Pro" w:hAnsi="Minion Pro"/>
          <w:color w:val="000000"/>
        </w:rPr>
        <w:t>kuće ili stana</w:t>
      </w:r>
      <w:r>
        <w:rPr>
          <w:rFonts w:ascii="Minion Pro" w:hAnsi="Minion Pro"/>
          <w:color w:val="000000"/>
        </w:rPr>
        <w:t xml:space="preserve"> iznosi 6.000,00 kuna po m</w:t>
      </w:r>
      <w:r w:rsidRPr="008473DC">
        <w:rPr>
          <w:rFonts w:ascii="Minion Pro" w:hAnsi="Minion Pro"/>
          <w:color w:val="000000"/>
          <w:vertAlign w:val="superscript"/>
        </w:rPr>
        <w:t>2</w:t>
      </w:r>
      <w:r>
        <w:rPr>
          <w:rFonts w:ascii="Minion Pro" w:hAnsi="Minion Pro"/>
          <w:color w:val="000000"/>
        </w:rPr>
        <w:t xml:space="preserve"> </w:t>
      </w:r>
      <w:r w:rsidRPr="00C43D37">
        <w:rPr>
          <w:rFonts w:ascii="Minion Pro" w:hAnsi="Minion Pro"/>
          <w:color w:val="000000"/>
        </w:rPr>
        <w:t>povr</w:t>
      </w:r>
      <w:r w:rsidRPr="00C43D37">
        <w:rPr>
          <w:rFonts w:ascii="Minion Pro" w:hAnsi="Minion Pro" w:hint="eastAsia"/>
          <w:color w:val="000000"/>
        </w:rPr>
        <w:t>š</w:t>
      </w:r>
      <w:r w:rsidRPr="00C43D37">
        <w:rPr>
          <w:rFonts w:ascii="Minion Pro" w:hAnsi="Minion Pro"/>
          <w:color w:val="000000"/>
        </w:rPr>
        <w:t xml:space="preserve">ine </w:t>
      </w:r>
      <w:r>
        <w:rPr>
          <w:rFonts w:ascii="Minion Pro" w:hAnsi="Minion Pro"/>
          <w:color w:val="000000"/>
        </w:rPr>
        <w:t>iz članka 4. i 5. ove Uredbe</w:t>
      </w:r>
      <w:r w:rsidRPr="00E73FBE">
        <w:rPr>
          <w:rFonts w:ascii="Minion Pro" w:hAnsi="Minion Pro"/>
          <w:color w:val="000000"/>
        </w:rPr>
        <w:t>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</w:t>
      </w:r>
      <w:r w:rsidRPr="000A23B6">
        <w:rPr>
          <w:rFonts w:ascii="Minion Pro" w:hAnsi="Minion Pro"/>
          <w:color w:val="000000"/>
        </w:rPr>
        <w:t xml:space="preserve">Osnovica </w:t>
      </w:r>
      <w:r>
        <w:rPr>
          <w:rFonts w:ascii="Minion Pro" w:hAnsi="Minion Pro"/>
          <w:color w:val="000000"/>
        </w:rPr>
        <w:t>iz stavka 1. ovoga članka  promjenjiva je i utvrđuje se sukladno propisu o društveno poticanoj stanogradnji.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</w:t>
      </w:r>
      <w:r w:rsidRPr="000A23B6">
        <w:rPr>
          <w:rFonts w:ascii="Minion Pro" w:hAnsi="Minion Pro"/>
          <w:color w:val="000000"/>
        </w:rPr>
        <w:t>Prodajna cijena</w:t>
      </w:r>
      <w:r>
        <w:rPr>
          <w:rFonts w:ascii="Minion Pro" w:hAnsi="Minion Pro"/>
          <w:color w:val="000000"/>
        </w:rPr>
        <w:t xml:space="preserve"> obiteljske kuće ili stana</w:t>
      </w:r>
      <w:r w:rsidRPr="000A23B6">
        <w:rPr>
          <w:rFonts w:ascii="Minion Pro" w:hAnsi="Minion Pro"/>
          <w:color w:val="000000"/>
        </w:rPr>
        <w:t xml:space="preserve"> utvrđuje se umanjenjem vrijednosti </w:t>
      </w:r>
      <w:r>
        <w:rPr>
          <w:rFonts w:ascii="Minion Pro" w:hAnsi="Minion Pro"/>
          <w:color w:val="000000"/>
        </w:rPr>
        <w:t>stambene jedinice</w:t>
      </w:r>
      <w:r w:rsidRPr="000A23B6">
        <w:rPr>
          <w:rFonts w:ascii="Minion Pro" w:hAnsi="Minion Pro"/>
          <w:color w:val="000000"/>
        </w:rPr>
        <w:t xml:space="preserve"> iz stavka 1. ovoga članka prema navedenim kriterijima i to sljedećim redom</w:t>
      </w:r>
      <w:r>
        <w:rPr>
          <w:rFonts w:ascii="Minion Pro" w:hAnsi="Minion Pro"/>
          <w:color w:val="000000"/>
        </w:rPr>
        <w:t xml:space="preserve"> kumulativno</w:t>
      </w:r>
      <w:r w:rsidRPr="000A23B6">
        <w:rPr>
          <w:rFonts w:ascii="Minion Pro" w:hAnsi="Minion Pro"/>
          <w:color w:val="000000"/>
        </w:rPr>
        <w:t>: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>– starost stambene jedinice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– građevinsko stanje stambene jedinice </w:t>
      </w:r>
    </w:p>
    <w:p w:rsidR="008D52B8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– skupina područja primjene propisa o stambenom zbrinjavanju na potpomognutim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Pr="009B3920">
        <w:rPr>
          <w:rFonts w:ascii="Times New Roman" w:hAnsi="Times New Roman" w:cs="Times New Roman"/>
          <w:sz w:val="24"/>
          <w:szCs w:val="24"/>
          <w:lang w:eastAsia="hr-HR"/>
        </w:rPr>
        <w:t>područjima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>– prostorni položaj i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>– način plaćanja.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</w:t>
      </w:r>
      <w:r w:rsidRPr="0062100B">
        <w:rPr>
          <w:rFonts w:ascii="Minion Pro" w:hAnsi="Minion Pro"/>
          <w:color w:val="000000"/>
        </w:rPr>
        <w:t>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</w:t>
      </w:r>
      <w:r w:rsidR="00A93DDD">
        <w:rPr>
          <w:rFonts w:ascii="Minion Pro" w:hAnsi="Minion Pro"/>
          <w:color w:val="000000"/>
        </w:rPr>
        <w:t>Državni tajnik Središnjeg državnog ureda</w:t>
      </w:r>
      <w:r w:rsidR="00A93DDD" w:rsidRPr="000A23B6">
        <w:rPr>
          <w:rFonts w:ascii="Minion Pro" w:hAnsi="Minion Pro"/>
          <w:color w:val="000000"/>
        </w:rPr>
        <w:t xml:space="preserve"> </w:t>
      </w:r>
      <w:r w:rsidR="00A93DDD">
        <w:rPr>
          <w:rFonts w:ascii="Minion Pro" w:hAnsi="Minion Pro"/>
          <w:color w:val="000000"/>
        </w:rPr>
        <w:t>osniva</w:t>
      </w:r>
      <w:r w:rsidR="00A93DDD" w:rsidRPr="000A23B6">
        <w:rPr>
          <w:rFonts w:ascii="Minion Pro" w:hAnsi="Minion Pro"/>
          <w:color w:val="000000"/>
        </w:rPr>
        <w:t xml:space="preserve"> </w:t>
      </w:r>
      <w:r w:rsidRPr="000A23B6">
        <w:rPr>
          <w:rFonts w:ascii="Minion Pro" w:hAnsi="Minion Pro"/>
          <w:color w:val="000000"/>
        </w:rPr>
        <w:t xml:space="preserve">Povjerenstvo za procjenu </w:t>
      </w:r>
      <w:r w:rsidR="00A93DDD">
        <w:rPr>
          <w:rFonts w:ascii="Minion Pro" w:hAnsi="Minion Pro"/>
          <w:color w:val="000000"/>
        </w:rPr>
        <w:t>stambenih jedinica (u daljnjem tekstu: Povjerenstvo)</w:t>
      </w:r>
      <w:r w:rsidRPr="000A23B6">
        <w:rPr>
          <w:rFonts w:ascii="Minion Pro" w:hAnsi="Minion Pro"/>
          <w:color w:val="000000"/>
        </w:rPr>
        <w:t xml:space="preserve">. 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Povjerenstvo </w:t>
      </w:r>
      <w:r w:rsidR="00A93DDD">
        <w:rPr>
          <w:rFonts w:ascii="Minion Pro" w:hAnsi="Minion Pro"/>
          <w:color w:val="000000"/>
        </w:rPr>
        <w:t xml:space="preserve">je </w:t>
      </w:r>
      <w:r>
        <w:rPr>
          <w:rFonts w:ascii="Minion Pro" w:hAnsi="Minion Pro"/>
          <w:color w:val="000000"/>
        </w:rPr>
        <w:t xml:space="preserve">nadležno za </w:t>
      </w:r>
      <w:r w:rsidR="00A93DDD">
        <w:rPr>
          <w:rFonts w:ascii="Minion Pro" w:hAnsi="Minion Pro"/>
          <w:color w:val="000000"/>
        </w:rPr>
        <w:t>za p</w:t>
      </w:r>
      <w:r w:rsidR="00A93DDD" w:rsidRPr="000A23B6">
        <w:rPr>
          <w:rFonts w:ascii="Minion Pro" w:hAnsi="Minion Pro"/>
          <w:color w:val="000000"/>
        </w:rPr>
        <w:t>rocjenu građevinsk</w:t>
      </w:r>
      <w:r w:rsidR="00A93DDD">
        <w:rPr>
          <w:rFonts w:ascii="Minion Pro" w:hAnsi="Minion Pro"/>
          <w:color w:val="000000"/>
        </w:rPr>
        <w:t>og</w:t>
      </w:r>
      <w:r w:rsidR="00A93DDD" w:rsidRPr="000A23B6">
        <w:rPr>
          <w:rFonts w:ascii="Minion Pro" w:hAnsi="Minion Pro"/>
          <w:color w:val="000000"/>
        </w:rPr>
        <w:t xml:space="preserve"> stanja </w:t>
      </w:r>
      <w:r w:rsidR="00A93DDD">
        <w:rPr>
          <w:rFonts w:ascii="Minion Pro" w:hAnsi="Minion Pro"/>
          <w:color w:val="000000"/>
        </w:rPr>
        <w:t>obiteljske kuće ili stana</w:t>
      </w:r>
      <w:r w:rsidR="00A93DDD" w:rsidRPr="000A23B6">
        <w:rPr>
          <w:rFonts w:ascii="Minion Pro" w:hAnsi="Minion Pro"/>
          <w:color w:val="000000"/>
        </w:rPr>
        <w:t xml:space="preserve"> </w:t>
      </w:r>
      <w:r w:rsidR="00A93DDD">
        <w:rPr>
          <w:rFonts w:ascii="Minion Pro" w:hAnsi="Minion Pro"/>
          <w:color w:val="000000"/>
        </w:rPr>
        <w:t xml:space="preserve">i za </w:t>
      </w:r>
      <w:r>
        <w:rPr>
          <w:rFonts w:ascii="Minion Pro" w:hAnsi="Minion Pro"/>
          <w:color w:val="000000"/>
        </w:rPr>
        <w:t>izračun c</w:t>
      </w:r>
      <w:r w:rsidR="00A93DDD">
        <w:rPr>
          <w:rFonts w:ascii="Minion Pro" w:hAnsi="Minion Pro"/>
          <w:color w:val="000000"/>
        </w:rPr>
        <w:t>ijene obiteljske kuće ili stana pri čemu primjenjuje kriterije propisane člankom 6. stavkom 3. ove Uredbe.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</w:t>
      </w:r>
      <w:r w:rsidRPr="000A23B6">
        <w:rPr>
          <w:rFonts w:ascii="Minion Pro" w:hAnsi="Minion Pro"/>
          <w:color w:val="000000"/>
        </w:rPr>
        <w:t xml:space="preserve">Povjerenstvo </w:t>
      </w:r>
      <w:r w:rsidR="00A93DDD">
        <w:rPr>
          <w:rFonts w:ascii="Minion Pro" w:hAnsi="Minion Pro"/>
          <w:color w:val="000000"/>
        </w:rPr>
        <w:t xml:space="preserve">se </w:t>
      </w:r>
      <w:r w:rsidRPr="000A23B6">
        <w:rPr>
          <w:rFonts w:ascii="Minion Pro" w:hAnsi="Minion Pro"/>
          <w:color w:val="000000"/>
        </w:rPr>
        <w:t xml:space="preserve">osniva za svaki grad odnosno općinu gdje se nalazi </w:t>
      </w:r>
      <w:r>
        <w:rPr>
          <w:rFonts w:ascii="Minion Pro" w:hAnsi="Minion Pro"/>
          <w:color w:val="000000"/>
        </w:rPr>
        <w:t>obiteljska kuća ili stan</w:t>
      </w:r>
      <w:r w:rsidRPr="000A23B6">
        <w:rPr>
          <w:rFonts w:ascii="Minion Pro" w:hAnsi="Minion Pro"/>
          <w:color w:val="000000"/>
        </w:rPr>
        <w:t xml:space="preserve"> za prodaju.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(4) Članove </w:t>
      </w:r>
      <w:r w:rsidRPr="000A23B6">
        <w:rPr>
          <w:rFonts w:ascii="Minion Pro" w:hAnsi="Minion Pro"/>
          <w:color w:val="000000"/>
        </w:rPr>
        <w:t>Povjerenstv</w:t>
      </w:r>
      <w:r>
        <w:rPr>
          <w:rFonts w:ascii="Minion Pro" w:hAnsi="Minion Pro"/>
          <w:color w:val="000000"/>
        </w:rPr>
        <w:t>a</w:t>
      </w:r>
      <w:r w:rsidRPr="000A23B6">
        <w:rPr>
          <w:rFonts w:ascii="Minion Pro" w:hAnsi="Minion Pro"/>
          <w:color w:val="000000"/>
        </w:rPr>
        <w:t xml:space="preserve"> imenuje:</w:t>
      </w:r>
    </w:p>
    <w:p w:rsidR="008D52B8" w:rsidRPr="009643C6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>– Središnji državni ured tri člana</w:t>
      </w:r>
      <w:r w:rsidR="002C15E9" w:rsidRPr="009643C6">
        <w:rPr>
          <w:rFonts w:ascii="Times New Roman" w:hAnsi="Times New Roman" w:cs="Times New Roman"/>
          <w:sz w:val="24"/>
          <w:szCs w:val="24"/>
          <w:lang w:eastAsia="hr-HR"/>
        </w:rPr>
        <w:t>, od kojih jedan građevinske struke, a jedan pravne ili ekonomske struke</w:t>
      </w:r>
      <w:r w:rsidRPr="009643C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>– županija jednog člana i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>– grad odnosno općina jednog člana.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(5) </w:t>
      </w:r>
      <w:r w:rsidRPr="000A23B6">
        <w:rPr>
          <w:rFonts w:ascii="Minion Pro" w:hAnsi="Minion Pro"/>
          <w:color w:val="000000"/>
        </w:rPr>
        <w:t>Predsjednik Povjerenstva</w:t>
      </w:r>
      <w:r>
        <w:rPr>
          <w:rFonts w:ascii="Minion Pro" w:hAnsi="Minion Pro"/>
          <w:color w:val="000000"/>
        </w:rPr>
        <w:t xml:space="preserve"> </w:t>
      </w:r>
      <w:r w:rsidRPr="000A23B6">
        <w:rPr>
          <w:rFonts w:ascii="Minion Pro" w:hAnsi="Minion Pro"/>
          <w:color w:val="000000"/>
        </w:rPr>
        <w:t>je predstavnik</w:t>
      </w:r>
      <w:r>
        <w:rPr>
          <w:rFonts w:ascii="Minion Pro" w:hAnsi="Minion Pro"/>
          <w:color w:val="000000"/>
        </w:rPr>
        <w:t xml:space="preserve"> Središnjeg državnog ureda</w:t>
      </w:r>
      <w:r w:rsidRPr="000A23B6">
        <w:rPr>
          <w:rFonts w:ascii="Minion Pro" w:hAnsi="Minion Pro"/>
          <w:color w:val="000000"/>
        </w:rPr>
        <w:t>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Povjerenstvo donosi poslovnik o svom radu.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</w:t>
      </w:r>
      <w:r w:rsidRPr="0062100B">
        <w:rPr>
          <w:rFonts w:ascii="Minion Pro" w:hAnsi="Minion Pro"/>
          <w:color w:val="000000"/>
        </w:rPr>
        <w:t>.</w:t>
      </w:r>
    </w:p>
    <w:p w:rsidR="008D52B8" w:rsidRPr="00050A10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Postotak  </w:t>
      </w:r>
      <w:r w:rsidRPr="00050A10">
        <w:rPr>
          <w:rFonts w:ascii="Times New Roman" w:hAnsi="Times New Roman" w:cs="Times New Roman"/>
          <w:sz w:val="24"/>
          <w:szCs w:val="24"/>
        </w:rPr>
        <w:t>umanj</w:t>
      </w:r>
      <w:r>
        <w:rPr>
          <w:rFonts w:ascii="Times New Roman" w:hAnsi="Times New Roman" w:cs="Times New Roman"/>
          <w:sz w:val="24"/>
          <w:szCs w:val="24"/>
        </w:rPr>
        <w:t>enja prodajne cijene stambene jedinice s obzirom na starost iznosi</w:t>
      </w:r>
      <w:r w:rsidRPr="00050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Pr="00915B57">
        <w:rPr>
          <w:rFonts w:ascii="Times New Roman" w:hAnsi="Times New Roman" w:cs="Times New Roman"/>
          <w:sz w:val="24"/>
          <w:szCs w:val="24"/>
          <w:lang w:eastAsia="hr-HR"/>
        </w:rPr>
        <w:t>12% stan ili obiteljska kuća star</w:t>
      </w:r>
      <w:r w:rsidR="00915B57" w:rsidRPr="00915B57">
        <w:rPr>
          <w:rFonts w:ascii="Times New Roman" w:hAnsi="Times New Roman" w:cs="Times New Roman"/>
          <w:sz w:val="24"/>
          <w:szCs w:val="24"/>
          <w:lang w:eastAsia="hr-HR"/>
        </w:rPr>
        <w:t>osti</w:t>
      </w:r>
      <w:r w:rsidRPr="00915B5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3447F" w:rsidRPr="00915B57">
        <w:rPr>
          <w:rFonts w:ascii="Times New Roman" w:hAnsi="Times New Roman" w:cs="Times New Roman"/>
          <w:sz w:val="24"/>
          <w:szCs w:val="24"/>
          <w:lang w:eastAsia="hr-HR"/>
        </w:rPr>
        <w:t xml:space="preserve">od 1 </w:t>
      </w:r>
      <w:r w:rsidRPr="00915B57">
        <w:rPr>
          <w:rFonts w:ascii="Times New Roman" w:hAnsi="Times New Roman" w:cs="Times New Roman"/>
          <w:sz w:val="24"/>
          <w:szCs w:val="24"/>
          <w:lang w:eastAsia="hr-HR"/>
        </w:rPr>
        <w:t>do 10 godina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- 30% stan ili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obiteljska </w:t>
      </w:r>
      <w:r w:rsidRPr="009B3920">
        <w:rPr>
          <w:rFonts w:ascii="Times New Roman" w:hAnsi="Times New Roman" w:cs="Times New Roman"/>
          <w:sz w:val="24"/>
          <w:szCs w:val="24"/>
          <w:lang w:eastAsia="hr-HR"/>
        </w:rPr>
        <w:t>kuća starosti od 11 godina do 20 godina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- 41% stan ili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obiteljska </w:t>
      </w:r>
      <w:r w:rsidRPr="009B3920">
        <w:rPr>
          <w:rFonts w:ascii="Times New Roman" w:hAnsi="Times New Roman" w:cs="Times New Roman"/>
          <w:sz w:val="24"/>
          <w:szCs w:val="24"/>
          <w:lang w:eastAsia="hr-HR"/>
        </w:rPr>
        <w:t>kuća starosti od 21 do 35 godina ili</w:t>
      </w:r>
    </w:p>
    <w:p w:rsidR="008D52B8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- 65% stan ili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obiteljska </w:t>
      </w:r>
      <w:r w:rsidRPr="009B3920">
        <w:rPr>
          <w:rFonts w:ascii="Times New Roman" w:hAnsi="Times New Roman" w:cs="Times New Roman"/>
          <w:sz w:val="24"/>
          <w:szCs w:val="24"/>
          <w:lang w:eastAsia="hr-HR"/>
        </w:rPr>
        <w:t>kuća stariji od 36 godina.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77421" w:rsidRDefault="00B77421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 w:rsidRPr="0062100B">
        <w:rPr>
          <w:rFonts w:ascii="Minion Pro" w:hAnsi="Minion Pro"/>
          <w:color w:val="000000"/>
        </w:rPr>
        <w:lastRenderedPageBreak/>
        <w:t xml:space="preserve">Članak </w:t>
      </w:r>
      <w:r>
        <w:rPr>
          <w:rFonts w:ascii="Minion Pro" w:hAnsi="Minion Pro"/>
          <w:color w:val="000000"/>
        </w:rPr>
        <w:t>9</w:t>
      </w:r>
      <w:r w:rsidRPr="0062100B">
        <w:rPr>
          <w:rFonts w:ascii="Minion Pro" w:hAnsi="Minion Pro"/>
          <w:color w:val="000000"/>
        </w:rPr>
        <w:t>.</w:t>
      </w:r>
    </w:p>
    <w:p w:rsidR="008D52B8" w:rsidRPr="00C43D37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50A10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đevinska</w:t>
      </w:r>
      <w:r w:rsidRPr="00050A10">
        <w:rPr>
          <w:rFonts w:ascii="Times New Roman" w:hAnsi="Times New Roman" w:cs="Times New Roman"/>
          <w:sz w:val="24"/>
          <w:szCs w:val="24"/>
        </w:rPr>
        <w:t xml:space="preserve"> vrijednost </w:t>
      </w:r>
      <w:r>
        <w:rPr>
          <w:rFonts w:ascii="Times New Roman" w:hAnsi="Times New Roman" w:cs="Times New Roman"/>
          <w:sz w:val="24"/>
          <w:szCs w:val="24"/>
        </w:rPr>
        <w:t xml:space="preserve">odnosno stanje stambene jedinice </w:t>
      </w:r>
      <w:r w:rsidRPr="00050A10">
        <w:rPr>
          <w:rFonts w:ascii="Times New Roman" w:hAnsi="Times New Roman" w:cs="Times New Roman"/>
          <w:sz w:val="24"/>
          <w:szCs w:val="24"/>
        </w:rPr>
        <w:t>umanj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50A1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050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vrijeme procjene</w:t>
      </w:r>
      <w:r w:rsidRPr="000A23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050A10">
        <w:rPr>
          <w:rFonts w:ascii="Times New Roman" w:hAnsi="Times New Roman" w:cs="Times New Roman"/>
          <w:sz w:val="24"/>
          <w:szCs w:val="24"/>
        </w:rPr>
        <w:t>za:</w:t>
      </w:r>
    </w:p>
    <w:p w:rsidR="008D52B8" w:rsidRDefault="008D52B8" w:rsidP="008D52B8">
      <w:pPr>
        <w:pStyle w:val="NoSpacing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</w:t>
      </w:r>
      <w:r w:rsidRPr="00050A10">
        <w:rPr>
          <w:rFonts w:ascii="Times New Roman" w:hAnsi="Times New Roman" w:cs="Times New Roman"/>
          <w:sz w:val="24"/>
          <w:szCs w:val="24"/>
        </w:rPr>
        <w:t>stanove</w:t>
      </w:r>
    </w:p>
    <w:p w:rsidR="008D52B8" w:rsidRPr="00050A1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920">
        <w:rPr>
          <w:rFonts w:ascii="Times New Roman" w:hAnsi="Times New Roman" w:cs="Times New Roman"/>
          <w:sz w:val="24"/>
          <w:szCs w:val="24"/>
        </w:rPr>
        <w:t>- 30% stan s manjim oštećenjima, dotrajalom stolarijom, dotrajalim instalacijama, podnim i zidnim oblogama i bez lifta iznad četvrtog kata ili</w:t>
      </w:r>
      <w:r w:rsidRPr="009B3920">
        <w:rPr>
          <w:rFonts w:ascii="Times New Roman" w:hAnsi="Times New Roman" w:cs="Times New Roman"/>
          <w:sz w:val="24"/>
          <w:szCs w:val="24"/>
        </w:rPr>
        <w:br/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920">
        <w:rPr>
          <w:rFonts w:ascii="Times New Roman" w:hAnsi="Times New Roman" w:cs="Times New Roman"/>
          <w:sz w:val="24"/>
          <w:szCs w:val="24"/>
        </w:rPr>
        <w:t>- 50% stan na završnim etažama zgrada gdje je potrebna sanacija krovišta; stan bez sanitarnog čvora; stan djelomično oštećenih nosivih/konstruktivnih elemenata;</w:t>
      </w:r>
    </w:p>
    <w:p w:rsidR="008D52B8" w:rsidRPr="00050A10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2B8" w:rsidRPr="00050A10" w:rsidRDefault="008D52B8" w:rsidP="008D52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0A10">
        <w:rPr>
          <w:rFonts w:ascii="Times New Roman" w:hAnsi="Times New Roman" w:cs="Times New Roman"/>
          <w:sz w:val="24"/>
          <w:szCs w:val="24"/>
        </w:rPr>
        <w:t>obiteljske kuće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50A10">
        <w:rPr>
          <w:rFonts w:ascii="Times New Roman" w:hAnsi="Times New Roman" w:cs="Times New Roman"/>
          <w:sz w:val="24"/>
          <w:szCs w:val="24"/>
        </w:rPr>
        <w:t xml:space="preserve">20% </w:t>
      </w:r>
      <w:r>
        <w:rPr>
          <w:rFonts w:ascii="Times New Roman" w:hAnsi="Times New Roman" w:cs="Times New Roman"/>
          <w:sz w:val="24"/>
          <w:szCs w:val="24"/>
        </w:rPr>
        <w:t xml:space="preserve">obiteljska kuća </w:t>
      </w:r>
      <w:r w:rsidRPr="00050A10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fasade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2B8" w:rsidRPr="00050A1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</w:t>
      </w:r>
      <w:r w:rsidRPr="00050A1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obiteljska kuća bez sanitarnog čvora ili</w:t>
      </w:r>
      <w:r w:rsidRPr="00050A10">
        <w:rPr>
          <w:rFonts w:ascii="Times New Roman" w:hAnsi="Times New Roman" w:cs="Times New Roman"/>
          <w:sz w:val="24"/>
          <w:szCs w:val="24"/>
        </w:rPr>
        <w:t xml:space="preserve"> s manje oštećenim sastavnim dij</w:t>
      </w:r>
      <w:r>
        <w:rPr>
          <w:rFonts w:ascii="Times New Roman" w:hAnsi="Times New Roman" w:cs="Times New Roman"/>
          <w:sz w:val="24"/>
          <w:szCs w:val="24"/>
        </w:rPr>
        <w:t>elovima građevine ili krovišta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Pr="00050A10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 xml:space="preserve">obiteljska </w:t>
      </w:r>
      <w:r w:rsidRPr="00050A10">
        <w:rPr>
          <w:rFonts w:ascii="Times New Roman" w:hAnsi="Times New Roman" w:cs="Times New Roman"/>
          <w:sz w:val="24"/>
          <w:szCs w:val="24"/>
        </w:rPr>
        <w:t xml:space="preserve">kuća bez AB stropne ploče ili  </w:t>
      </w:r>
      <w:r>
        <w:rPr>
          <w:rFonts w:ascii="Times New Roman" w:hAnsi="Times New Roman" w:cs="Times New Roman"/>
          <w:sz w:val="24"/>
          <w:szCs w:val="24"/>
        </w:rPr>
        <w:t xml:space="preserve">djelomično </w:t>
      </w:r>
      <w:r w:rsidRPr="00050A10">
        <w:rPr>
          <w:rFonts w:ascii="Times New Roman" w:hAnsi="Times New Roman" w:cs="Times New Roman"/>
          <w:sz w:val="24"/>
          <w:szCs w:val="24"/>
        </w:rPr>
        <w:t>oštećenih n</w:t>
      </w:r>
      <w:r>
        <w:rPr>
          <w:rFonts w:ascii="Times New Roman" w:hAnsi="Times New Roman" w:cs="Times New Roman"/>
          <w:sz w:val="24"/>
          <w:szCs w:val="24"/>
        </w:rPr>
        <w:t>osivih/konstruktivnih elemenata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- 60%</w:t>
      </w:r>
      <w:r w:rsidRPr="00F3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obiteljska </w:t>
      </w:r>
      <w:r w:rsidRPr="00050A10">
        <w:rPr>
          <w:rFonts w:ascii="Times New Roman" w:hAnsi="Times New Roman" w:cs="Times New Roman"/>
          <w:sz w:val="24"/>
          <w:szCs w:val="24"/>
        </w:rPr>
        <w:t>kuća kojoj je potrebna potpuna rekonstrukcija krovišta</w:t>
      </w:r>
      <w:r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- 80% obiteljska kuća koja je građena od građevnog materijala koji ne zadovoljavaju suvremene standarde gradnje (prijesna cigla, dotrajala drvena kuća i sl.).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2B8" w:rsidRPr="0062100B" w:rsidRDefault="008D52B8" w:rsidP="008D52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Pr="0062100B">
        <w:rPr>
          <w:rFonts w:ascii="Times New Roman" w:hAnsi="Times New Roman" w:cs="Times New Roman"/>
          <w:sz w:val="24"/>
          <w:szCs w:val="24"/>
        </w:rPr>
        <w:t>.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Građevinsko stanje stambene jedinice utvrđuje se prema stanju stambene jedinice prije ulaganja i prije ugradnje građevnog materijala.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Ulaganja i popravci (vlastita ulaganja ili ugradnja darovanog građevnog materijala) dokazuju se predočavanjem odgovarajuće dokumentacije (računi, projekti, troškovnici i sl.) odnosno primjenom načela slobodne ocjene dokaza.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Kuća obnovljena od strane Središnjeg državnog ureda procjenjuje se po kriteriju starosti iz članka 8. ove Uredbe od datuma obnove do datuma procjene.</w:t>
      </w:r>
    </w:p>
    <w:p w:rsidR="008D52B8" w:rsidRPr="000A23B6" w:rsidRDefault="008D52B8" w:rsidP="008D52B8">
      <w:pPr>
        <w:pStyle w:val="NoSpacing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</w:t>
      </w:r>
      <w:r w:rsidRPr="0062100B">
        <w:rPr>
          <w:rFonts w:ascii="Minion Pro" w:hAnsi="Minion Pro"/>
          <w:color w:val="000000"/>
        </w:rPr>
        <w:t>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</w:t>
      </w:r>
      <w:r w:rsidRPr="000A23B6">
        <w:rPr>
          <w:rFonts w:ascii="Minion Pro" w:hAnsi="Minion Pro"/>
          <w:color w:val="000000"/>
        </w:rPr>
        <w:t xml:space="preserve">Prodajna cijena </w:t>
      </w:r>
      <w:r>
        <w:rPr>
          <w:rFonts w:ascii="Minion Pro" w:hAnsi="Minion Pro"/>
          <w:color w:val="000000"/>
        </w:rPr>
        <w:t>stambene jedinice</w:t>
      </w:r>
      <w:r w:rsidRPr="000A23B6">
        <w:rPr>
          <w:rFonts w:ascii="Minion Pro" w:hAnsi="Minion Pro"/>
          <w:color w:val="000000"/>
        </w:rPr>
        <w:t xml:space="preserve"> utvrđuje se na način da se </w:t>
      </w:r>
      <w:r w:rsidRPr="00383D40">
        <w:rPr>
          <w:rFonts w:ascii="Minion Pro" w:hAnsi="Minion Pro"/>
          <w:color w:val="000000"/>
        </w:rPr>
        <w:t>vrijednost stambene jedinice</w:t>
      </w:r>
      <w:r w:rsidRPr="00C43D37">
        <w:rPr>
          <w:rFonts w:ascii="Minion Pro" w:hAnsi="Minion Pro"/>
          <w:b/>
          <w:color w:val="000000"/>
        </w:rPr>
        <w:t xml:space="preserve"> </w:t>
      </w:r>
      <w:r w:rsidRPr="00D36015">
        <w:rPr>
          <w:rFonts w:ascii="Minion Pro" w:hAnsi="Minion Pro"/>
          <w:color w:val="000000"/>
        </w:rPr>
        <w:t xml:space="preserve">iz članka </w:t>
      </w:r>
      <w:r>
        <w:rPr>
          <w:rFonts w:ascii="Minion Pro" w:hAnsi="Minion Pro"/>
          <w:color w:val="000000"/>
        </w:rPr>
        <w:t>6</w:t>
      </w:r>
      <w:r w:rsidRPr="00D36015">
        <w:rPr>
          <w:rFonts w:ascii="Minion Pro" w:hAnsi="Minion Pro"/>
          <w:color w:val="000000"/>
        </w:rPr>
        <w:t>. stavka 1.</w:t>
      </w:r>
      <w:r w:rsidRPr="000A23B6">
        <w:rPr>
          <w:rFonts w:ascii="Minion Pro" w:hAnsi="Minion Pro"/>
          <w:color w:val="000000"/>
        </w:rPr>
        <w:t xml:space="preserve"> ove Uredbe umanjuje za:</w:t>
      </w:r>
    </w:p>
    <w:p w:rsidR="00A93DDD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>– 50% za prvu skupinu potpomognutih područja i</w:t>
      </w:r>
      <w:r w:rsidR="00A93DDD">
        <w:rPr>
          <w:rFonts w:ascii="Times New Roman" w:hAnsi="Times New Roman" w:cs="Times New Roman"/>
          <w:sz w:val="24"/>
          <w:szCs w:val="24"/>
          <w:lang w:eastAsia="hr-HR"/>
        </w:rPr>
        <w:t xml:space="preserve"> prvu skupinu</w:t>
      </w: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 područja posebne državne </w:t>
      </w:r>
    </w:p>
    <w:p w:rsidR="008D52B8" w:rsidRPr="009B3920" w:rsidRDefault="00A93DDD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8D52B8" w:rsidRPr="009B3920">
        <w:rPr>
          <w:rFonts w:ascii="Times New Roman" w:hAnsi="Times New Roman" w:cs="Times New Roman"/>
          <w:sz w:val="24"/>
          <w:szCs w:val="24"/>
          <w:lang w:eastAsia="hr-HR"/>
        </w:rPr>
        <w:t>skrbi</w:t>
      </w:r>
    </w:p>
    <w:p w:rsidR="00A93DDD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– 33% za drugu skupinu potomognutih područja i </w:t>
      </w:r>
      <w:r w:rsidR="00A93DDD">
        <w:rPr>
          <w:rFonts w:ascii="Times New Roman" w:hAnsi="Times New Roman" w:cs="Times New Roman"/>
          <w:sz w:val="24"/>
          <w:szCs w:val="24"/>
          <w:lang w:eastAsia="hr-HR"/>
        </w:rPr>
        <w:t xml:space="preserve">drugu skupinu </w:t>
      </w: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područja posebne državne </w:t>
      </w:r>
    </w:p>
    <w:p w:rsidR="008D52B8" w:rsidRPr="009B3920" w:rsidRDefault="00A93DDD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8D52B8" w:rsidRPr="009B3920">
        <w:rPr>
          <w:rFonts w:ascii="Times New Roman" w:hAnsi="Times New Roman" w:cs="Times New Roman"/>
          <w:sz w:val="24"/>
          <w:szCs w:val="24"/>
          <w:lang w:eastAsia="hr-HR"/>
        </w:rPr>
        <w:t>skrbi</w:t>
      </w:r>
    </w:p>
    <w:p w:rsidR="00A93DDD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– 20% za treću skupinu potpomognutih područja i </w:t>
      </w:r>
      <w:r w:rsidR="00A93DDD">
        <w:rPr>
          <w:rFonts w:ascii="Times New Roman" w:hAnsi="Times New Roman" w:cs="Times New Roman"/>
          <w:sz w:val="24"/>
          <w:szCs w:val="24"/>
          <w:lang w:eastAsia="hr-HR"/>
        </w:rPr>
        <w:t xml:space="preserve">treću skupinu </w:t>
      </w:r>
      <w:r w:rsidRPr="009B3920">
        <w:rPr>
          <w:rFonts w:ascii="Times New Roman" w:hAnsi="Times New Roman" w:cs="Times New Roman"/>
          <w:sz w:val="24"/>
          <w:szCs w:val="24"/>
          <w:lang w:eastAsia="hr-HR"/>
        </w:rPr>
        <w:t xml:space="preserve">područja posebne državne </w:t>
      </w:r>
    </w:p>
    <w:p w:rsidR="008D52B8" w:rsidRPr="009B3920" w:rsidRDefault="00A93DDD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8D52B8" w:rsidRPr="009B3920">
        <w:rPr>
          <w:rFonts w:ascii="Times New Roman" w:hAnsi="Times New Roman" w:cs="Times New Roman"/>
          <w:sz w:val="24"/>
          <w:szCs w:val="24"/>
          <w:lang w:eastAsia="hr-HR"/>
        </w:rPr>
        <w:t>skrbi ili</w:t>
      </w:r>
    </w:p>
    <w:p w:rsidR="008D52B8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9B3920">
        <w:rPr>
          <w:rFonts w:ascii="Times New Roman" w:hAnsi="Times New Roman" w:cs="Times New Roman"/>
          <w:sz w:val="24"/>
          <w:szCs w:val="24"/>
          <w:lang w:eastAsia="hr-HR"/>
        </w:rPr>
        <w:t>- 10% za četvrtu skupinu potpomognutih područja.</w:t>
      </w:r>
    </w:p>
    <w:p w:rsidR="008D52B8" w:rsidRPr="009B3920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Popusti iz stavka 1. ovoga članka međusobno se isključuju.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Ako je stambena jedinica razvrstana u dva različita područja iz stavka 1. ovoga članka, primjenjuje se popust koji je za </w:t>
      </w:r>
      <w:r w:rsidR="003727E2">
        <w:rPr>
          <w:rFonts w:ascii="Minion Pro" w:hAnsi="Minion Pro"/>
          <w:color w:val="000000"/>
        </w:rPr>
        <w:t>kupca</w:t>
      </w:r>
      <w:r>
        <w:rPr>
          <w:rFonts w:ascii="Minion Pro" w:hAnsi="Minion Pro"/>
          <w:color w:val="000000"/>
        </w:rPr>
        <w:t xml:space="preserve"> povojniji.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</w:t>
      </w:r>
      <w:r w:rsidRPr="0062100B">
        <w:rPr>
          <w:rFonts w:ascii="Minion Pro" w:hAnsi="Minion Pro"/>
          <w:color w:val="000000"/>
        </w:rPr>
        <w:t>.</w:t>
      </w:r>
    </w:p>
    <w:p w:rsidR="009643C6" w:rsidRDefault="008D52B8" w:rsidP="003727E2">
      <w:pPr>
        <w:spacing w:after="225"/>
        <w:jc w:val="both"/>
        <w:textAlignment w:val="baseline"/>
      </w:pPr>
      <w:r w:rsidRPr="000A23B6">
        <w:rPr>
          <w:rFonts w:ascii="Minion Pro" w:hAnsi="Minion Pro"/>
          <w:color w:val="000000"/>
        </w:rPr>
        <w:t xml:space="preserve">Prodajna cijena </w:t>
      </w:r>
      <w:r>
        <w:rPr>
          <w:rFonts w:ascii="Minion Pro" w:hAnsi="Minion Pro"/>
          <w:color w:val="000000"/>
        </w:rPr>
        <w:t>stambene jedinice</w:t>
      </w:r>
      <w:r w:rsidRPr="000A23B6">
        <w:rPr>
          <w:rFonts w:ascii="Minion Pro" w:hAnsi="Minion Pro"/>
          <w:color w:val="000000"/>
        </w:rPr>
        <w:t xml:space="preserve"> utvrđuje se na način da se </w:t>
      </w:r>
      <w:r w:rsidRPr="00D36015">
        <w:rPr>
          <w:rFonts w:ascii="Minion Pro" w:hAnsi="Minion Pro"/>
          <w:color w:val="000000"/>
        </w:rPr>
        <w:t>vrijednost stambene jedinice</w:t>
      </w:r>
      <w:r>
        <w:rPr>
          <w:rFonts w:ascii="Minion Pro" w:hAnsi="Minion Pro"/>
          <w:color w:val="000000"/>
        </w:rPr>
        <w:t xml:space="preserve"> iz članka 6</w:t>
      </w:r>
      <w:r w:rsidRPr="00D36015">
        <w:rPr>
          <w:rFonts w:ascii="Minion Pro" w:hAnsi="Minion Pro"/>
          <w:color w:val="000000"/>
        </w:rPr>
        <w:t>. stavka 1.</w:t>
      </w:r>
      <w:r w:rsidRPr="000A23B6">
        <w:rPr>
          <w:rFonts w:ascii="Minion Pro" w:hAnsi="Minion Pro"/>
          <w:color w:val="000000"/>
        </w:rPr>
        <w:t xml:space="preserve"> ove Uredbe umanjuje za</w:t>
      </w:r>
      <w:r w:rsidR="003727E2">
        <w:rPr>
          <w:rFonts w:ascii="Minion Pro" w:hAnsi="Minion Pro"/>
          <w:color w:val="000000"/>
        </w:rPr>
        <w:t xml:space="preserve"> </w:t>
      </w:r>
      <w:r w:rsidRPr="009B3920">
        <w:t>30% za prosto</w:t>
      </w:r>
      <w:r w:rsidR="003727E2">
        <w:t xml:space="preserve">rni položaj stambene jedinice </w:t>
      </w:r>
      <w:r w:rsidRPr="009B3920">
        <w:t>u ruralnim područjima (seoska naselja).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</w:t>
      </w:r>
      <w:r w:rsidRPr="0062100B">
        <w:rPr>
          <w:rFonts w:ascii="Minion Pro" w:hAnsi="Minion Pro"/>
          <w:color w:val="000000"/>
        </w:rPr>
        <w:t>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Ugovorom o kupoprodaji može se </w:t>
      </w:r>
      <w:r w:rsidRPr="000A23B6">
        <w:rPr>
          <w:rFonts w:ascii="Minion Pro" w:hAnsi="Minion Pro"/>
          <w:color w:val="000000"/>
        </w:rPr>
        <w:t>prema izboru kupca</w:t>
      </w:r>
      <w:r>
        <w:rPr>
          <w:rFonts w:ascii="Minion Pro" w:hAnsi="Minion Pro"/>
          <w:color w:val="000000"/>
        </w:rPr>
        <w:t xml:space="preserve"> ugovoriti jednokratno ili obročno p</w:t>
      </w:r>
      <w:r w:rsidRPr="000A23B6">
        <w:rPr>
          <w:rFonts w:ascii="Minion Pro" w:hAnsi="Minion Pro"/>
          <w:color w:val="000000"/>
        </w:rPr>
        <w:t xml:space="preserve">laćanje prodajne </w:t>
      </w:r>
      <w:r>
        <w:rPr>
          <w:rFonts w:ascii="Minion Pro" w:hAnsi="Minion Pro"/>
          <w:color w:val="000000"/>
        </w:rPr>
        <w:t>cijene</w:t>
      </w:r>
      <w:r w:rsidRPr="000A23B6">
        <w:rPr>
          <w:rFonts w:ascii="Minion Pro" w:hAnsi="Minion Pro"/>
          <w:color w:val="000000"/>
        </w:rPr>
        <w:t xml:space="preserve">. 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</w:t>
      </w:r>
      <w:r w:rsidRPr="000A23B6">
        <w:rPr>
          <w:rFonts w:ascii="Minion Pro" w:hAnsi="Minion Pro"/>
          <w:color w:val="000000"/>
        </w:rPr>
        <w:t>Izračun prodajne cijene, visine popusta i iznosa plaćanja odnosno izračun obročne otplate sastavni je dio ugovora o kupoprodaji.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</w:t>
      </w:r>
      <w:r w:rsidRPr="000A23B6">
        <w:rPr>
          <w:rFonts w:ascii="Minion Pro" w:hAnsi="Minion Pro"/>
          <w:color w:val="000000"/>
        </w:rPr>
        <w:t xml:space="preserve">Kod </w:t>
      </w:r>
      <w:r>
        <w:rPr>
          <w:rFonts w:ascii="Minion Pro" w:hAnsi="Minion Pro"/>
          <w:color w:val="000000"/>
        </w:rPr>
        <w:t>jednokratnog</w:t>
      </w:r>
      <w:r w:rsidRPr="000A23B6">
        <w:rPr>
          <w:rFonts w:ascii="Minion Pro" w:hAnsi="Minion Pro"/>
          <w:color w:val="000000"/>
        </w:rPr>
        <w:t xml:space="preserve"> plaćanja </w:t>
      </w:r>
      <w:r>
        <w:rPr>
          <w:rFonts w:ascii="Minion Pro" w:hAnsi="Minion Pro"/>
          <w:color w:val="000000"/>
        </w:rPr>
        <w:t>prodajne cijene</w:t>
      </w:r>
      <w:r w:rsidRPr="000A23B6">
        <w:rPr>
          <w:rFonts w:ascii="Minion Pro" w:hAnsi="Minion Pro"/>
          <w:color w:val="000000"/>
        </w:rPr>
        <w:t>, kupcu se na prodajnu cijenu odobrava popust u visini 50%, koji iznos je kupac dužan platiti u roku 15 dana od dana sklapanja ugovora o kupoprodaji.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(4) </w:t>
      </w:r>
      <w:r w:rsidRPr="000A23B6">
        <w:rPr>
          <w:rFonts w:ascii="Minion Pro" w:hAnsi="Minion Pro"/>
          <w:color w:val="000000"/>
        </w:rPr>
        <w:t>Kod obročn</w:t>
      </w:r>
      <w:r>
        <w:rPr>
          <w:rFonts w:ascii="Minion Pro" w:hAnsi="Minion Pro"/>
          <w:color w:val="000000"/>
        </w:rPr>
        <w:t>og plaćanja prodajne cijene</w:t>
      </w:r>
      <w:r w:rsidRPr="000A23B6">
        <w:rPr>
          <w:rFonts w:ascii="Minion Pro" w:hAnsi="Minion Pro"/>
          <w:color w:val="000000"/>
        </w:rPr>
        <w:t>, rok otplate ne može biti duži od 25 godina od dana sklapanja ugovora o kupoprodaji.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(5) </w:t>
      </w:r>
      <w:r w:rsidRPr="000A23B6">
        <w:rPr>
          <w:rFonts w:ascii="Minion Pro" w:hAnsi="Minion Pro"/>
          <w:color w:val="000000"/>
        </w:rPr>
        <w:t>Kod obročnog plaćanja, ovisno o roku otplate</w:t>
      </w:r>
      <w:r>
        <w:rPr>
          <w:rFonts w:ascii="Minion Pro" w:hAnsi="Minion Pro"/>
          <w:color w:val="000000"/>
        </w:rPr>
        <w:t>,</w:t>
      </w:r>
      <w:r w:rsidRPr="000A23B6">
        <w:rPr>
          <w:rFonts w:ascii="Minion Pro" w:hAnsi="Minion Pro"/>
          <w:color w:val="000000"/>
        </w:rPr>
        <w:t xml:space="preserve"> kupcu se na prodajnu cijenu odobrava popust u visini 2% za svaku godinu (dvanaest mjeseci) za koju je obročna otplata ugovorena kraće od najdužeg roka otplate iz stavka </w:t>
      </w:r>
      <w:r>
        <w:rPr>
          <w:rFonts w:ascii="Minion Pro" w:hAnsi="Minion Pro"/>
          <w:color w:val="000000"/>
        </w:rPr>
        <w:t>4</w:t>
      </w:r>
      <w:r w:rsidRPr="000A23B6">
        <w:rPr>
          <w:rFonts w:ascii="Minion Pro" w:hAnsi="Minion Pro"/>
          <w:color w:val="000000"/>
        </w:rPr>
        <w:t>. ovoga članka.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(6) </w:t>
      </w:r>
      <w:r w:rsidRPr="000A23B6">
        <w:rPr>
          <w:rFonts w:ascii="Minion Pro" w:hAnsi="Minion Pro"/>
          <w:color w:val="000000"/>
        </w:rPr>
        <w:t>Kod obročne otplate, prvi obrok utvrđuje se u visini od najmanje 5% prodajne cijene i taj obrok kupac je dužan platiti u roku 15 dana od dana sklapanja ugovora o kupoprodaji, a preostali iznos u jednakim mjesečnim obrocima na ugovoreni rok otplate.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 w:rsidDel="00EB2E86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 xml:space="preserve">(7) </w:t>
      </w:r>
      <w:r w:rsidRPr="000A23B6">
        <w:rPr>
          <w:rFonts w:ascii="Minion Pro" w:hAnsi="Minion Pro"/>
          <w:color w:val="000000"/>
        </w:rPr>
        <w:t>Visina prvog obroka i rok otplate utvrđuje se u skladu s odredbama ove Uredbe, ovisno o izboru kupca.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</w:t>
      </w:r>
      <w:r w:rsidRPr="0062100B">
        <w:rPr>
          <w:rFonts w:ascii="Minion Pro" w:hAnsi="Minion Pro"/>
          <w:color w:val="000000"/>
        </w:rPr>
        <w:t>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</w:t>
      </w:r>
      <w:r w:rsidRPr="000A23B6">
        <w:rPr>
          <w:rFonts w:ascii="Minion Pro" w:hAnsi="Minion Pro"/>
          <w:color w:val="000000"/>
        </w:rPr>
        <w:t>U tijeku obročne otplate kupac može izvršiti prekid otplate i platiti odjednom ukupni preostali iznos dugovanja, što se uređuje aneksom ugovora o kupoprodaji.</w:t>
      </w:r>
    </w:p>
    <w:p w:rsidR="008D52B8" w:rsidRDefault="008D52B8" w:rsidP="008D52B8">
      <w:pPr>
        <w:pStyle w:val="normal-000003"/>
        <w:spacing w:after="0"/>
        <w:rPr>
          <w:rStyle w:val="defaultparagraphfont-000016"/>
        </w:rPr>
      </w:pPr>
      <w:r>
        <w:rPr>
          <w:rStyle w:val="defaultparagraphfont-000016"/>
        </w:rPr>
        <w:t xml:space="preserve">(2) U slučaju iz stavka 1. ovoga članka, </w:t>
      </w:r>
      <w:r w:rsidRPr="00C367E8">
        <w:rPr>
          <w:rStyle w:val="defaultparagraphfont-000016"/>
        </w:rPr>
        <w:t xml:space="preserve">a pod uvjetom da je ugovoren rok otplate od 25 godina, kupcu se odobrava 2% popusta za </w:t>
      </w:r>
      <w:r>
        <w:rPr>
          <w:rStyle w:val="defaultparagraphfont-000016"/>
        </w:rPr>
        <w:t>svaku godinu (dvanaest mjeseci) prije isteka roka otplate određenog ugovorom o kupoprodaji.</w:t>
      </w:r>
    </w:p>
    <w:p w:rsidR="008D52B8" w:rsidRDefault="008D52B8" w:rsidP="008D52B8">
      <w:pPr>
        <w:pStyle w:val="normal-000003"/>
        <w:spacing w:after="0"/>
        <w:rPr>
          <w:rStyle w:val="defaultparagraphfont-000016"/>
        </w:rPr>
      </w:pPr>
    </w:p>
    <w:p w:rsidR="008D52B8" w:rsidRDefault="008D52B8" w:rsidP="008D52B8">
      <w:pPr>
        <w:pStyle w:val="normal-000003"/>
        <w:spacing w:after="0"/>
      </w:pPr>
      <w:r w:rsidRPr="00C367E8">
        <w:rPr>
          <w:rStyle w:val="defaultparagraphfont-000016"/>
        </w:rPr>
        <w:t>(3) U slučaju iz stavka 1. ovoga članka kupac je dužan izvršiti plaćanje u roku 30 dana od dana sklapanja aneksa ugovora o kupoprodaji.</w:t>
      </w:r>
      <w:r w:rsidRPr="00C367E8">
        <w:t xml:space="preserve"> </w:t>
      </w:r>
    </w:p>
    <w:p w:rsidR="001D700F" w:rsidRDefault="001D700F" w:rsidP="008D52B8">
      <w:pPr>
        <w:pStyle w:val="normal-000003"/>
        <w:spacing w:after="0"/>
      </w:pPr>
    </w:p>
    <w:p w:rsidR="00B77421" w:rsidRDefault="00B77421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</w:p>
    <w:p w:rsidR="00B77421" w:rsidRDefault="00B77421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15.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</w:t>
      </w:r>
      <w:r w:rsidRPr="000A23B6">
        <w:rPr>
          <w:rFonts w:ascii="Minion Pro" w:hAnsi="Minion Pro"/>
          <w:color w:val="000000"/>
        </w:rPr>
        <w:t xml:space="preserve">Kod kupnje </w:t>
      </w:r>
      <w:r>
        <w:rPr>
          <w:rFonts w:ascii="Minion Pro" w:hAnsi="Minion Pro"/>
          <w:color w:val="000000"/>
        </w:rPr>
        <w:t xml:space="preserve">obiteljske </w:t>
      </w:r>
      <w:r w:rsidRPr="000A23B6">
        <w:rPr>
          <w:rFonts w:ascii="Minion Pro" w:hAnsi="Minion Pro"/>
          <w:color w:val="000000"/>
        </w:rPr>
        <w:t>kuće ili stana uz obročnu otplatu upisuje se založno pravo u korist Republike Hrvatske na nekretnini odnosno na suvlasničkom dijelu te nekretnine i to za iznos prodajne cijene, istodobno s uknjižbom prava vlasništva.</w:t>
      </w:r>
    </w:p>
    <w:p w:rsidR="008D52B8" w:rsidRPr="00C367E8" w:rsidRDefault="008D52B8" w:rsidP="008D52B8">
      <w:pPr>
        <w:pStyle w:val="normal-000003"/>
        <w:spacing w:after="0"/>
      </w:pPr>
      <w:r>
        <w:rPr>
          <w:rStyle w:val="defaultparagraphfont-000016"/>
        </w:rPr>
        <w:t>(2) Ako kupac u roku dospijeća</w:t>
      </w:r>
      <w:r w:rsidRPr="00CF166C">
        <w:rPr>
          <w:rStyle w:val="defaultparagraphfont-000016"/>
        </w:rPr>
        <w:t xml:space="preserve"> </w:t>
      </w:r>
      <w:r>
        <w:rPr>
          <w:rStyle w:val="defaultparagraphfont-000016"/>
        </w:rPr>
        <w:t>ne plati</w:t>
      </w:r>
      <w:r>
        <w:t xml:space="preserve"> </w:t>
      </w:r>
      <w:r>
        <w:rPr>
          <w:rStyle w:val="defaultparagraphfont-000016"/>
        </w:rPr>
        <w:t xml:space="preserve">tri dospjela obroka uzastopno ili ne plati jedan obrok duže od tri mjeseca, </w:t>
      </w:r>
      <w:r w:rsidRPr="00C367E8">
        <w:rPr>
          <w:rStyle w:val="defaultparagraphfont-000016"/>
        </w:rPr>
        <w:t>Središnji državni ured će pokrenuti postupak raskida ugovora na način da se kupcu vraćaju sredstva koja je do tada uplatio umanjena za 15% i za ukupan iznos obračunate najamnine od dana sklapanja kupoprodajnog ugovora do dana raskida ugovora, pri čemu kupac nema pravo potraživanja kamata na ime do tada uplaćenih sredstava.</w:t>
      </w:r>
      <w:r w:rsidRPr="00C367E8">
        <w:t xml:space="preserve"> </w:t>
      </w:r>
      <w:r>
        <w:br/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U </w:t>
      </w:r>
      <w:r w:rsidRPr="000A23B6">
        <w:rPr>
          <w:rFonts w:ascii="Minion Pro" w:hAnsi="Minion Pro"/>
          <w:color w:val="000000"/>
        </w:rPr>
        <w:t xml:space="preserve">slučaju raskida ugovora iz stavka </w:t>
      </w:r>
      <w:r>
        <w:rPr>
          <w:rFonts w:ascii="Minion Pro" w:hAnsi="Minion Pro"/>
          <w:color w:val="000000"/>
        </w:rPr>
        <w:t>2</w:t>
      </w:r>
      <w:r w:rsidRPr="000A23B6">
        <w:rPr>
          <w:rFonts w:ascii="Minion Pro" w:hAnsi="Minion Pro"/>
          <w:color w:val="000000"/>
        </w:rPr>
        <w:t>. ovoga članka, bivši kupac može kao najmoprimac, na temelju sklopljenog ugovora o najmu, nastaviti koristiti istu kuću ili stan za potrebe vlastitog stanovanja, ali nema pravo ponovno kupiti tu kuću ili stan prema odredbama ove Uredbe.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E2321">
        <w:rPr>
          <w:rFonts w:ascii="Times New Roman" w:eastAsiaTheme="minorEastAsia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9E232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) Iznimno od stavka 2. ovoga </w:t>
      </w:r>
      <w:r w:rsidRPr="009E2321">
        <w:rPr>
          <w:rFonts w:ascii="Times New Roman" w:eastAsiaTheme="minorEastAsia" w:hAnsi="Times New Roman" w:cs="Times New Roman" w:hint="eastAsia"/>
          <w:sz w:val="24"/>
          <w:szCs w:val="24"/>
          <w:lang w:eastAsia="hr-HR"/>
        </w:rPr>
        <w:t>č</w:t>
      </w:r>
      <w:r w:rsidRPr="009E232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lanka, </w:t>
      </w:r>
      <w:r w:rsidRPr="009E2321">
        <w:rPr>
          <w:rFonts w:ascii="Times New Roman" w:hAnsi="Times New Roman" w:cs="Times New Roman"/>
          <w:sz w:val="24"/>
          <w:szCs w:val="24"/>
          <w:lang w:eastAsia="hr-HR"/>
        </w:rPr>
        <w:t>ako na strani kupca nastupe izvanredne okolnosti uslijed kojih obitelj ostane bez redovnih prihoda te radi toga nije u mogućnosti izvršavati obveze iz ugovora o kupoprodaji, rok od tri mjeseca može se produžiti najduže 12 mjeseci od nastanka izvanredne okolnosti.</w:t>
      </w:r>
    </w:p>
    <w:p w:rsidR="008D52B8" w:rsidRPr="00C367E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 w:rsidRPr="0062100B">
        <w:rPr>
          <w:rFonts w:ascii="Minion Pro" w:hAnsi="Minion Pro"/>
          <w:color w:val="000000"/>
        </w:rPr>
        <w:t>Članak</w:t>
      </w:r>
      <w:r>
        <w:rPr>
          <w:rFonts w:ascii="Minion Pro" w:hAnsi="Minion Pro"/>
          <w:color w:val="000000"/>
        </w:rPr>
        <w:t xml:space="preserve"> 16</w:t>
      </w:r>
      <w:r w:rsidRPr="0062100B">
        <w:rPr>
          <w:rFonts w:ascii="Minion Pro" w:hAnsi="Minion Pro"/>
          <w:color w:val="000000"/>
        </w:rPr>
        <w:t>.</w:t>
      </w:r>
    </w:p>
    <w:p w:rsidR="008D52B8" w:rsidRPr="00A3447F" w:rsidRDefault="008D52B8" w:rsidP="008D52B8">
      <w:pPr>
        <w:spacing w:after="225"/>
        <w:jc w:val="both"/>
        <w:textAlignment w:val="baseline"/>
        <w:rPr>
          <w:rFonts w:ascii="Minion Pro" w:hAnsi="Minion Pro"/>
          <w:color w:val="FF0000"/>
        </w:rPr>
      </w:pPr>
      <w:r>
        <w:rPr>
          <w:rFonts w:ascii="Minion Pro" w:hAnsi="Minion Pro"/>
          <w:color w:val="000000"/>
        </w:rPr>
        <w:t>(1) Obiteljsku k</w:t>
      </w:r>
      <w:r w:rsidRPr="000A23B6">
        <w:rPr>
          <w:rFonts w:ascii="Minion Pro" w:hAnsi="Minion Pro"/>
          <w:color w:val="000000"/>
        </w:rPr>
        <w:t>uć</w:t>
      </w:r>
      <w:r>
        <w:rPr>
          <w:rFonts w:ascii="Minion Pro" w:hAnsi="Minion Pro"/>
          <w:color w:val="000000"/>
        </w:rPr>
        <w:t>u</w:t>
      </w:r>
      <w:r w:rsidRPr="000A23B6">
        <w:rPr>
          <w:rFonts w:ascii="Minion Pro" w:hAnsi="Minion Pro"/>
          <w:color w:val="000000"/>
        </w:rPr>
        <w:t xml:space="preserve"> ili stan kupljen</w:t>
      </w:r>
      <w:r>
        <w:rPr>
          <w:rFonts w:ascii="Minion Pro" w:hAnsi="Minion Pro"/>
          <w:color w:val="000000"/>
        </w:rPr>
        <w:t>i</w:t>
      </w:r>
      <w:r w:rsidRPr="000A23B6">
        <w:rPr>
          <w:rFonts w:ascii="Minion Pro" w:hAnsi="Minion Pro"/>
          <w:color w:val="000000"/>
        </w:rPr>
        <w:t xml:space="preserve"> uz obročnu otplatu odnosno suvlasnički dio nekretnine, vlasnik može prodati ili na drugi način otuđiti smo ako prethodno otplati ukupan preostali iznos </w:t>
      </w:r>
      <w:r w:rsidR="00A3447F">
        <w:rPr>
          <w:rFonts w:ascii="Minion Pro" w:hAnsi="Minion Pro"/>
          <w:color w:val="000000"/>
        </w:rPr>
        <w:t xml:space="preserve">dugovanja, </w:t>
      </w:r>
      <w:r w:rsidR="00A3447F" w:rsidRPr="00C8151D">
        <w:rPr>
          <w:rFonts w:ascii="Minion Pro" w:hAnsi="Minion Pro"/>
        </w:rPr>
        <w:t>a nakon isteka tri godine od sklapanja ugovora o kupoprodaji.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Ograničenje iz stavka 1. ovoga članka</w:t>
      </w:r>
      <w:r w:rsidRPr="000A23B6">
        <w:rPr>
          <w:rFonts w:ascii="Minion Pro" w:hAnsi="Minion Pro"/>
          <w:color w:val="000000"/>
        </w:rPr>
        <w:t xml:space="preserve"> unosi se u ugovor o kupoprodaji, a pravni poslovi sklopljeni protivno tom ograničenju, ništavi su.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</w:t>
      </w:r>
      <w:r w:rsidRPr="0062100B">
        <w:rPr>
          <w:rFonts w:ascii="Minion Pro" w:hAnsi="Minion Pro"/>
          <w:color w:val="000000"/>
        </w:rPr>
        <w:t>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Obiteljsku k</w:t>
      </w:r>
      <w:r w:rsidRPr="000A23B6">
        <w:rPr>
          <w:rFonts w:ascii="Minion Pro" w:hAnsi="Minion Pro"/>
          <w:color w:val="000000"/>
        </w:rPr>
        <w:t xml:space="preserve">uću ili stan najmoprimac može kupiti i prije isteka </w:t>
      </w:r>
      <w:r>
        <w:rPr>
          <w:rFonts w:ascii="Minion Pro" w:hAnsi="Minion Pro"/>
          <w:color w:val="000000"/>
        </w:rPr>
        <w:t>jedne</w:t>
      </w:r>
      <w:r w:rsidRPr="000A23B6">
        <w:rPr>
          <w:rFonts w:ascii="Minion Pro" w:hAnsi="Minion Pro"/>
          <w:color w:val="000000"/>
        </w:rPr>
        <w:t xml:space="preserve"> godin</w:t>
      </w:r>
      <w:r>
        <w:rPr>
          <w:rFonts w:ascii="Minion Pro" w:hAnsi="Minion Pro"/>
          <w:color w:val="000000"/>
        </w:rPr>
        <w:t>e</w:t>
      </w:r>
      <w:r w:rsidRPr="000A23B6">
        <w:rPr>
          <w:rFonts w:ascii="Minion Pro" w:hAnsi="Minion Pro"/>
          <w:color w:val="000000"/>
        </w:rPr>
        <w:t xml:space="preserve"> neprekidnog prebivanja u toj kući ili stanu, pod uvjetom da prodajnu cijenu plaća jednokratno ili na obročnu otplatu uz prvi obrok u visini od najmanje 15% prodajne cijene </w:t>
      </w:r>
      <w:r>
        <w:rPr>
          <w:rFonts w:ascii="Minion Pro" w:hAnsi="Minion Pro"/>
          <w:color w:val="000000"/>
        </w:rPr>
        <w:t xml:space="preserve">obiteljske kuće ili </w:t>
      </w:r>
      <w:r w:rsidRPr="000A23B6">
        <w:rPr>
          <w:rFonts w:ascii="Minion Pro" w:hAnsi="Minion Pro"/>
          <w:color w:val="000000"/>
        </w:rPr>
        <w:t>stana.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</w:t>
      </w:r>
      <w:r w:rsidRPr="000A23B6">
        <w:rPr>
          <w:rFonts w:ascii="Minion Pro" w:hAnsi="Minion Pro"/>
          <w:color w:val="000000"/>
        </w:rPr>
        <w:t>U slučaju iz stavka 1. ovoga članka, uz ograničenje otuđenja iz članka</w:t>
      </w:r>
      <w:r>
        <w:rPr>
          <w:rFonts w:ascii="Minion Pro" w:hAnsi="Minion Pro"/>
          <w:color w:val="000000"/>
        </w:rPr>
        <w:t xml:space="preserve"> 16.</w:t>
      </w:r>
      <w:r w:rsidRPr="000A23B6">
        <w:rPr>
          <w:rFonts w:ascii="Minion Pro" w:hAnsi="Minion Pro"/>
          <w:color w:val="000000"/>
        </w:rPr>
        <w:t xml:space="preserve"> ove Uredbe, vlasnik ne može prodati ili na drugi način otuđiti kupljenu nekretninu prije isteka </w:t>
      </w:r>
      <w:r>
        <w:rPr>
          <w:rFonts w:ascii="Minion Pro" w:hAnsi="Minion Pro"/>
          <w:color w:val="000000"/>
        </w:rPr>
        <w:t>tri</w:t>
      </w:r>
      <w:r w:rsidRPr="000A23B6">
        <w:rPr>
          <w:rFonts w:ascii="Minion Pro" w:hAnsi="Minion Pro"/>
          <w:color w:val="000000"/>
        </w:rPr>
        <w:t xml:space="preserve"> godin</w:t>
      </w:r>
      <w:r>
        <w:rPr>
          <w:rFonts w:ascii="Minion Pro" w:hAnsi="Minion Pro"/>
          <w:color w:val="000000"/>
        </w:rPr>
        <w:t>e</w:t>
      </w:r>
      <w:r w:rsidRPr="000A23B6">
        <w:rPr>
          <w:rFonts w:ascii="Minion Pro" w:hAnsi="Minion Pro"/>
          <w:color w:val="000000"/>
        </w:rPr>
        <w:t xml:space="preserve"> od sklapanja ugovora o </w:t>
      </w:r>
      <w:r>
        <w:rPr>
          <w:rFonts w:ascii="Minion Pro" w:hAnsi="Minion Pro"/>
          <w:color w:val="000000"/>
        </w:rPr>
        <w:t>kupoprodaji</w:t>
      </w:r>
      <w:r w:rsidRPr="000A23B6">
        <w:rPr>
          <w:rFonts w:ascii="Minion Pro" w:hAnsi="Minion Pro"/>
          <w:color w:val="000000"/>
        </w:rPr>
        <w:t xml:space="preserve">. 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</w:t>
      </w:r>
      <w:r w:rsidR="00A93DDD">
        <w:rPr>
          <w:rFonts w:ascii="Minion Pro" w:hAnsi="Minion Pro"/>
          <w:color w:val="000000"/>
        </w:rPr>
        <w:t xml:space="preserve">Zabilježba </w:t>
      </w:r>
      <w:r w:rsidRPr="000A23B6">
        <w:rPr>
          <w:rFonts w:ascii="Minion Pro" w:hAnsi="Minion Pro"/>
          <w:color w:val="000000"/>
        </w:rPr>
        <w:t>zabrane otuđenja i opterećenja nekretnine izvršit će se istodobno s uknjižbom prava vlasništva na toj nekretnini.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</w:t>
      </w:r>
      <w:r w:rsidRPr="0062100B">
        <w:rPr>
          <w:rFonts w:ascii="Minion Pro" w:hAnsi="Minion Pro"/>
          <w:color w:val="000000"/>
        </w:rPr>
        <w:t>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</w:t>
      </w:r>
      <w:r w:rsidRPr="000A23B6">
        <w:rPr>
          <w:rFonts w:ascii="Minion Pro" w:hAnsi="Minion Pro"/>
          <w:color w:val="000000"/>
        </w:rPr>
        <w:t xml:space="preserve">Troškove u vezi sa sklapanjem ugovora o kupoprodaji podmiruje </w:t>
      </w:r>
      <w:r>
        <w:rPr>
          <w:rFonts w:ascii="Minion Pro" w:hAnsi="Minion Pro"/>
          <w:color w:val="000000"/>
        </w:rPr>
        <w:t>Središnji državni ured</w:t>
      </w:r>
      <w:r w:rsidRPr="000A23B6">
        <w:rPr>
          <w:rFonts w:ascii="Minion Pro" w:hAnsi="Minion Pro"/>
          <w:color w:val="000000"/>
        </w:rPr>
        <w:t>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</w:t>
      </w:r>
      <w:r w:rsidRPr="000A23B6">
        <w:rPr>
          <w:rFonts w:ascii="Minion Pro" w:hAnsi="Minion Pro"/>
          <w:color w:val="000000"/>
        </w:rPr>
        <w:t>Troškove koji proizlaze iz zahtjeva kupca za sklapanjem aneksa ugovora o kupoprodaji kao i troškove upisa prava vlasništva u zemljišne knjige na osnovi sklopljenog ugovora, podmiruje kupac.</w:t>
      </w:r>
    </w:p>
    <w:p w:rsidR="008D52B8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 xml:space="preserve">(3) </w:t>
      </w:r>
      <w:r w:rsidRPr="00C43D37">
        <w:rPr>
          <w:rFonts w:ascii="Minion Pro" w:hAnsi="Minion Pro"/>
          <w:color w:val="000000"/>
        </w:rPr>
        <w:t>Kupac je du</w:t>
      </w:r>
      <w:r w:rsidRPr="00C43D37">
        <w:rPr>
          <w:rFonts w:ascii="Minion Pro" w:hAnsi="Minion Pro" w:hint="eastAsia"/>
          <w:color w:val="000000"/>
        </w:rPr>
        <w:t>ž</w:t>
      </w:r>
      <w:r w:rsidRPr="00C43D37">
        <w:rPr>
          <w:rFonts w:ascii="Minion Pro" w:hAnsi="Minion Pro"/>
          <w:color w:val="000000"/>
        </w:rPr>
        <w:t>an pokrenuti postupak prijenosa vlasni</w:t>
      </w:r>
      <w:r w:rsidRPr="00C43D37">
        <w:rPr>
          <w:rFonts w:ascii="Minion Pro" w:hAnsi="Minion Pro" w:hint="eastAsia"/>
          <w:color w:val="000000"/>
        </w:rPr>
        <w:t>š</w:t>
      </w:r>
      <w:r w:rsidRPr="00C43D37">
        <w:rPr>
          <w:rFonts w:ascii="Minion Pro" w:hAnsi="Minion Pro"/>
          <w:color w:val="000000"/>
        </w:rPr>
        <w:t>tva najkasnije u roku od 30 dana od dana sklapanja ugovora o prodaji i o istom dostaviti dokaz Sredi</w:t>
      </w:r>
      <w:r w:rsidRPr="00C43D37">
        <w:rPr>
          <w:rFonts w:ascii="Minion Pro" w:hAnsi="Minion Pro" w:hint="eastAsia"/>
          <w:color w:val="000000"/>
        </w:rPr>
        <w:t>š</w:t>
      </w:r>
      <w:r w:rsidRPr="00C43D37">
        <w:rPr>
          <w:rFonts w:ascii="Minion Pro" w:hAnsi="Minion Pro"/>
          <w:color w:val="000000"/>
        </w:rPr>
        <w:t>njem dr</w:t>
      </w:r>
      <w:r w:rsidRPr="00C43D37">
        <w:rPr>
          <w:rFonts w:ascii="Minion Pro" w:hAnsi="Minion Pro" w:hint="eastAsia"/>
          <w:color w:val="000000"/>
        </w:rPr>
        <w:t>ž</w:t>
      </w:r>
      <w:r w:rsidRPr="00C43D37">
        <w:rPr>
          <w:rFonts w:ascii="Minion Pro" w:hAnsi="Minion Pro"/>
          <w:color w:val="000000"/>
        </w:rPr>
        <w:t>avnom uredu.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</w:t>
      </w:r>
      <w:r w:rsidRPr="0062100B">
        <w:rPr>
          <w:rFonts w:ascii="Minion Pro" w:hAnsi="Minion Pro"/>
          <w:color w:val="000000"/>
        </w:rPr>
        <w:t>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0A23B6">
        <w:rPr>
          <w:rFonts w:ascii="Minion Pro" w:hAnsi="Minion Pro"/>
          <w:color w:val="000000"/>
        </w:rPr>
        <w:t>Danom stupanja na snagu ove Uredbe prestaje važiti Uredba o uvjetima za kupnju obiteljske kuće ili stana u državnom vlasništvu na područjima posebne državne skrbi (</w:t>
      </w:r>
      <w:r>
        <w:rPr>
          <w:rFonts w:ascii="Minion Pro" w:hAnsi="Minion Pro"/>
          <w:color w:val="000000"/>
        </w:rPr>
        <w:t>„</w:t>
      </w:r>
      <w:r w:rsidRPr="000A23B6">
        <w:rPr>
          <w:rFonts w:ascii="Minion Pro" w:hAnsi="Minion Pro"/>
          <w:color w:val="000000"/>
        </w:rPr>
        <w:t>Narodne novine</w:t>
      </w:r>
      <w:r>
        <w:rPr>
          <w:rFonts w:ascii="Minion Pro" w:hAnsi="Minion Pro"/>
          <w:color w:val="000000"/>
        </w:rPr>
        <w:t>“</w:t>
      </w:r>
      <w:r w:rsidRPr="000A23B6">
        <w:rPr>
          <w:rFonts w:ascii="Minion Pro" w:hAnsi="Minion Pro"/>
          <w:color w:val="000000"/>
        </w:rPr>
        <w:t>, br</w:t>
      </w:r>
      <w:r>
        <w:rPr>
          <w:rFonts w:ascii="Minion Pro" w:hAnsi="Minion Pro"/>
          <w:color w:val="000000"/>
        </w:rPr>
        <w:t>oj</w:t>
      </w:r>
      <w:r w:rsidRPr="000A23B6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>19/11, 56/11 i 3/13</w:t>
      </w:r>
      <w:r w:rsidRPr="000A23B6">
        <w:rPr>
          <w:rFonts w:ascii="Minion Pro" w:hAnsi="Minion Pro"/>
          <w:color w:val="000000"/>
        </w:rPr>
        <w:t>).</w:t>
      </w:r>
    </w:p>
    <w:p w:rsidR="008D52B8" w:rsidRPr="0062100B" w:rsidRDefault="008D52B8" w:rsidP="008D52B8">
      <w:pPr>
        <w:spacing w:after="225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</w:t>
      </w:r>
      <w:r w:rsidRPr="0062100B">
        <w:rPr>
          <w:rFonts w:ascii="Minion Pro" w:hAnsi="Minion Pro"/>
          <w:color w:val="000000"/>
        </w:rPr>
        <w:t>.</w:t>
      </w:r>
    </w:p>
    <w:p w:rsidR="008D52B8" w:rsidRPr="00834FEC" w:rsidRDefault="008D52B8" w:rsidP="008D52B8">
      <w:pPr>
        <w:spacing w:after="48"/>
        <w:textAlignment w:val="baseline"/>
      </w:pPr>
      <w:r w:rsidRPr="000A23B6">
        <w:rPr>
          <w:rFonts w:ascii="Minion Pro" w:hAnsi="Minion Pro"/>
          <w:color w:val="000000"/>
        </w:rPr>
        <w:t xml:space="preserve">Ova Uredba stupa na snagu </w:t>
      </w:r>
      <w:r w:rsidRPr="00834FEC">
        <w:t>osmoga dana od dana objave u „Narodnim novinama“.</w:t>
      </w:r>
    </w:p>
    <w:p w:rsidR="008D52B8" w:rsidRPr="000A23B6" w:rsidRDefault="008D52B8" w:rsidP="008D52B8">
      <w:pPr>
        <w:spacing w:after="225"/>
        <w:jc w:val="both"/>
        <w:textAlignment w:val="baseline"/>
        <w:rPr>
          <w:rFonts w:ascii="Minion Pro" w:hAnsi="Minion Pro"/>
          <w:color w:val="000000"/>
        </w:rPr>
      </w:pPr>
    </w:p>
    <w:p w:rsidR="008D52B8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52B8" w:rsidRPr="00F7113C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F7113C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</w:p>
    <w:p w:rsidR="008D52B8" w:rsidRPr="00F7113C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F7113C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</w:p>
    <w:p w:rsidR="00B77421" w:rsidRDefault="00B77421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52B8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F7113C"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</w:p>
    <w:p w:rsidR="008D52B8" w:rsidRPr="00F7113C" w:rsidRDefault="008D52B8" w:rsidP="008D52B8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52B8" w:rsidRDefault="008D52B8" w:rsidP="008D52B8">
      <w:pPr>
        <w:ind w:left="6464"/>
        <w:jc w:val="center"/>
        <w:textAlignment w:val="baseline"/>
        <w:rPr>
          <w:rFonts w:ascii="Minion Pro" w:hAnsi="Minion Pro"/>
          <w:b/>
          <w:bCs/>
          <w:color w:val="000000"/>
          <w:bdr w:val="none" w:sz="0" w:space="0" w:color="auto" w:frame="1"/>
        </w:rPr>
      </w:pPr>
      <w:r w:rsidRPr="000A23B6">
        <w:rPr>
          <w:rFonts w:ascii="Minion Pro" w:hAnsi="Minion Pro"/>
          <w:color w:val="000000"/>
        </w:rPr>
        <w:t>Predsjedni</w:t>
      </w:r>
      <w:r>
        <w:rPr>
          <w:rFonts w:ascii="Minion Pro" w:hAnsi="Minion Pro"/>
          <w:color w:val="000000"/>
        </w:rPr>
        <w:t>k</w:t>
      </w:r>
      <w:r w:rsidRPr="000A23B6">
        <w:rPr>
          <w:rFonts w:ascii="Minion Pro" w:hAnsi="Minion Pro"/>
          <w:color w:val="000000"/>
        </w:rPr>
        <w:br/>
      </w:r>
    </w:p>
    <w:p w:rsidR="008D52B8" w:rsidRPr="003A02F0" w:rsidRDefault="008D52B8" w:rsidP="008D52B8">
      <w:pPr>
        <w:ind w:left="6464"/>
        <w:jc w:val="center"/>
        <w:textAlignment w:val="baseline"/>
      </w:pPr>
      <w:r w:rsidRPr="003A02F0">
        <w:rPr>
          <w:rFonts w:ascii="Minion Pro" w:hAnsi="Minion Pro"/>
          <w:bCs/>
          <w:color w:val="000000"/>
          <w:bdr w:val="none" w:sz="0" w:space="0" w:color="auto" w:frame="1"/>
        </w:rPr>
        <w:t>mr.sc. Andrej Plenković</w:t>
      </w:r>
    </w:p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8D52B8" w:rsidRDefault="008D52B8" w:rsidP="008D52B8"/>
    <w:p w:rsidR="00CB598D" w:rsidRDefault="00CB598D" w:rsidP="008D52B8"/>
    <w:p w:rsidR="00CB598D" w:rsidRDefault="00CB598D" w:rsidP="008D52B8"/>
    <w:p w:rsidR="00CB598D" w:rsidRDefault="00CB598D" w:rsidP="008D52B8"/>
    <w:p w:rsidR="00CB598D" w:rsidRDefault="00CB598D" w:rsidP="008D52B8"/>
    <w:p w:rsidR="00CB598D" w:rsidRDefault="00CB598D" w:rsidP="008D52B8"/>
    <w:p w:rsidR="00CB598D" w:rsidRDefault="00CB598D" w:rsidP="008D52B8"/>
    <w:p w:rsidR="00CB598D" w:rsidRDefault="00CB598D" w:rsidP="008D52B8"/>
    <w:p w:rsidR="00CB598D" w:rsidRDefault="00CB598D" w:rsidP="008D52B8"/>
    <w:p w:rsidR="00CB598D" w:rsidRDefault="00CB598D" w:rsidP="008D52B8"/>
    <w:p w:rsidR="003727E2" w:rsidRDefault="003727E2" w:rsidP="008D52B8"/>
    <w:p w:rsidR="008D52B8" w:rsidRDefault="008D52B8" w:rsidP="008D52B8">
      <w:pPr>
        <w:jc w:val="center"/>
        <w:rPr>
          <w:b/>
        </w:rPr>
      </w:pPr>
      <w:r w:rsidRPr="00F7113C">
        <w:rPr>
          <w:b/>
        </w:rPr>
        <w:t>OBRAZLOŽENJE</w:t>
      </w:r>
    </w:p>
    <w:p w:rsidR="008D52B8" w:rsidRDefault="008D52B8" w:rsidP="008D52B8">
      <w:pPr>
        <w:jc w:val="both"/>
      </w:pPr>
    </w:p>
    <w:p w:rsidR="008D52B8" w:rsidRDefault="008D52B8" w:rsidP="008D52B8">
      <w:pPr>
        <w:ind w:firstLine="708"/>
        <w:jc w:val="both"/>
      </w:pPr>
      <w:r>
        <w:t xml:space="preserve">Pravna osnova za donošenje Uredbe o prodajnoj cijeni obiteljske kuće ili stana u državnom </w:t>
      </w:r>
      <w:r w:rsidR="003307B1">
        <w:t>vlasništvu</w:t>
      </w:r>
      <w:r w:rsidR="003307B1" w:rsidRPr="003307B1">
        <w:t xml:space="preserve"> kojima upravlja središnji državni ured za obnovu i stambeno zbrinjavanje</w:t>
      </w:r>
      <w:r w:rsidR="003307B1">
        <w:t xml:space="preserve"> </w:t>
      </w:r>
      <w:r>
        <w:t>je članak 30. stavak 4. Zakona o stambenom zbrinjavanju na potpomognutim područjima („Narodne novine“, broj 106/2018; u daljnjem tekstu: Zakon), kojim se daje ovlaštenje Vladi Republike Hrvatske da uredbom propiše prodajnu cijenu obiteljske kuće ili stana.</w:t>
      </w:r>
    </w:p>
    <w:p w:rsidR="008D52B8" w:rsidRDefault="008D52B8" w:rsidP="008D52B8">
      <w:pPr>
        <w:ind w:firstLine="708"/>
        <w:jc w:val="both"/>
      </w:pPr>
      <w:r>
        <w:t>Korisnicima stambenog zbrinjavanja prema Zakonu omogućuje se kupnja obiteljske kuće ili stana po povoljnijim uvjetima.</w:t>
      </w:r>
    </w:p>
    <w:p w:rsidR="008D52B8" w:rsidRPr="00C158DD" w:rsidRDefault="008D52B8" w:rsidP="008D52B8">
      <w:pPr>
        <w:ind w:firstLine="708"/>
        <w:jc w:val="both"/>
        <w:rPr>
          <w:rFonts w:eastAsia="Arial"/>
          <w:spacing w:val="-1"/>
        </w:rPr>
      </w:pPr>
      <w:r>
        <w:rPr>
          <w:rFonts w:eastAsia="Arial"/>
          <w:spacing w:val="-1"/>
        </w:rPr>
        <w:t xml:space="preserve">U odnosu na Uredbu o uvjetima za kupnju obiteljske kuće ili stana u državnom vlasništvu na područjima posebne državne skrbi („Narodne novine“, broj </w:t>
      </w:r>
      <w:r w:rsidRPr="008D6BA1">
        <w:rPr>
          <w:rFonts w:eastAsia="Arial"/>
          <w:spacing w:val="-1"/>
        </w:rPr>
        <w:t xml:space="preserve">19/2011, 56/2011 </w:t>
      </w:r>
      <w:r>
        <w:rPr>
          <w:rFonts w:eastAsia="Arial"/>
          <w:spacing w:val="-1"/>
        </w:rPr>
        <w:t xml:space="preserve">i 3/13) prema kojoj je najmoprimac mogao nakon 10 godina neprekidnog prebivanja u obiteljskoj kući ili stanu iste kupiti, ovom Uredbom  </w:t>
      </w:r>
      <w:r w:rsidRPr="00C158DD">
        <w:rPr>
          <w:rFonts w:eastAsia="Arial"/>
          <w:spacing w:val="-1"/>
        </w:rPr>
        <w:t xml:space="preserve">najmoprimac obiteljske kuće ili stana stječe pravo kupnje stana ili obiteljske kuće </w:t>
      </w:r>
      <w:r>
        <w:rPr>
          <w:rFonts w:eastAsia="Arial"/>
          <w:spacing w:val="-1"/>
        </w:rPr>
        <w:t>n</w:t>
      </w:r>
      <w:r w:rsidRPr="00C158DD">
        <w:rPr>
          <w:rFonts w:eastAsia="Arial"/>
          <w:spacing w:val="-1"/>
        </w:rPr>
        <w:t xml:space="preserve">akon jedne godine neprekidnog prebivanja u </w:t>
      </w:r>
      <w:r>
        <w:rPr>
          <w:rFonts w:eastAsia="Arial"/>
          <w:spacing w:val="-1"/>
        </w:rPr>
        <w:t>istima</w:t>
      </w:r>
      <w:r w:rsidRPr="00C158DD">
        <w:rPr>
          <w:rFonts w:eastAsia="Arial"/>
          <w:spacing w:val="-1"/>
        </w:rPr>
        <w:t xml:space="preserve">. 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52B8" w:rsidRPr="008047BA" w:rsidRDefault="008D52B8" w:rsidP="008D52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 xml:space="preserve">Osnovica za utvrđivanje prodajne cijene obiteljske kuće ili stana iznosi </w:t>
      </w:r>
      <w:r w:rsidRPr="008047BA">
        <w:rPr>
          <w:rFonts w:ascii="Times New Roman" w:hAnsi="Times New Roman" w:cs="Times New Roman"/>
          <w:sz w:val="24"/>
          <w:szCs w:val="24"/>
        </w:rPr>
        <w:t>6.000,00 kuna po m</w:t>
      </w:r>
      <w:r w:rsidRPr="008047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047BA">
        <w:rPr>
          <w:rFonts w:ascii="Times New Roman" w:hAnsi="Times New Roman" w:cs="Times New Roman"/>
          <w:sz w:val="24"/>
          <w:szCs w:val="24"/>
        </w:rPr>
        <w:t xml:space="preserve"> površine</w:t>
      </w:r>
      <w:r w:rsidRPr="008047B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D52B8" w:rsidRPr="008047BA" w:rsidRDefault="008D52B8" w:rsidP="008D52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>Prodajna cijena obiteljske kuće ili stana utvrđuje se umanjenjem vrijednosti stambene jedinice prema navedenim kriterijima i to sljedećim redom kumulativno:</w:t>
      </w:r>
    </w:p>
    <w:p w:rsidR="008D52B8" w:rsidRPr="008047BA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>– starost stambene jedinice</w:t>
      </w:r>
    </w:p>
    <w:p w:rsidR="008D52B8" w:rsidRPr="008047BA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 xml:space="preserve">– građevinsko stanje stambene jedinice </w:t>
      </w:r>
    </w:p>
    <w:p w:rsidR="008D52B8" w:rsidRPr="008047BA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 xml:space="preserve">– skupina područja primjene propisa o stambenom zbrinjavanju na potpomognutim  </w:t>
      </w:r>
    </w:p>
    <w:p w:rsidR="008D52B8" w:rsidRPr="008047BA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 xml:space="preserve">   područjima</w:t>
      </w:r>
    </w:p>
    <w:p w:rsidR="008D52B8" w:rsidRPr="008047BA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>– prostorni položaj i</w:t>
      </w:r>
    </w:p>
    <w:p w:rsidR="008D52B8" w:rsidRPr="008047BA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>– način plaćanja.</w:t>
      </w:r>
    </w:p>
    <w:p w:rsidR="008D52B8" w:rsidRDefault="008D52B8" w:rsidP="008D52B8">
      <w:pPr>
        <w:pStyle w:val="NoSpacing"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 xml:space="preserve">Svaki od kriterija precizno je propisan te su povoljniji za korisnike od kriterija propisanih </w:t>
      </w:r>
      <w:r w:rsidRPr="008047BA">
        <w:rPr>
          <w:rFonts w:ascii="Times New Roman" w:eastAsia="Arial" w:hAnsi="Times New Roman" w:cs="Times New Roman"/>
          <w:spacing w:val="-1"/>
          <w:sz w:val="24"/>
          <w:szCs w:val="24"/>
        </w:rPr>
        <w:t>Uredbom o uvjetima za kupnju obiteljske kuće ili stana u državnom vlasništvu na područjima posebne državne skrbi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:rsidR="008D52B8" w:rsidRPr="008047BA" w:rsidRDefault="008D52B8" w:rsidP="008D52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047BA">
        <w:rPr>
          <w:rFonts w:ascii="Times New Roman" w:hAnsi="Times New Roman" w:cs="Times New Roman"/>
          <w:sz w:val="24"/>
          <w:szCs w:val="24"/>
          <w:lang w:eastAsia="hr-HR"/>
        </w:rPr>
        <w:t>Ugovorom o kupoprodaji može se prema izboru kupca ugovoriti jednokratno ili obročno plaćanje prodajne cijene.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047BA">
        <w:rPr>
          <w:rFonts w:ascii="Times New Roman" w:hAnsi="Times New Roman" w:cs="Times New Roman"/>
          <w:sz w:val="24"/>
          <w:szCs w:val="24"/>
          <w:lang w:eastAsia="hr-HR"/>
        </w:rPr>
        <w:t>Kod jednokratnog plaćanja prodajne cijene, kupcu se na prodajnu cijenu odobrava popust u visini 50%, koji iznos je kupac dužan platiti u roku 15 dana od dana sklapanja ugovora o kupoprodaji.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8047BA">
        <w:rPr>
          <w:rFonts w:ascii="Times New Roman" w:hAnsi="Times New Roman" w:cs="Times New Roman"/>
          <w:sz w:val="24"/>
          <w:szCs w:val="24"/>
          <w:lang w:eastAsia="hr-HR"/>
        </w:rPr>
        <w:t>Kod obročnog plaćanja prodajne cijene, rok otplate ne može biti duži od 25 godina od dana sklapanja ugovora o kupoprodaji.</w:t>
      </w:r>
    </w:p>
    <w:p w:rsidR="008D52B8" w:rsidRDefault="008D52B8" w:rsidP="008D52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52B8" w:rsidRPr="00834FEC" w:rsidRDefault="008D52B8" w:rsidP="00B77421">
      <w:pPr>
        <w:spacing w:after="48"/>
        <w:ind w:firstLine="708"/>
        <w:jc w:val="both"/>
        <w:textAlignment w:val="baseline"/>
      </w:pPr>
      <w:r>
        <w:t xml:space="preserve">Predlaže se stupanje na snagu Uredbe </w:t>
      </w:r>
      <w:r w:rsidRPr="00834FEC">
        <w:t>osmoga dana od dana objave u „Narodnim novinama“.</w:t>
      </w:r>
    </w:p>
    <w:p w:rsidR="008D52B8" w:rsidRDefault="008D52B8" w:rsidP="008D52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52B8" w:rsidRDefault="00CB598D" w:rsidP="008D52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Provedba Uredbe</w:t>
      </w:r>
      <w:r w:rsidR="008D52B8">
        <w:rPr>
          <w:rFonts w:ascii="Times New Roman" w:hAnsi="Times New Roman" w:cs="Times New Roman"/>
          <w:sz w:val="24"/>
          <w:szCs w:val="24"/>
          <w:lang w:eastAsia="hr-HR"/>
        </w:rPr>
        <w:t xml:space="preserve"> ne zahtjeva dodatna financijska sredstva iz državnog proračuna već će se provoditi u skladu s odobrenim sredstvima.</w:t>
      </w:r>
    </w:p>
    <w:p w:rsidR="008D52B8" w:rsidRPr="008047BA" w:rsidRDefault="008D52B8" w:rsidP="008D52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52B8" w:rsidRDefault="008D52B8" w:rsidP="008D52B8"/>
    <w:p w:rsidR="008F0DD4" w:rsidRPr="00CE78D1" w:rsidRDefault="008F0DD4" w:rsidP="00CE78D1"/>
    <w:sectPr w:rsidR="008F0DD4" w:rsidRPr="00CE78D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01" w:rsidRDefault="00827801" w:rsidP="0011560A">
      <w:r>
        <w:separator/>
      </w:r>
    </w:p>
  </w:endnote>
  <w:endnote w:type="continuationSeparator" w:id="0">
    <w:p w:rsidR="00827801" w:rsidRDefault="0082780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B8" w:rsidRPr="00CE78D1" w:rsidRDefault="008D52B8" w:rsidP="008D52B8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 w:rsidR="00361DF2"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0350D9" w:rsidRPr="00CE78D1" w:rsidRDefault="000350D9" w:rsidP="008D52B8">
    <w:pPr>
      <w:pStyle w:val="Footer"/>
      <w:jc w:val="center"/>
      <w:rPr>
        <w:color w:val="404040" w:themeColor="text1" w:themeTint="BF"/>
        <w:spacing w:val="2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B8" w:rsidRPr="00CE78D1" w:rsidRDefault="008D52B8" w:rsidP="008D52B8">
    <w:pPr>
      <w:pStyle w:val="Footer"/>
      <w:jc w:val="center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01" w:rsidRDefault="00827801" w:rsidP="0011560A">
      <w:r>
        <w:separator/>
      </w:r>
    </w:p>
  </w:footnote>
  <w:footnote w:type="continuationSeparator" w:id="0">
    <w:p w:rsidR="00827801" w:rsidRDefault="00827801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BFE"/>
    <w:rsid w:val="000350D9"/>
    <w:rsid w:val="00057310"/>
    <w:rsid w:val="000620E9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0CE7"/>
    <w:rsid w:val="001917B2"/>
    <w:rsid w:val="00197247"/>
    <w:rsid w:val="001A01AC"/>
    <w:rsid w:val="001A13E7"/>
    <w:rsid w:val="001A6966"/>
    <w:rsid w:val="001B7A97"/>
    <w:rsid w:val="001D700F"/>
    <w:rsid w:val="001E7218"/>
    <w:rsid w:val="002179F8"/>
    <w:rsid w:val="00220956"/>
    <w:rsid w:val="0023763F"/>
    <w:rsid w:val="0028608D"/>
    <w:rsid w:val="0029163B"/>
    <w:rsid w:val="002A1D77"/>
    <w:rsid w:val="002B107A"/>
    <w:rsid w:val="002C15E9"/>
    <w:rsid w:val="002D1256"/>
    <w:rsid w:val="002D649D"/>
    <w:rsid w:val="002D6C51"/>
    <w:rsid w:val="002D7C91"/>
    <w:rsid w:val="003033E4"/>
    <w:rsid w:val="00304232"/>
    <w:rsid w:val="00323C77"/>
    <w:rsid w:val="003307B1"/>
    <w:rsid w:val="00336EE7"/>
    <w:rsid w:val="0034351C"/>
    <w:rsid w:val="00361DF2"/>
    <w:rsid w:val="003727E2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509BA"/>
    <w:rsid w:val="00461188"/>
    <w:rsid w:val="00464A4A"/>
    <w:rsid w:val="0048477E"/>
    <w:rsid w:val="004A776B"/>
    <w:rsid w:val="004B1613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D0A21"/>
    <w:rsid w:val="005E79C8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1B3E"/>
    <w:rsid w:val="006E611E"/>
    <w:rsid w:val="007010C7"/>
    <w:rsid w:val="00717BAA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27801"/>
    <w:rsid w:val="00833808"/>
    <w:rsid w:val="008353A1"/>
    <w:rsid w:val="008365FD"/>
    <w:rsid w:val="00881BBB"/>
    <w:rsid w:val="00890782"/>
    <w:rsid w:val="0089283D"/>
    <w:rsid w:val="008C0768"/>
    <w:rsid w:val="008C1D0A"/>
    <w:rsid w:val="008D1E25"/>
    <w:rsid w:val="008D52B8"/>
    <w:rsid w:val="008F0DD4"/>
    <w:rsid w:val="0090200F"/>
    <w:rsid w:val="009047E4"/>
    <w:rsid w:val="009126B3"/>
    <w:rsid w:val="009152C4"/>
    <w:rsid w:val="00915B57"/>
    <w:rsid w:val="0095079B"/>
    <w:rsid w:val="00953BA1"/>
    <w:rsid w:val="00954D08"/>
    <w:rsid w:val="009643C6"/>
    <w:rsid w:val="009930CA"/>
    <w:rsid w:val="009C33E1"/>
    <w:rsid w:val="009C7815"/>
    <w:rsid w:val="00A15F08"/>
    <w:rsid w:val="00A175E9"/>
    <w:rsid w:val="00A21819"/>
    <w:rsid w:val="00A3447F"/>
    <w:rsid w:val="00A37531"/>
    <w:rsid w:val="00A45CF4"/>
    <w:rsid w:val="00A52A71"/>
    <w:rsid w:val="00A573DC"/>
    <w:rsid w:val="00A6339A"/>
    <w:rsid w:val="00A725A4"/>
    <w:rsid w:val="00A83290"/>
    <w:rsid w:val="00A93DDD"/>
    <w:rsid w:val="00AC6874"/>
    <w:rsid w:val="00AD2F06"/>
    <w:rsid w:val="00AD4D7C"/>
    <w:rsid w:val="00AE59DF"/>
    <w:rsid w:val="00AF56AC"/>
    <w:rsid w:val="00B12A13"/>
    <w:rsid w:val="00B42E00"/>
    <w:rsid w:val="00B462AB"/>
    <w:rsid w:val="00B57187"/>
    <w:rsid w:val="00B706F8"/>
    <w:rsid w:val="00B77421"/>
    <w:rsid w:val="00B908C2"/>
    <w:rsid w:val="00BA28CD"/>
    <w:rsid w:val="00BA72BF"/>
    <w:rsid w:val="00C337A4"/>
    <w:rsid w:val="00C44327"/>
    <w:rsid w:val="00C8151D"/>
    <w:rsid w:val="00C969CC"/>
    <w:rsid w:val="00CA4F84"/>
    <w:rsid w:val="00CB598D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4DB"/>
    <w:rsid w:val="00E77198"/>
    <w:rsid w:val="00E83E23"/>
    <w:rsid w:val="00EA3AD1"/>
    <w:rsid w:val="00EB1248"/>
    <w:rsid w:val="00EC08EF"/>
    <w:rsid w:val="00ED236E"/>
    <w:rsid w:val="00EE03CA"/>
    <w:rsid w:val="00EE7199"/>
    <w:rsid w:val="00F218F5"/>
    <w:rsid w:val="00F3220D"/>
    <w:rsid w:val="00F764AD"/>
    <w:rsid w:val="00F912F8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ED5871-8888-42E3-8E6E-63CDEAF0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52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-000003">
    <w:name w:val="normal-000003"/>
    <w:basedOn w:val="Normal"/>
    <w:rsid w:val="008D52B8"/>
    <w:pPr>
      <w:spacing w:after="195"/>
      <w:jc w:val="both"/>
      <w:textAlignment w:val="baseline"/>
    </w:pPr>
    <w:rPr>
      <w:rFonts w:ascii="Minion Pro" w:eastAsiaTheme="minorEastAsia" w:hAnsi="Minion Pro"/>
    </w:rPr>
  </w:style>
  <w:style w:type="character" w:customStyle="1" w:styleId="defaultparagraphfont-000016">
    <w:name w:val="defaultparagraphfont-000016"/>
    <w:basedOn w:val="DefaultParagraphFont"/>
    <w:rsid w:val="008D52B8"/>
    <w:rPr>
      <w:rFonts w:ascii="Minion Pro" w:hAnsi="Minion Pro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B7E9-E064-464F-95EC-E67573740E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A0A346-E826-4D84-A4E1-27D3EEAC3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50173-05D1-4BDC-AD28-EB8F2D0411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FF3FAF-FCB9-41F8-99DE-1CFD618C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127472-3194-49A4-B54C-64EEE117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2096</Words>
  <Characters>11952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2019-03-05T11:07:00Z</cp:lastPrinted>
  <dcterms:created xsi:type="dcterms:W3CDTF">2019-03-07T15:42:00Z</dcterms:created>
  <dcterms:modified xsi:type="dcterms:W3CDTF">2019-03-07T15:42:00Z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