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00C8" w14:textId="77777777" w:rsidR="007126FD" w:rsidRPr="007126FD" w:rsidRDefault="007126FD" w:rsidP="007126FD">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7126FD">
        <w:rPr>
          <w:rFonts w:ascii="Times New Roman" w:eastAsia="Times New Roman" w:hAnsi="Times New Roman" w:cs="Times New Roman"/>
          <w:noProof/>
          <w:sz w:val="24"/>
          <w:szCs w:val="24"/>
          <w:lang w:eastAsia="hr-HR"/>
        </w:rPr>
        <w:drawing>
          <wp:inline distT="0" distB="0" distL="0" distR="0" wp14:anchorId="15480115" wp14:editId="15480116">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126FD">
        <w:rPr>
          <w:rFonts w:ascii="Times New Roman" w:eastAsia="Times New Roman" w:hAnsi="Times New Roman" w:cs="Times New Roman"/>
          <w:sz w:val="24"/>
          <w:szCs w:val="24"/>
          <w:lang w:eastAsia="hr-HR"/>
        </w:rPr>
        <w:fldChar w:fldCharType="begin"/>
      </w:r>
      <w:r w:rsidRPr="007126FD">
        <w:rPr>
          <w:rFonts w:ascii="Times New Roman" w:eastAsia="Times New Roman" w:hAnsi="Times New Roman" w:cs="Times New Roman"/>
          <w:sz w:val="24"/>
          <w:szCs w:val="24"/>
          <w:lang w:eastAsia="hr-HR"/>
        </w:rPr>
        <w:instrText xml:space="preserve"> INCLUDEPICTURE "http://www.inet.hr/~box/images/grb-rh.gif" \* MERGEFORMATINET </w:instrText>
      </w:r>
      <w:r w:rsidRPr="007126FD">
        <w:rPr>
          <w:rFonts w:ascii="Times New Roman" w:eastAsia="Times New Roman" w:hAnsi="Times New Roman" w:cs="Times New Roman"/>
          <w:sz w:val="24"/>
          <w:szCs w:val="24"/>
          <w:lang w:eastAsia="hr-HR"/>
        </w:rPr>
        <w:fldChar w:fldCharType="end"/>
      </w:r>
    </w:p>
    <w:p w14:paraId="154800C9" w14:textId="77777777" w:rsidR="007126FD" w:rsidRPr="007126FD" w:rsidRDefault="007126FD" w:rsidP="007126FD">
      <w:pPr>
        <w:spacing w:before="60" w:after="1680" w:line="240" w:lineRule="auto"/>
        <w:jc w:val="center"/>
        <w:rPr>
          <w:rFonts w:ascii="Times New Roman" w:eastAsia="Times New Roman" w:hAnsi="Times New Roman" w:cs="Times New Roman"/>
          <w:sz w:val="28"/>
          <w:szCs w:val="24"/>
          <w:lang w:eastAsia="hr-HR"/>
        </w:rPr>
      </w:pPr>
      <w:r w:rsidRPr="007126FD">
        <w:rPr>
          <w:rFonts w:ascii="Times New Roman" w:eastAsia="Times New Roman" w:hAnsi="Times New Roman" w:cs="Times New Roman"/>
          <w:sz w:val="28"/>
          <w:szCs w:val="24"/>
          <w:lang w:eastAsia="hr-HR"/>
        </w:rPr>
        <w:t>VLADA REPUBLIKE HRVATSKE</w:t>
      </w:r>
    </w:p>
    <w:p w14:paraId="154800CA"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CB" w14:textId="677D6F80" w:rsidR="007126FD" w:rsidRPr="007126FD" w:rsidRDefault="007126FD" w:rsidP="007126FD">
      <w:pPr>
        <w:spacing w:after="2400" w:line="240" w:lineRule="auto"/>
        <w:jc w:val="right"/>
        <w:rPr>
          <w:rFonts w:ascii="Times New Roman" w:eastAsia="Times New Roman" w:hAnsi="Times New Roman" w:cs="Times New Roman"/>
          <w:sz w:val="24"/>
          <w:szCs w:val="24"/>
          <w:lang w:eastAsia="hr-HR"/>
        </w:rPr>
      </w:pPr>
      <w:r w:rsidRPr="007126FD">
        <w:rPr>
          <w:rFonts w:ascii="Times New Roman" w:eastAsia="Times New Roman" w:hAnsi="Times New Roman" w:cs="Times New Roman"/>
          <w:sz w:val="24"/>
          <w:szCs w:val="24"/>
          <w:lang w:eastAsia="hr-HR"/>
        </w:rPr>
        <w:t xml:space="preserve">Zagreb, </w:t>
      </w:r>
      <w:r w:rsidR="002D0FB8">
        <w:rPr>
          <w:rFonts w:ascii="Times New Roman" w:eastAsia="Times New Roman" w:hAnsi="Times New Roman" w:cs="Times New Roman"/>
          <w:sz w:val="24"/>
          <w:szCs w:val="24"/>
          <w:lang w:eastAsia="hr-HR"/>
        </w:rPr>
        <w:t xml:space="preserve">11. </w:t>
      </w:r>
      <w:r w:rsidR="001D5FE2">
        <w:rPr>
          <w:rFonts w:ascii="Times New Roman" w:eastAsia="Times New Roman" w:hAnsi="Times New Roman" w:cs="Times New Roman"/>
          <w:sz w:val="24"/>
          <w:szCs w:val="24"/>
          <w:lang w:eastAsia="hr-HR"/>
        </w:rPr>
        <w:t>prosin</w:t>
      </w:r>
      <w:r w:rsidR="00B9013D">
        <w:rPr>
          <w:rFonts w:ascii="Times New Roman" w:eastAsia="Times New Roman" w:hAnsi="Times New Roman" w:cs="Times New Roman"/>
          <w:sz w:val="24"/>
          <w:szCs w:val="24"/>
          <w:lang w:eastAsia="hr-HR"/>
        </w:rPr>
        <w:t>a</w:t>
      </w:r>
      <w:r w:rsidR="001D5FE2">
        <w:rPr>
          <w:rFonts w:ascii="Times New Roman" w:eastAsia="Times New Roman" w:hAnsi="Times New Roman" w:cs="Times New Roman"/>
          <w:sz w:val="24"/>
          <w:szCs w:val="24"/>
          <w:lang w:eastAsia="hr-HR"/>
        </w:rPr>
        <w:t>c 2019.</w:t>
      </w:r>
    </w:p>
    <w:p w14:paraId="154800CC" w14:textId="77777777" w:rsidR="007126FD" w:rsidRPr="007126FD" w:rsidRDefault="007126FD" w:rsidP="007126FD">
      <w:pPr>
        <w:spacing w:after="0" w:line="360" w:lineRule="auto"/>
        <w:rPr>
          <w:rFonts w:ascii="Times New Roman" w:eastAsia="Times New Roman" w:hAnsi="Times New Roman" w:cs="Times New Roman"/>
          <w:sz w:val="24"/>
          <w:szCs w:val="24"/>
          <w:lang w:eastAsia="hr-HR"/>
        </w:rPr>
      </w:pPr>
      <w:r w:rsidRPr="007126FD">
        <w:rPr>
          <w:rFonts w:ascii="Times New Roman" w:eastAsia="Times New Roman" w:hAnsi="Times New Roman" w:cs="Times New Roman"/>
          <w:sz w:val="24"/>
          <w:szCs w:val="24"/>
          <w:lang w:eastAsia="hr-HR"/>
        </w:rPr>
        <w:t>__________________________________________________________________________</w:t>
      </w:r>
    </w:p>
    <w:p w14:paraId="154800CD" w14:textId="77777777" w:rsidR="007126FD" w:rsidRPr="007126FD" w:rsidRDefault="007126FD" w:rsidP="007126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126FD" w:rsidRPr="007126FD" w:rsidSect="00E36513">
          <w:headerReference w:type="default" r:id="rId13"/>
          <w:footerReference w:type="default" r:id="rId14"/>
          <w:headerReference w:type="first" r:id="rId15"/>
          <w:footerReference w:type="first" r:id="rId16"/>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126FD" w:rsidRPr="007126FD" w14:paraId="154800D0" w14:textId="77777777" w:rsidTr="000A6006">
        <w:tc>
          <w:tcPr>
            <w:tcW w:w="1951" w:type="dxa"/>
          </w:tcPr>
          <w:p w14:paraId="154800CE" w14:textId="77777777" w:rsidR="007126FD" w:rsidRPr="007126FD" w:rsidRDefault="007126FD" w:rsidP="007126FD">
            <w:pPr>
              <w:spacing w:line="360" w:lineRule="auto"/>
              <w:jc w:val="right"/>
              <w:rPr>
                <w:sz w:val="24"/>
                <w:szCs w:val="24"/>
              </w:rPr>
            </w:pPr>
            <w:r w:rsidRPr="007126FD">
              <w:rPr>
                <w:b/>
                <w:smallCaps/>
                <w:sz w:val="24"/>
                <w:szCs w:val="24"/>
              </w:rPr>
              <w:t>Predlagatelj</w:t>
            </w:r>
            <w:r w:rsidRPr="007126FD">
              <w:rPr>
                <w:b/>
                <w:sz w:val="24"/>
                <w:szCs w:val="24"/>
              </w:rPr>
              <w:t>:</w:t>
            </w:r>
          </w:p>
        </w:tc>
        <w:tc>
          <w:tcPr>
            <w:tcW w:w="7229" w:type="dxa"/>
          </w:tcPr>
          <w:p w14:paraId="154800CF" w14:textId="77777777" w:rsidR="007126FD" w:rsidRPr="007126FD" w:rsidRDefault="007126FD" w:rsidP="007126FD">
            <w:pPr>
              <w:spacing w:line="360" w:lineRule="auto"/>
              <w:rPr>
                <w:sz w:val="24"/>
                <w:szCs w:val="24"/>
              </w:rPr>
            </w:pPr>
            <w:r>
              <w:rPr>
                <w:sz w:val="24"/>
                <w:szCs w:val="24"/>
              </w:rPr>
              <w:t>Ministarstvo financija</w:t>
            </w:r>
          </w:p>
        </w:tc>
      </w:tr>
    </w:tbl>
    <w:p w14:paraId="154800D1" w14:textId="77777777" w:rsidR="007126FD" w:rsidRPr="007126FD" w:rsidRDefault="007126FD" w:rsidP="007126FD">
      <w:pPr>
        <w:spacing w:after="0" w:line="360" w:lineRule="auto"/>
        <w:rPr>
          <w:rFonts w:ascii="Times New Roman" w:eastAsia="Times New Roman" w:hAnsi="Times New Roman" w:cs="Times New Roman"/>
          <w:sz w:val="24"/>
          <w:szCs w:val="24"/>
          <w:lang w:eastAsia="hr-HR"/>
        </w:rPr>
      </w:pPr>
      <w:r w:rsidRPr="007126FD">
        <w:rPr>
          <w:rFonts w:ascii="Times New Roman" w:eastAsia="Times New Roman" w:hAnsi="Times New Roman" w:cs="Times New Roman"/>
          <w:sz w:val="24"/>
          <w:szCs w:val="24"/>
          <w:lang w:eastAsia="hr-HR"/>
        </w:rPr>
        <w:t>__________________________________________________________________________</w:t>
      </w:r>
    </w:p>
    <w:p w14:paraId="154800D2" w14:textId="77777777" w:rsidR="007126FD" w:rsidRPr="007126FD" w:rsidRDefault="007126FD" w:rsidP="007126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126FD" w:rsidRPr="007126F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126FD" w:rsidRPr="007126FD" w14:paraId="154800D5" w14:textId="77777777" w:rsidTr="000A6006">
        <w:tc>
          <w:tcPr>
            <w:tcW w:w="1951" w:type="dxa"/>
          </w:tcPr>
          <w:p w14:paraId="154800D3" w14:textId="77777777" w:rsidR="007126FD" w:rsidRPr="007126FD" w:rsidRDefault="007126FD" w:rsidP="007126FD">
            <w:pPr>
              <w:spacing w:line="360" w:lineRule="auto"/>
              <w:jc w:val="right"/>
              <w:rPr>
                <w:sz w:val="24"/>
                <w:szCs w:val="24"/>
              </w:rPr>
            </w:pPr>
            <w:r w:rsidRPr="007126FD">
              <w:rPr>
                <w:b/>
                <w:smallCaps/>
                <w:sz w:val="24"/>
                <w:szCs w:val="24"/>
              </w:rPr>
              <w:t>Predmet</w:t>
            </w:r>
            <w:r w:rsidRPr="007126FD">
              <w:rPr>
                <w:b/>
                <w:sz w:val="24"/>
                <w:szCs w:val="24"/>
              </w:rPr>
              <w:t>:</w:t>
            </w:r>
          </w:p>
        </w:tc>
        <w:tc>
          <w:tcPr>
            <w:tcW w:w="7229" w:type="dxa"/>
          </w:tcPr>
          <w:p w14:paraId="154800D4" w14:textId="1DEA1A1B" w:rsidR="007126FD" w:rsidRPr="007126FD" w:rsidRDefault="007126FD" w:rsidP="00B74C32">
            <w:pPr>
              <w:spacing w:line="360" w:lineRule="auto"/>
              <w:rPr>
                <w:sz w:val="24"/>
                <w:szCs w:val="24"/>
              </w:rPr>
            </w:pPr>
            <w:r w:rsidRPr="007126FD">
              <w:rPr>
                <w:snapToGrid w:val="0"/>
                <w:spacing w:val="-3"/>
                <w:sz w:val="24"/>
                <w:szCs w:val="24"/>
                <w:lang w:eastAsia="en-US"/>
              </w:rPr>
              <w:t xml:space="preserve">Prijedlog odluke </w:t>
            </w:r>
            <w:r w:rsidR="001D5FE2" w:rsidRPr="001D5FE2">
              <w:rPr>
                <w:snapToGrid w:val="0"/>
                <w:spacing w:val="-3"/>
                <w:sz w:val="24"/>
                <w:szCs w:val="24"/>
                <w:lang w:eastAsia="en-US"/>
              </w:rPr>
              <w:t>o davanju suglasnosti Ministarstvu uprave za preuzimanje obveza na teret sredstava državnog proračuna Republike Hrvatske u 2021. i 2022. godini</w:t>
            </w:r>
            <w:r w:rsidR="00B9013D">
              <w:t xml:space="preserve"> </w:t>
            </w:r>
            <w:r w:rsidR="00B9013D" w:rsidRPr="00B9013D">
              <w:rPr>
                <w:snapToGrid w:val="0"/>
                <w:spacing w:val="-3"/>
                <w:sz w:val="24"/>
                <w:szCs w:val="24"/>
                <w:lang w:eastAsia="en-US"/>
              </w:rPr>
              <w:t>za sklapanje sporazuma sa pojedinim županijama o preuzimanju predmeta, pismohrane, ostale dokumentacije, opreme te sredstava za rad od pojedinih mjesno nadležnih ureda državne uprave</w:t>
            </w:r>
            <w:r w:rsidRPr="007126FD">
              <w:rPr>
                <w:sz w:val="24"/>
                <w:szCs w:val="24"/>
              </w:rPr>
              <w:t xml:space="preserve"> </w:t>
            </w:r>
          </w:p>
        </w:tc>
      </w:tr>
    </w:tbl>
    <w:p w14:paraId="154800D6" w14:textId="77777777" w:rsidR="007126FD" w:rsidRPr="007126FD" w:rsidRDefault="007126FD" w:rsidP="007126FD">
      <w:pPr>
        <w:tabs>
          <w:tab w:val="left" w:pos="1843"/>
        </w:tabs>
        <w:spacing w:after="0" w:line="360" w:lineRule="auto"/>
        <w:ind w:left="1843" w:hanging="1843"/>
        <w:rPr>
          <w:rFonts w:ascii="Times New Roman" w:eastAsia="Times New Roman" w:hAnsi="Times New Roman" w:cs="Times New Roman"/>
          <w:sz w:val="24"/>
          <w:szCs w:val="24"/>
          <w:lang w:eastAsia="hr-HR"/>
        </w:rPr>
      </w:pPr>
      <w:r w:rsidRPr="007126FD">
        <w:rPr>
          <w:rFonts w:ascii="Times New Roman" w:eastAsia="Times New Roman" w:hAnsi="Times New Roman" w:cs="Times New Roman"/>
          <w:sz w:val="24"/>
          <w:szCs w:val="24"/>
          <w:lang w:eastAsia="hr-HR"/>
        </w:rPr>
        <w:t>__________________________________________________________________________</w:t>
      </w:r>
    </w:p>
    <w:p w14:paraId="154800D7"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8"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9"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A"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B"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C"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D"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pPr>
    </w:p>
    <w:p w14:paraId="154800DE" w14:textId="77777777" w:rsidR="007126FD" w:rsidRPr="007126FD" w:rsidRDefault="007126FD" w:rsidP="007126FD">
      <w:pPr>
        <w:spacing w:after="0" w:line="240" w:lineRule="auto"/>
        <w:rPr>
          <w:rFonts w:ascii="Times New Roman" w:eastAsia="Times New Roman" w:hAnsi="Times New Roman" w:cs="Times New Roman"/>
          <w:sz w:val="24"/>
          <w:szCs w:val="24"/>
          <w:lang w:eastAsia="hr-HR"/>
        </w:rPr>
        <w:sectPr w:rsidR="007126FD" w:rsidRPr="007126FD" w:rsidSect="000350D9">
          <w:type w:val="continuous"/>
          <w:pgSz w:w="11906" w:h="16838"/>
          <w:pgMar w:top="993" w:right="1417" w:bottom="1417" w:left="1417" w:header="709" w:footer="658" w:gutter="0"/>
          <w:cols w:space="708"/>
          <w:docGrid w:linePitch="360"/>
        </w:sectPr>
      </w:pPr>
    </w:p>
    <w:p w14:paraId="43B5B34E" w14:textId="77777777" w:rsidR="001D5FE2" w:rsidRPr="006E7547" w:rsidRDefault="001D5FE2" w:rsidP="001D5FE2">
      <w:pPr>
        <w:pStyle w:val="ListParagraph"/>
        <w:spacing w:after="0" w:line="240" w:lineRule="auto"/>
        <w:jc w:val="right"/>
        <w:rPr>
          <w:rFonts w:ascii="Times New Roman" w:hAnsi="Times New Roman" w:cs="Times New Roman"/>
          <w:b/>
          <w:sz w:val="24"/>
          <w:szCs w:val="24"/>
        </w:rPr>
      </w:pPr>
      <w:r w:rsidRPr="006E7547">
        <w:rPr>
          <w:rFonts w:ascii="Times New Roman" w:hAnsi="Times New Roman" w:cs="Times New Roman"/>
          <w:b/>
          <w:sz w:val="24"/>
          <w:szCs w:val="24"/>
        </w:rPr>
        <w:lastRenderedPageBreak/>
        <w:t>Prijedlog</w:t>
      </w:r>
    </w:p>
    <w:p w14:paraId="2CAC8497" w14:textId="77777777" w:rsidR="001D5FE2" w:rsidRPr="006E7547" w:rsidRDefault="001D5FE2" w:rsidP="001D5FE2">
      <w:pPr>
        <w:jc w:val="both"/>
        <w:rPr>
          <w:rFonts w:ascii="Times New Roman" w:hAnsi="Times New Roman" w:cs="Times New Roman"/>
          <w:spacing w:val="-3"/>
          <w:sz w:val="24"/>
          <w:szCs w:val="24"/>
        </w:rPr>
      </w:pPr>
    </w:p>
    <w:p w14:paraId="716752BE" w14:textId="77777777" w:rsidR="001D5FE2" w:rsidRPr="006E7547" w:rsidRDefault="001D5FE2" w:rsidP="001D5FE2">
      <w:pPr>
        <w:jc w:val="both"/>
        <w:rPr>
          <w:rFonts w:ascii="Times New Roman" w:hAnsi="Times New Roman" w:cs="Times New Roman"/>
          <w:sz w:val="24"/>
          <w:szCs w:val="24"/>
        </w:rPr>
      </w:pPr>
      <w:r w:rsidRPr="006E7547">
        <w:rPr>
          <w:rFonts w:ascii="Times New Roman" w:hAnsi="Times New Roman" w:cs="Times New Roman"/>
          <w:spacing w:val="-3"/>
          <w:sz w:val="24"/>
          <w:szCs w:val="24"/>
        </w:rPr>
        <w:t>Na temelju članka 31. stavka 2. Zakona o Vladi Republike Hrvatske (Narodne novine, br. 150/11, 119/14, 93/16 i 116/18) i članka 44. stavka 2. Zakona o proračunu (Narodne novine, br. 87/08, 136/12 i 15/15) Vlada Republike Hrvatske na sjednici održanoj ___________________ donijela je</w:t>
      </w:r>
    </w:p>
    <w:p w14:paraId="22357951" w14:textId="77777777" w:rsidR="001D5FE2" w:rsidRPr="006E7547" w:rsidRDefault="001D5FE2" w:rsidP="001D5FE2">
      <w:pPr>
        <w:pStyle w:val="Heading4"/>
        <w:rPr>
          <w:rFonts w:ascii="Times New Roman" w:hAnsi="Times New Roman" w:cs="Times New Roman"/>
        </w:rPr>
      </w:pPr>
      <w:r w:rsidRPr="006E7547">
        <w:rPr>
          <w:rFonts w:ascii="Times New Roman" w:hAnsi="Times New Roman" w:cs="Times New Roman"/>
        </w:rPr>
        <w:t>O D L U K U</w:t>
      </w:r>
    </w:p>
    <w:p w14:paraId="54BC5589" w14:textId="0BB6171C" w:rsidR="001D5FE2" w:rsidRPr="00336FC5" w:rsidRDefault="00B9013D" w:rsidP="00336FC5">
      <w:pPr>
        <w:jc w:val="center"/>
        <w:rPr>
          <w:rFonts w:ascii="Times New Roman" w:hAnsi="Times New Roman"/>
          <w:b/>
        </w:rPr>
      </w:pPr>
      <w:r w:rsidRPr="00B9013D">
        <w:rPr>
          <w:rFonts w:ascii="Times New Roman" w:hAnsi="Times New Roman" w:cs="Times New Roman"/>
          <w:b/>
          <w:sz w:val="24"/>
          <w:szCs w:val="24"/>
        </w:rPr>
        <w:t xml:space="preserve">o davanju suglasnosti Ministarstvu uprave za preuzimanje obveza na teret sredstava državnog proračuna Republike Hrvatske u 2021. i 2022. godini </w:t>
      </w:r>
      <w:r w:rsidR="00407F89">
        <w:rPr>
          <w:rFonts w:ascii="Times New Roman" w:hAnsi="Times New Roman" w:cs="Times New Roman"/>
          <w:b/>
          <w:sz w:val="24"/>
          <w:szCs w:val="24"/>
        </w:rPr>
        <w:t>za sklapanje</w:t>
      </w:r>
      <w:r w:rsidR="001D5FE2" w:rsidRPr="006E7547">
        <w:rPr>
          <w:rFonts w:ascii="Times New Roman" w:hAnsi="Times New Roman" w:cs="Times New Roman"/>
          <w:b/>
          <w:sz w:val="24"/>
          <w:szCs w:val="24"/>
        </w:rPr>
        <w:t xml:space="preserve"> sporazuma sa pojedinim županijama o preuzimanju predmeta, pismohrane, ostale dokumentacije, opreme te sredstava za rad od pojedinih mjesno nadležnih ureda državne uprave</w:t>
      </w:r>
    </w:p>
    <w:p w14:paraId="582A3E56" w14:textId="77777777" w:rsidR="001D5FE2" w:rsidRPr="006E7547" w:rsidRDefault="001D5FE2" w:rsidP="001D5FE2">
      <w:pPr>
        <w:jc w:val="center"/>
        <w:rPr>
          <w:rFonts w:ascii="Times New Roman" w:hAnsi="Times New Roman" w:cs="Times New Roman"/>
          <w:b/>
          <w:bCs/>
          <w:sz w:val="24"/>
          <w:szCs w:val="24"/>
        </w:rPr>
      </w:pPr>
      <w:r w:rsidRPr="006E7547">
        <w:rPr>
          <w:rFonts w:ascii="Times New Roman" w:hAnsi="Times New Roman" w:cs="Times New Roman"/>
          <w:b/>
          <w:bCs/>
          <w:sz w:val="24"/>
          <w:szCs w:val="24"/>
        </w:rPr>
        <w:t>I.</w:t>
      </w:r>
    </w:p>
    <w:p w14:paraId="67A653B7" w14:textId="1E6A4C7B" w:rsidR="001D5FE2" w:rsidRPr="006E7547" w:rsidRDefault="001D5FE2" w:rsidP="001D5FE2">
      <w:pPr>
        <w:pStyle w:val="BodyText"/>
        <w:ind w:left="-142" w:right="-115" w:firstLine="708"/>
        <w:jc w:val="both"/>
        <w:rPr>
          <w:rFonts w:ascii="Times New Roman" w:hAnsi="Times New Roman"/>
          <w:b w:val="0"/>
        </w:rPr>
      </w:pPr>
      <w:r w:rsidRPr="006E7547">
        <w:rPr>
          <w:rFonts w:ascii="Times New Roman" w:hAnsi="Times New Roman"/>
          <w:b w:val="0"/>
        </w:rPr>
        <w:t xml:space="preserve">Daje se suglasnost Ministarstvu uprave za preuzimanje obveza na teret sredstava državnog </w:t>
      </w:r>
      <w:r w:rsidR="000915FF" w:rsidRPr="000915FF">
        <w:rPr>
          <w:rFonts w:ascii="Times New Roman" w:hAnsi="Times New Roman"/>
          <w:b w:val="0"/>
        </w:rPr>
        <w:t>proračuna Republike Hrvatske u 2021. i 2022. godini za sklapanje sporazuma</w:t>
      </w:r>
      <w:r w:rsidRPr="000915FF">
        <w:rPr>
          <w:rFonts w:ascii="Times New Roman" w:hAnsi="Times New Roman"/>
          <w:b w:val="0"/>
        </w:rPr>
        <w:t xml:space="preserve"> </w:t>
      </w:r>
      <w:r w:rsidRPr="006E7547">
        <w:rPr>
          <w:rFonts w:ascii="Times New Roman" w:hAnsi="Times New Roman"/>
          <w:b w:val="0"/>
        </w:rPr>
        <w:t>sa pojedinim županijama o preuzimanju predmeta, pismohrane, ostale dokumentacije, opreme te sredstava za rad od pojedinih mjesno nadležnih ureda državne uprave u ukupnom</w:t>
      </w:r>
      <w:r w:rsidR="006477A3">
        <w:rPr>
          <w:rFonts w:ascii="Times New Roman" w:hAnsi="Times New Roman"/>
          <w:b w:val="0"/>
        </w:rPr>
        <w:t xml:space="preserve"> iznosu od 618.000.000,00 kn, odnosno u</w:t>
      </w:r>
      <w:r w:rsidRPr="006E7547">
        <w:rPr>
          <w:rFonts w:ascii="Times New Roman" w:hAnsi="Times New Roman"/>
          <w:b w:val="0"/>
        </w:rPr>
        <w:t xml:space="preserve"> </w:t>
      </w:r>
      <w:r w:rsidR="00336FC5">
        <w:rPr>
          <w:rFonts w:ascii="Times New Roman" w:hAnsi="Times New Roman"/>
          <w:b w:val="0"/>
        </w:rPr>
        <w:t xml:space="preserve">godišnjem </w:t>
      </w:r>
      <w:r w:rsidRPr="006E7547">
        <w:rPr>
          <w:rFonts w:ascii="Times New Roman" w:hAnsi="Times New Roman"/>
          <w:b w:val="0"/>
        </w:rPr>
        <w:t xml:space="preserve">iznosu od </w:t>
      </w:r>
      <w:r w:rsidR="00336FC5">
        <w:rPr>
          <w:rFonts w:ascii="Times New Roman" w:hAnsi="Times New Roman"/>
          <w:b w:val="0"/>
        </w:rPr>
        <w:t>309.000.000 kn</w:t>
      </w:r>
      <w:r w:rsidRPr="006E7547">
        <w:rPr>
          <w:rFonts w:ascii="Times New Roman" w:hAnsi="Times New Roman"/>
          <w:b w:val="0"/>
        </w:rPr>
        <w:t xml:space="preserve"> </w:t>
      </w:r>
      <w:r w:rsidR="00336FC5">
        <w:rPr>
          <w:rFonts w:ascii="Times New Roman" w:hAnsi="Times New Roman"/>
          <w:b w:val="0"/>
        </w:rPr>
        <w:t xml:space="preserve">i to </w:t>
      </w:r>
      <w:r w:rsidRPr="006E7547">
        <w:rPr>
          <w:rFonts w:ascii="Times New Roman" w:hAnsi="Times New Roman"/>
          <w:b w:val="0"/>
        </w:rPr>
        <w:t>po županijama kako slijedi:</w:t>
      </w:r>
    </w:p>
    <w:p w14:paraId="72E67196" w14:textId="77777777" w:rsidR="001D5FE2" w:rsidRPr="006E7547" w:rsidRDefault="001D5FE2" w:rsidP="001D5FE2">
      <w:pPr>
        <w:pStyle w:val="BodyText"/>
        <w:ind w:firstLine="708"/>
        <w:jc w:val="both"/>
        <w:rPr>
          <w:rFonts w:ascii="Times New Roman" w:hAnsi="Times New Roman"/>
          <w:b w:val="0"/>
        </w:rPr>
      </w:pPr>
    </w:p>
    <w:tbl>
      <w:tblPr>
        <w:tblStyle w:val="TableGrid"/>
        <w:tblW w:w="8613" w:type="dxa"/>
        <w:jc w:val="center"/>
        <w:tblLayout w:type="fixed"/>
        <w:tblLook w:val="04A0" w:firstRow="1" w:lastRow="0" w:firstColumn="1" w:lastColumn="0" w:noHBand="0" w:noVBand="1"/>
      </w:tblPr>
      <w:tblGrid>
        <w:gridCol w:w="4077"/>
        <w:gridCol w:w="2268"/>
        <w:gridCol w:w="2268"/>
      </w:tblGrid>
      <w:tr w:rsidR="006477A3" w:rsidRPr="006E7547" w14:paraId="0FC5EA92" w14:textId="207A0E74" w:rsidTr="006477A3">
        <w:trPr>
          <w:jc w:val="center"/>
        </w:trPr>
        <w:tc>
          <w:tcPr>
            <w:tcW w:w="4077" w:type="dxa"/>
            <w:vAlign w:val="center"/>
          </w:tcPr>
          <w:p w14:paraId="0DA08D18" w14:textId="77777777" w:rsidR="006477A3" w:rsidRPr="006E7547" w:rsidRDefault="006477A3" w:rsidP="006477A3">
            <w:pPr>
              <w:jc w:val="center"/>
              <w:rPr>
                <w:b/>
                <w:color w:val="000000"/>
                <w:sz w:val="24"/>
                <w:szCs w:val="24"/>
              </w:rPr>
            </w:pPr>
            <w:r w:rsidRPr="006E7547">
              <w:rPr>
                <w:b/>
                <w:color w:val="000000"/>
                <w:sz w:val="24"/>
                <w:szCs w:val="24"/>
              </w:rPr>
              <w:t>Županija</w:t>
            </w:r>
          </w:p>
        </w:tc>
        <w:tc>
          <w:tcPr>
            <w:tcW w:w="2268" w:type="dxa"/>
          </w:tcPr>
          <w:p w14:paraId="63518019" w14:textId="148489B9" w:rsidR="006477A3" w:rsidRPr="006E7547" w:rsidRDefault="006477A3" w:rsidP="006477A3">
            <w:pPr>
              <w:pStyle w:val="BodyText"/>
              <w:rPr>
                <w:rFonts w:ascii="Times New Roman" w:hAnsi="Times New Roman"/>
              </w:rPr>
            </w:pPr>
            <w:r>
              <w:rPr>
                <w:rFonts w:ascii="Times New Roman" w:hAnsi="Times New Roman"/>
              </w:rPr>
              <w:t>I</w:t>
            </w:r>
            <w:r w:rsidRPr="006E7547">
              <w:rPr>
                <w:rFonts w:ascii="Times New Roman" w:hAnsi="Times New Roman"/>
              </w:rPr>
              <w:t xml:space="preserve">znos za </w:t>
            </w:r>
            <w:r>
              <w:rPr>
                <w:rFonts w:ascii="Times New Roman" w:hAnsi="Times New Roman"/>
              </w:rPr>
              <w:t>prijenos županijama u 2021. godini</w:t>
            </w:r>
          </w:p>
        </w:tc>
        <w:tc>
          <w:tcPr>
            <w:tcW w:w="2268" w:type="dxa"/>
          </w:tcPr>
          <w:p w14:paraId="05892CBF" w14:textId="34E22B4D" w:rsidR="006477A3" w:rsidRDefault="006477A3" w:rsidP="006477A3">
            <w:pPr>
              <w:pStyle w:val="BodyText"/>
              <w:rPr>
                <w:rFonts w:ascii="Times New Roman" w:hAnsi="Times New Roman"/>
              </w:rPr>
            </w:pPr>
            <w:r w:rsidRPr="006477A3">
              <w:rPr>
                <w:rFonts w:ascii="Times New Roman" w:hAnsi="Times New Roman"/>
              </w:rPr>
              <w:t>Izn</w:t>
            </w:r>
            <w:r>
              <w:rPr>
                <w:rFonts w:ascii="Times New Roman" w:hAnsi="Times New Roman"/>
              </w:rPr>
              <w:t>os za prijenos županijama u 2022</w:t>
            </w:r>
            <w:r w:rsidRPr="006477A3">
              <w:rPr>
                <w:rFonts w:ascii="Times New Roman" w:hAnsi="Times New Roman"/>
              </w:rPr>
              <w:t>. godini</w:t>
            </w:r>
          </w:p>
        </w:tc>
      </w:tr>
      <w:tr w:rsidR="006477A3" w:rsidRPr="006E7547" w14:paraId="74789F9F" w14:textId="7A863C21" w:rsidTr="006477A3">
        <w:trPr>
          <w:jc w:val="center"/>
        </w:trPr>
        <w:tc>
          <w:tcPr>
            <w:tcW w:w="4077" w:type="dxa"/>
            <w:vAlign w:val="bottom"/>
          </w:tcPr>
          <w:p w14:paraId="36C497CA" w14:textId="77777777" w:rsidR="006477A3" w:rsidRPr="006E7547" w:rsidRDefault="006477A3" w:rsidP="006477A3">
            <w:pPr>
              <w:rPr>
                <w:color w:val="000000"/>
                <w:sz w:val="24"/>
                <w:szCs w:val="24"/>
              </w:rPr>
            </w:pPr>
            <w:r w:rsidRPr="006E7547">
              <w:rPr>
                <w:color w:val="000000"/>
                <w:sz w:val="24"/>
                <w:szCs w:val="24"/>
              </w:rPr>
              <w:t>Bjelovarsko-bilogorska županija</w:t>
            </w:r>
          </w:p>
        </w:tc>
        <w:tc>
          <w:tcPr>
            <w:tcW w:w="2268" w:type="dxa"/>
            <w:vAlign w:val="bottom"/>
          </w:tcPr>
          <w:p w14:paraId="2EFFF56E" w14:textId="77777777" w:rsidR="006477A3" w:rsidRPr="006E7547" w:rsidRDefault="006477A3" w:rsidP="006477A3">
            <w:pPr>
              <w:jc w:val="right"/>
              <w:rPr>
                <w:color w:val="000000"/>
                <w:sz w:val="24"/>
                <w:szCs w:val="24"/>
              </w:rPr>
            </w:pPr>
            <w:r w:rsidRPr="006E7547">
              <w:rPr>
                <w:color w:val="000000"/>
                <w:sz w:val="24"/>
                <w:szCs w:val="24"/>
              </w:rPr>
              <w:t>9.500.000,00</w:t>
            </w:r>
          </w:p>
        </w:tc>
        <w:tc>
          <w:tcPr>
            <w:tcW w:w="2268" w:type="dxa"/>
          </w:tcPr>
          <w:p w14:paraId="0ABDA64B" w14:textId="47211ACD" w:rsidR="006477A3" w:rsidRPr="006477A3" w:rsidRDefault="006477A3" w:rsidP="006477A3">
            <w:pPr>
              <w:jc w:val="right"/>
              <w:rPr>
                <w:color w:val="000000"/>
                <w:sz w:val="24"/>
                <w:szCs w:val="24"/>
              </w:rPr>
            </w:pPr>
            <w:r w:rsidRPr="006477A3">
              <w:rPr>
                <w:sz w:val="24"/>
                <w:szCs w:val="24"/>
              </w:rPr>
              <w:t>9.500.000,00</w:t>
            </w:r>
          </w:p>
        </w:tc>
      </w:tr>
      <w:tr w:rsidR="006477A3" w:rsidRPr="006E7547" w14:paraId="648DBDED" w14:textId="28A138BB" w:rsidTr="006477A3">
        <w:trPr>
          <w:jc w:val="center"/>
        </w:trPr>
        <w:tc>
          <w:tcPr>
            <w:tcW w:w="4077" w:type="dxa"/>
            <w:vAlign w:val="bottom"/>
          </w:tcPr>
          <w:p w14:paraId="529099BC" w14:textId="77777777" w:rsidR="006477A3" w:rsidRPr="006E7547" w:rsidRDefault="006477A3" w:rsidP="006477A3">
            <w:pPr>
              <w:rPr>
                <w:color w:val="000000"/>
                <w:sz w:val="24"/>
                <w:szCs w:val="24"/>
              </w:rPr>
            </w:pPr>
            <w:r w:rsidRPr="006E7547">
              <w:rPr>
                <w:color w:val="000000"/>
                <w:sz w:val="24"/>
                <w:szCs w:val="24"/>
              </w:rPr>
              <w:t>Brodsko-posavska županija</w:t>
            </w:r>
          </w:p>
        </w:tc>
        <w:tc>
          <w:tcPr>
            <w:tcW w:w="2268" w:type="dxa"/>
            <w:vAlign w:val="bottom"/>
          </w:tcPr>
          <w:p w14:paraId="1066AE9F" w14:textId="77777777" w:rsidR="006477A3" w:rsidRPr="006E7547" w:rsidRDefault="006477A3" w:rsidP="006477A3">
            <w:pPr>
              <w:jc w:val="right"/>
              <w:rPr>
                <w:color w:val="000000"/>
                <w:sz w:val="24"/>
                <w:szCs w:val="24"/>
              </w:rPr>
            </w:pPr>
            <w:r w:rsidRPr="006E7547">
              <w:rPr>
                <w:color w:val="000000"/>
                <w:sz w:val="24"/>
                <w:szCs w:val="24"/>
              </w:rPr>
              <w:t>12.000.000,00</w:t>
            </w:r>
          </w:p>
        </w:tc>
        <w:tc>
          <w:tcPr>
            <w:tcW w:w="2268" w:type="dxa"/>
          </w:tcPr>
          <w:p w14:paraId="4C0A1B39" w14:textId="5C0DFDB7" w:rsidR="006477A3" w:rsidRPr="006477A3" w:rsidRDefault="006477A3" w:rsidP="006477A3">
            <w:pPr>
              <w:jc w:val="right"/>
              <w:rPr>
                <w:color w:val="000000"/>
                <w:sz w:val="24"/>
                <w:szCs w:val="24"/>
              </w:rPr>
            </w:pPr>
            <w:r w:rsidRPr="006477A3">
              <w:rPr>
                <w:sz w:val="24"/>
                <w:szCs w:val="24"/>
              </w:rPr>
              <w:t>12.000.000,00</w:t>
            </w:r>
          </w:p>
        </w:tc>
      </w:tr>
      <w:tr w:rsidR="006477A3" w:rsidRPr="006E7547" w14:paraId="2226C6D3" w14:textId="3AC349E0" w:rsidTr="006477A3">
        <w:trPr>
          <w:jc w:val="center"/>
        </w:trPr>
        <w:tc>
          <w:tcPr>
            <w:tcW w:w="4077" w:type="dxa"/>
            <w:vAlign w:val="bottom"/>
          </w:tcPr>
          <w:p w14:paraId="2CBC1001" w14:textId="77777777" w:rsidR="006477A3" w:rsidRPr="006E7547" w:rsidRDefault="006477A3" w:rsidP="006477A3">
            <w:pPr>
              <w:rPr>
                <w:color w:val="000000"/>
                <w:sz w:val="24"/>
                <w:szCs w:val="24"/>
              </w:rPr>
            </w:pPr>
            <w:r w:rsidRPr="006E7547">
              <w:rPr>
                <w:color w:val="000000"/>
                <w:sz w:val="24"/>
                <w:szCs w:val="24"/>
              </w:rPr>
              <w:t>Dubrovačko-neretvanska županija</w:t>
            </w:r>
          </w:p>
        </w:tc>
        <w:tc>
          <w:tcPr>
            <w:tcW w:w="2268" w:type="dxa"/>
            <w:vAlign w:val="bottom"/>
          </w:tcPr>
          <w:p w14:paraId="45BEC736" w14:textId="77777777" w:rsidR="006477A3" w:rsidRPr="006E7547" w:rsidRDefault="006477A3" w:rsidP="006477A3">
            <w:pPr>
              <w:jc w:val="right"/>
              <w:rPr>
                <w:color w:val="000000"/>
                <w:sz w:val="24"/>
                <w:szCs w:val="24"/>
              </w:rPr>
            </w:pPr>
            <w:r w:rsidRPr="006E7547">
              <w:rPr>
                <w:color w:val="000000"/>
                <w:sz w:val="24"/>
                <w:szCs w:val="24"/>
              </w:rPr>
              <w:t>17.500.000,00</w:t>
            </w:r>
          </w:p>
        </w:tc>
        <w:tc>
          <w:tcPr>
            <w:tcW w:w="2268" w:type="dxa"/>
          </w:tcPr>
          <w:p w14:paraId="70F5ECFD" w14:textId="1FCB4E1E" w:rsidR="006477A3" w:rsidRPr="006477A3" w:rsidRDefault="006477A3" w:rsidP="006477A3">
            <w:pPr>
              <w:jc w:val="right"/>
              <w:rPr>
                <w:color w:val="000000"/>
                <w:sz w:val="24"/>
                <w:szCs w:val="24"/>
              </w:rPr>
            </w:pPr>
            <w:r w:rsidRPr="006477A3">
              <w:rPr>
                <w:sz w:val="24"/>
                <w:szCs w:val="24"/>
              </w:rPr>
              <w:t>17.500.000,00</w:t>
            </w:r>
          </w:p>
        </w:tc>
      </w:tr>
      <w:tr w:rsidR="006477A3" w:rsidRPr="006E7547" w14:paraId="6DE98AC9" w14:textId="2591A537" w:rsidTr="006477A3">
        <w:trPr>
          <w:jc w:val="center"/>
        </w:trPr>
        <w:tc>
          <w:tcPr>
            <w:tcW w:w="4077" w:type="dxa"/>
            <w:vAlign w:val="bottom"/>
          </w:tcPr>
          <w:p w14:paraId="44A65449" w14:textId="77777777" w:rsidR="006477A3" w:rsidRPr="006E7547" w:rsidRDefault="006477A3" w:rsidP="006477A3">
            <w:pPr>
              <w:rPr>
                <w:color w:val="000000"/>
                <w:sz w:val="24"/>
                <w:szCs w:val="24"/>
              </w:rPr>
            </w:pPr>
            <w:r w:rsidRPr="006E7547">
              <w:rPr>
                <w:color w:val="000000"/>
                <w:sz w:val="24"/>
                <w:szCs w:val="24"/>
              </w:rPr>
              <w:t>Istarska županija</w:t>
            </w:r>
          </w:p>
        </w:tc>
        <w:tc>
          <w:tcPr>
            <w:tcW w:w="2268" w:type="dxa"/>
            <w:vAlign w:val="bottom"/>
          </w:tcPr>
          <w:p w14:paraId="3BFC40DF" w14:textId="77777777" w:rsidR="006477A3" w:rsidRPr="006E7547" w:rsidRDefault="006477A3" w:rsidP="006477A3">
            <w:pPr>
              <w:jc w:val="right"/>
              <w:rPr>
                <w:color w:val="000000"/>
                <w:sz w:val="24"/>
                <w:szCs w:val="24"/>
              </w:rPr>
            </w:pPr>
            <w:r w:rsidRPr="006E7547">
              <w:rPr>
                <w:color w:val="000000"/>
                <w:sz w:val="24"/>
                <w:szCs w:val="24"/>
              </w:rPr>
              <w:t>21.000.000,00</w:t>
            </w:r>
          </w:p>
        </w:tc>
        <w:tc>
          <w:tcPr>
            <w:tcW w:w="2268" w:type="dxa"/>
          </w:tcPr>
          <w:p w14:paraId="5F7BF9D5" w14:textId="5580994F" w:rsidR="006477A3" w:rsidRPr="006477A3" w:rsidRDefault="006477A3" w:rsidP="006477A3">
            <w:pPr>
              <w:jc w:val="right"/>
              <w:rPr>
                <w:color w:val="000000"/>
                <w:sz w:val="24"/>
                <w:szCs w:val="24"/>
              </w:rPr>
            </w:pPr>
            <w:r w:rsidRPr="006477A3">
              <w:rPr>
                <w:sz w:val="24"/>
                <w:szCs w:val="24"/>
              </w:rPr>
              <w:t>21.000.000,00</w:t>
            </w:r>
          </w:p>
        </w:tc>
      </w:tr>
      <w:tr w:rsidR="006477A3" w:rsidRPr="006E7547" w14:paraId="0256536F" w14:textId="322C4BD4" w:rsidTr="006477A3">
        <w:trPr>
          <w:jc w:val="center"/>
        </w:trPr>
        <w:tc>
          <w:tcPr>
            <w:tcW w:w="4077" w:type="dxa"/>
            <w:vAlign w:val="bottom"/>
          </w:tcPr>
          <w:p w14:paraId="337E3EE6" w14:textId="77777777" w:rsidR="006477A3" w:rsidRPr="006E7547" w:rsidRDefault="006477A3" w:rsidP="006477A3">
            <w:pPr>
              <w:rPr>
                <w:color w:val="000000"/>
                <w:sz w:val="24"/>
                <w:szCs w:val="24"/>
              </w:rPr>
            </w:pPr>
            <w:r w:rsidRPr="006E7547">
              <w:rPr>
                <w:color w:val="000000"/>
                <w:sz w:val="24"/>
                <w:szCs w:val="24"/>
              </w:rPr>
              <w:t>Karlovačka županija</w:t>
            </w:r>
          </w:p>
        </w:tc>
        <w:tc>
          <w:tcPr>
            <w:tcW w:w="2268" w:type="dxa"/>
            <w:vAlign w:val="bottom"/>
          </w:tcPr>
          <w:p w14:paraId="0D3FDD64" w14:textId="77777777" w:rsidR="006477A3" w:rsidRPr="006E7547" w:rsidRDefault="006477A3" w:rsidP="006477A3">
            <w:pPr>
              <w:jc w:val="right"/>
              <w:rPr>
                <w:color w:val="000000"/>
                <w:sz w:val="24"/>
                <w:szCs w:val="24"/>
              </w:rPr>
            </w:pPr>
            <w:r w:rsidRPr="006E7547">
              <w:rPr>
                <w:color w:val="000000"/>
                <w:sz w:val="24"/>
                <w:szCs w:val="24"/>
              </w:rPr>
              <w:t>12.400.000,00</w:t>
            </w:r>
          </w:p>
        </w:tc>
        <w:tc>
          <w:tcPr>
            <w:tcW w:w="2268" w:type="dxa"/>
          </w:tcPr>
          <w:p w14:paraId="6865C99F" w14:textId="41863F52" w:rsidR="006477A3" w:rsidRPr="006477A3" w:rsidRDefault="006477A3" w:rsidP="006477A3">
            <w:pPr>
              <w:jc w:val="right"/>
              <w:rPr>
                <w:color w:val="000000"/>
                <w:sz w:val="24"/>
                <w:szCs w:val="24"/>
              </w:rPr>
            </w:pPr>
            <w:r w:rsidRPr="006477A3">
              <w:rPr>
                <w:sz w:val="24"/>
                <w:szCs w:val="24"/>
              </w:rPr>
              <w:t>12.400.000,00</w:t>
            </w:r>
          </w:p>
        </w:tc>
      </w:tr>
      <w:tr w:rsidR="006477A3" w:rsidRPr="006E7547" w14:paraId="3378A5C3" w14:textId="23F4CF27" w:rsidTr="006477A3">
        <w:trPr>
          <w:jc w:val="center"/>
        </w:trPr>
        <w:tc>
          <w:tcPr>
            <w:tcW w:w="4077" w:type="dxa"/>
            <w:vAlign w:val="bottom"/>
          </w:tcPr>
          <w:p w14:paraId="44CB68CB" w14:textId="77777777" w:rsidR="006477A3" w:rsidRPr="006E7547" w:rsidRDefault="006477A3" w:rsidP="006477A3">
            <w:pPr>
              <w:rPr>
                <w:color w:val="000000"/>
                <w:sz w:val="24"/>
                <w:szCs w:val="24"/>
              </w:rPr>
            </w:pPr>
            <w:r w:rsidRPr="006E7547">
              <w:rPr>
                <w:color w:val="000000"/>
                <w:sz w:val="24"/>
                <w:szCs w:val="24"/>
              </w:rPr>
              <w:t>Koprivničko-križevačka županija</w:t>
            </w:r>
          </w:p>
        </w:tc>
        <w:tc>
          <w:tcPr>
            <w:tcW w:w="2268" w:type="dxa"/>
            <w:vAlign w:val="bottom"/>
          </w:tcPr>
          <w:p w14:paraId="4A8018AD" w14:textId="77777777" w:rsidR="006477A3" w:rsidRPr="006E7547" w:rsidRDefault="006477A3" w:rsidP="006477A3">
            <w:pPr>
              <w:jc w:val="right"/>
              <w:rPr>
                <w:color w:val="000000"/>
                <w:sz w:val="24"/>
                <w:szCs w:val="24"/>
              </w:rPr>
            </w:pPr>
            <w:r w:rsidRPr="006E7547">
              <w:rPr>
                <w:color w:val="000000"/>
                <w:sz w:val="24"/>
                <w:szCs w:val="24"/>
              </w:rPr>
              <w:t>8.000.000,00</w:t>
            </w:r>
          </w:p>
        </w:tc>
        <w:tc>
          <w:tcPr>
            <w:tcW w:w="2268" w:type="dxa"/>
          </w:tcPr>
          <w:p w14:paraId="01BBBE59" w14:textId="5637FB8A" w:rsidR="006477A3" w:rsidRPr="006477A3" w:rsidRDefault="006477A3" w:rsidP="006477A3">
            <w:pPr>
              <w:jc w:val="right"/>
              <w:rPr>
                <w:color w:val="000000"/>
                <w:sz w:val="24"/>
                <w:szCs w:val="24"/>
              </w:rPr>
            </w:pPr>
            <w:r w:rsidRPr="006477A3">
              <w:rPr>
                <w:sz w:val="24"/>
                <w:szCs w:val="24"/>
              </w:rPr>
              <w:t>8.000.000,00</w:t>
            </w:r>
          </w:p>
        </w:tc>
      </w:tr>
      <w:tr w:rsidR="006477A3" w:rsidRPr="006E7547" w14:paraId="0EED8F09" w14:textId="1A821222" w:rsidTr="006477A3">
        <w:trPr>
          <w:jc w:val="center"/>
        </w:trPr>
        <w:tc>
          <w:tcPr>
            <w:tcW w:w="4077" w:type="dxa"/>
            <w:vAlign w:val="bottom"/>
          </w:tcPr>
          <w:p w14:paraId="367C09F9" w14:textId="77777777" w:rsidR="006477A3" w:rsidRPr="006E7547" w:rsidRDefault="006477A3" w:rsidP="006477A3">
            <w:pPr>
              <w:rPr>
                <w:color w:val="000000"/>
                <w:sz w:val="24"/>
                <w:szCs w:val="24"/>
              </w:rPr>
            </w:pPr>
            <w:r w:rsidRPr="006E7547">
              <w:rPr>
                <w:color w:val="000000"/>
                <w:sz w:val="24"/>
                <w:szCs w:val="24"/>
              </w:rPr>
              <w:t>Krapinsko-zagorska županija</w:t>
            </w:r>
          </w:p>
        </w:tc>
        <w:tc>
          <w:tcPr>
            <w:tcW w:w="2268" w:type="dxa"/>
            <w:vAlign w:val="bottom"/>
          </w:tcPr>
          <w:p w14:paraId="4F977105" w14:textId="77777777" w:rsidR="006477A3" w:rsidRPr="006E7547" w:rsidRDefault="006477A3" w:rsidP="006477A3">
            <w:pPr>
              <w:jc w:val="right"/>
              <w:rPr>
                <w:color w:val="000000"/>
                <w:sz w:val="24"/>
                <w:szCs w:val="24"/>
              </w:rPr>
            </w:pPr>
            <w:r w:rsidRPr="006E7547">
              <w:rPr>
                <w:color w:val="000000"/>
                <w:sz w:val="24"/>
                <w:szCs w:val="24"/>
              </w:rPr>
              <w:t>9.000.000,00</w:t>
            </w:r>
          </w:p>
        </w:tc>
        <w:tc>
          <w:tcPr>
            <w:tcW w:w="2268" w:type="dxa"/>
          </w:tcPr>
          <w:p w14:paraId="0AFE65DE" w14:textId="3CB9B34D" w:rsidR="006477A3" w:rsidRPr="006477A3" w:rsidRDefault="006477A3" w:rsidP="006477A3">
            <w:pPr>
              <w:jc w:val="right"/>
              <w:rPr>
                <w:color w:val="000000"/>
                <w:sz w:val="24"/>
                <w:szCs w:val="24"/>
              </w:rPr>
            </w:pPr>
            <w:r w:rsidRPr="006477A3">
              <w:rPr>
                <w:sz w:val="24"/>
                <w:szCs w:val="24"/>
              </w:rPr>
              <w:t>9.000.000,00</w:t>
            </w:r>
          </w:p>
        </w:tc>
      </w:tr>
      <w:tr w:rsidR="006477A3" w:rsidRPr="006E7547" w14:paraId="6D63EA38" w14:textId="5C96B303" w:rsidTr="006477A3">
        <w:trPr>
          <w:jc w:val="center"/>
        </w:trPr>
        <w:tc>
          <w:tcPr>
            <w:tcW w:w="4077" w:type="dxa"/>
            <w:vAlign w:val="bottom"/>
          </w:tcPr>
          <w:p w14:paraId="4A94FCBF" w14:textId="77777777" w:rsidR="006477A3" w:rsidRPr="006E7547" w:rsidRDefault="006477A3" w:rsidP="006477A3">
            <w:pPr>
              <w:rPr>
                <w:color w:val="000000"/>
                <w:sz w:val="24"/>
                <w:szCs w:val="24"/>
              </w:rPr>
            </w:pPr>
            <w:r w:rsidRPr="006E7547">
              <w:rPr>
                <w:color w:val="000000"/>
                <w:sz w:val="24"/>
                <w:szCs w:val="24"/>
              </w:rPr>
              <w:t>Ličko-senjska županija</w:t>
            </w:r>
          </w:p>
        </w:tc>
        <w:tc>
          <w:tcPr>
            <w:tcW w:w="2268" w:type="dxa"/>
            <w:vAlign w:val="bottom"/>
          </w:tcPr>
          <w:p w14:paraId="50B1193B" w14:textId="77777777" w:rsidR="006477A3" w:rsidRPr="006E7547" w:rsidRDefault="006477A3" w:rsidP="006477A3">
            <w:pPr>
              <w:jc w:val="right"/>
              <w:rPr>
                <w:color w:val="000000"/>
                <w:sz w:val="24"/>
                <w:szCs w:val="24"/>
              </w:rPr>
            </w:pPr>
            <w:r w:rsidRPr="006E7547">
              <w:rPr>
                <w:color w:val="000000"/>
                <w:sz w:val="24"/>
                <w:szCs w:val="24"/>
              </w:rPr>
              <w:t>9.600.000,00</w:t>
            </w:r>
          </w:p>
        </w:tc>
        <w:tc>
          <w:tcPr>
            <w:tcW w:w="2268" w:type="dxa"/>
          </w:tcPr>
          <w:p w14:paraId="1C5E713A" w14:textId="3B206677" w:rsidR="006477A3" w:rsidRPr="006477A3" w:rsidRDefault="006477A3" w:rsidP="006477A3">
            <w:pPr>
              <w:jc w:val="right"/>
              <w:rPr>
                <w:color w:val="000000"/>
                <w:sz w:val="24"/>
                <w:szCs w:val="24"/>
              </w:rPr>
            </w:pPr>
            <w:r w:rsidRPr="006477A3">
              <w:rPr>
                <w:sz w:val="24"/>
                <w:szCs w:val="24"/>
              </w:rPr>
              <w:t>9.600.000,00</w:t>
            </w:r>
          </w:p>
        </w:tc>
      </w:tr>
      <w:tr w:rsidR="006477A3" w:rsidRPr="006E7547" w14:paraId="1D687E0B" w14:textId="6E2A9090" w:rsidTr="006477A3">
        <w:trPr>
          <w:jc w:val="center"/>
        </w:trPr>
        <w:tc>
          <w:tcPr>
            <w:tcW w:w="4077" w:type="dxa"/>
            <w:vAlign w:val="bottom"/>
          </w:tcPr>
          <w:p w14:paraId="2D1D4BE0" w14:textId="77777777" w:rsidR="006477A3" w:rsidRPr="006E7547" w:rsidRDefault="006477A3" w:rsidP="006477A3">
            <w:pPr>
              <w:rPr>
                <w:color w:val="000000"/>
                <w:sz w:val="24"/>
                <w:szCs w:val="24"/>
              </w:rPr>
            </w:pPr>
            <w:r w:rsidRPr="006E7547">
              <w:rPr>
                <w:color w:val="000000"/>
                <w:sz w:val="24"/>
                <w:szCs w:val="24"/>
              </w:rPr>
              <w:t>Međimurska županija</w:t>
            </w:r>
          </w:p>
        </w:tc>
        <w:tc>
          <w:tcPr>
            <w:tcW w:w="2268" w:type="dxa"/>
            <w:vAlign w:val="bottom"/>
          </w:tcPr>
          <w:p w14:paraId="57F488A5" w14:textId="77777777" w:rsidR="006477A3" w:rsidRPr="006E7547" w:rsidRDefault="006477A3" w:rsidP="006477A3">
            <w:pPr>
              <w:jc w:val="right"/>
              <w:rPr>
                <w:color w:val="000000"/>
                <w:sz w:val="24"/>
                <w:szCs w:val="24"/>
              </w:rPr>
            </w:pPr>
            <w:r w:rsidRPr="006E7547">
              <w:rPr>
                <w:color w:val="000000"/>
                <w:sz w:val="24"/>
                <w:szCs w:val="24"/>
              </w:rPr>
              <w:t>8.600.000,00</w:t>
            </w:r>
          </w:p>
        </w:tc>
        <w:tc>
          <w:tcPr>
            <w:tcW w:w="2268" w:type="dxa"/>
          </w:tcPr>
          <w:p w14:paraId="71F8E3FD" w14:textId="6507C6BC" w:rsidR="006477A3" w:rsidRPr="006477A3" w:rsidRDefault="006477A3" w:rsidP="006477A3">
            <w:pPr>
              <w:jc w:val="right"/>
              <w:rPr>
                <w:color w:val="000000"/>
                <w:sz w:val="24"/>
                <w:szCs w:val="24"/>
              </w:rPr>
            </w:pPr>
            <w:r w:rsidRPr="006477A3">
              <w:rPr>
                <w:sz w:val="24"/>
                <w:szCs w:val="24"/>
              </w:rPr>
              <w:t>8.600.000,00</w:t>
            </w:r>
          </w:p>
        </w:tc>
      </w:tr>
      <w:tr w:rsidR="006477A3" w:rsidRPr="006E7547" w14:paraId="6B47126B" w14:textId="744F4E87" w:rsidTr="006477A3">
        <w:trPr>
          <w:jc w:val="center"/>
        </w:trPr>
        <w:tc>
          <w:tcPr>
            <w:tcW w:w="4077" w:type="dxa"/>
            <w:vAlign w:val="bottom"/>
          </w:tcPr>
          <w:p w14:paraId="4CB82BD6" w14:textId="77777777" w:rsidR="006477A3" w:rsidRPr="006E7547" w:rsidRDefault="006477A3" w:rsidP="006477A3">
            <w:pPr>
              <w:rPr>
                <w:color w:val="000000"/>
                <w:sz w:val="24"/>
                <w:szCs w:val="24"/>
              </w:rPr>
            </w:pPr>
            <w:r w:rsidRPr="006E7547">
              <w:rPr>
                <w:color w:val="000000"/>
                <w:sz w:val="24"/>
                <w:szCs w:val="24"/>
              </w:rPr>
              <w:t>Osječko-baranjska županija</w:t>
            </w:r>
          </w:p>
        </w:tc>
        <w:tc>
          <w:tcPr>
            <w:tcW w:w="2268" w:type="dxa"/>
            <w:vAlign w:val="bottom"/>
          </w:tcPr>
          <w:p w14:paraId="5076814A" w14:textId="77777777" w:rsidR="006477A3" w:rsidRPr="006E7547" w:rsidRDefault="006477A3" w:rsidP="006477A3">
            <w:pPr>
              <w:jc w:val="right"/>
              <w:rPr>
                <w:color w:val="000000"/>
                <w:sz w:val="24"/>
                <w:szCs w:val="24"/>
              </w:rPr>
            </w:pPr>
            <w:r w:rsidRPr="006E7547">
              <w:rPr>
                <w:color w:val="000000"/>
                <w:sz w:val="24"/>
                <w:szCs w:val="24"/>
              </w:rPr>
              <w:t>24.000.000,00</w:t>
            </w:r>
          </w:p>
        </w:tc>
        <w:tc>
          <w:tcPr>
            <w:tcW w:w="2268" w:type="dxa"/>
          </w:tcPr>
          <w:p w14:paraId="2184875B" w14:textId="765FFC86" w:rsidR="006477A3" w:rsidRPr="006477A3" w:rsidRDefault="006477A3" w:rsidP="006477A3">
            <w:pPr>
              <w:jc w:val="right"/>
              <w:rPr>
                <w:color w:val="000000"/>
                <w:sz w:val="24"/>
                <w:szCs w:val="24"/>
              </w:rPr>
            </w:pPr>
            <w:r w:rsidRPr="006477A3">
              <w:rPr>
                <w:sz w:val="24"/>
                <w:szCs w:val="24"/>
              </w:rPr>
              <w:t>24.000.000,00</w:t>
            </w:r>
          </w:p>
        </w:tc>
      </w:tr>
      <w:tr w:rsidR="006477A3" w:rsidRPr="006E7547" w14:paraId="66EE47BC" w14:textId="744980B4" w:rsidTr="006477A3">
        <w:trPr>
          <w:jc w:val="center"/>
        </w:trPr>
        <w:tc>
          <w:tcPr>
            <w:tcW w:w="4077" w:type="dxa"/>
            <w:vAlign w:val="bottom"/>
          </w:tcPr>
          <w:p w14:paraId="209A7F72" w14:textId="77777777" w:rsidR="006477A3" w:rsidRPr="006E7547" w:rsidRDefault="006477A3" w:rsidP="006477A3">
            <w:pPr>
              <w:rPr>
                <w:color w:val="000000"/>
                <w:sz w:val="24"/>
                <w:szCs w:val="24"/>
              </w:rPr>
            </w:pPr>
            <w:r w:rsidRPr="006E7547">
              <w:rPr>
                <w:color w:val="000000"/>
                <w:sz w:val="24"/>
                <w:szCs w:val="24"/>
              </w:rPr>
              <w:t>Požeško-slavonska županija</w:t>
            </w:r>
          </w:p>
        </w:tc>
        <w:tc>
          <w:tcPr>
            <w:tcW w:w="2268" w:type="dxa"/>
            <w:vAlign w:val="bottom"/>
          </w:tcPr>
          <w:p w14:paraId="6217F388" w14:textId="77777777" w:rsidR="006477A3" w:rsidRPr="006E7547" w:rsidRDefault="006477A3" w:rsidP="006477A3">
            <w:pPr>
              <w:jc w:val="right"/>
              <w:rPr>
                <w:color w:val="000000"/>
                <w:sz w:val="24"/>
                <w:szCs w:val="24"/>
              </w:rPr>
            </w:pPr>
            <w:r w:rsidRPr="006E7547">
              <w:rPr>
                <w:color w:val="000000"/>
                <w:sz w:val="24"/>
                <w:szCs w:val="24"/>
              </w:rPr>
              <w:t>8.000.000,00</w:t>
            </w:r>
          </w:p>
        </w:tc>
        <w:tc>
          <w:tcPr>
            <w:tcW w:w="2268" w:type="dxa"/>
          </w:tcPr>
          <w:p w14:paraId="42DB60A4" w14:textId="5B67A5E7" w:rsidR="006477A3" w:rsidRPr="006477A3" w:rsidRDefault="006477A3" w:rsidP="006477A3">
            <w:pPr>
              <w:jc w:val="right"/>
              <w:rPr>
                <w:color w:val="000000"/>
                <w:sz w:val="24"/>
                <w:szCs w:val="24"/>
              </w:rPr>
            </w:pPr>
            <w:r w:rsidRPr="006477A3">
              <w:rPr>
                <w:sz w:val="24"/>
                <w:szCs w:val="24"/>
              </w:rPr>
              <w:t>8.000.000,00</w:t>
            </w:r>
          </w:p>
        </w:tc>
      </w:tr>
      <w:tr w:rsidR="006477A3" w:rsidRPr="006E7547" w14:paraId="778AE143" w14:textId="7517591A" w:rsidTr="006477A3">
        <w:trPr>
          <w:jc w:val="center"/>
        </w:trPr>
        <w:tc>
          <w:tcPr>
            <w:tcW w:w="4077" w:type="dxa"/>
            <w:vAlign w:val="bottom"/>
          </w:tcPr>
          <w:p w14:paraId="5E42EBBC" w14:textId="77777777" w:rsidR="006477A3" w:rsidRPr="006E7547" w:rsidRDefault="006477A3" w:rsidP="006477A3">
            <w:pPr>
              <w:rPr>
                <w:color w:val="000000"/>
                <w:sz w:val="24"/>
                <w:szCs w:val="24"/>
              </w:rPr>
            </w:pPr>
            <w:r w:rsidRPr="006E7547">
              <w:rPr>
                <w:color w:val="000000"/>
                <w:sz w:val="24"/>
                <w:szCs w:val="24"/>
              </w:rPr>
              <w:t>Primorsko-goranska županija</w:t>
            </w:r>
          </w:p>
        </w:tc>
        <w:tc>
          <w:tcPr>
            <w:tcW w:w="2268" w:type="dxa"/>
            <w:vAlign w:val="bottom"/>
          </w:tcPr>
          <w:p w14:paraId="485A6F7A" w14:textId="77777777" w:rsidR="006477A3" w:rsidRPr="006E7547" w:rsidRDefault="006477A3" w:rsidP="006477A3">
            <w:pPr>
              <w:jc w:val="right"/>
              <w:rPr>
                <w:color w:val="000000"/>
                <w:sz w:val="24"/>
                <w:szCs w:val="24"/>
              </w:rPr>
            </w:pPr>
            <w:r w:rsidRPr="006E7547">
              <w:rPr>
                <w:color w:val="000000"/>
                <w:sz w:val="24"/>
                <w:szCs w:val="24"/>
              </w:rPr>
              <w:t>22.500.000,00</w:t>
            </w:r>
          </w:p>
        </w:tc>
        <w:tc>
          <w:tcPr>
            <w:tcW w:w="2268" w:type="dxa"/>
          </w:tcPr>
          <w:p w14:paraId="1BC23F5F" w14:textId="32546742" w:rsidR="006477A3" w:rsidRPr="006477A3" w:rsidRDefault="006477A3" w:rsidP="006477A3">
            <w:pPr>
              <w:jc w:val="right"/>
              <w:rPr>
                <w:color w:val="000000"/>
                <w:sz w:val="24"/>
                <w:szCs w:val="24"/>
              </w:rPr>
            </w:pPr>
            <w:r w:rsidRPr="006477A3">
              <w:rPr>
                <w:sz w:val="24"/>
                <w:szCs w:val="24"/>
              </w:rPr>
              <w:t>22.500.000,00</w:t>
            </w:r>
          </w:p>
        </w:tc>
      </w:tr>
      <w:tr w:rsidR="006477A3" w:rsidRPr="006E7547" w14:paraId="53BEC1C2" w14:textId="0605DBFC" w:rsidTr="006477A3">
        <w:trPr>
          <w:jc w:val="center"/>
        </w:trPr>
        <w:tc>
          <w:tcPr>
            <w:tcW w:w="4077" w:type="dxa"/>
            <w:vAlign w:val="bottom"/>
          </w:tcPr>
          <w:p w14:paraId="25F0C944" w14:textId="77777777" w:rsidR="006477A3" w:rsidRPr="006E7547" w:rsidRDefault="006477A3" w:rsidP="006477A3">
            <w:pPr>
              <w:rPr>
                <w:color w:val="000000"/>
                <w:sz w:val="24"/>
                <w:szCs w:val="24"/>
              </w:rPr>
            </w:pPr>
            <w:r w:rsidRPr="006E7547">
              <w:rPr>
                <w:color w:val="000000"/>
                <w:sz w:val="24"/>
                <w:szCs w:val="24"/>
              </w:rPr>
              <w:t>Sisačko-moslavačka županija</w:t>
            </w:r>
          </w:p>
        </w:tc>
        <w:tc>
          <w:tcPr>
            <w:tcW w:w="2268" w:type="dxa"/>
            <w:vAlign w:val="bottom"/>
          </w:tcPr>
          <w:p w14:paraId="21660E58" w14:textId="77777777" w:rsidR="006477A3" w:rsidRPr="006E7547" w:rsidRDefault="006477A3" w:rsidP="006477A3">
            <w:pPr>
              <w:jc w:val="right"/>
              <w:rPr>
                <w:color w:val="000000"/>
                <w:sz w:val="24"/>
                <w:szCs w:val="24"/>
              </w:rPr>
            </w:pPr>
            <w:r w:rsidRPr="006E7547">
              <w:rPr>
                <w:color w:val="000000"/>
                <w:sz w:val="24"/>
                <w:szCs w:val="24"/>
              </w:rPr>
              <w:t>12.900.000,00</w:t>
            </w:r>
          </w:p>
        </w:tc>
        <w:tc>
          <w:tcPr>
            <w:tcW w:w="2268" w:type="dxa"/>
          </w:tcPr>
          <w:p w14:paraId="29D4F611" w14:textId="6B0A2EBC" w:rsidR="006477A3" w:rsidRPr="006477A3" w:rsidRDefault="006477A3" w:rsidP="006477A3">
            <w:pPr>
              <w:jc w:val="right"/>
              <w:rPr>
                <w:color w:val="000000"/>
                <w:sz w:val="24"/>
                <w:szCs w:val="24"/>
              </w:rPr>
            </w:pPr>
            <w:r w:rsidRPr="006477A3">
              <w:rPr>
                <w:sz w:val="24"/>
                <w:szCs w:val="24"/>
              </w:rPr>
              <w:t>12.900.000,00</w:t>
            </w:r>
          </w:p>
        </w:tc>
      </w:tr>
      <w:tr w:rsidR="006477A3" w:rsidRPr="006E7547" w14:paraId="01567A5A" w14:textId="69F0A165" w:rsidTr="006477A3">
        <w:trPr>
          <w:jc w:val="center"/>
        </w:trPr>
        <w:tc>
          <w:tcPr>
            <w:tcW w:w="4077" w:type="dxa"/>
            <w:vAlign w:val="bottom"/>
          </w:tcPr>
          <w:p w14:paraId="581C1E12" w14:textId="77777777" w:rsidR="006477A3" w:rsidRPr="006E7547" w:rsidRDefault="006477A3" w:rsidP="006477A3">
            <w:pPr>
              <w:rPr>
                <w:color w:val="000000"/>
                <w:sz w:val="24"/>
                <w:szCs w:val="24"/>
              </w:rPr>
            </w:pPr>
            <w:r w:rsidRPr="006E7547">
              <w:rPr>
                <w:color w:val="000000"/>
                <w:sz w:val="24"/>
                <w:szCs w:val="24"/>
              </w:rPr>
              <w:t>Splitsko-dalmatinska županija</w:t>
            </w:r>
          </w:p>
        </w:tc>
        <w:tc>
          <w:tcPr>
            <w:tcW w:w="2268" w:type="dxa"/>
            <w:vAlign w:val="bottom"/>
          </w:tcPr>
          <w:p w14:paraId="49BA7646" w14:textId="77777777" w:rsidR="006477A3" w:rsidRPr="006E7547" w:rsidRDefault="006477A3" w:rsidP="006477A3">
            <w:pPr>
              <w:jc w:val="right"/>
              <w:rPr>
                <w:color w:val="000000"/>
                <w:sz w:val="24"/>
                <w:szCs w:val="24"/>
              </w:rPr>
            </w:pPr>
            <w:r w:rsidRPr="006E7547">
              <w:rPr>
                <w:color w:val="000000"/>
                <w:sz w:val="24"/>
                <w:szCs w:val="24"/>
              </w:rPr>
              <w:t>42.000.000,00</w:t>
            </w:r>
          </w:p>
        </w:tc>
        <w:tc>
          <w:tcPr>
            <w:tcW w:w="2268" w:type="dxa"/>
          </w:tcPr>
          <w:p w14:paraId="4F6C9ADF" w14:textId="00AFC163" w:rsidR="006477A3" w:rsidRPr="006477A3" w:rsidRDefault="006477A3" w:rsidP="006477A3">
            <w:pPr>
              <w:jc w:val="right"/>
              <w:rPr>
                <w:color w:val="000000"/>
                <w:sz w:val="24"/>
                <w:szCs w:val="24"/>
              </w:rPr>
            </w:pPr>
            <w:r w:rsidRPr="006477A3">
              <w:rPr>
                <w:sz w:val="24"/>
                <w:szCs w:val="24"/>
              </w:rPr>
              <w:t>42.000.000,00</w:t>
            </w:r>
          </w:p>
        </w:tc>
      </w:tr>
      <w:tr w:rsidR="006477A3" w:rsidRPr="006E7547" w14:paraId="165097B5" w14:textId="147E4E88" w:rsidTr="006477A3">
        <w:trPr>
          <w:jc w:val="center"/>
        </w:trPr>
        <w:tc>
          <w:tcPr>
            <w:tcW w:w="4077" w:type="dxa"/>
            <w:vAlign w:val="bottom"/>
          </w:tcPr>
          <w:p w14:paraId="6DA08A09" w14:textId="77777777" w:rsidR="006477A3" w:rsidRPr="006E7547" w:rsidRDefault="006477A3" w:rsidP="006477A3">
            <w:pPr>
              <w:rPr>
                <w:color w:val="000000"/>
                <w:sz w:val="24"/>
                <w:szCs w:val="24"/>
              </w:rPr>
            </w:pPr>
            <w:r w:rsidRPr="006E7547">
              <w:rPr>
                <w:color w:val="000000"/>
                <w:sz w:val="24"/>
                <w:szCs w:val="24"/>
              </w:rPr>
              <w:t>Šibensko-kninska županija</w:t>
            </w:r>
          </w:p>
        </w:tc>
        <w:tc>
          <w:tcPr>
            <w:tcW w:w="2268" w:type="dxa"/>
            <w:vAlign w:val="bottom"/>
          </w:tcPr>
          <w:p w14:paraId="42DC7614" w14:textId="77777777" w:rsidR="006477A3" w:rsidRPr="006E7547" w:rsidRDefault="006477A3" w:rsidP="006477A3">
            <w:pPr>
              <w:jc w:val="right"/>
              <w:rPr>
                <w:color w:val="000000"/>
                <w:sz w:val="24"/>
                <w:szCs w:val="24"/>
              </w:rPr>
            </w:pPr>
            <w:r w:rsidRPr="006E7547">
              <w:rPr>
                <w:color w:val="000000"/>
                <w:sz w:val="24"/>
                <w:szCs w:val="24"/>
              </w:rPr>
              <w:t>12.000.000,00</w:t>
            </w:r>
          </w:p>
        </w:tc>
        <w:tc>
          <w:tcPr>
            <w:tcW w:w="2268" w:type="dxa"/>
          </w:tcPr>
          <w:p w14:paraId="4C977200" w14:textId="719A9368" w:rsidR="006477A3" w:rsidRPr="006477A3" w:rsidRDefault="006477A3" w:rsidP="006477A3">
            <w:pPr>
              <w:jc w:val="right"/>
              <w:rPr>
                <w:color w:val="000000"/>
                <w:sz w:val="24"/>
                <w:szCs w:val="24"/>
              </w:rPr>
            </w:pPr>
            <w:r w:rsidRPr="006477A3">
              <w:rPr>
                <w:sz w:val="24"/>
                <w:szCs w:val="24"/>
              </w:rPr>
              <w:t>12.000.000,00</w:t>
            </w:r>
          </w:p>
        </w:tc>
      </w:tr>
      <w:tr w:rsidR="006477A3" w:rsidRPr="006E7547" w14:paraId="219EDE71" w14:textId="68FD457C" w:rsidTr="006477A3">
        <w:trPr>
          <w:jc w:val="center"/>
        </w:trPr>
        <w:tc>
          <w:tcPr>
            <w:tcW w:w="4077" w:type="dxa"/>
            <w:vAlign w:val="bottom"/>
          </w:tcPr>
          <w:p w14:paraId="2CD8BB6B" w14:textId="77777777" w:rsidR="006477A3" w:rsidRPr="006E7547" w:rsidRDefault="006477A3" w:rsidP="006477A3">
            <w:pPr>
              <w:rPr>
                <w:color w:val="000000"/>
                <w:sz w:val="24"/>
                <w:szCs w:val="24"/>
              </w:rPr>
            </w:pPr>
            <w:r w:rsidRPr="006E7547">
              <w:rPr>
                <w:color w:val="000000"/>
                <w:sz w:val="24"/>
                <w:szCs w:val="24"/>
              </w:rPr>
              <w:t>Varaždinska županija</w:t>
            </w:r>
          </w:p>
        </w:tc>
        <w:tc>
          <w:tcPr>
            <w:tcW w:w="2268" w:type="dxa"/>
            <w:vAlign w:val="bottom"/>
          </w:tcPr>
          <w:p w14:paraId="119AC859" w14:textId="77777777" w:rsidR="006477A3" w:rsidRPr="006E7547" w:rsidRDefault="006477A3" w:rsidP="006477A3">
            <w:pPr>
              <w:jc w:val="right"/>
              <w:rPr>
                <w:color w:val="000000"/>
                <w:sz w:val="24"/>
                <w:szCs w:val="24"/>
              </w:rPr>
            </w:pPr>
            <w:r w:rsidRPr="006E7547">
              <w:rPr>
                <w:color w:val="000000"/>
                <w:sz w:val="24"/>
                <w:szCs w:val="24"/>
              </w:rPr>
              <w:t>13.850.000,00</w:t>
            </w:r>
          </w:p>
        </w:tc>
        <w:tc>
          <w:tcPr>
            <w:tcW w:w="2268" w:type="dxa"/>
          </w:tcPr>
          <w:p w14:paraId="575F9DEE" w14:textId="5215EF92" w:rsidR="006477A3" w:rsidRPr="006477A3" w:rsidRDefault="006477A3" w:rsidP="006477A3">
            <w:pPr>
              <w:jc w:val="right"/>
              <w:rPr>
                <w:color w:val="000000"/>
                <w:sz w:val="24"/>
                <w:szCs w:val="24"/>
              </w:rPr>
            </w:pPr>
            <w:r w:rsidRPr="006477A3">
              <w:rPr>
                <w:sz w:val="24"/>
                <w:szCs w:val="24"/>
              </w:rPr>
              <w:t>13.850.000,00</w:t>
            </w:r>
          </w:p>
        </w:tc>
      </w:tr>
      <w:tr w:rsidR="006477A3" w:rsidRPr="006E7547" w14:paraId="10C18FB7" w14:textId="0A3AA548" w:rsidTr="006477A3">
        <w:trPr>
          <w:jc w:val="center"/>
        </w:trPr>
        <w:tc>
          <w:tcPr>
            <w:tcW w:w="4077" w:type="dxa"/>
            <w:vAlign w:val="bottom"/>
          </w:tcPr>
          <w:p w14:paraId="66C85ACF" w14:textId="77777777" w:rsidR="006477A3" w:rsidRPr="006E7547" w:rsidRDefault="006477A3" w:rsidP="006477A3">
            <w:pPr>
              <w:rPr>
                <w:color w:val="000000"/>
                <w:sz w:val="24"/>
                <w:szCs w:val="24"/>
              </w:rPr>
            </w:pPr>
            <w:r w:rsidRPr="006E7547">
              <w:rPr>
                <w:color w:val="000000"/>
                <w:sz w:val="24"/>
                <w:szCs w:val="24"/>
              </w:rPr>
              <w:t>Virovitičko-podravska županija</w:t>
            </w:r>
          </w:p>
        </w:tc>
        <w:tc>
          <w:tcPr>
            <w:tcW w:w="2268" w:type="dxa"/>
            <w:vAlign w:val="bottom"/>
          </w:tcPr>
          <w:p w14:paraId="2F509529" w14:textId="77777777" w:rsidR="006477A3" w:rsidRPr="006E7547" w:rsidRDefault="006477A3" w:rsidP="006477A3">
            <w:pPr>
              <w:jc w:val="right"/>
              <w:rPr>
                <w:color w:val="000000"/>
                <w:sz w:val="24"/>
                <w:szCs w:val="24"/>
              </w:rPr>
            </w:pPr>
            <w:r w:rsidRPr="006E7547">
              <w:rPr>
                <w:color w:val="000000"/>
                <w:sz w:val="24"/>
                <w:szCs w:val="24"/>
              </w:rPr>
              <w:t>8.600.000,00</w:t>
            </w:r>
          </w:p>
        </w:tc>
        <w:tc>
          <w:tcPr>
            <w:tcW w:w="2268" w:type="dxa"/>
          </w:tcPr>
          <w:p w14:paraId="06E36B44" w14:textId="2E94A3E9" w:rsidR="006477A3" w:rsidRPr="006477A3" w:rsidRDefault="006477A3" w:rsidP="006477A3">
            <w:pPr>
              <w:jc w:val="right"/>
              <w:rPr>
                <w:color w:val="000000"/>
                <w:sz w:val="24"/>
                <w:szCs w:val="24"/>
              </w:rPr>
            </w:pPr>
            <w:r w:rsidRPr="006477A3">
              <w:rPr>
                <w:sz w:val="24"/>
                <w:szCs w:val="24"/>
              </w:rPr>
              <w:t>8.600.000,00</w:t>
            </w:r>
          </w:p>
        </w:tc>
      </w:tr>
      <w:tr w:rsidR="006477A3" w:rsidRPr="006E7547" w14:paraId="04365A76" w14:textId="5D96B457" w:rsidTr="006477A3">
        <w:trPr>
          <w:jc w:val="center"/>
        </w:trPr>
        <w:tc>
          <w:tcPr>
            <w:tcW w:w="4077" w:type="dxa"/>
            <w:vAlign w:val="bottom"/>
          </w:tcPr>
          <w:p w14:paraId="6CB31BF2" w14:textId="77777777" w:rsidR="006477A3" w:rsidRPr="006E7547" w:rsidRDefault="006477A3" w:rsidP="006477A3">
            <w:pPr>
              <w:rPr>
                <w:color w:val="000000"/>
                <w:sz w:val="24"/>
                <w:szCs w:val="24"/>
              </w:rPr>
            </w:pPr>
            <w:r w:rsidRPr="006E7547">
              <w:rPr>
                <w:color w:val="000000"/>
                <w:sz w:val="24"/>
                <w:szCs w:val="24"/>
              </w:rPr>
              <w:t>Vukovarsko-srijemska županija</w:t>
            </w:r>
          </w:p>
        </w:tc>
        <w:tc>
          <w:tcPr>
            <w:tcW w:w="2268" w:type="dxa"/>
            <w:vAlign w:val="bottom"/>
          </w:tcPr>
          <w:p w14:paraId="2E440328" w14:textId="77777777" w:rsidR="006477A3" w:rsidRPr="006E7547" w:rsidRDefault="006477A3" w:rsidP="006477A3">
            <w:pPr>
              <w:jc w:val="right"/>
              <w:rPr>
                <w:color w:val="000000"/>
                <w:sz w:val="24"/>
                <w:szCs w:val="24"/>
              </w:rPr>
            </w:pPr>
            <w:r w:rsidRPr="006E7547">
              <w:rPr>
                <w:color w:val="000000"/>
                <w:sz w:val="24"/>
                <w:szCs w:val="24"/>
              </w:rPr>
              <w:t>17.550.000,00</w:t>
            </w:r>
          </w:p>
        </w:tc>
        <w:tc>
          <w:tcPr>
            <w:tcW w:w="2268" w:type="dxa"/>
          </w:tcPr>
          <w:p w14:paraId="799166FC" w14:textId="1760DC64" w:rsidR="006477A3" w:rsidRPr="006477A3" w:rsidRDefault="006477A3" w:rsidP="006477A3">
            <w:pPr>
              <w:jc w:val="right"/>
              <w:rPr>
                <w:color w:val="000000"/>
                <w:sz w:val="24"/>
                <w:szCs w:val="24"/>
              </w:rPr>
            </w:pPr>
            <w:r w:rsidRPr="006477A3">
              <w:rPr>
                <w:sz w:val="24"/>
                <w:szCs w:val="24"/>
              </w:rPr>
              <w:t>17.550.000,00</w:t>
            </w:r>
          </w:p>
        </w:tc>
      </w:tr>
      <w:tr w:rsidR="006477A3" w:rsidRPr="006E7547" w14:paraId="2FC87645" w14:textId="5A28DBA3" w:rsidTr="006477A3">
        <w:trPr>
          <w:jc w:val="center"/>
        </w:trPr>
        <w:tc>
          <w:tcPr>
            <w:tcW w:w="4077" w:type="dxa"/>
            <w:vAlign w:val="bottom"/>
          </w:tcPr>
          <w:p w14:paraId="343923C8" w14:textId="77777777" w:rsidR="006477A3" w:rsidRPr="006E7547" w:rsidRDefault="006477A3" w:rsidP="006477A3">
            <w:pPr>
              <w:rPr>
                <w:color w:val="000000"/>
                <w:sz w:val="24"/>
                <w:szCs w:val="24"/>
              </w:rPr>
            </w:pPr>
            <w:r w:rsidRPr="006E7547">
              <w:rPr>
                <w:color w:val="000000"/>
                <w:sz w:val="24"/>
                <w:szCs w:val="24"/>
              </w:rPr>
              <w:t>Zadarska županija</w:t>
            </w:r>
          </w:p>
        </w:tc>
        <w:tc>
          <w:tcPr>
            <w:tcW w:w="2268" w:type="dxa"/>
            <w:vAlign w:val="bottom"/>
          </w:tcPr>
          <w:p w14:paraId="0F1E81FF" w14:textId="77777777" w:rsidR="006477A3" w:rsidRPr="006E7547" w:rsidRDefault="006477A3" w:rsidP="006477A3">
            <w:pPr>
              <w:jc w:val="right"/>
              <w:rPr>
                <w:color w:val="000000"/>
                <w:sz w:val="24"/>
                <w:szCs w:val="24"/>
              </w:rPr>
            </w:pPr>
            <w:r w:rsidRPr="006E7547">
              <w:rPr>
                <w:color w:val="000000"/>
                <w:sz w:val="24"/>
                <w:szCs w:val="24"/>
              </w:rPr>
              <w:t>17.000.000,00</w:t>
            </w:r>
          </w:p>
        </w:tc>
        <w:tc>
          <w:tcPr>
            <w:tcW w:w="2268" w:type="dxa"/>
          </w:tcPr>
          <w:p w14:paraId="6C7EF36C" w14:textId="79F3AB63" w:rsidR="006477A3" w:rsidRPr="006477A3" w:rsidRDefault="006477A3" w:rsidP="006477A3">
            <w:pPr>
              <w:jc w:val="right"/>
              <w:rPr>
                <w:color w:val="000000"/>
                <w:sz w:val="24"/>
                <w:szCs w:val="24"/>
              </w:rPr>
            </w:pPr>
            <w:r w:rsidRPr="006477A3">
              <w:rPr>
                <w:sz w:val="24"/>
                <w:szCs w:val="24"/>
              </w:rPr>
              <w:t>17.000.000,00</w:t>
            </w:r>
          </w:p>
        </w:tc>
      </w:tr>
      <w:tr w:rsidR="006477A3" w:rsidRPr="006E7547" w14:paraId="5E0E56C2" w14:textId="5D4D7610" w:rsidTr="006477A3">
        <w:trPr>
          <w:jc w:val="center"/>
        </w:trPr>
        <w:tc>
          <w:tcPr>
            <w:tcW w:w="4077" w:type="dxa"/>
            <w:vAlign w:val="bottom"/>
          </w:tcPr>
          <w:p w14:paraId="386E1204" w14:textId="77777777" w:rsidR="006477A3" w:rsidRPr="006E7547" w:rsidRDefault="006477A3" w:rsidP="006477A3">
            <w:pPr>
              <w:rPr>
                <w:color w:val="000000"/>
                <w:sz w:val="24"/>
                <w:szCs w:val="24"/>
              </w:rPr>
            </w:pPr>
            <w:r w:rsidRPr="006E7547">
              <w:rPr>
                <w:color w:val="000000"/>
                <w:sz w:val="24"/>
                <w:szCs w:val="24"/>
              </w:rPr>
              <w:t>Zagrebačka županija</w:t>
            </w:r>
          </w:p>
        </w:tc>
        <w:tc>
          <w:tcPr>
            <w:tcW w:w="2268" w:type="dxa"/>
            <w:vAlign w:val="bottom"/>
          </w:tcPr>
          <w:p w14:paraId="71B5F695" w14:textId="77777777" w:rsidR="006477A3" w:rsidRPr="006E7547" w:rsidRDefault="006477A3" w:rsidP="006477A3">
            <w:pPr>
              <w:jc w:val="right"/>
              <w:rPr>
                <w:color w:val="000000"/>
                <w:sz w:val="24"/>
                <w:szCs w:val="24"/>
              </w:rPr>
            </w:pPr>
            <w:r w:rsidRPr="006E7547">
              <w:rPr>
                <w:color w:val="000000"/>
                <w:sz w:val="24"/>
                <w:szCs w:val="24"/>
              </w:rPr>
              <w:t>23.000.000,00</w:t>
            </w:r>
          </w:p>
        </w:tc>
        <w:tc>
          <w:tcPr>
            <w:tcW w:w="2268" w:type="dxa"/>
          </w:tcPr>
          <w:p w14:paraId="7FB71927" w14:textId="1402E49C" w:rsidR="006477A3" w:rsidRPr="006477A3" w:rsidRDefault="006477A3" w:rsidP="006477A3">
            <w:pPr>
              <w:jc w:val="right"/>
              <w:rPr>
                <w:color w:val="000000"/>
                <w:sz w:val="24"/>
                <w:szCs w:val="24"/>
              </w:rPr>
            </w:pPr>
            <w:r w:rsidRPr="006477A3">
              <w:rPr>
                <w:sz w:val="24"/>
                <w:szCs w:val="24"/>
              </w:rPr>
              <w:t>23.000.000,00</w:t>
            </w:r>
          </w:p>
        </w:tc>
      </w:tr>
      <w:tr w:rsidR="006477A3" w:rsidRPr="006E7547" w14:paraId="64F6643B" w14:textId="2E4CE91A" w:rsidTr="006477A3">
        <w:trPr>
          <w:jc w:val="center"/>
        </w:trPr>
        <w:tc>
          <w:tcPr>
            <w:tcW w:w="4077" w:type="dxa"/>
            <w:vAlign w:val="bottom"/>
          </w:tcPr>
          <w:p w14:paraId="672346C9" w14:textId="77777777" w:rsidR="006477A3" w:rsidRPr="006E7547" w:rsidRDefault="006477A3" w:rsidP="006477A3">
            <w:pPr>
              <w:rPr>
                <w:b/>
                <w:bCs/>
                <w:color w:val="000000"/>
                <w:sz w:val="24"/>
                <w:szCs w:val="24"/>
              </w:rPr>
            </w:pPr>
            <w:r w:rsidRPr="006E7547">
              <w:rPr>
                <w:b/>
                <w:bCs/>
                <w:color w:val="000000"/>
                <w:sz w:val="24"/>
                <w:szCs w:val="24"/>
              </w:rPr>
              <w:t>UKUPNO</w:t>
            </w:r>
          </w:p>
        </w:tc>
        <w:tc>
          <w:tcPr>
            <w:tcW w:w="2268" w:type="dxa"/>
            <w:vAlign w:val="bottom"/>
          </w:tcPr>
          <w:p w14:paraId="4F5F85F4" w14:textId="77777777" w:rsidR="006477A3" w:rsidRPr="006E7547" w:rsidRDefault="006477A3" w:rsidP="006477A3">
            <w:pPr>
              <w:jc w:val="right"/>
              <w:rPr>
                <w:b/>
                <w:color w:val="000000"/>
                <w:sz w:val="24"/>
                <w:szCs w:val="24"/>
              </w:rPr>
            </w:pPr>
            <w:r w:rsidRPr="006E7547">
              <w:rPr>
                <w:b/>
                <w:color w:val="000000"/>
                <w:sz w:val="24"/>
                <w:szCs w:val="24"/>
              </w:rPr>
              <w:t>309.000.000,00</w:t>
            </w:r>
          </w:p>
        </w:tc>
        <w:tc>
          <w:tcPr>
            <w:tcW w:w="2268" w:type="dxa"/>
          </w:tcPr>
          <w:p w14:paraId="57974EB4" w14:textId="4E090106" w:rsidR="006477A3" w:rsidRPr="006E7547" w:rsidRDefault="006477A3" w:rsidP="006477A3">
            <w:pPr>
              <w:jc w:val="right"/>
              <w:rPr>
                <w:b/>
                <w:color w:val="000000"/>
                <w:sz w:val="24"/>
                <w:szCs w:val="24"/>
              </w:rPr>
            </w:pPr>
            <w:r w:rsidRPr="006477A3">
              <w:rPr>
                <w:b/>
                <w:color w:val="000000"/>
                <w:sz w:val="24"/>
                <w:szCs w:val="24"/>
              </w:rPr>
              <w:t>309.000.000,00</w:t>
            </w:r>
          </w:p>
        </w:tc>
      </w:tr>
    </w:tbl>
    <w:p w14:paraId="5B70220B" w14:textId="77777777" w:rsidR="001D5FE2" w:rsidRDefault="001D5FE2" w:rsidP="001D5FE2">
      <w:pPr>
        <w:pStyle w:val="BodyText"/>
        <w:jc w:val="both"/>
        <w:rPr>
          <w:rFonts w:ascii="Times New Roman" w:hAnsi="Times New Roman"/>
          <w:b w:val="0"/>
        </w:rPr>
      </w:pPr>
    </w:p>
    <w:p w14:paraId="52480F50" w14:textId="77777777" w:rsidR="00336FC5" w:rsidRDefault="00336FC5" w:rsidP="001D5FE2">
      <w:pPr>
        <w:pStyle w:val="BodyText"/>
        <w:spacing w:before="120"/>
        <w:rPr>
          <w:rFonts w:ascii="Times New Roman" w:hAnsi="Times New Roman"/>
        </w:rPr>
      </w:pPr>
    </w:p>
    <w:p w14:paraId="474C36C5" w14:textId="7C2D7DBA" w:rsidR="00407F89" w:rsidRPr="00407F89" w:rsidRDefault="00407F89" w:rsidP="00407F89">
      <w:pPr>
        <w:pStyle w:val="BodyText"/>
        <w:spacing w:before="120"/>
        <w:rPr>
          <w:rFonts w:ascii="Times New Roman" w:hAnsi="Times New Roman"/>
        </w:rPr>
      </w:pPr>
      <w:r w:rsidRPr="00407F89">
        <w:rPr>
          <w:rFonts w:ascii="Times New Roman" w:hAnsi="Times New Roman"/>
        </w:rPr>
        <w:lastRenderedPageBreak/>
        <w:t>II.</w:t>
      </w:r>
    </w:p>
    <w:p w14:paraId="36A653E8" w14:textId="4737D6FA" w:rsidR="001D5FE2" w:rsidRDefault="001D5FE2" w:rsidP="001D5FE2">
      <w:pPr>
        <w:pStyle w:val="BodyText"/>
        <w:jc w:val="both"/>
        <w:rPr>
          <w:rFonts w:ascii="Times New Roman" w:hAnsi="Times New Roman"/>
          <w:b w:val="0"/>
        </w:rPr>
      </w:pPr>
    </w:p>
    <w:p w14:paraId="62E56FFD" w14:textId="77777777" w:rsidR="001D5FE2" w:rsidRPr="006E7547" w:rsidRDefault="001D5FE2" w:rsidP="00407F89">
      <w:pPr>
        <w:pStyle w:val="BodyText"/>
        <w:spacing w:before="120"/>
        <w:jc w:val="both"/>
        <w:rPr>
          <w:rFonts w:ascii="Times New Roman" w:hAnsi="Times New Roman"/>
          <w:b w:val="0"/>
        </w:rPr>
      </w:pPr>
      <w:r w:rsidRPr="006E7547">
        <w:rPr>
          <w:rFonts w:ascii="Times New Roman" w:hAnsi="Times New Roman"/>
          <w:b w:val="0"/>
        </w:rPr>
        <w:t>Ova Odluka stupa na snagu danom donošenja.</w:t>
      </w:r>
    </w:p>
    <w:p w14:paraId="17061AB9" w14:textId="77777777" w:rsidR="001D5FE2" w:rsidRPr="006E7547" w:rsidRDefault="001D5FE2" w:rsidP="001D5FE2">
      <w:pPr>
        <w:rPr>
          <w:rFonts w:ascii="Times New Roman" w:hAnsi="Times New Roman" w:cs="Times New Roman"/>
          <w:sz w:val="24"/>
          <w:szCs w:val="24"/>
        </w:rPr>
      </w:pPr>
    </w:p>
    <w:p w14:paraId="603BEE91" w14:textId="77777777" w:rsidR="001D5FE2" w:rsidRPr="006E7547" w:rsidRDefault="001D5FE2" w:rsidP="001D5FE2">
      <w:pPr>
        <w:pStyle w:val="BodyTextIndent2"/>
        <w:ind w:left="0" w:firstLine="0"/>
        <w:jc w:val="left"/>
        <w:rPr>
          <w:rFonts w:ascii="Times New Roman" w:hAnsi="Times New Roman" w:cs="Times New Roman"/>
          <w:szCs w:val="24"/>
        </w:rPr>
      </w:pPr>
    </w:p>
    <w:p w14:paraId="763C15D3" w14:textId="77777777" w:rsidR="001D5FE2" w:rsidRPr="006E7547" w:rsidRDefault="001D5FE2" w:rsidP="001D5FE2">
      <w:pPr>
        <w:pStyle w:val="BodyTextIndent2"/>
        <w:ind w:left="0" w:firstLine="0"/>
        <w:jc w:val="left"/>
        <w:rPr>
          <w:rFonts w:ascii="Times New Roman" w:hAnsi="Times New Roman" w:cs="Times New Roman"/>
          <w:szCs w:val="24"/>
        </w:rPr>
      </w:pPr>
    </w:p>
    <w:p w14:paraId="7A1E4818" w14:textId="77777777" w:rsidR="001D5FE2" w:rsidRPr="006E7547" w:rsidRDefault="001D5FE2" w:rsidP="001D5FE2">
      <w:pPr>
        <w:jc w:val="both"/>
        <w:rPr>
          <w:rFonts w:ascii="Times New Roman" w:hAnsi="Times New Roman" w:cs="Times New Roman"/>
          <w:b/>
          <w:bCs/>
          <w:sz w:val="24"/>
          <w:szCs w:val="24"/>
        </w:rPr>
      </w:pPr>
      <w:r w:rsidRPr="006E7547">
        <w:rPr>
          <w:rFonts w:ascii="Times New Roman" w:hAnsi="Times New Roman" w:cs="Times New Roman"/>
          <w:b/>
          <w:bCs/>
          <w:sz w:val="24"/>
          <w:szCs w:val="24"/>
        </w:rPr>
        <w:t xml:space="preserve">KLASA: </w:t>
      </w:r>
    </w:p>
    <w:p w14:paraId="76C0B814" w14:textId="77777777" w:rsidR="001D5FE2" w:rsidRPr="006E7547" w:rsidRDefault="001D5FE2" w:rsidP="001D5FE2">
      <w:pPr>
        <w:jc w:val="both"/>
        <w:rPr>
          <w:rFonts w:ascii="Times New Roman" w:hAnsi="Times New Roman" w:cs="Times New Roman"/>
          <w:b/>
          <w:bCs/>
          <w:sz w:val="24"/>
          <w:szCs w:val="24"/>
        </w:rPr>
      </w:pPr>
      <w:r w:rsidRPr="006E7547">
        <w:rPr>
          <w:rFonts w:ascii="Times New Roman" w:hAnsi="Times New Roman" w:cs="Times New Roman"/>
          <w:b/>
          <w:bCs/>
          <w:sz w:val="24"/>
          <w:szCs w:val="24"/>
        </w:rPr>
        <w:t>URBROJ:</w:t>
      </w:r>
    </w:p>
    <w:p w14:paraId="5A62BEBE" w14:textId="77777777" w:rsidR="001D5FE2" w:rsidRPr="006E7547" w:rsidRDefault="001D5FE2" w:rsidP="001D5FE2">
      <w:pPr>
        <w:jc w:val="both"/>
        <w:rPr>
          <w:rFonts w:ascii="Times New Roman" w:hAnsi="Times New Roman" w:cs="Times New Roman"/>
          <w:b/>
          <w:bCs/>
          <w:sz w:val="24"/>
          <w:szCs w:val="24"/>
        </w:rPr>
      </w:pPr>
      <w:r w:rsidRPr="006E7547">
        <w:rPr>
          <w:rFonts w:ascii="Times New Roman" w:hAnsi="Times New Roman" w:cs="Times New Roman"/>
          <w:b/>
          <w:bCs/>
          <w:sz w:val="24"/>
          <w:szCs w:val="24"/>
        </w:rPr>
        <w:t>Zagreb,</w:t>
      </w:r>
    </w:p>
    <w:p w14:paraId="193C5305" w14:textId="77777777" w:rsidR="001D5FE2" w:rsidRPr="006E7547" w:rsidRDefault="001D5FE2" w:rsidP="001D5FE2">
      <w:pPr>
        <w:tabs>
          <w:tab w:val="left" w:pos="-1985"/>
          <w:tab w:val="center" w:pos="6711"/>
        </w:tabs>
        <w:suppressAutoHyphens/>
        <w:jc w:val="both"/>
        <w:rPr>
          <w:rFonts w:ascii="Times New Roman" w:hAnsi="Times New Roman" w:cs="Times New Roman"/>
          <w:b/>
          <w:spacing w:val="-3"/>
          <w:sz w:val="24"/>
          <w:szCs w:val="24"/>
        </w:rPr>
      </w:pPr>
    </w:p>
    <w:p w14:paraId="3A49B20C" w14:textId="77777777" w:rsidR="001D5FE2" w:rsidRPr="006E7547" w:rsidRDefault="001D5FE2" w:rsidP="001D5FE2">
      <w:pPr>
        <w:tabs>
          <w:tab w:val="left" w:pos="-1985"/>
          <w:tab w:val="center" w:pos="6711"/>
        </w:tabs>
        <w:suppressAutoHyphens/>
        <w:spacing w:before="60"/>
        <w:ind w:left="5103"/>
        <w:jc w:val="center"/>
        <w:rPr>
          <w:rFonts w:ascii="Times New Roman" w:hAnsi="Times New Roman" w:cs="Times New Roman"/>
          <w:b/>
          <w:spacing w:val="-3"/>
          <w:sz w:val="24"/>
          <w:szCs w:val="24"/>
        </w:rPr>
      </w:pPr>
    </w:p>
    <w:p w14:paraId="384037EC" w14:textId="77777777" w:rsidR="001D5FE2" w:rsidRPr="006E7547" w:rsidRDefault="001D5FE2" w:rsidP="001D5FE2">
      <w:pPr>
        <w:tabs>
          <w:tab w:val="left" w:pos="-1985"/>
          <w:tab w:val="center" w:pos="6711"/>
        </w:tabs>
        <w:suppressAutoHyphens/>
        <w:spacing w:before="60"/>
        <w:ind w:left="5103"/>
        <w:jc w:val="center"/>
        <w:rPr>
          <w:rFonts w:ascii="Times New Roman" w:hAnsi="Times New Roman" w:cs="Times New Roman"/>
          <w:b/>
          <w:spacing w:val="-3"/>
          <w:sz w:val="24"/>
          <w:szCs w:val="24"/>
        </w:rPr>
      </w:pPr>
      <w:r w:rsidRPr="006E7547">
        <w:rPr>
          <w:rFonts w:ascii="Times New Roman" w:hAnsi="Times New Roman" w:cs="Times New Roman"/>
          <w:b/>
          <w:spacing w:val="-3"/>
          <w:sz w:val="24"/>
          <w:szCs w:val="24"/>
        </w:rPr>
        <w:t>P R E D S J E D N I K</w:t>
      </w:r>
    </w:p>
    <w:p w14:paraId="12AE301B" w14:textId="77777777" w:rsidR="001D5FE2" w:rsidRPr="006E7547" w:rsidRDefault="001D5FE2" w:rsidP="001D5FE2">
      <w:pPr>
        <w:tabs>
          <w:tab w:val="left" w:pos="-1440"/>
          <w:tab w:val="left" w:pos="-720"/>
          <w:tab w:val="left" w:pos="7140"/>
        </w:tabs>
        <w:suppressAutoHyphens/>
        <w:ind w:left="5103"/>
        <w:jc w:val="center"/>
        <w:rPr>
          <w:rFonts w:ascii="Times New Roman" w:hAnsi="Times New Roman" w:cs="Times New Roman"/>
          <w:b/>
          <w:spacing w:val="-3"/>
          <w:sz w:val="24"/>
          <w:szCs w:val="24"/>
        </w:rPr>
      </w:pPr>
    </w:p>
    <w:p w14:paraId="3F782758" w14:textId="77777777" w:rsidR="001D5FE2" w:rsidRPr="006E7547" w:rsidRDefault="001D5FE2" w:rsidP="001D5FE2">
      <w:pPr>
        <w:tabs>
          <w:tab w:val="left" w:pos="-1440"/>
          <w:tab w:val="left" w:pos="-720"/>
          <w:tab w:val="center" w:pos="6711"/>
        </w:tabs>
        <w:suppressAutoHyphens/>
        <w:ind w:left="5103"/>
        <w:jc w:val="center"/>
        <w:rPr>
          <w:rFonts w:ascii="Times New Roman" w:hAnsi="Times New Roman" w:cs="Times New Roman"/>
          <w:b/>
          <w:bCs/>
          <w:sz w:val="24"/>
          <w:szCs w:val="24"/>
        </w:rPr>
      </w:pPr>
    </w:p>
    <w:p w14:paraId="7F8A22E5" w14:textId="77777777" w:rsidR="001D5FE2" w:rsidRPr="006E7547" w:rsidRDefault="001D5FE2" w:rsidP="001D5FE2">
      <w:pPr>
        <w:tabs>
          <w:tab w:val="left" w:pos="-1440"/>
          <w:tab w:val="left" w:pos="-720"/>
          <w:tab w:val="center" w:pos="6711"/>
        </w:tabs>
        <w:suppressAutoHyphens/>
        <w:ind w:left="5103"/>
        <w:jc w:val="center"/>
        <w:rPr>
          <w:rFonts w:ascii="Times New Roman" w:hAnsi="Times New Roman" w:cs="Times New Roman"/>
          <w:b/>
          <w:bCs/>
          <w:sz w:val="24"/>
          <w:szCs w:val="24"/>
          <w:lang w:val="es-ES"/>
        </w:rPr>
      </w:pPr>
      <w:r w:rsidRPr="006E7547">
        <w:rPr>
          <w:rFonts w:ascii="Times New Roman" w:hAnsi="Times New Roman" w:cs="Times New Roman"/>
          <w:b/>
          <w:bCs/>
          <w:sz w:val="24"/>
          <w:szCs w:val="24"/>
          <w:lang w:val="es-ES"/>
        </w:rPr>
        <w:t>Andrej Plenković</w:t>
      </w:r>
    </w:p>
    <w:p w14:paraId="7169B9C7" w14:textId="77777777" w:rsidR="001D5FE2" w:rsidRPr="006E7547" w:rsidRDefault="001D5FE2" w:rsidP="001D5FE2">
      <w:pPr>
        <w:tabs>
          <w:tab w:val="left" w:pos="-1440"/>
          <w:tab w:val="left" w:pos="-720"/>
          <w:tab w:val="center" w:pos="6711"/>
        </w:tabs>
        <w:suppressAutoHyphens/>
        <w:ind w:left="5103"/>
        <w:jc w:val="center"/>
        <w:rPr>
          <w:rFonts w:ascii="Times New Roman" w:hAnsi="Times New Roman" w:cs="Times New Roman"/>
          <w:b/>
          <w:bCs/>
          <w:sz w:val="24"/>
          <w:szCs w:val="24"/>
          <w:lang w:val="es-ES"/>
        </w:rPr>
      </w:pPr>
    </w:p>
    <w:p w14:paraId="0008FA9D" w14:textId="77777777" w:rsidR="001D5FE2" w:rsidRPr="006E7547" w:rsidRDefault="001D5FE2" w:rsidP="001D5FE2">
      <w:pPr>
        <w:jc w:val="center"/>
        <w:rPr>
          <w:rFonts w:ascii="Times New Roman" w:hAnsi="Times New Roman" w:cs="Times New Roman"/>
          <w:b/>
          <w:sz w:val="24"/>
          <w:szCs w:val="24"/>
        </w:rPr>
      </w:pPr>
      <w:r w:rsidRPr="006E7547">
        <w:rPr>
          <w:rFonts w:ascii="Times New Roman" w:hAnsi="Times New Roman" w:cs="Times New Roman"/>
          <w:b/>
          <w:bCs/>
          <w:sz w:val="24"/>
          <w:szCs w:val="24"/>
          <w:lang w:val="es-ES"/>
        </w:rPr>
        <w:br w:type="page"/>
      </w:r>
      <w:r w:rsidRPr="006E7547">
        <w:rPr>
          <w:rFonts w:ascii="Times New Roman" w:hAnsi="Times New Roman" w:cs="Times New Roman"/>
          <w:b/>
          <w:sz w:val="24"/>
          <w:szCs w:val="24"/>
        </w:rPr>
        <w:t>O B R A Z L O Ž E NJ E</w:t>
      </w:r>
    </w:p>
    <w:p w14:paraId="7382FB20" w14:textId="77777777" w:rsidR="001D5FE2" w:rsidRPr="006E7547" w:rsidRDefault="001D5FE2" w:rsidP="001D5FE2">
      <w:pPr>
        <w:jc w:val="center"/>
        <w:rPr>
          <w:rFonts w:ascii="Times New Roman" w:hAnsi="Times New Roman" w:cs="Times New Roman"/>
          <w:sz w:val="24"/>
          <w:szCs w:val="24"/>
        </w:rPr>
      </w:pPr>
    </w:p>
    <w:p w14:paraId="02E8ED45" w14:textId="77777777" w:rsidR="001D5FE2" w:rsidRPr="00865D49" w:rsidRDefault="001D5FE2" w:rsidP="001D5FE2">
      <w:pPr>
        <w:pStyle w:val="xmsonormal"/>
        <w:shd w:val="clear" w:color="auto" w:fill="FFFFFF"/>
        <w:jc w:val="both"/>
        <w:rPr>
          <w:color w:val="000000"/>
        </w:rPr>
      </w:pPr>
      <w:r w:rsidRPr="00865D49">
        <w:rPr>
          <w:color w:val="000000"/>
        </w:rPr>
        <w:t xml:space="preserve">Zakonom o sustavu državne uprave (»Narodne novine«, br. 66/19) postavljen je temelj za novi zakonski okvir kojim </w:t>
      </w:r>
      <w:r>
        <w:rPr>
          <w:color w:val="000000"/>
        </w:rPr>
        <w:t xml:space="preserve">se </w:t>
      </w:r>
      <w:r w:rsidRPr="00865D49">
        <w:rPr>
          <w:color w:val="000000"/>
        </w:rPr>
        <w:t>pojedini poslovi državne uprave prvostupanjskog karaktera (osobito upravni i drugi stručni poslovi u upravnim područjima gospodarstva, društvenih djelatnosti, opće uprave i imovinsko-pravnih poslova te drugi upravni i stručni poslovi u skladu s posebnim zakonima kojima se uređuje pojedino upravno područje) iz nadležnosti ureda državne uprave, povjer</w:t>
      </w:r>
      <w:r>
        <w:rPr>
          <w:color w:val="000000"/>
        </w:rPr>
        <w:t>avaju</w:t>
      </w:r>
      <w:r w:rsidRPr="00865D49">
        <w:rPr>
          <w:color w:val="000000"/>
        </w:rPr>
        <w:t xml:space="preserve"> županijama, odnosno upravnim tijelima županija. </w:t>
      </w:r>
    </w:p>
    <w:p w14:paraId="3CE32DE2" w14:textId="77777777" w:rsidR="001D5FE2" w:rsidRDefault="001D5FE2" w:rsidP="001D5FE2">
      <w:pPr>
        <w:pStyle w:val="xmsonormal"/>
        <w:shd w:val="clear" w:color="auto" w:fill="FFFFFF"/>
        <w:jc w:val="both"/>
        <w:rPr>
          <w:color w:val="000000"/>
        </w:rPr>
      </w:pPr>
      <w:r w:rsidRPr="00865D49">
        <w:rPr>
          <w:color w:val="000000"/>
        </w:rPr>
        <w:t>Po navedenoj osnovi i razmjerno povjerenim poslovima, županije preuzimaju državne službenike, predstojnik</w:t>
      </w:r>
      <w:r>
        <w:rPr>
          <w:color w:val="000000"/>
        </w:rPr>
        <w:t>e i</w:t>
      </w:r>
      <w:r w:rsidRPr="00865D49">
        <w:rPr>
          <w:color w:val="000000"/>
        </w:rPr>
        <w:t xml:space="preserve"> namještenike, pismohranu i drugu dokumentaciju te opremu i sredstva za rad mjesno nadležnih ureda državne uprave.</w:t>
      </w:r>
    </w:p>
    <w:p w14:paraId="72640B52" w14:textId="77777777" w:rsidR="001D5FE2" w:rsidRDefault="001D5FE2" w:rsidP="001D5FE2">
      <w:pPr>
        <w:pStyle w:val="xmsonormal"/>
        <w:shd w:val="clear" w:color="auto" w:fill="FFFFFF"/>
        <w:jc w:val="both"/>
        <w:rPr>
          <w:color w:val="000000"/>
        </w:rPr>
      </w:pPr>
      <w:r>
        <w:rPr>
          <w:color w:val="000000"/>
        </w:rPr>
        <w:t>Ministarstvo uprave je Zaključkom Vlade Republike Hrvatske (KLASA: 022-03/19-07/292, URBROJ: 50301-25/06-19-3 od 18.srpnja 2019.) o zaduženjima tijela državne uprave radi usklađivanja sa Zakonom o sustavu državne uprave, zaduženo za potpisivanje sporazuma sa županima kojima će se, razmjerno povjerenim poslovima državne uprave, utvrditi preuzimanje predmeta, pismohrane, ostale dokumentacije, opreme, sredstava za rad mjesno nadležnih ureda državne uprave u županijama. Navedenim Zaključkom Vlade Republike Hrvatske nije određen iznos obveze koju Ministarstvo uprave može preuzeti.</w:t>
      </w:r>
    </w:p>
    <w:p w14:paraId="71990C04" w14:textId="1FEAABE4" w:rsidR="00F32F49" w:rsidRPr="006167FF" w:rsidRDefault="00F32F49" w:rsidP="00F32F49">
      <w:pPr>
        <w:pStyle w:val="xmsonormal"/>
        <w:shd w:val="clear" w:color="auto" w:fill="FFFFFF"/>
        <w:jc w:val="both"/>
        <w:rPr>
          <w:color w:val="000000"/>
        </w:rPr>
      </w:pPr>
      <w:r>
        <w:rPr>
          <w:color w:val="000000"/>
        </w:rPr>
        <w:t xml:space="preserve">Sukladno čl. 44. Zakona o proračunu </w:t>
      </w:r>
      <w:r w:rsidRPr="00606944">
        <w:rPr>
          <w:color w:val="000000"/>
        </w:rPr>
        <w:t>ministar financija predlaže Vladi Republike Hrvatske da Ministarstvu</w:t>
      </w:r>
      <w:r>
        <w:rPr>
          <w:color w:val="000000"/>
        </w:rPr>
        <w:t xml:space="preserve"> uprave</w:t>
      </w:r>
      <w:r w:rsidRPr="006167FF">
        <w:t xml:space="preserve"> </w:t>
      </w:r>
      <w:r w:rsidRPr="006167FF">
        <w:rPr>
          <w:color w:val="000000"/>
        </w:rPr>
        <w:t xml:space="preserve">da suglasnost za preuzimanje obveza na teret sredstava državnog proračuna Republike Hrvatske </w:t>
      </w:r>
      <w:r w:rsidR="005D376E" w:rsidRPr="005D376E">
        <w:rPr>
          <w:color w:val="000000"/>
        </w:rPr>
        <w:t>u 2021. i 2022. godini</w:t>
      </w:r>
      <w:r w:rsidRPr="005D376E">
        <w:rPr>
          <w:color w:val="000000"/>
        </w:rPr>
        <w:t>,</w:t>
      </w:r>
      <w:r w:rsidRPr="006167FF">
        <w:rPr>
          <w:color w:val="000000"/>
        </w:rPr>
        <w:t xml:space="preserve"> u </w:t>
      </w:r>
      <w:r w:rsidR="005D376E">
        <w:rPr>
          <w:color w:val="000000"/>
        </w:rPr>
        <w:t xml:space="preserve">ukupnom iznosu od 618.000.000,00 kn, odnosno u </w:t>
      </w:r>
      <w:r>
        <w:rPr>
          <w:color w:val="000000"/>
        </w:rPr>
        <w:t>godišnjem</w:t>
      </w:r>
      <w:r w:rsidRPr="006167FF">
        <w:rPr>
          <w:color w:val="000000"/>
        </w:rPr>
        <w:t xml:space="preserve"> iznosu od </w:t>
      </w:r>
      <w:r>
        <w:rPr>
          <w:color w:val="000000"/>
        </w:rPr>
        <w:t>309.000.000,00 kn, a</w:t>
      </w:r>
      <w:r w:rsidRPr="006167FF">
        <w:rPr>
          <w:color w:val="000000"/>
        </w:rPr>
        <w:t xml:space="preserve"> </w:t>
      </w:r>
      <w:r>
        <w:rPr>
          <w:color w:val="000000"/>
        </w:rPr>
        <w:t>temeljem</w:t>
      </w:r>
      <w:r w:rsidRPr="006167FF">
        <w:rPr>
          <w:color w:val="000000"/>
        </w:rPr>
        <w:t xml:space="preserve"> </w:t>
      </w:r>
      <w:r>
        <w:rPr>
          <w:color w:val="000000"/>
        </w:rPr>
        <w:t>pojedinačnih sporazuma sa svakom pojedinom županijom.</w:t>
      </w:r>
    </w:p>
    <w:p w14:paraId="03133FEE" w14:textId="336440C9" w:rsidR="001D5FE2" w:rsidRDefault="001D5FE2" w:rsidP="001D5FE2">
      <w:pPr>
        <w:pStyle w:val="xmsonormal"/>
        <w:shd w:val="clear" w:color="auto" w:fill="FFFFFF"/>
        <w:jc w:val="both"/>
        <w:rPr>
          <w:color w:val="000000"/>
        </w:rPr>
      </w:pPr>
      <w:r w:rsidRPr="00606944">
        <w:rPr>
          <w:color w:val="000000"/>
        </w:rPr>
        <w:t>Sredstva za obavljanje povjerenih poslova državne uprave osigura</w:t>
      </w:r>
      <w:r>
        <w:rPr>
          <w:color w:val="000000"/>
        </w:rPr>
        <w:t>na su u D</w:t>
      </w:r>
      <w:r w:rsidRPr="00606944">
        <w:rPr>
          <w:color w:val="000000"/>
        </w:rPr>
        <w:t>ržavnom proračunu</w:t>
      </w:r>
      <w:r>
        <w:rPr>
          <w:color w:val="000000"/>
        </w:rPr>
        <w:t xml:space="preserve"> za 2020. godinu i projekcijama za 2021. i 2022. godinu,</w:t>
      </w:r>
      <w:r w:rsidRPr="00606944">
        <w:rPr>
          <w:color w:val="000000"/>
        </w:rPr>
        <w:t xml:space="preserve"> na razdjelu 095 – Ministarstvo uprave – glavi 09505, na podskupini računa 363 Pomoći unutar općeg proračuna</w:t>
      </w:r>
      <w:r w:rsidR="00F32F49">
        <w:rPr>
          <w:color w:val="000000"/>
        </w:rPr>
        <w:t>, u iznosu od 308.000.000,00 kn na godišnjoj razini</w:t>
      </w:r>
      <w:r w:rsidRPr="00606944">
        <w:rPr>
          <w:color w:val="000000"/>
        </w:rPr>
        <w:t xml:space="preserve">. </w:t>
      </w:r>
      <w:r w:rsidR="00F32F49">
        <w:rPr>
          <w:color w:val="000000"/>
        </w:rPr>
        <w:t>Preostali iznos od 1.000.000,00 kn godišnje osigurat će se preraspodjelom sredstava unutar limita ukupnih rashoda razdjela Ministarstva uprave.</w:t>
      </w:r>
    </w:p>
    <w:p w14:paraId="491C1547" w14:textId="25116B08" w:rsidR="001D5FE2" w:rsidRPr="003D015B" w:rsidRDefault="001D5FE2" w:rsidP="003D015B">
      <w:pPr>
        <w:pStyle w:val="xmsonormal"/>
        <w:shd w:val="clear" w:color="auto" w:fill="FFFFFF"/>
        <w:jc w:val="both"/>
        <w:rPr>
          <w:color w:val="000000"/>
        </w:rPr>
      </w:pPr>
      <w:r w:rsidRPr="006E7547">
        <w:t xml:space="preserve">Slijedom </w:t>
      </w:r>
      <w:r w:rsidRPr="003D015B">
        <w:rPr>
          <w:color w:val="000000"/>
        </w:rPr>
        <w:t xml:space="preserve">navedenog, točkom I. Prijedloga odluke daje se suglasnost Ministarstvu u uprave za preuzimanje obveza na teret sredstava državnog proračuna Republike Hrvatske </w:t>
      </w:r>
      <w:r w:rsidR="005D376E" w:rsidRPr="005D376E">
        <w:rPr>
          <w:color w:val="000000"/>
        </w:rPr>
        <w:t xml:space="preserve">u 2021. i 2022. godini </w:t>
      </w:r>
      <w:r w:rsidR="001D242B" w:rsidRPr="001D242B">
        <w:rPr>
          <w:color w:val="000000"/>
        </w:rPr>
        <w:t xml:space="preserve">za sklapanje sporazuma sa pojedinim županijama o preuzimanju predmeta, pismohrane, ostale dokumentacije, opreme te sredstava za rad od pojedinih mjesno nadležnih ureda državne uprave </w:t>
      </w:r>
      <w:r w:rsidRPr="003D015B">
        <w:rPr>
          <w:color w:val="000000"/>
        </w:rPr>
        <w:t xml:space="preserve">u </w:t>
      </w:r>
      <w:r w:rsidR="005D376E">
        <w:rPr>
          <w:color w:val="000000"/>
        </w:rPr>
        <w:t xml:space="preserve">ukupnom iznosu od 618.000.000,00 kn, odnosno u </w:t>
      </w:r>
      <w:r w:rsidRPr="003D015B">
        <w:rPr>
          <w:color w:val="000000"/>
        </w:rPr>
        <w:t>godišnjem iznosu od 309.000.000</w:t>
      </w:r>
      <w:r w:rsidR="005D376E">
        <w:rPr>
          <w:color w:val="000000"/>
        </w:rPr>
        <w:t>,00</w:t>
      </w:r>
      <w:r w:rsidRPr="003D015B">
        <w:rPr>
          <w:color w:val="000000"/>
        </w:rPr>
        <w:t xml:space="preserve"> kn.</w:t>
      </w:r>
    </w:p>
    <w:p w14:paraId="15480114" w14:textId="494052CF" w:rsidR="006D45D5" w:rsidRPr="009058B0" w:rsidRDefault="006D45D5" w:rsidP="001D5FE2">
      <w:pPr>
        <w:pStyle w:val="ListParagraph"/>
        <w:spacing w:after="0" w:line="240" w:lineRule="auto"/>
        <w:jc w:val="right"/>
        <w:rPr>
          <w:rFonts w:ascii="Times New Roman" w:hAnsi="Times New Roman" w:cs="Times New Roman"/>
          <w:sz w:val="24"/>
          <w:szCs w:val="24"/>
        </w:rPr>
      </w:pPr>
    </w:p>
    <w:sectPr w:rsidR="006D45D5" w:rsidRPr="009058B0" w:rsidSect="00E36513">
      <w:headerReference w:type="default"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D214" w14:textId="77777777" w:rsidR="00B82076" w:rsidRDefault="00B82076" w:rsidP="0016213C">
      <w:pPr>
        <w:spacing w:after="0" w:line="240" w:lineRule="auto"/>
      </w:pPr>
      <w:r>
        <w:separator/>
      </w:r>
    </w:p>
  </w:endnote>
  <w:endnote w:type="continuationSeparator" w:id="0">
    <w:p w14:paraId="0FA0F9FD" w14:textId="77777777" w:rsidR="00B82076" w:rsidRDefault="00B8207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1D" w14:textId="77777777" w:rsidR="007126FD" w:rsidRPr="00CE78D1" w:rsidRDefault="007126FD"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EDBD" w14:textId="1BB4DA3A" w:rsidR="00381D00" w:rsidRPr="00381D00" w:rsidRDefault="00381D00" w:rsidP="00381D0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21" w14:textId="77777777" w:rsidR="0016213C" w:rsidRDefault="0016213C">
    <w:pPr>
      <w:pStyle w:val="Footer"/>
      <w:jc w:val="right"/>
    </w:pPr>
  </w:p>
  <w:p w14:paraId="15480122" w14:textId="77777777" w:rsidR="0016213C" w:rsidRDefault="001621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928C" w14:textId="1F6003A4" w:rsidR="00381D00" w:rsidRPr="00381D00" w:rsidRDefault="00381D00" w:rsidP="0038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2A04" w14:textId="77777777" w:rsidR="00B82076" w:rsidRDefault="00B82076" w:rsidP="0016213C">
      <w:pPr>
        <w:spacing w:after="0" w:line="240" w:lineRule="auto"/>
      </w:pPr>
      <w:r>
        <w:separator/>
      </w:r>
    </w:p>
  </w:footnote>
  <w:footnote w:type="continuationSeparator" w:id="0">
    <w:p w14:paraId="47BC0C3A" w14:textId="77777777" w:rsidR="00B82076" w:rsidRDefault="00B82076"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1B" w14:textId="77777777" w:rsidR="00E36513" w:rsidRPr="00E36513" w:rsidRDefault="00E36513">
    <w:pPr>
      <w:pStyle w:val="Header"/>
      <w:jc w:val="center"/>
      <w:rPr>
        <w:rFonts w:ascii="Times New Roman" w:hAnsi="Times New Roman" w:cs="Times New Roman"/>
        <w:sz w:val="24"/>
        <w:szCs w:val="24"/>
      </w:rPr>
    </w:pPr>
  </w:p>
  <w:p w14:paraId="1548011C" w14:textId="77777777" w:rsidR="00E36513" w:rsidRDefault="00E36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1E" w14:textId="77777777" w:rsidR="00E36513" w:rsidRDefault="00E36513">
    <w:pPr>
      <w:pStyle w:val="Header"/>
      <w:jc w:val="center"/>
    </w:pPr>
  </w:p>
  <w:p w14:paraId="1548011F" w14:textId="77777777" w:rsidR="00E36513" w:rsidRDefault="00E36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20" w14:textId="4124CD65" w:rsidR="00E36513" w:rsidRPr="00E36513" w:rsidRDefault="00E36513" w:rsidP="00E36513">
    <w:pPr>
      <w:pStyle w:val="Header"/>
      <w:jc w:val="cent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123" w14:textId="77777777" w:rsidR="00E36513" w:rsidRDefault="00E36513">
    <w:pPr>
      <w:pStyle w:val="Header"/>
      <w:jc w:val="center"/>
    </w:pPr>
  </w:p>
  <w:p w14:paraId="15480124" w14:textId="77777777" w:rsidR="00E36513" w:rsidRDefault="00E36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1D3D"/>
    <w:rsid w:val="00056526"/>
    <w:rsid w:val="000915FF"/>
    <w:rsid w:val="000956D5"/>
    <w:rsid w:val="00096583"/>
    <w:rsid w:val="00096AC1"/>
    <w:rsid w:val="000C17DD"/>
    <w:rsid w:val="000C3EEE"/>
    <w:rsid w:val="00116A59"/>
    <w:rsid w:val="00137CF8"/>
    <w:rsid w:val="00142592"/>
    <w:rsid w:val="0016213C"/>
    <w:rsid w:val="001874D6"/>
    <w:rsid w:val="001C79B2"/>
    <w:rsid w:val="001D242B"/>
    <w:rsid w:val="001D4BB6"/>
    <w:rsid w:val="001D5FE2"/>
    <w:rsid w:val="002138A0"/>
    <w:rsid w:val="00220F18"/>
    <w:rsid w:val="0023064F"/>
    <w:rsid w:val="00244BE7"/>
    <w:rsid w:val="00253230"/>
    <w:rsid w:val="00264860"/>
    <w:rsid w:val="00290862"/>
    <w:rsid w:val="00295CAA"/>
    <w:rsid w:val="002965CD"/>
    <w:rsid w:val="002B2F89"/>
    <w:rsid w:val="002C37F5"/>
    <w:rsid w:val="002D0FB8"/>
    <w:rsid w:val="002D67BD"/>
    <w:rsid w:val="00305F6C"/>
    <w:rsid w:val="00336FC5"/>
    <w:rsid w:val="003377F5"/>
    <w:rsid w:val="0034044C"/>
    <w:rsid w:val="0034284B"/>
    <w:rsid w:val="00381D00"/>
    <w:rsid w:val="003D015B"/>
    <w:rsid w:val="003D43A7"/>
    <w:rsid w:val="00407F89"/>
    <w:rsid w:val="004171DD"/>
    <w:rsid w:val="00451401"/>
    <w:rsid w:val="00475133"/>
    <w:rsid w:val="004E27A4"/>
    <w:rsid w:val="004F3E7C"/>
    <w:rsid w:val="00510C1E"/>
    <w:rsid w:val="0052065F"/>
    <w:rsid w:val="005222AE"/>
    <w:rsid w:val="00527FA8"/>
    <w:rsid w:val="005414D9"/>
    <w:rsid w:val="005650B3"/>
    <w:rsid w:val="005954A0"/>
    <w:rsid w:val="005A33D6"/>
    <w:rsid w:val="005A580B"/>
    <w:rsid w:val="005C0332"/>
    <w:rsid w:val="005D376E"/>
    <w:rsid w:val="005E359E"/>
    <w:rsid w:val="005F6972"/>
    <w:rsid w:val="00615049"/>
    <w:rsid w:val="006433F9"/>
    <w:rsid w:val="006477A3"/>
    <w:rsid w:val="006675A7"/>
    <w:rsid w:val="006C5322"/>
    <w:rsid w:val="006D45D5"/>
    <w:rsid w:val="006F7397"/>
    <w:rsid w:val="00703036"/>
    <w:rsid w:val="007126FD"/>
    <w:rsid w:val="007135C0"/>
    <w:rsid w:val="00736983"/>
    <w:rsid w:val="00785E25"/>
    <w:rsid w:val="00786D1C"/>
    <w:rsid w:val="007900BB"/>
    <w:rsid w:val="007917B2"/>
    <w:rsid w:val="007C2EF7"/>
    <w:rsid w:val="007C6BF6"/>
    <w:rsid w:val="007E6338"/>
    <w:rsid w:val="0081665F"/>
    <w:rsid w:val="0086636B"/>
    <w:rsid w:val="00881D8E"/>
    <w:rsid w:val="00887E4A"/>
    <w:rsid w:val="008A14B4"/>
    <w:rsid w:val="008E2228"/>
    <w:rsid w:val="008E7074"/>
    <w:rsid w:val="009052E5"/>
    <w:rsid w:val="009058B0"/>
    <w:rsid w:val="00927EE4"/>
    <w:rsid w:val="009313BF"/>
    <w:rsid w:val="00936739"/>
    <w:rsid w:val="00953DF9"/>
    <w:rsid w:val="00954B0E"/>
    <w:rsid w:val="00966A54"/>
    <w:rsid w:val="009819F8"/>
    <w:rsid w:val="009A3209"/>
    <w:rsid w:val="009C0817"/>
    <w:rsid w:val="009E61A4"/>
    <w:rsid w:val="00A02542"/>
    <w:rsid w:val="00AF76BF"/>
    <w:rsid w:val="00B06361"/>
    <w:rsid w:val="00B20C17"/>
    <w:rsid w:val="00B62398"/>
    <w:rsid w:val="00B74C32"/>
    <w:rsid w:val="00B75937"/>
    <w:rsid w:val="00B82076"/>
    <w:rsid w:val="00B859A5"/>
    <w:rsid w:val="00B9013D"/>
    <w:rsid w:val="00C44CC9"/>
    <w:rsid w:val="00C5332D"/>
    <w:rsid w:val="00C6534E"/>
    <w:rsid w:val="00CD79E1"/>
    <w:rsid w:val="00D10749"/>
    <w:rsid w:val="00D10AED"/>
    <w:rsid w:val="00D737AC"/>
    <w:rsid w:val="00D934D3"/>
    <w:rsid w:val="00DA32DB"/>
    <w:rsid w:val="00DB2946"/>
    <w:rsid w:val="00DD016B"/>
    <w:rsid w:val="00DE40B8"/>
    <w:rsid w:val="00E1201B"/>
    <w:rsid w:val="00E17202"/>
    <w:rsid w:val="00E36513"/>
    <w:rsid w:val="00E42084"/>
    <w:rsid w:val="00E55D5F"/>
    <w:rsid w:val="00E72511"/>
    <w:rsid w:val="00E7483E"/>
    <w:rsid w:val="00E75431"/>
    <w:rsid w:val="00ED2B8C"/>
    <w:rsid w:val="00EE4DE0"/>
    <w:rsid w:val="00EF38DC"/>
    <w:rsid w:val="00F32F49"/>
    <w:rsid w:val="00F33F1E"/>
    <w:rsid w:val="00FC65C3"/>
    <w:rsid w:val="00FE2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00C8"/>
  <w15:docId w15:val="{01F68428-8B7B-4388-80E6-D46DC32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7E6338"/>
    <w:pPr>
      <w:keepNext/>
      <w:spacing w:after="0" w:line="240" w:lineRule="auto"/>
      <w:jc w:val="center"/>
      <w:outlineLvl w:val="3"/>
    </w:pPr>
    <w:rPr>
      <w:rFonts w:ascii="Arial" w:eastAsia="Times New Roman" w:hAnsi="Arial" w:cs="Arial"/>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E6338"/>
    <w:rPr>
      <w:rFonts w:ascii="Arial" w:eastAsia="Times New Roman" w:hAnsi="Arial" w:cs="Arial"/>
      <w:b/>
      <w:bCs/>
      <w:sz w:val="24"/>
      <w:szCs w:val="24"/>
      <w:lang w:eastAsia="hr-HR"/>
    </w:rPr>
  </w:style>
  <w:style w:type="paragraph" w:styleId="BodyText">
    <w:name w:val="Body Text"/>
    <w:basedOn w:val="Normal"/>
    <w:link w:val="BodyTextChar"/>
    <w:unhideWhenUsed/>
    <w:rsid w:val="007E6338"/>
    <w:pPr>
      <w:spacing w:after="0" w:line="240" w:lineRule="auto"/>
      <w:jc w:val="center"/>
    </w:pPr>
    <w:rPr>
      <w:rFonts w:ascii="Arial" w:eastAsia="Times New Roman" w:hAnsi="Arial" w:cs="Times New Roman"/>
      <w:b/>
      <w:bCs/>
      <w:sz w:val="24"/>
      <w:szCs w:val="24"/>
      <w:lang w:eastAsia="hr-HR"/>
    </w:rPr>
  </w:style>
  <w:style w:type="character" w:customStyle="1" w:styleId="BodyTextChar">
    <w:name w:val="Body Text Char"/>
    <w:basedOn w:val="DefaultParagraphFont"/>
    <w:link w:val="BodyText"/>
    <w:rsid w:val="007E6338"/>
    <w:rPr>
      <w:rFonts w:ascii="Arial" w:eastAsia="Times New Roman" w:hAnsi="Arial" w:cs="Times New Roman"/>
      <w:b/>
      <w:bCs/>
      <w:sz w:val="24"/>
      <w:szCs w:val="24"/>
      <w:lang w:eastAsia="hr-HR"/>
    </w:rPr>
  </w:style>
  <w:style w:type="character" w:customStyle="1" w:styleId="BodyTextIndent2Char">
    <w:name w:val="Body Text Indent 2 Char"/>
    <w:aliases w:val="uvlaka 2 Char"/>
    <w:basedOn w:val="DefaultParagraphFont"/>
    <w:link w:val="BodyTextIndent2"/>
    <w:locked/>
    <w:rsid w:val="007E6338"/>
    <w:rPr>
      <w:rFonts w:ascii="Arial" w:hAnsi="Arial" w:cs="Arial"/>
      <w:b/>
      <w:bCs/>
      <w:sz w:val="24"/>
    </w:rPr>
  </w:style>
  <w:style w:type="paragraph" w:styleId="BodyTextIndent2">
    <w:name w:val="Body Text Indent 2"/>
    <w:aliases w:val="uvlaka 2"/>
    <w:basedOn w:val="Normal"/>
    <w:link w:val="BodyTextIndent2Char"/>
    <w:unhideWhenUsed/>
    <w:rsid w:val="007E6338"/>
    <w:pPr>
      <w:spacing w:after="0" w:line="240" w:lineRule="auto"/>
      <w:ind w:left="1416" w:hanging="1416"/>
      <w:jc w:val="both"/>
    </w:pPr>
    <w:rPr>
      <w:rFonts w:ascii="Arial" w:hAnsi="Arial" w:cs="Arial"/>
      <w:b/>
      <w:bCs/>
      <w:sz w:val="24"/>
    </w:rPr>
  </w:style>
  <w:style w:type="character" w:customStyle="1" w:styleId="Tijeloteksta-uvlaka2Char1">
    <w:name w:val="Tijelo teksta - uvlaka 2 Char1"/>
    <w:basedOn w:val="DefaultParagraphFont"/>
    <w:uiPriority w:val="99"/>
    <w:semiHidden/>
    <w:rsid w:val="007E6338"/>
  </w:style>
  <w:style w:type="paragraph" w:customStyle="1" w:styleId="xmsonormal">
    <w:name w:val="x_msonormal"/>
    <w:basedOn w:val="Normal"/>
    <w:rsid w:val="001D5FE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B599-F529-4233-BD87-C1825D94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C04DF-7857-4EA9-83CD-9BE111C2252B}">
  <ds:schemaRefs>
    <ds:schemaRef ds:uri="http://schemas.microsoft.com/sharepoint/events"/>
  </ds:schemaRefs>
</ds:datastoreItem>
</file>

<file path=customXml/itemProps3.xml><?xml version="1.0" encoding="utf-8"?>
<ds:datastoreItem xmlns:ds="http://schemas.openxmlformats.org/officeDocument/2006/customXml" ds:itemID="{9296EC0B-7B9C-49FE-B258-9ABAC5664DDF}">
  <ds:schemaRefs>
    <ds:schemaRef ds:uri="http://schemas.microsoft.com/sharepoint/v3/contenttype/forms"/>
  </ds:schemaRefs>
</ds:datastoreItem>
</file>

<file path=customXml/itemProps4.xml><?xml version="1.0" encoding="utf-8"?>
<ds:datastoreItem xmlns:ds="http://schemas.openxmlformats.org/officeDocument/2006/customXml" ds:itemID="{98604C34-2280-417B-B45C-01428A8B938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CFCBDA-53AF-45AB-90BB-584E7C47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4961</Characters>
  <Application>Microsoft Office Word</Application>
  <DocSecurity>4</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Vlatka Šelimber</cp:lastModifiedBy>
  <cp:revision>2</cp:revision>
  <cp:lastPrinted>2019-04-02T08:51:00Z</cp:lastPrinted>
  <dcterms:created xsi:type="dcterms:W3CDTF">2019-12-11T14:46:00Z</dcterms:created>
  <dcterms:modified xsi:type="dcterms:W3CDTF">2019-12-11T14:46:00Z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