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88" w:rsidRPr="00C208B8" w:rsidRDefault="00255288" w:rsidP="00255288">
      <w:pPr>
        <w:jc w:val="center"/>
      </w:pPr>
      <w:bookmarkStart w:id="0" w:name="_GoBack"/>
      <w:bookmarkEnd w:id="0"/>
      <w:r>
        <w:rPr>
          <w:noProof/>
          <w:lang w:eastAsia="hr-HR"/>
        </w:rPr>
        <w:drawing>
          <wp:inline distT="0" distB="0" distL="0" distR="0" wp14:anchorId="646D930E" wp14:editId="5AAF76F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255288" w:rsidRPr="0023763F" w:rsidRDefault="00255288" w:rsidP="00255288">
      <w:pPr>
        <w:spacing w:before="60" w:after="1680"/>
        <w:jc w:val="center"/>
        <w:rPr>
          <w:sz w:val="28"/>
        </w:rPr>
      </w:pPr>
      <w:r w:rsidRPr="0023763F">
        <w:rPr>
          <w:sz w:val="28"/>
        </w:rPr>
        <w:t>VLADA REPUBLIKE HRVATSKE</w:t>
      </w:r>
    </w:p>
    <w:p w:rsidR="00255288" w:rsidRDefault="00255288" w:rsidP="00255288"/>
    <w:p w:rsidR="00255288" w:rsidRPr="003A2F05" w:rsidRDefault="00255288" w:rsidP="00255288">
      <w:pPr>
        <w:spacing w:after="2400"/>
        <w:jc w:val="right"/>
      </w:pPr>
      <w:r w:rsidRPr="003A2F05">
        <w:t xml:space="preserve">Zagreb, </w:t>
      </w:r>
      <w:r>
        <w:t>27</w:t>
      </w:r>
      <w:r w:rsidRPr="003A2F05">
        <w:t xml:space="preserve">. </w:t>
      </w:r>
      <w:r>
        <w:t>prosinca</w:t>
      </w:r>
      <w:r w:rsidRPr="003A2F05">
        <w:t xml:space="preserve"> 2019.</w:t>
      </w:r>
    </w:p>
    <w:p w:rsidR="00255288" w:rsidRPr="002179F8" w:rsidRDefault="00255288" w:rsidP="00255288">
      <w:pPr>
        <w:spacing w:line="360" w:lineRule="auto"/>
      </w:pPr>
      <w:r w:rsidRPr="002179F8">
        <w:t>__________________________________________________________________________</w:t>
      </w:r>
    </w:p>
    <w:p w:rsidR="00255288" w:rsidRDefault="00255288" w:rsidP="00255288">
      <w:pPr>
        <w:tabs>
          <w:tab w:val="right" w:pos="1701"/>
          <w:tab w:val="left" w:pos="1843"/>
        </w:tabs>
        <w:spacing w:line="360" w:lineRule="auto"/>
        <w:ind w:left="1843" w:hanging="1843"/>
        <w:rPr>
          <w:b/>
          <w:smallCaps/>
        </w:rPr>
        <w:sectPr w:rsidR="00255288" w:rsidSect="00255288">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55288" w:rsidTr="00C10AAD">
        <w:tc>
          <w:tcPr>
            <w:tcW w:w="1951" w:type="dxa"/>
          </w:tcPr>
          <w:p w:rsidR="00255288" w:rsidRDefault="00255288" w:rsidP="00C10AAD">
            <w:pPr>
              <w:spacing w:line="360" w:lineRule="auto"/>
              <w:jc w:val="right"/>
            </w:pPr>
            <w:r w:rsidRPr="003A2F05">
              <w:rPr>
                <w:b/>
                <w:smallCaps/>
              </w:rPr>
              <w:t>Predlagatelj</w:t>
            </w:r>
            <w:r w:rsidRPr="002179F8">
              <w:rPr>
                <w:b/>
              </w:rPr>
              <w:t>:</w:t>
            </w:r>
          </w:p>
        </w:tc>
        <w:tc>
          <w:tcPr>
            <w:tcW w:w="7229" w:type="dxa"/>
          </w:tcPr>
          <w:p w:rsidR="00255288" w:rsidRDefault="00255288" w:rsidP="00C10AAD">
            <w:pPr>
              <w:spacing w:line="360" w:lineRule="auto"/>
            </w:pPr>
            <w:r>
              <w:t>Ministarstvo financija.</w:t>
            </w:r>
          </w:p>
        </w:tc>
      </w:tr>
    </w:tbl>
    <w:p w:rsidR="00255288" w:rsidRPr="002179F8" w:rsidRDefault="00255288" w:rsidP="00255288">
      <w:pPr>
        <w:spacing w:line="360" w:lineRule="auto"/>
      </w:pPr>
      <w:r w:rsidRPr="002179F8">
        <w:t>__________________________________________________________________________</w:t>
      </w:r>
    </w:p>
    <w:p w:rsidR="00255288" w:rsidRDefault="00255288" w:rsidP="00255288">
      <w:pPr>
        <w:tabs>
          <w:tab w:val="right" w:pos="1701"/>
          <w:tab w:val="left" w:pos="1843"/>
        </w:tabs>
        <w:spacing w:line="360" w:lineRule="auto"/>
        <w:ind w:left="1843" w:hanging="1843"/>
        <w:rPr>
          <w:b/>
          <w:smallCaps/>
        </w:rPr>
        <w:sectPr w:rsidR="00255288"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55288" w:rsidTr="00C10AAD">
        <w:tc>
          <w:tcPr>
            <w:tcW w:w="1951" w:type="dxa"/>
          </w:tcPr>
          <w:p w:rsidR="00255288" w:rsidRDefault="00255288" w:rsidP="00C10AAD">
            <w:pPr>
              <w:spacing w:line="360" w:lineRule="auto"/>
              <w:jc w:val="right"/>
            </w:pPr>
            <w:r>
              <w:rPr>
                <w:b/>
                <w:smallCaps/>
              </w:rPr>
              <w:t>Predmet</w:t>
            </w:r>
            <w:r w:rsidRPr="002179F8">
              <w:rPr>
                <w:b/>
              </w:rPr>
              <w:t>:</w:t>
            </w:r>
          </w:p>
        </w:tc>
        <w:tc>
          <w:tcPr>
            <w:tcW w:w="7229" w:type="dxa"/>
          </w:tcPr>
          <w:p w:rsidR="00255288" w:rsidRDefault="0048713B" w:rsidP="0048713B">
            <w:pPr>
              <w:spacing w:line="360" w:lineRule="auto"/>
            </w:pPr>
            <w:r w:rsidRPr="0066175D">
              <w:rPr>
                <w:bCs/>
              </w:rPr>
              <w:t xml:space="preserve">Prijedlog odluke o davanju državnog jamstva u korist banaka: Hrvatska poštanska banka d.d., Zagreb i Hrvatska banka za obnovu i razvitak, za kreditno zaduženje društva Autocesta Rijeka-Zagreb d.d., radi financiranja Plana poslovanja </w:t>
            </w:r>
            <w:r>
              <w:rPr>
                <w:bCs/>
              </w:rPr>
              <w:t>za</w:t>
            </w:r>
            <w:r w:rsidRPr="0066175D">
              <w:rPr>
                <w:bCs/>
              </w:rPr>
              <w:t xml:space="preserve"> 2019. godin</w:t>
            </w:r>
            <w:r>
              <w:rPr>
                <w:bCs/>
              </w:rPr>
              <w:t>u</w:t>
            </w:r>
            <w:r w:rsidRPr="0066175D">
              <w:rPr>
                <w:bCs/>
              </w:rPr>
              <w:t xml:space="preserve"> i dijela </w:t>
            </w:r>
            <w:r>
              <w:rPr>
                <w:bCs/>
              </w:rPr>
              <w:t>Plana poslovanja za 2020. godinu</w:t>
            </w:r>
            <w:r w:rsidR="00255288">
              <w:t xml:space="preserve"> </w:t>
            </w:r>
          </w:p>
        </w:tc>
      </w:tr>
    </w:tbl>
    <w:p w:rsidR="00255288" w:rsidRPr="002179F8" w:rsidRDefault="00255288" w:rsidP="00255288">
      <w:pPr>
        <w:tabs>
          <w:tab w:val="left" w:pos="1843"/>
        </w:tabs>
        <w:spacing w:line="360" w:lineRule="auto"/>
        <w:ind w:left="1843" w:hanging="1843"/>
      </w:pPr>
      <w:r w:rsidRPr="002179F8">
        <w:t>__________________________________________________________________________</w:t>
      </w:r>
    </w:p>
    <w:p w:rsidR="00255288" w:rsidRDefault="00255288" w:rsidP="00255288"/>
    <w:p w:rsidR="00255288" w:rsidRPr="00CE78D1" w:rsidRDefault="00255288" w:rsidP="00255288"/>
    <w:p w:rsidR="00255288" w:rsidRPr="00CE78D1" w:rsidRDefault="00255288" w:rsidP="00255288"/>
    <w:p w:rsidR="00255288" w:rsidRPr="00CE78D1" w:rsidRDefault="00255288" w:rsidP="00255288"/>
    <w:p w:rsidR="00255288" w:rsidRPr="00CE78D1" w:rsidRDefault="00255288" w:rsidP="00255288"/>
    <w:p w:rsidR="00255288" w:rsidRPr="00CE78D1" w:rsidRDefault="00255288" w:rsidP="00255288"/>
    <w:p w:rsidR="00255288" w:rsidRPr="00CE78D1" w:rsidRDefault="00255288" w:rsidP="00255288"/>
    <w:p w:rsidR="00255288" w:rsidRDefault="00255288" w:rsidP="00255288">
      <w:pPr>
        <w:sectPr w:rsidR="00255288" w:rsidSect="000350D9">
          <w:type w:val="continuous"/>
          <w:pgSz w:w="11906" w:h="16838"/>
          <w:pgMar w:top="993" w:right="1417" w:bottom="1417" w:left="1417" w:header="709" w:footer="658" w:gutter="0"/>
          <w:cols w:space="708"/>
          <w:docGrid w:linePitch="360"/>
        </w:sectPr>
      </w:pPr>
    </w:p>
    <w:p w:rsidR="00CF101E" w:rsidRDefault="00CF101E" w:rsidP="00CF101E">
      <w:pPr>
        <w:pStyle w:val="BodyText"/>
        <w:ind w:right="72"/>
        <w:rPr>
          <w:bCs/>
        </w:rPr>
      </w:pPr>
    </w:p>
    <w:p w:rsidR="00CF101E" w:rsidRPr="00CF101E" w:rsidRDefault="00CF101E" w:rsidP="00CF101E">
      <w:pPr>
        <w:pStyle w:val="BodyText"/>
        <w:ind w:right="72"/>
        <w:jc w:val="right"/>
        <w:rPr>
          <w:b/>
          <w:bCs/>
        </w:rPr>
      </w:pPr>
      <w:r w:rsidRPr="00CF101E">
        <w:rPr>
          <w:b/>
          <w:bCs/>
        </w:rPr>
        <w:t>Prijedlog</w:t>
      </w:r>
    </w:p>
    <w:p w:rsidR="00CF101E" w:rsidRDefault="00CF101E" w:rsidP="00CF101E">
      <w:pPr>
        <w:pStyle w:val="BodyText"/>
        <w:ind w:right="72"/>
        <w:rPr>
          <w:bCs/>
        </w:rPr>
      </w:pPr>
    </w:p>
    <w:p w:rsidR="00CF101E" w:rsidRDefault="00CF101E" w:rsidP="00CF101E">
      <w:pPr>
        <w:pStyle w:val="BodyText"/>
        <w:ind w:right="72"/>
        <w:rPr>
          <w:bCs/>
        </w:rPr>
      </w:pPr>
    </w:p>
    <w:p w:rsidR="00CF101E" w:rsidRDefault="00CF101E" w:rsidP="00CF101E">
      <w:pPr>
        <w:pStyle w:val="BodyText"/>
        <w:ind w:right="72"/>
        <w:rPr>
          <w:bCs/>
        </w:rPr>
      </w:pPr>
    </w:p>
    <w:p w:rsidR="00CF101E" w:rsidRPr="00CF101E" w:rsidRDefault="00CF101E" w:rsidP="00CF101E">
      <w:pPr>
        <w:pStyle w:val="BodyText"/>
        <w:ind w:right="72"/>
        <w:rPr>
          <w:bCs/>
        </w:rPr>
      </w:pPr>
    </w:p>
    <w:p w:rsidR="009E51A2" w:rsidRPr="00CF101E" w:rsidRDefault="009E51A2" w:rsidP="00CF101E">
      <w:pPr>
        <w:pStyle w:val="BodyText"/>
        <w:ind w:right="72" w:firstLine="1418"/>
        <w:rPr>
          <w:bCs/>
        </w:rPr>
      </w:pPr>
      <w:r w:rsidRPr="00CF101E">
        <w:rPr>
          <w:bCs/>
        </w:rPr>
        <w:t>Na temelju članka 80. stavka 1.</w:t>
      </w:r>
      <w:r w:rsidRPr="00CF101E">
        <w:t xml:space="preserve"> </w:t>
      </w:r>
      <w:r w:rsidRPr="00CF101E">
        <w:rPr>
          <w:bCs/>
        </w:rPr>
        <w:t>Zakona o proračunu (Narodne novine, br</w:t>
      </w:r>
      <w:r w:rsidR="00CF101E">
        <w:rPr>
          <w:bCs/>
        </w:rPr>
        <w:t>.</w:t>
      </w:r>
      <w:r w:rsidRPr="00CF101E">
        <w:rPr>
          <w:bCs/>
        </w:rPr>
        <w:t xml:space="preserve"> 87/08</w:t>
      </w:r>
      <w:r w:rsidR="002C56B0" w:rsidRPr="00CF101E">
        <w:rPr>
          <w:bCs/>
        </w:rPr>
        <w:t xml:space="preserve">, </w:t>
      </w:r>
      <w:r w:rsidR="0043250C" w:rsidRPr="00CF101E">
        <w:rPr>
          <w:bCs/>
        </w:rPr>
        <w:t>136/</w:t>
      </w:r>
      <w:r w:rsidRPr="00CF101E">
        <w:rPr>
          <w:bCs/>
        </w:rPr>
        <w:t>12</w:t>
      </w:r>
      <w:r w:rsidR="0043250C" w:rsidRPr="00CF101E">
        <w:rPr>
          <w:bCs/>
        </w:rPr>
        <w:t xml:space="preserve"> i 15/</w:t>
      </w:r>
      <w:r w:rsidR="002C56B0" w:rsidRPr="00CF101E">
        <w:rPr>
          <w:bCs/>
        </w:rPr>
        <w:t>15</w:t>
      </w:r>
      <w:r w:rsidRPr="00CF101E">
        <w:rPr>
          <w:bCs/>
        </w:rPr>
        <w:t xml:space="preserve">) </w:t>
      </w:r>
      <w:r w:rsidR="008D4406" w:rsidRPr="00CF101E">
        <w:rPr>
          <w:bCs/>
        </w:rPr>
        <w:t>i članka 3</w:t>
      </w:r>
      <w:r w:rsidR="00E36303" w:rsidRPr="00CF101E">
        <w:rPr>
          <w:bCs/>
        </w:rPr>
        <w:t>5</w:t>
      </w:r>
      <w:r w:rsidR="008D4406" w:rsidRPr="00CF101E">
        <w:rPr>
          <w:bCs/>
        </w:rPr>
        <w:t>. Zakona o izvršavanju Državnog proračuna Republike Hrvatske za 201</w:t>
      </w:r>
      <w:r w:rsidR="00252E63" w:rsidRPr="00CF101E">
        <w:rPr>
          <w:bCs/>
        </w:rPr>
        <w:t>9</w:t>
      </w:r>
      <w:r w:rsidR="008D4406" w:rsidRPr="00CF101E">
        <w:rPr>
          <w:bCs/>
        </w:rPr>
        <w:t>. godinu (Narodne novine, br</w:t>
      </w:r>
      <w:r w:rsidR="00CF101E">
        <w:rPr>
          <w:bCs/>
        </w:rPr>
        <w:t>.</w:t>
      </w:r>
      <w:r w:rsidR="008D4406" w:rsidRPr="00CF101E">
        <w:rPr>
          <w:bCs/>
        </w:rPr>
        <w:t xml:space="preserve"> </w:t>
      </w:r>
      <w:r w:rsidR="00252E63" w:rsidRPr="00CF101E">
        <w:rPr>
          <w:bCs/>
        </w:rPr>
        <w:t>113/18</w:t>
      </w:r>
      <w:r w:rsidR="00703352" w:rsidRPr="00CF101E">
        <w:rPr>
          <w:bCs/>
        </w:rPr>
        <w:t xml:space="preserve"> i 111/19</w:t>
      </w:r>
      <w:r w:rsidR="008D4406" w:rsidRPr="00CF101E">
        <w:rPr>
          <w:bCs/>
        </w:rPr>
        <w:t>)</w:t>
      </w:r>
      <w:r w:rsidR="00CF101E">
        <w:rPr>
          <w:bCs/>
        </w:rPr>
        <w:t>,</w:t>
      </w:r>
      <w:r w:rsidR="008D4406" w:rsidRPr="00CF101E">
        <w:rPr>
          <w:bCs/>
        </w:rPr>
        <w:t xml:space="preserve"> </w:t>
      </w:r>
      <w:r w:rsidRPr="00CF101E">
        <w:rPr>
          <w:bCs/>
        </w:rPr>
        <w:t>Vlada Republike Hrvatske je na sjednici održanoj ___________ 201</w:t>
      </w:r>
      <w:r w:rsidR="00252E63" w:rsidRPr="00CF101E">
        <w:rPr>
          <w:bCs/>
        </w:rPr>
        <w:t>9</w:t>
      </w:r>
      <w:r w:rsidRPr="00CF101E">
        <w:rPr>
          <w:bCs/>
        </w:rPr>
        <w:t>. godine donijela</w:t>
      </w:r>
    </w:p>
    <w:p w:rsidR="00036ECF" w:rsidRPr="00CF101E" w:rsidRDefault="00036ECF" w:rsidP="00CF101E">
      <w:pPr>
        <w:pStyle w:val="BodyText"/>
        <w:jc w:val="center"/>
        <w:rPr>
          <w:b/>
          <w:bCs/>
        </w:rPr>
      </w:pPr>
    </w:p>
    <w:p w:rsidR="001C29D0" w:rsidRPr="00CF101E" w:rsidRDefault="001C29D0" w:rsidP="00CF101E">
      <w:pPr>
        <w:pStyle w:val="BodyText"/>
        <w:jc w:val="center"/>
        <w:rPr>
          <w:b/>
          <w:bCs/>
        </w:rPr>
      </w:pPr>
    </w:p>
    <w:p w:rsidR="00036ECF" w:rsidRPr="00CF101E" w:rsidRDefault="00036ECF" w:rsidP="00CF101E">
      <w:pPr>
        <w:pStyle w:val="BodyText"/>
        <w:jc w:val="center"/>
        <w:rPr>
          <w:b/>
        </w:rPr>
      </w:pPr>
      <w:r w:rsidRPr="00CF101E">
        <w:rPr>
          <w:b/>
        </w:rPr>
        <w:t>O</w:t>
      </w:r>
      <w:r w:rsidR="009B2ECE" w:rsidRPr="00CF101E">
        <w:rPr>
          <w:b/>
        </w:rPr>
        <w:t xml:space="preserve"> </w:t>
      </w:r>
      <w:r w:rsidRPr="00CF101E">
        <w:rPr>
          <w:b/>
        </w:rPr>
        <w:t>D</w:t>
      </w:r>
      <w:r w:rsidR="009B2ECE" w:rsidRPr="00CF101E">
        <w:rPr>
          <w:b/>
        </w:rPr>
        <w:t xml:space="preserve"> </w:t>
      </w:r>
      <w:r w:rsidRPr="00CF101E">
        <w:rPr>
          <w:b/>
        </w:rPr>
        <w:t>L</w:t>
      </w:r>
      <w:r w:rsidR="009B2ECE" w:rsidRPr="00CF101E">
        <w:rPr>
          <w:b/>
        </w:rPr>
        <w:t xml:space="preserve"> </w:t>
      </w:r>
      <w:r w:rsidRPr="00CF101E">
        <w:rPr>
          <w:b/>
        </w:rPr>
        <w:t>U</w:t>
      </w:r>
      <w:r w:rsidR="009B2ECE" w:rsidRPr="00CF101E">
        <w:rPr>
          <w:b/>
        </w:rPr>
        <w:t xml:space="preserve"> </w:t>
      </w:r>
      <w:r w:rsidRPr="00CF101E">
        <w:rPr>
          <w:b/>
        </w:rPr>
        <w:t>K</w:t>
      </w:r>
      <w:r w:rsidR="009B2ECE" w:rsidRPr="00CF101E">
        <w:rPr>
          <w:b/>
        </w:rPr>
        <w:t xml:space="preserve"> </w:t>
      </w:r>
      <w:r w:rsidRPr="00CF101E">
        <w:rPr>
          <w:b/>
        </w:rPr>
        <w:t>U</w:t>
      </w:r>
    </w:p>
    <w:p w:rsidR="00841F72" w:rsidRPr="00CF101E" w:rsidRDefault="00841F72" w:rsidP="00CF101E">
      <w:pPr>
        <w:pStyle w:val="BodyText"/>
        <w:jc w:val="center"/>
        <w:rPr>
          <w:b/>
        </w:rPr>
      </w:pPr>
    </w:p>
    <w:p w:rsidR="00CF101E" w:rsidRDefault="00DC21DD" w:rsidP="00CF101E">
      <w:pPr>
        <w:jc w:val="center"/>
        <w:rPr>
          <w:b/>
        </w:rPr>
      </w:pPr>
      <w:r w:rsidRPr="00CF101E">
        <w:rPr>
          <w:b/>
        </w:rPr>
        <w:t>o davanju državnog jamstva u korist</w:t>
      </w:r>
      <w:r w:rsidR="00550A02" w:rsidRPr="00CF101E">
        <w:rPr>
          <w:b/>
        </w:rPr>
        <w:t xml:space="preserve"> banaka</w:t>
      </w:r>
      <w:r w:rsidRPr="00CF101E">
        <w:rPr>
          <w:b/>
        </w:rPr>
        <w:t>:</w:t>
      </w:r>
      <w:r w:rsidR="009C0305" w:rsidRPr="00CF101E">
        <w:rPr>
          <w:b/>
        </w:rPr>
        <w:t xml:space="preserve"> </w:t>
      </w:r>
      <w:r w:rsidR="00DF4F8E" w:rsidRPr="00CF101E">
        <w:rPr>
          <w:b/>
        </w:rPr>
        <w:t xml:space="preserve">Hrvatska poštanska banka d.d., Zagreb i </w:t>
      </w:r>
      <w:r w:rsidR="009C0305" w:rsidRPr="00CF101E">
        <w:rPr>
          <w:b/>
        </w:rPr>
        <w:t>Hrvat</w:t>
      </w:r>
      <w:r w:rsidR="00371295" w:rsidRPr="00CF101E">
        <w:rPr>
          <w:b/>
        </w:rPr>
        <w:t>ska banka za obnovu i razvitak,</w:t>
      </w:r>
      <w:r w:rsidR="009C0305" w:rsidRPr="00CF101E">
        <w:rPr>
          <w:b/>
        </w:rPr>
        <w:t xml:space="preserve"> </w:t>
      </w:r>
      <w:r w:rsidR="00E53D80" w:rsidRPr="00CF101E">
        <w:rPr>
          <w:b/>
        </w:rPr>
        <w:t xml:space="preserve">za kreditno zaduženje društva Autocesta </w:t>
      </w:r>
    </w:p>
    <w:p w:rsidR="00CF101E" w:rsidRDefault="00E53D80" w:rsidP="00CF101E">
      <w:pPr>
        <w:jc w:val="center"/>
        <w:rPr>
          <w:b/>
        </w:rPr>
      </w:pPr>
      <w:r w:rsidRPr="00CF101E">
        <w:rPr>
          <w:b/>
        </w:rPr>
        <w:t>Rijeka-Zagreb d.d.</w:t>
      </w:r>
      <w:r w:rsidR="00371295" w:rsidRPr="00CF101E">
        <w:rPr>
          <w:b/>
        </w:rPr>
        <w:t>,</w:t>
      </w:r>
      <w:r w:rsidRPr="00CF101E">
        <w:rPr>
          <w:b/>
        </w:rPr>
        <w:t xml:space="preserve"> </w:t>
      </w:r>
      <w:r w:rsidR="00C024E5" w:rsidRPr="00CF101E">
        <w:rPr>
          <w:b/>
        </w:rPr>
        <w:t>radi financiranja P</w:t>
      </w:r>
      <w:r w:rsidR="009C0305" w:rsidRPr="00CF101E">
        <w:rPr>
          <w:b/>
        </w:rPr>
        <w:t>lana poslovanja</w:t>
      </w:r>
      <w:r w:rsidR="0032123C" w:rsidRPr="00CF101E">
        <w:rPr>
          <w:b/>
        </w:rPr>
        <w:t xml:space="preserve"> za</w:t>
      </w:r>
      <w:r w:rsidR="009C0305" w:rsidRPr="00CF101E">
        <w:rPr>
          <w:b/>
        </w:rPr>
        <w:t xml:space="preserve"> 2019.</w:t>
      </w:r>
      <w:r w:rsidR="00C024E5" w:rsidRPr="00CF101E">
        <w:rPr>
          <w:b/>
        </w:rPr>
        <w:t xml:space="preserve"> </w:t>
      </w:r>
      <w:r w:rsidR="009C0305" w:rsidRPr="00CF101E">
        <w:rPr>
          <w:b/>
        </w:rPr>
        <w:t>g</w:t>
      </w:r>
      <w:r w:rsidR="0032123C" w:rsidRPr="00CF101E">
        <w:rPr>
          <w:b/>
        </w:rPr>
        <w:t>odinu</w:t>
      </w:r>
      <w:r w:rsidR="00C024E5" w:rsidRPr="00CF101E">
        <w:rPr>
          <w:b/>
        </w:rPr>
        <w:t xml:space="preserve"> i </w:t>
      </w:r>
    </w:p>
    <w:p w:rsidR="009C0305" w:rsidRPr="00CF101E" w:rsidRDefault="00C024E5" w:rsidP="00CF101E">
      <w:pPr>
        <w:jc w:val="center"/>
        <w:rPr>
          <w:b/>
        </w:rPr>
      </w:pPr>
      <w:r w:rsidRPr="00CF101E">
        <w:rPr>
          <w:b/>
        </w:rPr>
        <w:t>dijela P</w:t>
      </w:r>
      <w:r w:rsidR="009C0305" w:rsidRPr="00CF101E">
        <w:rPr>
          <w:b/>
        </w:rPr>
        <w:t>lana poslovanja</w:t>
      </w:r>
      <w:r w:rsidR="00CF101E">
        <w:rPr>
          <w:b/>
        </w:rPr>
        <w:t xml:space="preserve"> </w:t>
      </w:r>
      <w:r w:rsidR="0032123C" w:rsidRPr="00CF101E">
        <w:rPr>
          <w:b/>
        </w:rPr>
        <w:t>za</w:t>
      </w:r>
      <w:r w:rsidRPr="00CF101E">
        <w:rPr>
          <w:b/>
        </w:rPr>
        <w:t xml:space="preserve"> </w:t>
      </w:r>
      <w:r w:rsidR="009C0305" w:rsidRPr="00CF101E">
        <w:rPr>
          <w:b/>
        </w:rPr>
        <w:t>2020.</w:t>
      </w:r>
      <w:r w:rsidRPr="00CF101E">
        <w:rPr>
          <w:b/>
        </w:rPr>
        <w:t xml:space="preserve"> </w:t>
      </w:r>
      <w:r w:rsidR="009C0305" w:rsidRPr="00CF101E">
        <w:rPr>
          <w:b/>
        </w:rPr>
        <w:t>g</w:t>
      </w:r>
      <w:r w:rsidR="0032123C" w:rsidRPr="00CF101E">
        <w:rPr>
          <w:b/>
        </w:rPr>
        <w:t>odinu</w:t>
      </w:r>
    </w:p>
    <w:p w:rsidR="00DC21DD" w:rsidRDefault="00DC21DD" w:rsidP="00CF101E">
      <w:pPr>
        <w:jc w:val="center"/>
        <w:rPr>
          <w:b/>
        </w:rPr>
      </w:pPr>
    </w:p>
    <w:p w:rsidR="00CF101E" w:rsidRPr="00CF101E" w:rsidRDefault="00CF101E" w:rsidP="00CF101E">
      <w:pPr>
        <w:jc w:val="center"/>
        <w:rPr>
          <w:b/>
        </w:rPr>
      </w:pPr>
    </w:p>
    <w:p w:rsidR="00036ECF" w:rsidRPr="00CF101E" w:rsidRDefault="00036ECF" w:rsidP="00CF101E">
      <w:pPr>
        <w:pStyle w:val="BodyText"/>
        <w:jc w:val="center"/>
        <w:rPr>
          <w:b/>
        </w:rPr>
      </w:pPr>
      <w:r w:rsidRPr="00CF101E">
        <w:rPr>
          <w:b/>
        </w:rPr>
        <w:t>I.</w:t>
      </w:r>
    </w:p>
    <w:p w:rsidR="00036ECF" w:rsidRPr="00CF101E" w:rsidRDefault="00036ECF" w:rsidP="00CF101E">
      <w:pPr>
        <w:pStyle w:val="BodyText"/>
        <w:ind w:left="360"/>
        <w:jc w:val="center"/>
        <w:rPr>
          <w:b/>
        </w:rPr>
      </w:pPr>
    </w:p>
    <w:p w:rsidR="00E53D80" w:rsidRPr="00CF101E" w:rsidRDefault="00DC21DD" w:rsidP="00CF101E">
      <w:pPr>
        <w:ind w:firstLine="1418"/>
        <w:jc w:val="both"/>
      </w:pPr>
      <w:r w:rsidRPr="00CF101E">
        <w:rPr>
          <w:bCs/>
        </w:rPr>
        <w:t>Ovlašćuje se Ministarstvo financija da, u ime Vlade Republike Hrvatske izda, a ministar financija potpiše ispravu o davanju državnog jamstva u korist</w:t>
      </w:r>
      <w:r w:rsidR="00550A02" w:rsidRPr="00CF101E">
        <w:rPr>
          <w:bCs/>
        </w:rPr>
        <w:t xml:space="preserve"> </w:t>
      </w:r>
      <w:r w:rsidR="00550A02" w:rsidRPr="00CF101E">
        <w:t>banaka</w:t>
      </w:r>
      <w:r w:rsidR="00371295" w:rsidRPr="00CF101E">
        <w:t>:</w:t>
      </w:r>
      <w:r w:rsidR="00DF4F8E" w:rsidRPr="00CF101E">
        <w:t xml:space="preserve"> Hrvatska poštanska banka d.d., Zagreb i </w:t>
      </w:r>
      <w:r w:rsidR="00E53D80" w:rsidRPr="00CF101E">
        <w:t>Hrvatska banka za obnovu i razvitak</w:t>
      </w:r>
      <w:r w:rsidR="00371295" w:rsidRPr="00CF101E">
        <w:t>,</w:t>
      </w:r>
      <w:r w:rsidR="00E53D80" w:rsidRPr="00CF101E">
        <w:t xml:space="preserve"> </w:t>
      </w:r>
      <w:r w:rsidRPr="00CF101E">
        <w:rPr>
          <w:bCs/>
        </w:rPr>
        <w:t xml:space="preserve">za kreditno zaduženje društva </w:t>
      </w:r>
      <w:r w:rsidR="00E53D80" w:rsidRPr="00CF101E">
        <w:rPr>
          <w:bCs/>
        </w:rPr>
        <w:t>Autocesta Rijeka-Zagreb d.d.</w:t>
      </w:r>
      <w:r w:rsidRPr="00CF101E">
        <w:rPr>
          <w:bCs/>
        </w:rPr>
        <w:t xml:space="preserve">, u iznosu od </w:t>
      </w:r>
      <w:r w:rsidR="00E53D80" w:rsidRPr="00CF101E">
        <w:rPr>
          <w:bCs/>
        </w:rPr>
        <w:t>7</w:t>
      </w:r>
      <w:r w:rsidR="00A524A0" w:rsidRPr="00CF101E">
        <w:rPr>
          <w:bCs/>
        </w:rPr>
        <w:t>0.000.000,00</w:t>
      </w:r>
      <w:r w:rsidR="00C024E5" w:rsidRPr="00CF101E">
        <w:rPr>
          <w:bCs/>
        </w:rPr>
        <w:t xml:space="preserve"> eura</w:t>
      </w:r>
      <w:r w:rsidRPr="00CF101E">
        <w:t xml:space="preserve">, </w:t>
      </w:r>
      <w:r w:rsidR="00371295" w:rsidRPr="00CF101E">
        <w:rPr>
          <w:bCs/>
        </w:rPr>
        <w:t xml:space="preserve">radi </w:t>
      </w:r>
      <w:r w:rsidR="00C024E5" w:rsidRPr="00CF101E">
        <w:t>financiranja P</w:t>
      </w:r>
      <w:r w:rsidR="00E53D80" w:rsidRPr="00CF101E">
        <w:t xml:space="preserve">lana poslovanja </w:t>
      </w:r>
      <w:r w:rsidR="0032123C" w:rsidRPr="00CF101E">
        <w:t xml:space="preserve">za </w:t>
      </w:r>
      <w:r w:rsidR="00E53D80" w:rsidRPr="00CF101E">
        <w:t>2019.</w:t>
      </w:r>
      <w:r w:rsidR="00C024E5" w:rsidRPr="00CF101E">
        <w:t xml:space="preserve"> </w:t>
      </w:r>
      <w:r w:rsidR="00E53D80" w:rsidRPr="00CF101E">
        <w:t>g</w:t>
      </w:r>
      <w:r w:rsidR="0032123C" w:rsidRPr="00CF101E">
        <w:t>odinu i dijela P</w:t>
      </w:r>
      <w:r w:rsidR="00E53D80" w:rsidRPr="00CF101E">
        <w:t xml:space="preserve">lana poslovanja </w:t>
      </w:r>
      <w:r w:rsidR="0032123C" w:rsidRPr="00CF101E">
        <w:t>za</w:t>
      </w:r>
      <w:r w:rsidR="00C024E5" w:rsidRPr="00CF101E">
        <w:t xml:space="preserve"> </w:t>
      </w:r>
      <w:r w:rsidR="00E53D80" w:rsidRPr="00CF101E">
        <w:t>2020.</w:t>
      </w:r>
      <w:r w:rsidR="00C024E5" w:rsidRPr="00CF101E">
        <w:t xml:space="preserve"> </w:t>
      </w:r>
      <w:r w:rsidR="00E53D80" w:rsidRPr="00CF101E">
        <w:t>g</w:t>
      </w:r>
      <w:r w:rsidR="0032123C" w:rsidRPr="00CF101E">
        <w:t>odinu</w:t>
      </w:r>
      <w:r w:rsidR="00E53D80" w:rsidRPr="00CF101E">
        <w:t>.</w:t>
      </w:r>
    </w:p>
    <w:p w:rsidR="001C29D0" w:rsidRPr="00CF101E" w:rsidRDefault="001C29D0" w:rsidP="00CF101E">
      <w:pPr>
        <w:jc w:val="both"/>
      </w:pPr>
    </w:p>
    <w:p w:rsidR="001C29D0" w:rsidRPr="00CF101E" w:rsidRDefault="001C29D0" w:rsidP="00CF101E">
      <w:pPr>
        <w:pStyle w:val="BodyText"/>
        <w:ind w:left="360"/>
        <w:jc w:val="center"/>
        <w:rPr>
          <w:b/>
        </w:rPr>
      </w:pPr>
      <w:r w:rsidRPr="00CF101E">
        <w:rPr>
          <w:b/>
        </w:rPr>
        <w:t>II.</w:t>
      </w:r>
    </w:p>
    <w:p w:rsidR="001C29D0" w:rsidRPr="00CF101E" w:rsidRDefault="001C29D0" w:rsidP="00CF101E">
      <w:pPr>
        <w:pStyle w:val="BodyText"/>
      </w:pPr>
    </w:p>
    <w:p w:rsidR="001C29D0" w:rsidRPr="00CF101E" w:rsidRDefault="001C29D0" w:rsidP="00CF101E">
      <w:pPr>
        <w:pStyle w:val="BodyText"/>
        <w:ind w:firstLine="1418"/>
        <w:jc w:val="left"/>
        <w:rPr>
          <w:b/>
        </w:rPr>
      </w:pPr>
      <w:r w:rsidRPr="00CF101E">
        <w:rPr>
          <w:bCs/>
        </w:rPr>
        <w:t xml:space="preserve">Jamstvo iz točke I. ove Odluke daje se </w:t>
      </w:r>
      <w:r w:rsidR="00C26C90" w:rsidRPr="00CF101E">
        <w:rPr>
          <w:bCs/>
        </w:rPr>
        <w:t>uz sljedeće uvjete</w:t>
      </w:r>
      <w:r w:rsidRPr="00CF101E">
        <w:rPr>
          <w:bCs/>
        </w:rPr>
        <w:t>:</w:t>
      </w:r>
    </w:p>
    <w:p w:rsidR="001C29D0" w:rsidRPr="00CF101E" w:rsidRDefault="001C29D0" w:rsidP="00CF101E">
      <w:pPr>
        <w:pStyle w:val="BodyText"/>
        <w:ind w:firstLine="720"/>
        <w:rPr>
          <w:bCs/>
        </w:rPr>
      </w:pPr>
    </w:p>
    <w:tbl>
      <w:tblPr>
        <w:tblW w:w="0" w:type="auto"/>
        <w:jc w:val="center"/>
        <w:tblLook w:val="04A0" w:firstRow="1" w:lastRow="0" w:firstColumn="1" w:lastColumn="0" w:noHBand="0" w:noVBand="1"/>
      </w:tblPr>
      <w:tblGrid>
        <w:gridCol w:w="3535"/>
        <w:gridCol w:w="5537"/>
      </w:tblGrid>
      <w:tr w:rsidR="00CF101E" w:rsidRPr="00CF101E" w:rsidTr="0021608A">
        <w:trPr>
          <w:trHeight w:val="306"/>
          <w:jc w:val="center"/>
        </w:trPr>
        <w:tc>
          <w:tcPr>
            <w:tcW w:w="0" w:type="auto"/>
            <w:shd w:val="clear" w:color="auto" w:fill="FFFFFF" w:themeFill="background1"/>
          </w:tcPr>
          <w:p w:rsidR="001C29D0" w:rsidRPr="00CF101E" w:rsidRDefault="001C29D0" w:rsidP="00CF101E">
            <w:pPr>
              <w:tabs>
                <w:tab w:val="left" w:pos="690"/>
              </w:tabs>
              <w:ind w:left="-106"/>
            </w:pPr>
            <w:r w:rsidRPr="00CF101E">
              <w:t>-</w:t>
            </w:r>
            <w:r w:rsidR="00CF101E">
              <w:tab/>
            </w:r>
            <w:r w:rsidRPr="00CF101E">
              <w:t xml:space="preserve">banke: </w:t>
            </w:r>
          </w:p>
        </w:tc>
        <w:tc>
          <w:tcPr>
            <w:tcW w:w="0" w:type="auto"/>
            <w:shd w:val="clear" w:color="auto" w:fill="auto"/>
          </w:tcPr>
          <w:p w:rsidR="001C29D0" w:rsidRPr="00CF101E" w:rsidRDefault="001C29D0" w:rsidP="00CF101E">
            <w:pPr>
              <w:ind w:left="34"/>
              <w:jc w:val="both"/>
            </w:pPr>
            <w:r w:rsidRPr="00CF101E">
              <w:t>Hrvatska poštanska banka d.d., Zagreb i Hrvatska banka za obnovu i razvitak</w:t>
            </w:r>
          </w:p>
          <w:p w:rsidR="001C29D0" w:rsidRPr="00CF101E" w:rsidRDefault="001C29D0" w:rsidP="00CF101E">
            <w:pPr>
              <w:ind w:left="34"/>
              <w:jc w:val="both"/>
            </w:pPr>
          </w:p>
        </w:tc>
      </w:tr>
      <w:tr w:rsidR="00CF101E" w:rsidRPr="00CF101E" w:rsidTr="0021608A">
        <w:trPr>
          <w:trHeight w:val="306"/>
          <w:jc w:val="center"/>
        </w:trPr>
        <w:tc>
          <w:tcPr>
            <w:tcW w:w="0" w:type="auto"/>
            <w:shd w:val="clear" w:color="auto" w:fill="FFFFFF" w:themeFill="background1"/>
          </w:tcPr>
          <w:p w:rsidR="001C29D0" w:rsidRPr="00CF101E" w:rsidRDefault="00C26C90" w:rsidP="00CF101E">
            <w:pPr>
              <w:tabs>
                <w:tab w:val="left" w:pos="707"/>
              </w:tabs>
              <w:ind w:left="-106"/>
            </w:pPr>
            <w:bookmarkStart w:id="1" w:name="_Hlk20401357"/>
            <w:r w:rsidRPr="00CF101E">
              <w:t>-</w:t>
            </w:r>
            <w:r w:rsidR="00CF101E">
              <w:tab/>
            </w:r>
            <w:r w:rsidRPr="00CF101E">
              <w:t>korisnik kredita</w:t>
            </w:r>
            <w:r w:rsidR="001C29D0" w:rsidRPr="00CF101E">
              <w:t>:</w:t>
            </w:r>
          </w:p>
        </w:tc>
        <w:tc>
          <w:tcPr>
            <w:tcW w:w="0" w:type="auto"/>
            <w:shd w:val="clear" w:color="auto" w:fill="auto"/>
          </w:tcPr>
          <w:p w:rsidR="001C29D0" w:rsidRPr="00CF101E" w:rsidRDefault="001C29D0" w:rsidP="00CF101E">
            <w:pPr>
              <w:ind w:left="34"/>
              <w:jc w:val="both"/>
            </w:pPr>
            <w:r w:rsidRPr="00CF101E">
              <w:rPr>
                <w:bCs/>
              </w:rPr>
              <w:t>Autocesta Rijeka-Zagreb d.d.,</w:t>
            </w:r>
            <w:r w:rsidRPr="00CF101E">
              <w:t xml:space="preserve"> društvo za građenje i gospodarenje autocestom, Širolina 4, 10000 Zagreb </w:t>
            </w:r>
          </w:p>
          <w:p w:rsidR="001C29D0" w:rsidRPr="00CF101E" w:rsidRDefault="001C29D0" w:rsidP="00CF101E">
            <w:pPr>
              <w:ind w:left="34"/>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CF101E">
            <w:pPr>
              <w:tabs>
                <w:tab w:val="left" w:pos="-2660"/>
                <w:tab w:val="left" w:pos="707"/>
              </w:tabs>
              <w:ind w:left="-106"/>
            </w:pPr>
            <w:r w:rsidRPr="00CF101E">
              <w:t>-</w:t>
            </w:r>
            <w:r w:rsidR="00CF101E">
              <w:tab/>
            </w:r>
            <w:r w:rsidRPr="00CF101E">
              <w:t>vrsta kredita:</w:t>
            </w:r>
          </w:p>
        </w:tc>
        <w:tc>
          <w:tcPr>
            <w:tcW w:w="0" w:type="auto"/>
            <w:shd w:val="clear" w:color="auto" w:fill="auto"/>
          </w:tcPr>
          <w:p w:rsidR="001C29D0" w:rsidRPr="00CF101E" w:rsidRDefault="001C29D0" w:rsidP="00CF101E">
            <w:pPr>
              <w:tabs>
                <w:tab w:val="left" w:pos="6696"/>
              </w:tabs>
              <w:ind w:right="176"/>
              <w:jc w:val="both"/>
            </w:pPr>
            <w:r w:rsidRPr="00CF101E">
              <w:t xml:space="preserve">dugoročni klupski kredit </w:t>
            </w:r>
          </w:p>
          <w:p w:rsidR="001C29D0" w:rsidRPr="00CF101E" w:rsidRDefault="001C29D0" w:rsidP="00CF101E">
            <w:pPr>
              <w:tabs>
                <w:tab w:val="left" w:pos="6696"/>
              </w:tabs>
              <w:ind w:right="176"/>
              <w:jc w:val="both"/>
            </w:pPr>
          </w:p>
        </w:tc>
      </w:tr>
      <w:tr w:rsidR="00CF101E" w:rsidRPr="00CF101E" w:rsidTr="0021608A">
        <w:trPr>
          <w:trHeight w:val="378"/>
          <w:jc w:val="center"/>
        </w:trPr>
        <w:tc>
          <w:tcPr>
            <w:tcW w:w="0" w:type="auto"/>
            <w:shd w:val="clear" w:color="auto" w:fill="FFFFFF" w:themeFill="background1"/>
          </w:tcPr>
          <w:p w:rsidR="001C29D0" w:rsidRPr="00CF101E" w:rsidRDefault="001C29D0" w:rsidP="00CF101E">
            <w:pPr>
              <w:ind w:left="745" w:hanging="851"/>
            </w:pPr>
            <w:r w:rsidRPr="00CF101E">
              <w:t>-</w:t>
            </w:r>
            <w:r w:rsidR="00CF101E">
              <w:tab/>
            </w:r>
            <w:r w:rsidRPr="00CF101E">
              <w:t>ukupan iznos kredita:</w:t>
            </w:r>
          </w:p>
        </w:tc>
        <w:tc>
          <w:tcPr>
            <w:tcW w:w="0" w:type="auto"/>
            <w:shd w:val="clear" w:color="auto" w:fill="auto"/>
          </w:tcPr>
          <w:p w:rsidR="001C29D0" w:rsidRPr="00CF101E" w:rsidRDefault="001C29D0" w:rsidP="00CF101E">
            <w:pPr>
              <w:jc w:val="both"/>
            </w:pPr>
            <w:r w:rsidRPr="00CF101E">
              <w:t xml:space="preserve">70.000.000,00 eura  </w:t>
            </w:r>
          </w:p>
          <w:p w:rsidR="001C29D0" w:rsidRPr="00CF101E" w:rsidRDefault="001C29D0" w:rsidP="00CF101E">
            <w:pPr>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CF101E">
            <w:pPr>
              <w:tabs>
                <w:tab w:val="left" w:pos="698"/>
              </w:tabs>
              <w:ind w:left="-106"/>
            </w:pPr>
            <w:r w:rsidRPr="00CF101E">
              <w:t>-</w:t>
            </w:r>
            <w:r w:rsidR="00CF101E">
              <w:tab/>
            </w:r>
            <w:r w:rsidRPr="00CF101E">
              <w:t>valuta:</w:t>
            </w:r>
          </w:p>
        </w:tc>
        <w:tc>
          <w:tcPr>
            <w:tcW w:w="0" w:type="auto"/>
            <w:shd w:val="clear" w:color="auto" w:fill="auto"/>
          </w:tcPr>
          <w:p w:rsidR="001C29D0" w:rsidRPr="00CF101E" w:rsidRDefault="001C29D0" w:rsidP="00CF101E">
            <w:pPr>
              <w:jc w:val="both"/>
            </w:pPr>
            <w:r w:rsidRPr="00CF101E">
              <w:t xml:space="preserve">valutna klauzula u eurima, isplata u kunskoj protuvrijednosti, uz primjenu srednjeg tečaja važećeg na dan isplate/korištenja </w:t>
            </w:r>
            <w:r w:rsidR="00EE4553">
              <w:t>k</w:t>
            </w:r>
            <w:r w:rsidRPr="00CF101E">
              <w:t xml:space="preserve">redita </w:t>
            </w:r>
          </w:p>
          <w:p w:rsidR="001C29D0" w:rsidRPr="00CF101E" w:rsidRDefault="001C29D0" w:rsidP="00CF101E">
            <w:pPr>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CF101E">
            <w:pPr>
              <w:tabs>
                <w:tab w:val="left" w:pos="716"/>
              </w:tabs>
              <w:ind w:left="-106"/>
              <w:rPr>
                <w:lang w:eastAsia="hr-HR"/>
              </w:rPr>
            </w:pPr>
            <w:r w:rsidRPr="00CF101E">
              <w:rPr>
                <w:lang w:eastAsia="hr-HR"/>
              </w:rPr>
              <w:t>-</w:t>
            </w:r>
            <w:r w:rsidR="00CF101E">
              <w:rPr>
                <w:lang w:eastAsia="hr-HR"/>
              </w:rPr>
              <w:tab/>
            </w:r>
            <w:r w:rsidRPr="00CF101E">
              <w:rPr>
                <w:lang w:eastAsia="hr-HR"/>
              </w:rPr>
              <w:t>agent:</w:t>
            </w:r>
          </w:p>
        </w:tc>
        <w:tc>
          <w:tcPr>
            <w:tcW w:w="0" w:type="auto"/>
          </w:tcPr>
          <w:p w:rsidR="001C29D0" w:rsidRPr="00CF101E" w:rsidRDefault="001C29D0" w:rsidP="00CF101E">
            <w:pPr>
              <w:jc w:val="both"/>
              <w:rPr>
                <w:lang w:eastAsia="hr-HR"/>
              </w:rPr>
            </w:pPr>
            <w:r w:rsidRPr="00CF101E">
              <w:rPr>
                <w:lang w:eastAsia="hr-HR"/>
              </w:rPr>
              <w:t>Hrvatska poštanska banka d.d., Zagreb</w:t>
            </w:r>
          </w:p>
          <w:p w:rsidR="001C29D0" w:rsidRPr="00CF101E" w:rsidRDefault="001C29D0" w:rsidP="00CF101E">
            <w:pPr>
              <w:jc w:val="both"/>
              <w:rPr>
                <w:lang w:eastAsia="hr-HR"/>
              </w:rPr>
            </w:pPr>
          </w:p>
        </w:tc>
      </w:tr>
      <w:tr w:rsidR="00CF101E" w:rsidRPr="00CF101E" w:rsidTr="0021608A">
        <w:trPr>
          <w:trHeight w:val="306"/>
          <w:jc w:val="center"/>
        </w:trPr>
        <w:tc>
          <w:tcPr>
            <w:tcW w:w="0" w:type="auto"/>
            <w:shd w:val="clear" w:color="auto" w:fill="FFFFFF" w:themeFill="background1"/>
          </w:tcPr>
          <w:p w:rsidR="001C29D0" w:rsidRPr="00CF101E" w:rsidRDefault="001C29D0" w:rsidP="00CF101E">
            <w:pPr>
              <w:tabs>
                <w:tab w:val="left" w:pos="707"/>
              </w:tabs>
              <w:ind w:left="-106"/>
              <w:rPr>
                <w:lang w:eastAsia="hr-HR"/>
              </w:rPr>
            </w:pPr>
            <w:r w:rsidRPr="00CF101E">
              <w:t>-</w:t>
            </w:r>
            <w:r w:rsidR="00CF101E">
              <w:tab/>
            </w:r>
            <w:r w:rsidRPr="00CF101E">
              <w:t>namjena kredita:</w:t>
            </w:r>
          </w:p>
        </w:tc>
        <w:tc>
          <w:tcPr>
            <w:tcW w:w="0" w:type="auto"/>
          </w:tcPr>
          <w:p w:rsidR="001C29D0" w:rsidRPr="00CF101E" w:rsidRDefault="001C29D0" w:rsidP="00CF101E">
            <w:pPr>
              <w:jc w:val="both"/>
              <w:rPr>
                <w:lang w:eastAsia="hr-HR"/>
              </w:rPr>
            </w:pPr>
            <w:r w:rsidRPr="00CF101E">
              <w:t>f</w:t>
            </w:r>
            <w:r w:rsidR="005141DA" w:rsidRPr="00CF101E">
              <w:t>inanciranje Plana poslovanja za 2019. godinu</w:t>
            </w:r>
            <w:r w:rsidRPr="00CF101E">
              <w:t xml:space="preserve"> i </w:t>
            </w:r>
            <w:r w:rsidR="005141DA" w:rsidRPr="00CF101E">
              <w:t>dijela Plana poslovanja za</w:t>
            </w:r>
            <w:r w:rsidRPr="00CF101E">
              <w:t xml:space="preserve"> 2020. godin</w:t>
            </w:r>
            <w:r w:rsidR="005141DA" w:rsidRPr="00CF101E">
              <w:t>u</w:t>
            </w:r>
          </w:p>
        </w:tc>
      </w:tr>
      <w:tr w:rsidR="00CF101E" w:rsidRPr="00CF101E" w:rsidTr="0021608A">
        <w:trPr>
          <w:trHeight w:val="274"/>
          <w:jc w:val="center"/>
        </w:trPr>
        <w:tc>
          <w:tcPr>
            <w:tcW w:w="0" w:type="auto"/>
            <w:shd w:val="clear" w:color="auto" w:fill="FFFFFF" w:themeFill="background1"/>
          </w:tcPr>
          <w:p w:rsidR="001C29D0" w:rsidRPr="00CF101E" w:rsidRDefault="001C29D0" w:rsidP="00CF101E"/>
        </w:tc>
        <w:tc>
          <w:tcPr>
            <w:tcW w:w="0" w:type="auto"/>
          </w:tcPr>
          <w:p w:rsidR="001C29D0" w:rsidRPr="00CF101E" w:rsidRDefault="001C29D0" w:rsidP="00CF101E">
            <w:pPr>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255288">
            <w:pPr>
              <w:tabs>
                <w:tab w:val="left" w:pos="698"/>
              </w:tabs>
              <w:ind w:left="-106"/>
            </w:pPr>
            <w:r w:rsidRPr="00CF101E">
              <w:t>-</w:t>
            </w:r>
            <w:r w:rsidR="00255288">
              <w:tab/>
            </w:r>
            <w:r w:rsidRPr="00CF101E">
              <w:t xml:space="preserve">rok otplate kredita: </w:t>
            </w:r>
          </w:p>
        </w:tc>
        <w:tc>
          <w:tcPr>
            <w:tcW w:w="0" w:type="auto"/>
          </w:tcPr>
          <w:p w:rsidR="001C29D0" w:rsidRPr="00CF101E" w:rsidRDefault="001C29D0" w:rsidP="00CF101E">
            <w:pPr>
              <w:jc w:val="both"/>
            </w:pPr>
            <w:r w:rsidRPr="00CF101E">
              <w:t xml:space="preserve">deset godina, uključujući dvije godine počeka, odnosno u 32 tromjesečne rate, od kojih prva dospijeva na naplatu 31. ožujka 2022. godine, a zadnja 31. prosinca 2029. godine </w:t>
            </w:r>
          </w:p>
          <w:p w:rsidR="001C29D0" w:rsidRPr="00CF101E" w:rsidRDefault="001C29D0" w:rsidP="00CF101E">
            <w:pPr>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255288">
            <w:pPr>
              <w:tabs>
                <w:tab w:val="left" w:pos="707"/>
              </w:tabs>
              <w:ind w:left="-106"/>
            </w:pPr>
            <w:r w:rsidRPr="00CF101E">
              <w:t>-</w:t>
            </w:r>
            <w:r w:rsidR="00255288">
              <w:tab/>
            </w:r>
            <w:r w:rsidRPr="00CF101E">
              <w:t xml:space="preserve">kamatna stopa: </w:t>
            </w:r>
          </w:p>
        </w:tc>
        <w:tc>
          <w:tcPr>
            <w:tcW w:w="0" w:type="auto"/>
            <w:shd w:val="clear" w:color="auto" w:fill="auto"/>
          </w:tcPr>
          <w:p w:rsidR="001C29D0" w:rsidRPr="00CF101E" w:rsidRDefault="001C29D0" w:rsidP="00CF101E">
            <w:pPr>
              <w:jc w:val="both"/>
            </w:pPr>
            <w:r w:rsidRPr="00CF101E">
              <w:t>3 mjesečni EURIBOR uve</w:t>
            </w:r>
            <w:r w:rsidR="00FC07EB" w:rsidRPr="00CF101E">
              <w:t>ćan za fiksnu maržu u iznosu 1,</w:t>
            </w:r>
            <w:r w:rsidRPr="00CF101E">
              <w:t>32 p.p. godišnje, u slučaju da je referentna stopa negativna, vrijednost referentne stope se izjednačava s nulom</w:t>
            </w:r>
          </w:p>
          <w:p w:rsidR="001C29D0" w:rsidRPr="00CF101E" w:rsidRDefault="001C29D0" w:rsidP="00CF101E">
            <w:pPr>
              <w:jc w:val="both"/>
            </w:pPr>
          </w:p>
        </w:tc>
      </w:tr>
      <w:tr w:rsidR="00CF101E" w:rsidRPr="00CF101E" w:rsidTr="0021608A">
        <w:trPr>
          <w:trHeight w:val="353"/>
          <w:jc w:val="center"/>
        </w:trPr>
        <w:tc>
          <w:tcPr>
            <w:tcW w:w="0" w:type="auto"/>
            <w:shd w:val="clear" w:color="auto" w:fill="FFFFFF" w:themeFill="background1"/>
          </w:tcPr>
          <w:p w:rsidR="001C29D0" w:rsidRPr="00CF101E" w:rsidRDefault="001C29D0" w:rsidP="00255288">
            <w:pPr>
              <w:tabs>
                <w:tab w:val="left" w:pos="690"/>
              </w:tabs>
              <w:ind w:left="-106"/>
            </w:pPr>
            <w:r w:rsidRPr="00CF101E">
              <w:t>-</w:t>
            </w:r>
            <w:r w:rsidR="00255288">
              <w:tab/>
            </w:r>
            <w:r w:rsidRPr="00CF101E">
              <w:t>agentska naknada:</w:t>
            </w:r>
          </w:p>
        </w:tc>
        <w:tc>
          <w:tcPr>
            <w:tcW w:w="0" w:type="auto"/>
            <w:shd w:val="clear" w:color="auto" w:fill="auto"/>
          </w:tcPr>
          <w:p w:rsidR="001C29D0" w:rsidRPr="00CF101E" w:rsidRDefault="001C29D0" w:rsidP="00CF101E">
            <w:pPr>
              <w:jc w:val="both"/>
            </w:pPr>
            <w:r w:rsidRPr="00CF101E">
              <w:t>3.000</w:t>
            </w:r>
            <w:r w:rsidR="00C26C90" w:rsidRPr="00CF101E">
              <w:t>,00</w:t>
            </w:r>
            <w:r w:rsidRPr="00CF101E">
              <w:t xml:space="preserve"> eura u kunskoj protuvrijednosti, plativo u roku od </w:t>
            </w:r>
            <w:r w:rsidR="007D3B01">
              <w:t>pet</w:t>
            </w:r>
            <w:r w:rsidRPr="00CF101E">
              <w:t xml:space="preserve"> dana od zaključenja </w:t>
            </w:r>
            <w:r w:rsidR="007D3B01">
              <w:t>u</w:t>
            </w:r>
            <w:r w:rsidRPr="00CF101E">
              <w:t xml:space="preserve">govora </w:t>
            </w:r>
            <w:r w:rsidR="007D3B01">
              <w:t xml:space="preserve">o kreditu </w:t>
            </w:r>
            <w:r w:rsidRPr="00CF101E">
              <w:t xml:space="preserve">ili najkasnije na dan prvog korištenja te na svaku godišnjicu zaključenja </w:t>
            </w:r>
            <w:r w:rsidR="00F42769">
              <w:t>u</w:t>
            </w:r>
            <w:r w:rsidRPr="00CF101E">
              <w:t xml:space="preserve">govora </w:t>
            </w:r>
            <w:r w:rsidR="00F42769">
              <w:t>o kreditu</w:t>
            </w:r>
          </w:p>
          <w:p w:rsidR="001C29D0" w:rsidRPr="00CF101E" w:rsidRDefault="001C29D0" w:rsidP="00CF101E">
            <w:pPr>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255288">
            <w:pPr>
              <w:tabs>
                <w:tab w:val="left" w:pos="745"/>
              </w:tabs>
              <w:ind w:left="745" w:hanging="851"/>
            </w:pPr>
            <w:r w:rsidRPr="00CF101E">
              <w:t>-</w:t>
            </w:r>
            <w:r w:rsidR="00255288">
              <w:tab/>
            </w:r>
            <w:r w:rsidRPr="00CF101E">
              <w:t>obračun i naplata kamate:</w:t>
            </w:r>
          </w:p>
        </w:tc>
        <w:tc>
          <w:tcPr>
            <w:tcW w:w="0" w:type="auto"/>
            <w:shd w:val="clear" w:color="auto" w:fill="auto"/>
          </w:tcPr>
          <w:p w:rsidR="001C29D0" w:rsidRPr="00CF101E" w:rsidRDefault="001C29D0" w:rsidP="00CF101E">
            <w:pPr>
              <w:ind w:left="34"/>
              <w:jc w:val="both"/>
            </w:pPr>
            <w:r w:rsidRPr="00CF101E">
              <w:t xml:space="preserve">kamata se obračunava i naplaćuje tromjesečno, temeljem stvarnog broja dana proteklog u godini od 365/366 u kunskoj protuvrijednosti po srednjem tečaju </w:t>
            </w:r>
            <w:r w:rsidR="00F42769">
              <w:t>Hrvatske narodne banke</w:t>
            </w:r>
            <w:r w:rsidRPr="00CF101E">
              <w:t xml:space="preserve"> na dan plaćanja, interkalarna kamata i kamata za vrijeme počeka obračunava se u visini redovne kamatne stope</w:t>
            </w:r>
          </w:p>
          <w:p w:rsidR="001C29D0" w:rsidRPr="00CF101E" w:rsidRDefault="001C29D0" w:rsidP="00CF101E">
            <w:pPr>
              <w:ind w:left="34"/>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255288">
            <w:pPr>
              <w:tabs>
                <w:tab w:val="left" w:pos="716"/>
              </w:tabs>
              <w:ind w:left="-106"/>
            </w:pPr>
            <w:r w:rsidRPr="00CF101E">
              <w:t>-</w:t>
            </w:r>
            <w:r w:rsidR="00255288">
              <w:tab/>
            </w:r>
            <w:r w:rsidRPr="00CF101E">
              <w:t>zatezna kamata:</w:t>
            </w:r>
          </w:p>
        </w:tc>
        <w:tc>
          <w:tcPr>
            <w:tcW w:w="0" w:type="auto"/>
            <w:shd w:val="clear" w:color="auto" w:fill="auto"/>
          </w:tcPr>
          <w:p w:rsidR="001C29D0" w:rsidRPr="00CF101E" w:rsidRDefault="001C29D0" w:rsidP="00CF101E">
            <w:pPr>
              <w:ind w:left="34"/>
              <w:jc w:val="both"/>
            </w:pPr>
            <w:r w:rsidRPr="00CF101E">
              <w:t xml:space="preserve">u visini zakonske zatezne kamate </w:t>
            </w:r>
          </w:p>
          <w:p w:rsidR="001C29D0" w:rsidRPr="00CF101E" w:rsidRDefault="001C29D0" w:rsidP="00CF101E">
            <w:pPr>
              <w:ind w:left="34"/>
              <w:jc w:val="both"/>
            </w:pPr>
          </w:p>
        </w:tc>
      </w:tr>
      <w:tr w:rsidR="00CF101E" w:rsidRPr="00CF101E" w:rsidTr="0021608A">
        <w:trPr>
          <w:trHeight w:val="306"/>
          <w:jc w:val="center"/>
        </w:trPr>
        <w:tc>
          <w:tcPr>
            <w:tcW w:w="0" w:type="auto"/>
            <w:shd w:val="clear" w:color="auto" w:fill="FFFFFF" w:themeFill="background1"/>
          </w:tcPr>
          <w:p w:rsidR="001C29D0" w:rsidRPr="00CF101E" w:rsidRDefault="001C29D0" w:rsidP="00255288">
            <w:pPr>
              <w:tabs>
                <w:tab w:val="left" w:pos="698"/>
              </w:tabs>
              <w:ind w:left="-106"/>
            </w:pPr>
            <w:r w:rsidRPr="00CF101E">
              <w:t>-</w:t>
            </w:r>
            <w:r w:rsidR="00255288">
              <w:tab/>
            </w:r>
            <w:r w:rsidRPr="00CF101E">
              <w:t>aranžerska naknada:</w:t>
            </w:r>
          </w:p>
        </w:tc>
        <w:tc>
          <w:tcPr>
            <w:tcW w:w="0" w:type="auto"/>
            <w:shd w:val="clear" w:color="auto" w:fill="auto"/>
          </w:tcPr>
          <w:p w:rsidR="001C29D0" w:rsidRPr="00CF101E" w:rsidRDefault="001C29D0" w:rsidP="00CF101E">
            <w:pPr>
              <w:ind w:left="34"/>
              <w:jc w:val="both"/>
            </w:pPr>
            <w:r w:rsidRPr="00CF101E">
              <w:t>0,18 %, jednokratno, na ukupan iznos kredita</w:t>
            </w:r>
          </w:p>
          <w:p w:rsidR="001C29D0" w:rsidRPr="00CF101E" w:rsidRDefault="001C29D0" w:rsidP="00CF101E">
            <w:pPr>
              <w:ind w:left="34"/>
              <w:jc w:val="both"/>
            </w:pPr>
          </w:p>
        </w:tc>
      </w:tr>
      <w:tr w:rsidR="00CF101E" w:rsidRPr="00CF101E" w:rsidTr="0021608A">
        <w:trPr>
          <w:trHeight w:val="62"/>
          <w:jc w:val="center"/>
        </w:trPr>
        <w:tc>
          <w:tcPr>
            <w:tcW w:w="0" w:type="auto"/>
            <w:shd w:val="clear" w:color="auto" w:fill="FFFFFF" w:themeFill="background1"/>
          </w:tcPr>
          <w:p w:rsidR="001C29D0" w:rsidRPr="00CF101E" w:rsidRDefault="001C29D0" w:rsidP="00255288">
            <w:pPr>
              <w:tabs>
                <w:tab w:val="left" w:pos="716"/>
              </w:tabs>
              <w:ind w:left="-106"/>
            </w:pPr>
            <w:r w:rsidRPr="00CF101E">
              <w:t>-</w:t>
            </w:r>
            <w:r w:rsidR="00255288">
              <w:tab/>
            </w:r>
            <w:r w:rsidRPr="00CF101E">
              <w:t>rok korištenja kredita:</w:t>
            </w:r>
          </w:p>
        </w:tc>
        <w:tc>
          <w:tcPr>
            <w:tcW w:w="0" w:type="auto"/>
            <w:shd w:val="clear" w:color="auto" w:fill="auto"/>
          </w:tcPr>
          <w:p w:rsidR="001C29D0" w:rsidRPr="00CF101E" w:rsidRDefault="001C29D0" w:rsidP="00840C32">
            <w:pPr>
              <w:ind w:left="34"/>
              <w:jc w:val="both"/>
            </w:pPr>
            <w:r w:rsidRPr="00CF101E">
              <w:t xml:space="preserve">sukcesivno u roku </w:t>
            </w:r>
            <w:r w:rsidR="00840C32">
              <w:t>šest</w:t>
            </w:r>
            <w:r w:rsidRPr="00CF101E">
              <w:t xml:space="preserve"> mjeseci od dana potpisa </w:t>
            </w:r>
            <w:r w:rsidR="00840C32">
              <w:t>u</w:t>
            </w:r>
            <w:r w:rsidRPr="00CF101E">
              <w:t>govora o kreditu</w:t>
            </w:r>
          </w:p>
        </w:tc>
      </w:tr>
      <w:tr w:rsidR="00CF101E" w:rsidRPr="00CF101E" w:rsidTr="0021608A">
        <w:trPr>
          <w:trHeight w:val="299"/>
          <w:jc w:val="center"/>
        </w:trPr>
        <w:tc>
          <w:tcPr>
            <w:tcW w:w="0" w:type="auto"/>
            <w:shd w:val="clear" w:color="auto" w:fill="FFFFFF" w:themeFill="background1"/>
          </w:tcPr>
          <w:p w:rsidR="001C29D0" w:rsidRPr="00CF101E" w:rsidRDefault="001C29D0" w:rsidP="00CF101E">
            <w:pPr>
              <w:ind w:left="34"/>
            </w:pPr>
          </w:p>
          <w:p w:rsidR="001C29D0" w:rsidRPr="00CF101E" w:rsidRDefault="001C29D0" w:rsidP="00255288">
            <w:pPr>
              <w:tabs>
                <w:tab w:val="left" w:pos="716"/>
              </w:tabs>
              <w:ind w:left="-106"/>
            </w:pPr>
            <w:r w:rsidRPr="00CF101E">
              <w:t>-</w:t>
            </w:r>
            <w:r w:rsidR="00255288">
              <w:tab/>
            </w:r>
            <w:r w:rsidRPr="00CF101E">
              <w:t>način korištenja:</w:t>
            </w:r>
          </w:p>
        </w:tc>
        <w:tc>
          <w:tcPr>
            <w:tcW w:w="0" w:type="auto"/>
            <w:shd w:val="clear" w:color="auto" w:fill="auto"/>
          </w:tcPr>
          <w:p w:rsidR="001C29D0" w:rsidRPr="00CF101E" w:rsidRDefault="001C29D0" w:rsidP="00CF101E">
            <w:pPr>
              <w:ind w:left="34"/>
              <w:jc w:val="both"/>
            </w:pPr>
          </w:p>
          <w:p w:rsidR="001C29D0" w:rsidRPr="00CF101E" w:rsidRDefault="001C29D0" w:rsidP="00CF101E">
            <w:pPr>
              <w:ind w:left="34"/>
              <w:jc w:val="both"/>
            </w:pPr>
            <w:r w:rsidRPr="00CF101E">
              <w:t xml:space="preserve">sukcesivno isplatom na račun društva Autocesta Rijeka-Zagreb d.d. </w:t>
            </w:r>
          </w:p>
          <w:p w:rsidR="001C29D0" w:rsidRPr="00CF101E" w:rsidRDefault="001C29D0" w:rsidP="00CF101E">
            <w:pPr>
              <w:ind w:left="34"/>
              <w:jc w:val="both"/>
            </w:pPr>
          </w:p>
        </w:tc>
      </w:tr>
      <w:tr w:rsidR="00CF101E" w:rsidRPr="00CF101E" w:rsidTr="0021608A">
        <w:trPr>
          <w:trHeight w:val="583"/>
          <w:jc w:val="center"/>
        </w:trPr>
        <w:tc>
          <w:tcPr>
            <w:tcW w:w="0" w:type="auto"/>
            <w:shd w:val="clear" w:color="auto" w:fill="FFFFFF" w:themeFill="background1"/>
          </w:tcPr>
          <w:p w:rsidR="001C29D0" w:rsidRPr="00CF101E" w:rsidRDefault="001C29D0" w:rsidP="00255288">
            <w:pPr>
              <w:tabs>
                <w:tab w:val="left" w:pos="745"/>
              </w:tabs>
              <w:ind w:left="745" w:hanging="851"/>
            </w:pPr>
            <w:r w:rsidRPr="00CF101E">
              <w:t>-</w:t>
            </w:r>
            <w:r w:rsidR="00255288">
              <w:tab/>
            </w:r>
            <w:r w:rsidRPr="00CF101E">
              <w:t>rok i način otplate kredita:</w:t>
            </w:r>
          </w:p>
        </w:tc>
        <w:tc>
          <w:tcPr>
            <w:tcW w:w="0" w:type="auto"/>
            <w:shd w:val="clear" w:color="auto" w:fill="auto"/>
          </w:tcPr>
          <w:p w:rsidR="001C29D0" w:rsidRPr="00CF101E" w:rsidRDefault="001C29D0" w:rsidP="00CF101E">
            <w:pPr>
              <w:ind w:left="34"/>
              <w:jc w:val="both"/>
            </w:pPr>
            <w:r w:rsidRPr="00CF101E">
              <w:t xml:space="preserve">tromjesečna otplata kamate i glavnice u kunskoj protuvrijednosti po srednjem tečaju </w:t>
            </w:r>
            <w:r w:rsidR="008A4E72">
              <w:t>Hrvatske narodne banke</w:t>
            </w:r>
            <w:r w:rsidRPr="00CF101E">
              <w:t xml:space="preserve"> na dan plaćanja  </w:t>
            </w:r>
          </w:p>
          <w:p w:rsidR="001C29D0" w:rsidRPr="00CF101E" w:rsidRDefault="001C29D0" w:rsidP="00CF101E">
            <w:pPr>
              <w:ind w:left="34"/>
              <w:jc w:val="both"/>
            </w:pPr>
          </w:p>
        </w:tc>
      </w:tr>
      <w:tr w:rsidR="00CF101E" w:rsidRPr="00CF101E" w:rsidTr="0021608A">
        <w:trPr>
          <w:trHeight w:val="241"/>
          <w:jc w:val="center"/>
        </w:trPr>
        <w:tc>
          <w:tcPr>
            <w:tcW w:w="0" w:type="auto"/>
            <w:shd w:val="clear" w:color="auto" w:fill="FFFFFF" w:themeFill="background1"/>
          </w:tcPr>
          <w:p w:rsidR="001C29D0" w:rsidRPr="00CF101E" w:rsidRDefault="001C29D0" w:rsidP="00255288">
            <w:pPr>
              <w:tabs>
                <w:tab w:val="left" w:pos="745"/>
              </w:tabs>
              <w:ind w:left="745" w:hanging="851"/>
            </w:pPr>
            <w:r w:rsidRPr="00CF101E">
              <w:t>-</w:t>
            </w:r>
            <w:r w:rsidR="00255288">
              <w:tab/>
            </w:r>
            <w:r w:rsidRPr="00CF101E">
              <w:t>n</w:t>
            </w:r>
            <w:r w:rsidR="008A4E72">
              <w:t xml:space="preserve">aknada za odobrena, </w:t>
            </w:r>
            <w:r w:rsidRPr="00CF101E">
              <w:t>nepovučena sredstva:</w:t>
            </w:r>
          </w:p>
        </w:tc>
        <w:tc>
          <w:tcPr>
            <w:tcW w:w="0" w:type="auto"/>
            <w:shd w:val="clear" w:color="auto" w:fill="auto"/>
          </w:tcPr>
          <w:p w:rsidR="001C29D0" w:rsidRPr="00CF101E" w:rsidRDefault="001C29D0" w:rsidP="00CF101E">
            <w:pPr>
              <w:ind w:left="34"/>
              <w:jc w:val="both"/>
            </w:pPr>
            <w:r w:rsidRPr="00CF101E">
              <w:t xml:space="preserve">klijent se oslobađa naknade za odobrena, a neiskorištena sredstva </w:t>
            </w:r>
          </w:p>
        </w:tc>
      </w:tr>
      <w:tr w:rsidR="00CF101E" w:rsidRPr="00CF101E" w:rsidTr="0021608A">
        <w:trPr>
          <w:trHeight w:val="477"/>
          <w:jc w:val="center"/>
        </w:trPr>
        <w:tc>
          <w:tcPr>
            <w:tcW w:w="0" w:type="auto"/>
            <w:shd w:val="clear" w:color="auto" w:fill="FFFFFF" w:themeFill="background1"/>
          </w:tcPr>
          <w:p w:rsidR="001C29D0" w:rsidRPr="00CF101E" w:rsidRDefault="001C29D0" w:rsidP="00CF101E">
            <w:pPr>
              <w:ind w:left="34"/>
            </w:pPr>
          </w:p>
          <w:p w:rsidR="001C29D0" w:rsidRPr="00CF101E" w:rsidRDefault="001C29D0" w:rsidP="00255288">
            <w:pPr>
              <w:tabs>
                <w:tab w:val="left" w:pos="745"/>
              </w:tabs>
              <w:ind w:left="745" w:hanging="851"/>
            </w:pPr>
            <w:r w:rsidRPr="00CF101E">
              <w:t>-</w:t>
            </w:r>
            <w:r w:rsidR="00255288">
              <w:tab/>
            </w:r>
            <w:r w:rsidRPr="00CF101E">
              <w:t>naknada za prijevremenu otplatu kredita:</w:t>
            </w:r>
          </w:p>
          <w:p w:rsidR="001C29D0" w:rsidRPr="00CF101E" w:rsidRDefault="001C29D0" w:rsidP="00CF101E">
            <w:pPr>
              <w:ind w:left="34"/>
            </w:pPr>
          </w:p>
        </w:tc>
        <w:tc>
          <w:tcPr>
            <w:tcW w:w="0" w:type="auto"/>
            <w:shd w:val="clear" w:color="auto" w:fill="auto"/>
          </w:tcPr>
          <w:p w:rsidR="001C29D0" w:rsidRPr="00CF101E" w:rsidRDefault="001C29D0" w:rsidP="00CF101E">
            <w:pPr>
              <w:ind w:left="34"/>
              <w:jc w:val="both"/>
            </w:pPr>
          </w:p>
          <w:p w:rsidR="001C29D0" w:rsidRDefault="001C29D0" w:rsidP="00CF101E">
            <w:pPr>
              <w:ind w:left="34"/>
              <w:jc w:val="both"/>
            </w:pPr>
            <w:r w:rsidRPr="00CF101E">
              <w:t xml:space="preserve">u slučaju prijevremenog povrata kredita, djelomično ili u cijelosti, ne obračunava se naknada za prijevremeni povrat </w:t>
            </w:r>
          </w:p>
          <w:p w:rsidR="00255288" w:rsidRPr="00CF101E" w:rsidRDefault="00255288" w:rsidP="00CF101E">
            <w:pPr>
              <w:ind w:left="34"/>
              <w:jc w:val="both"/>
            </w:pPr>
          </w:p>
        </w:tc>
      </w:tr>
      <w:tr w:rsidR="00CF101E" w:rsidRPr="00CF101E" w:rsidTr="0021608A">
        <w:trPr>
          <w:trHeight w:val="249"/>
          <w:jc w:val="center"/>
        </w:trPr>
        <w:tc>
          <w:tcPr>
            <w:tcW w:w="0" w:type="auto"/>
            <w:shd w:val="clear" w:color="auto" w:fill="FFFFFF" w:themeFill="background1"/>
          </w:tcPr>
          <w:p w:rsidR="001C29D0" w:rsidRPr="00CF101E" w:rsidRDefault="001C29D0" w:rsidP="00255288">
            <w:pPr>
              <w:tabs>
                <w:tab w:val="left" w:pos="745"/>
              </w:tabs>
              <w:ind w:left="-106"/>
            </w:pPr>
            <w:r w:rsidRPr="00CF101E">
              <w:t>-</w:t>
            </w:r>
            <w:r w:rsidR="00255288">
              <w:tab/>
            </w:r>
            <w:r w:rsidRPr="00CF101E">
              <w:t>instrument osiguranja:</w:t>
            </w:r>
          </w:p>
        </w:tc>
        <w:tc>
          <w:tcPr>
            <w:tcW w:w="0" w:type="auto"/>
            <w:shd w:val="clear" w:color="auto" w:fill="auto"/>
          </w:tcPr>
          <w:p w:rsidR="001C29D0" w:rsidRPr="00CF101E" w:rsidRDefault="001C29D0" w:rsidP="00CF101E">
            <w:pPr>
              <w:ind w:left="34"/>
              <w:jc w:val="both"/>
            </w:pPr>
            <w:r w:rsidRPr="00CF101E">
              <w:t>državno jamstvo, neopozivo i na prvi poziv, izdano od Ministarstva financija Republike Hrvatske, koje pokriva 100</w:t>
            </w:r>
            <w:r w:rsidR="00D861B0">
              <w:t xml:space="preserve"> </w:t>
            </w:r>
            <w:r w:rsidRPr="00CF101E">
              <w:t>% obveza po ovom kreditu</w:t>
            </w:r>
          </w:p>
          <w:p w:rsidR="001C29D0" w:rsidRPr="00CF101E" w:rsidRDefault="001C29D0" w:rsidP="00CF101E">
            <w:pPr>
              <w:ind w:left="34"/>
              <w:jc w:val="both"/>
            </w:pPr>
          </w:p>
        </w:tc>
      </w:tr>
      <w:tr w:rsidR="00CF101E" w:rsidRPr="00CF101E" w:rsidTr="0021608A">
        <w:trPr>
          <w:trHeight w:val="249"/>
          <w:jc w:val="center"/>
        </w:trPr>
        <w:tc>
          <w:tcPr>
            <w:tcW w:w="0" w:type="auto"/>
            <w:shd w:val="clear" w:color="auto" w:fill="FFFFFF" w:themeFill="background1"/>
          </w:tcPr>
          <w:p w:rsidR="001C29D0" w:rsidRPr="00CF101E" w:rsidRDefault="001C29D0" w:rsidP="00255288">
            <w:pPr>
              <w:ind w:left="745" w:hanging="851"/>
            </w:pPr>
            <w:r w:rsidRPr="00CF101E">
              <w:lastRenderedPageBreak/>
              <w:t>-</w:t>
            </w:r>
            <w:r w:rsidR="00255288">
              <w:tab/>
            </w:r>
            <w:r w:rsidRPr="00CF101E">
              <w:t>preduvjeti za korištenje kredita (uključujući ali ne ograničavajući se na):</w:t>
            </w:r>
          </w:p>
        </w:tc>
        <w:tc>
          <w:tcPr>
            <w:tcW w:w="0" w:type="auto"/>
            <w:shd w:val="clear" w:color="auto" w:fill="auto"/>
          </w:tcPr>
          <w:p w:rsidR="001C29D0" w:rsidRPr="00CF101E" w:rsidRDefault="001C29D0" w:rsidP="00CF101E">
            <w:pPr>
              <w:pStyle w:val="ListParagraph"/>
              <w:ind w:left="0"/>
              <w:jc w:val="both"/>
            </w:pPr>
            <w:r w:rsidRPr="00CF101E">
              <w:t>sljedeća dokumentacija dostavljena Agentu:</w:t>
            </w:r>
          </w:p>
          <w:p w:rsidR="001C29D0" w:rsidRPr="00CF101E" w:rsidRDefault="001C29D0" w:rsidP="00CF101E">
            <w:pPr>
              <w:pStyle w:val="ListParagraph"/>
              <w:numPr>
                <w:ilvl w:val="0"/>
                <w:numId w:val="24"/>
              </w:numPr>
              <w:ind w:left="436" w:hanging="436"/>
              <w:contextualSpacing/>
              <w:jc w:val="both"/>
            </w:pPr>
            <w:r w:rsidRPr="00CF101E">
              <w:t xml:space="preserve">Odluka Nadzornog odbora </w:t>
            </w:r>
            <w:r w:rsidR="00D861B0">
              <w:t>k</w:t>
            </w:r>
            <w:r w:rsidR="00FC07EB" w:rsidRPr="00CF101E">
              <w:t xml:space="preserve">orisnika kredita </w:t>
            </w:r>
            <w:r w:rsidRPr="00CF101E">
              <w:t>o odobrenju kreditnog zaduženja</w:t>
            </w:r>
          </w:p>
          <w:p w:rsidR="001C29D0" w:rsidRPr="00CF101E" w:rsidRDefault="001C29D0" w:rsidP="00CF101E">
            <w:pPr>
              <w:pStyle w:val="ListParagraph"/>
              <w:numPr>
                <w:ilvl w:val="0"/>
                <w:numId w:val="24"/>
              </w:numPr>
              <w:ind w:left="436" w:hanging="436"/>
              <w:contextualSpacing/>
              <w:jc w:val="both"/>
            </w:pPr>
            <w:r w:rsidRPr="00CF101E">
              <w:t>Odluka Vlade Republike Hrvatske o odobrenju kreditnog zaduženja i Odluka Vlade Republike Hrvatske o izdavanju jamstva</w:t>
            </w:r>
          </w:p>
          <w:p w:rsidR="001C29D0" w:rsidRPr="00CF101E" w:rsidRDefault="001C29D0" w:rsidP="00CF101E">
            <w:pPr>
              <w:pStyle w:val="ListParagraph"/>
              <w:numPr>
                <w:ilvl w:val="0"/>
                <w:numId w:val="24"/>
              </w:numPr>
              <w:ind w:left="436" w:hanging="436"/>
              <w:contextualSpacing/>
              <w:jc w:val="both"/>
            </w:pPr>
            <w:r w:rsidRPr="00CF101E">
              <w:t>pravovaljano Jamstvo</w:t>
            </w:r>
          </w:p>
          <w:p w:rsidR="001C29D0" w:rsidRPr="00CF101E" w:rsidRDefault="001C29D0" w:rsidP="00CF101E">
            <w:pPr>
              <w:pStyle w:val="ListParagraph"/>
              <w:numPr>
                <w:ilvl w:val="0"/>
                <w:numId w:val="24"/>
              </w:numPr>
              <w:ind w:left="436" w:hanging="436"/>
              <w:contextualSpacing/>
              <w:jc w:val="both"/>
            </w:pPr>
            <w:r w:rsidRPr="00CF101E">
              <w:t>potvrda/dokaz nadležnog ministarstva Republike Hrvatske u sadržaju i formi prihvatljivoj za banke, kojom se utvrđuje da se Jamstvo ne smatra državnom potporom</w:t>
            </w:r>
          </w:p>
          <w:p w:rsidR="001C29D0" w:rsidRPr="00CF101E" w:rsidRDefault="001C29D0" w:rsidP="00CF101E">
            <w:pPr>
              <w:pStyle w:val="ListParagraph"/>
              <w:numPr>
                <w:ilvl w:val="0"/>
                <w:numId w:val="24"/>
              </w:numPr>
              <w:ind w:left="436" w:hanging="436"/>
              <w:contextualSpacing/>
              <w:jc w:val="both"/>
            </w:pPr>
            <w:r w:rsidRPr="00CF101E">
              <w:t>Izjava o osnivanju i Izvadak iz sudskog registra</w:t>
            </w:r>
          </w:p>
          <w:p w:rsidR="001C29D0" w:rsidRPr="00CF101E" w:rsidRDefault="001C29D0" w:rsidP="00CF101E">
            <w:pPr>
              <w:pStyle w:val="ListParagraph"/>
              <w:numPr>
                <w:ilvl w:val="0"/>
                <w:numId w:val="24"/>
              </w:numPr>
              <w:ind w:left="436" w:hanging="436"/>
              <w:contextualSpacing/>
              <w:jc w:val="both"/>
            </w:pPr>
            <w:r w:rsidRPr="00CF101E">
              <w:t>Potvrda o plaćenim naknadama</w:t>
            </w:r>
          </w:p>
        </w:tc>
      </w:tr>
      <w:tr w:rsidR="00CF101E" w:rsidRPr="00CF101E" w:rsidTr="0021608A">
        <w:trPr>
          <w:trHeight w:val="249"/>
          <w:jc w:val="center"/>
        </w:trPr>
        <w:tc>
          <w:tcPr>
            <w:tcW w:w="0" w:type="auto"/>
            <w:shd w:val="clear" w:color="auto" w:fill="FFFFFF" w:themeFill="background1"/>
          </w:tcPr>
          <w:p w:rsidR="001C29D0" w:rsidRPr="00CF101E" w:rsidRDefault="001C29D0" w:rsidP="00CF101E"/>
        </w:tc>
        <w:tc>
          <w:tcPr>
            <w:tcW w:w="0" w:type="auto"/>
            <w:shd w:val="clear" w:color="auto" w:fill="auto"/>
          </w:tcPr>
          <w:p w:rsidR="001C29D0" w:rsidRPr="00CF101E" w:rsidRDefault="001C29D0" w:rsidP="00CF101E">
            <w:pPr>
              <w:pStyle w:val="ListParagraph"/>
              <w:ind w:left="0"/>
              <w:jc w:val="both"/>
            </w:pPr>
          </w:p>
        </w:tc>
      </w:tr>
      <w:tr w:rsidR="00CF101E" w:rsidRPr="00CF101E" w:rsidTr="0021608A">
        <w:trPr>
          <w:trHeight w:val="249"/>
          <w:jc w:val="center"/>
        </w:trPr>
        <w:tc>
          <w:tcPr>
            <w:tcW w:w="0" w:type="auto"/>
            <w:shd w:val="clear" w:color="auto" w:fill="FFFFFF" w:themeFill="background1"/>
          </w:tcPr>
          <w:p w:rsidR="001C29D0" w:rsidRPr="00CF101E" w:rsidRDefault="001C29D0" w:rsidP="00255288">
            <w:pPr>
              <w:tabs>
                <w:tab w:val="left" w:pos="716"/>
              </w:tabs>
              <w:ind w:left="-106"/>
            </w:pPr>
            <w:r w:rsidRPr="00CF101E">
              <w:t>-</w:t>
            </w:r>
            <w:r w:rsidR="00255288">
              <w:tab/>
            </w:r>
            <w:r w:rsidRPr="00CF101E">
              <w:t>iznos kamate:</w:t>
            </w:r>
          </w:p>
        </w:tc>
        <w:tc>
          <w:tcPr>
            <w:tcW w:w="0" w:type="auto"/>
            <w:shd w:val="clear" w:color="auto" w:fill="auto"/>
          </w:tcPr>
          <w:p w:rsidR="001C29D0" w:rsidRPr="00CF101E" w:rsidRDefault="001C29D0" w:rsidP="00CF101E">
            <w:pPr>
              <w:pStyle w:val="ListParagraph"/>
              <w:ind w:left="0"/>
              <w:jc w:val="both"/>
            </w:pPr>
            <w:r w:rsidRPr="00CF101E">
              <w:t>5.657.523,12 eura uz valutnu klauzulu</w:t>
            </w:r>
          </w:p>
          <w:p w:rsidR="001C29D0" w:rsidRPr="00CF101E" w:rsidRDefault="001C29D0" w:rsidP="00CF101E">
            <w:pPr>
              <w:pStyle w:val="ListParagraph"/>
              <w:ind w:left="0"/>
              <w:jc w:val="both"/>
            </w:pPr>
          </w:p>
        </w:tc>
      </w:tr>
      <w:tr w:rsidR="00CF101E" w:rsidRPr="00CF101E" w:rsidTr="0021608A">
        <w:trPr>
          <w:trHeight w:val="249"/>
          <w:jc w:val="center"/>
        </w:trPr>
        <w:tc>
          <w:tcPr>
            <w:tcW w:w="0" w:type="auto"/>
            <w:shd w:val="clear" w:color="auto" w:fill="FFFFFF" w:themeFill="background1"/>
          </w:tcPr>
          <w:p w:rsidR="001C29D0" w:rsidRPr="00CF101E" w:rsidRDefault="001C29D0" w:rsidP="00255288">
            <w:pPr>
              <w:tabs>
                <w:tab w:val="left" w:pos="716"/>
              </w:tabs>
              <w:ind w:left="-106"/>
            </w:pPr>
            <w:r w:rsidRPr="00CF101E">
              <w:t>-</w:t>
            </w:r>
            <w:r w:rsidR="00255288">
              <w:tab/>
            </w:r>
            <w:r w:rsidRPr="00CF101E">
              <w:t>iznos naknade:</w:t>
            </w:r>
          </w:p>
        </w:tc>
        <w:tc>
          <w:tcPr>
            <w:tcW w:w="0" w:type="auto"/>
            <w:shd w:val="clear" w:color="auto" w:fill="auto"/>
          </w:tcPr>
          <w:p w:rsidR="001C29D0" w:rsidRPr="00CF101E" w:rsidRDefault="005141DA" w:rsidP="00CF101E">
            <w:pPr>
              <w:pStyle w:val="ListParagraph"/>
              <w:ind w:left="0"/>
              <w:jc w:val="both"/>
            </w:pPr>
            <w:r w:rsidRPr="00CF101E">
              <w:t>15</w:t>
            </w:r>
            <w:r w:rsidR="001C29D0" w:rsidRPr="00CF101E">
              <w:t>6.000,00 eura uz valutnu klauzulu</w:t>
            </w:r>
          </w:p>
          <w:p w:rsidR="001C29D0" w:rsidRPr="00CF101E" w:rsidRDefault="001C29D0" w:rsidP="00CF101E">
            <w:pPr>
              <w:pStyle w:val="ListParagraph"/>
              <w:ind w:left="0"/>
              <w:jc w:val="both"/>
            </w:pPr>
          </w:p>
        </w:tc>
      </w:tr>
      <w:tr w:rsidR="00CF101E" w:rsidRPr="00CF101E" w:rsidTr="0021608A">
        <w:trPr>
          <w:trHeight w:val="249"/>
          <w:jc w:val="center"/>
        </w:trPr>
        <w:tc>
          <w:tcPr>
            <w:tcW w:w="0" w:type="auto"/>
            <w:shd w:val="clear" w:color="auto" w:fill="FFFFFF" w:themeFill="background1"/>
          </w:tcPr>
          <w:p w:rsidR="001C29D0" w:rsidRPr="00CF101E" w:rsidRDefault="001C29D0" w:rsidP="00255288">
            <w:pPr>
              <w:tabs>
                <w:tab w:val="left" w:pos="707"/>
              </w:tabs>
              <w:ind w:left="-106"/>
            </w:pPr>
            <w:r w:rsidRPr="00CF101E">
              <w:t>-</w:t>
            </w:r>
            <w:r w:rsidR="00255288">
              <w:tab/>
            </w:r>
            <w:r w:rsidRPr="00CF101E">
              <w:t>efektivna kamatna stopa:</w:t>
            </w:r>
          </w:p>
        </w:tc>
        <w:tc>
          <w:tcPr>
            <w:tcW w:w="0" w:type="auto"/>
            <w:shd w:val="clear" w:color="auto" w:fill="auto"/>
          </w:tcPr>
          <w:p w:rsidR="001C29D0" w:rsidRPr="00CF101E" w:rsidRDefault="001C29D0" w:rsidP="00CF101E">
            <w:pPr>
              <w:pStyle w:val="ListParagraph"/>
              <w:ind w:left="0"/>
              <w:jc w:val="both"/>
            </w:pPr>
            <w:r w:rsidRPr="00CF101E">
              <w:t>1,37</w:t>
            </w:r>
            <w:r w:rsidR="003626A7">
              <w:t xml:space="preserve"> </w:t>
            </w:r>
            <w:r w:rsidRPr="00CF101E">
              <w:t>%</w:t>
            </w:r>
          </w:p>
          <w:p w:rsidR="001C29D0" w:rsidRPr="00CF101E" w:rsidRDefault="001C29D0" w:rsidP="00CF101E">
            <w:pPr>
              <w:pStyle w:val="ListParagraph"/>
              <w:ind w:left="0"/>
              <w:jc w:val="both"/>
            </w:pPr>
          </w:p>
        </w:tc>
      </w:tr>
      <w:tr w:rsidR="00CF101E" w:rsidRPr="00CF101E" w:rsidTr="0021608A">
        <w:trPr>
          <w:trHeight w:val="249"/>
          <w:jc w:val="center"/>
        </w:trPr>
        <w:tc>
          <w:tcPr>
            <w:tcW w:w="0" w:type="auto"/>
            <w:shd w:val="clear" w:color="auto" w:fill="FFFFFF" w:themeFill="background1"/>
          </w:tcPr>
          <w:p w:rsidR="001C29D0" w:rsidRPr="00CF101E" w:rsidRDefault="001C29D0" w:rsidP="00255288">
            <w:pPr>
              <w:tabs>
                <w:tab w:val="left" w:pos="745"/>
              </w:tabs>
              <w:ind w:left="745" w:hanging="851"/>
            </w:pPr>
            <w:r w:rsidRPr="00CF101E">
              <w:t>-</w:t>
            </w:r>
            <w:r w:rsidR="00255288">
              <w:tab/>
            </w:r>
            <w:r w:rsidRPr="00CF101E">
              <w:t>cijena ponude (uključuje kamate, naknade i ostale troškove bez glavnice kredita):</w:t>
            </w:r>
          </w:p>
        </w:tc>
        <w:tc>
          <w:tcPr>
            <w:tcW w:w="0" w:type="auto"/>
            <w:shd w:val="clear" w:color="auto" w:fill="auto"/>
          </w:tcPr>
          <w:p w:rsidR="001C29D0" w:rsidRPr="00CF101E" w:rsidRDefault="001C29D0" w:rsidP="00CF101E">
            <w:pPr>
              <w:pStyle w:val="ListParagraph"/>
              <w:ind w:left="0"/>
              <w:jc w:val="both"/>
            </w:pPr>
            <w:r w:rsidRPr="00CF101E">
              <w:t>5.813.523,12 eura uz valutnu klauzulu</w:t>
            </w:r>
          </w:p>
        </w:tc>
      </w:tr>
      <w:bookmarkEnd w:id="1"/>
    </w:tbl>
    <w:p w:rsidR="00BD3B53" w:rsidRPr="00CF101E" w:rsidRDefault="00BD3B53" w:rsidP="00CF101E">
      <w:pPr>
        <w:jc w:val="center"/>
        <w:rPr>
          <w:b/>
        </w:rPr>
      </w:pPr>
    </w:p>
    <w:p w:rsidR="006A5891" w:rsidRPr="00CF101E" w:rsidRDefault="006A5891" w:rsidP="00CF101E">
      <w:pPr>
        <w:jc w:val="center"/>
        <w:rPr>
          <w:b/>
        </w:rPr>
      </w:pPr>
      <w:r w:rsidRPr="00CF101E">
        <w:rPr>
          <w:b/>
        </w:rPr>
        <w:t>III.</w:t>
      </w:r>
    </w:p>
    <w:p w:rsidR="006A5891" w:rsidRPr="00CF101E" w:rsidRDefault="006A5891" w:rsidP="00CF101E">
      <w:pPr>
        <w:jc w:val="center"/>
        <w:rPr>
          <w:b/>
        </w:rPr>
      </w:pPr>
    </w:p>
    <w:p w:rsidR="006A5891" w:rsidRPr="00CF101E" w:rsidRDefault="006A5891" w:rsidP="00CF101E">
      <w:pPr>
        <w:ind w:firstLine="1418"/>
        <w:jc w:val="both"/>
        <w:rPr>
          <w:rFonts w:eastAsia="Calibri"/>
        </w:rPr>
      </w:pPr>
      <w:r w:rsidRPr="00CF101E">
        <w:rPr>
          <w:rFonts w:eastAsia="Calibri"/>
        </w:rPr>
        <w:t xml:space="preserve">Izdavanje jamstva iz točke I. ove Odluke uvjetuje se sklapanjem </w:t>
      </w:r>
      <w:r w:rsidR="003626A7">
        <w:rPr>
          <w:rFonts w:eastAsia="Calibri"/>
        </w:rPr>
        <w:t>u</w:t>
      </w:r>
      <w:r w:rsidRPr="00CF101E">
        <w:rPr>
          <w:rFonts w:eastAsia="Calibri"/>
        </w:rPr>
        <w:t>govora o izdavanju jamstva između Ministarstva financija, Ministarstva mora, prometa i infrastrukture i društva</w:t>
      </w:r>
      <w:r w:rsidR="00EA1744" w:rsidRPr="00CF101E">
        <w:t xml:space="preserve"> </w:t>
      </w:r>
      <w:r w:rsidR="00654742" w:rsidRPr="00CF101E">
        <w:t xml:space="preserve">Autocesta Rijeka-Zagreb </w:t>
      </w:r>
      <w:r w:rsidR="003F4981" w:rsidRPr="00CF101E">
        <w:t>d.d.</w:t>
      </w:r>
      <w:r w:rsidRPr="00CF101E">
        <w:rPr>
          <w:rFonts w:eastAsia="Calibri"/>
        </w:rPr>
        <w:t>, radi reguliranja obveza i odgovornosti, u svrhu</w:t>
      </w:r>
      <w:r w:rsidR="003F4981" w:rsidRPr="00CF101E">
        <w:rPr>
          <w:rFonts w:eastAsia="Calibri"/>
        </w:rPr>
        <w:t xml:space="preserve"> </w:t>
      </w:r>
      <w:r w:rsidR="00382FEA" w:rsidRPr="00CF101E">
        <w:t>financiranja P</w:t>
      </w:r>
      <w:r w:rsidR="003F4981" w:rsidRPr="00CF101E">
        <w:t xml:space="preserve">lana poslovanja </w:t>
      </w:r>
      <w:r w:rsidR="00C26C90" w:rsidRPr="00CF101E">
        <w:t>za</w:t>
      </w:r>
      <w:r w:rsidR="00382FEA" w:rsidRPr="00CF101E">
        <w:t xml:space="preserve"> </w:t>
      </w:r>
      <w:r w:rsidR="003F4981" w:rsidRPr="00CF101E">
        <w:t>2019.</w:t>
      </w:r>
      <w:r w:rsidR="00382FEA" w:rsidRPr="00CF101E">
        <w:t xml:space="preserve"> </w:t>
      </w:r>
      <w:r w:rsidR="003F4981" w:rsidRPr="00CF101E">
        <w:t>g</w:t>
      </w:r>
      <w:r w:rsidR="00C26C90" w:rsidRPr="00CF101E">
        <w:t>odinu</w:t>
      </w:r>
      <w:r w:rsidR="00382FEA" w:rsidRPr="00CF101E">
        <w:t xml:space="preserve"> i dijela P</w:t>
      </w:r>
      <w:r w:rsidR="003F4981" w:rsidRPr="00CF101E">
        <w:t xml:space="preserve">lana poslovanja </w:t>
      </w:r>
      <w:r w:rsidR="00C26C90" w:rsidRPr="00CF101E">
        <w:t>za</w:t>
      </w:r>
      <w:r w:rsidR="00382FEA" w:rsidRPr="00CF101E">
        <w:t xml:space="preserve"> </w:t>
      </w:r>
      <w:r w:rsidR="003F4981" w:rsidRPr="00CF101E">
        <w:t>2020.</w:t>
      </w:r>
      <w:r w:rsidR="00C26C90" w:rsidRPr="00CF101E">
        <w:t xml:space="preserve"> godinu</w:t>
      </w:r>
      <w:r w:rsidRPr="00CF101E">
        <w:rPr>
          <w:rFonts w:eastAsia="Calibri"/>
        </w:rPr>
        <w:t xml:space="preserve"> i davanja jamstva iz točke I. ove Odluke do njegove konačne otplate te osiguranja povrata sredstava u slučaju aktiviranja državnog jamstva. </w:t>
      </w:r>
    </w:p>
    <w:p w:rsidR="006A5891" w:rsidRPr="00CF101E" w:rsidRDefault="006A5891" w:rsidP="00255288">
      <w:pPr>
        <w:jc w:val="center"/>
        <w:rPr>
          <w:rFonts w:eastAsia="Calibri"/>
        </w:rPr>
      </w:pPr>
    </w:p>
    <w:p w:rsidR="006A5891" w:rsidRPr="00CF101E" w:rsidRDefault="006A5891" w:rsidP="00255288">
      <w:pPr>
        <w:jc w:val="center"/>
        <w:rPr>
          <w:rFonts w:eastAsia="Calibri"/>
          <w:b/>
        </w:rPr>
      </w:pPr>
      <w:r w:rsidRPr="00CF101E">
        <w:rPr>
          <w:rFonts w:eastAsia="Calibri"/>
          <w:b/>
        </w:rPr>
        <w:t>IV.</w:t>
      </w:r>
    </w:p>
    <w:p w:rsidR="006A5891" w:rsidRPr="00CF101E" w:rsidRDefault="006A5891" w:rsidP="00255288">
      <w:pPr>
        <w:jc w:val="center"/>
        <w:rPr>
          <w:rFonts w:eastAsia="Calibri"/>
          <w:b/>
        </w:rPr>
      </w:pPr>
    </w:p>
    <w:p w:rsidR="006A5891" w:rsidRPr="00CF101E" w:rsidRDefault="006A5891" w:rsidP="00CF101E">
      <w:pPr>
        <w:ind w:firstLine="1418"/>
        <w:jc w:val="both"/>
        <w:rPr>
          <w:rFonts w:eastAsia="Calibri"/>
        </w:rPr>
      </w:pPr>
      <w:r w:rsidRPr="00CF101E">
        <w:rPr>
          <w:rFonts w:eastAsia="Calibri"/>
        </w:rPr>
        <w:t>Ugovor o izdavanju jamstva iz točke III. ove Odluke u sebi obvezatno sadrži odredbe kojima:</w:t>
      </w:r>
    </w:p>
    <w:p w:rsidR="006A5891" w:rsidRPr="00CF101E" w:rsidRDefault="006A5891" w:rsidP="00CF101E">
      <w:pPr>
        <w:ind w:right="22"/>
        <w:jc w:val="both"/>
        <w:rPr>
          <w:rFonts w:eastAsia="Calibri"/>
        </w:rPr>
      </w:pPr>
    </w:p>
    <w:p w:rsidR="006A5891" w:rsidRPr="00CF101E" w:rsidRDefault="006A5891" w:rsidP="00255288">
      <w:pPr>
        <w:numPr>
          <w:ilvl w:val="0"/>
          <w:numId w:val="14"/>
        </w:numPr>
        <w:ind w:left="709" w:right="22" w:hanging="709"/>
        <w:contextualSpacing/>
        <w:jc w:val="both"/>
        <w:rPr>
          <w:bCs/>
          <w:lang w:eastAsia="hr-HR"/>
        </w:rPr>
      </w:pPr>
      <w:r w:rsidRPr="00CF101E">
        <w:rPr>
          <w:bCs/>
          <w:lang w:eastAsia="hr-HR"/>
        </w:rPr>
        <w:t xml:space="preserve">Korisnik kredita obvezuje </w:t>
      </w:r>
      <w:r w:rsidR="006E59AF">
        <w:rPr>
          <w:bCs/>
          <w:lang w:eastAsia="hr-HR"/>
        </w:rPr>
        <w:t xml:space="preserve">se </w:t>
      </w:r>
      <w:r w:rsidRPr="00CF101E">
        <w:rPr>
          <w:bCs/>
          <w:lang w:eastAsia="hr-HR"/>
        </w:rPr>
        <w:t xml:space="preserve">da će u potpunosti i na vrijeme izvršavati sve svoje ugovorne obveze prema davatelju kredita u skladu sa sklopljenim </w:t>
      </w:r>
      <w:r w:rsidR="006E59AF">
        <w:rPr>
          <w:bCs/>
          <w:lang w:eastAsia="hr-HR"/>
        </w:rPr>
        <w:t>u</w:t>
      </w:r>
      <w:r w:rsidRPr="00CF101E">
        <w:rPr>
          <w:bCs/>
          <w:lang w:eastAsia="hr-HR"/>
        </w:rPr>
        <w:t>govorom o kredit</w:t>
      </w:r>
      <w:r w:rsidR="00382FEA" w:rsidRPr="00CF101E">
        <w:rPr>
          <w:bCs/>
          <w:lang w:eastAsia="hr-HR"/>
        </w:rPr>
        <w:t>u i njemu pripadajućih dodataka.</w:t>
      </w:r>
    </w:p>
    <w:p w:rsidR="006A5891" w:rsidRPr="00CF101E" w:rsidRDefault="006A5891" w:rsidP="00255288">
      <w:pPr>
        <w:ind w:left="709" w:right="22" w:hanging="709"/>
        <w:contextualSpacing/>
        <w:jc w:val="both"/>
        <w:rPr>
          <w:bCs/>
          <w:lang w:eastAsia="hr-HR"/>
        </w:rPr>
      </w:pPr>
    </w:p>
    <w:p w:rsidR="006A5891" w:rsidRPr="00CF101E" w:rsidRDefault="0094044E" w:rsidP="00255288">
      <w:pPr>
        <w:numPr>
          <w:ilvl w:val="0"/>
          <w:numId w:val="14"/>
        </w:numPr>
        <w:ind w:left="709" w:right="22" w:hanging="709"/>
        <w:contextualSpacing/>
        <w:jc w:val="both"/>
        <w:rPr>
          <w:bCs/>
          <w:lang w:eastAsia="hr-HR"/>
        </w:rPr>
      </w:pPr>
      <w:r w:rsidRPr="00CF101E">
        <w:rPr>
          <w:bCs/>
          <w:lang w:eastAsia="hr-HR"/>
        </w:rPr>
        <w:t>Pripadajući doda</w:t>
      </w:r>
      <w:r w:rsidR="006A5891" w:rsidRPr="00CF101E">
        <w:rPr>
          <w:bCs/>
          <w:lang w:eastAsia="hr-HR"/>
        </w:rPr>
        <w:t xml:space="preserve">ci </w:t>
      </w:r>
      <w:r w:rsidR="006E59AF">
        <w:rPr>
          <w:bCs/>
          <w:lang w:eastAsia="hr-HR"/>
        </w:rPr>
        <w:t>u</w:t>
      </w:r>
      <w:r w:rsidR="006A5891" w:rsidRPr="00CF101E">
        <w:rPr>
          <w:bCs/>
          <w:lang w:eastAsia="hr-HR"/>
        </w:rPr>
        <w:t xml:space="preserve">govora o kredita mogu se sklapati isključivo ako su u skladu s odredbama važećeg </w:t>
      </w:r>
      <w:r w:rsidR="006E59AF">
        <w:rPr>
          <w:bCs/>
          <w:lang w:eastAsia="hr-HR"/>
        </w:rPr>
        <w:t>z</w:t>
      </w:r>
      <w:r w:rsidR="006A5891" w:rsidRPr="00CF101E">
        <w:rPr>
          <w:bCs/>
          <w:lang w:eastAsia="hr-HR"/>
        </w:rPr>
        <w:t>akona o</w:t>
      </w:r>
      <w:r w:rsidR="00382FEA" w:rsidRPr="00CF101E">
        <w:rPr>
          <w:bCs/>
          <w:lang w:eastAsia="hr-HR"/>
        </w:rPr>
        <w:t xml:space="preserve"> izvršavanju </w:t>
      </w:r>
      <w:r w:rsidR="006E59AF">
        <w:rPr>
          <w:bCs/>
          <w:lang w:eastAsia="hr-HR"/>
        </w:rPr>
        <w:t>d</w:t>
      </w:r>
      <w:r w:rsidR="00382FEA" w:rsidRPr="00CF101E">
        <w:rPr>
          <w:bCs/>
          <w:lang w:eastAsia="hr-HR"/>
        </w:rPr>
        <w:t>ržavnog proračuna</w:t>
      </w:r>
      <w:r w:rsidR="006E59AF">
        <w:rPr>
          <w:bCs/>
          <w:lang w:eastAsia="hr-HR"/>
        </w:rPr>
        <w:t xml:space="preserve"> Republike Hrvatske</w:t>
      </w:r>
      <w:r w:rsidR="00382FEA" w:rsidRPr="00CF101E">
        <w:rPr>
          <w:bCs/>
          <w:lang w:eastAsia="hr-HR"/>
        </w:rPr>
        <w:t>.</w:t>
      </w:r>
    </w:p>
    <w:p w:rsidR="006A5891" w:rsidRPr="00CF101E" w:rsidRDefault="006A5891" w:rsidP="00255288">
      <w:pPr>
        <w:ind w:left="709" w:right="22" w:hanging="709"/>
        <w:jc w:val="both"/>
        <w:rPr>
          <w:bCs/>
        </w:rPr>
      </w:pPr>
    </w:p>
    <w:p w:rsidR="006A5891" w:rsidRPr="00CF101E" w:rsidRDefault="006A5891" w:rsidP="00255288">
      <w:pPr>
        <w:numPr>
          <w:ilvl w:val="0"/>
          <w:numId w:val="14"/>
        </w:numPr>
        <w:ind w:left="709" w:right="22" w:hanging="709"/>
        <w:contextualSpacing/>
        <w:jc w:val="both"/>
        <w:rPr>
          <w:bCs/>
          <w:lang w:eastAsia="hr-HR"/>
        </w:rPr>
      </w:pPr>
      <w:r w:rsidRPr="00CF101E">
        <w:rPr>
          <w:bCs/>
          <w:lang w:eastAsia="hr-HR"/>
        </w:rPr>
        <w:t xml:space="preserve">Korisnik kredita obvezuje </w:t>
      </w:r>
      <w:r w:rsidR="00C02106">
        <w:rPr>
          <w:bCs/>
          <w:lang w:eastAsia="hr-HR"/>
        </w:rPr>
        <w:t xml:space="preserve">se </w:t>
      </w:r>
      <w:r w:rsidRPr="00CF101E">
        <w:rPr>
          <w:bCs/>
          <w:lang w:eastAsia="hr-HR"/>
        </w:rPr>
        <w:t xml:space="preserve">koristiti kredit za ugovorenu namjenu i na način, u skladu sa sklopljenim </w:t>
      </w:r>
      <w:r w:rsidR="00C02106">
        <w:rPr>
          <w:bCs/>
          <w:lang w:eastAsia="hr-HR"/>
        </w:rPr>
        <w:t>u</w:t>
      </w:r>
      <w:r w:rsidRPr="00CF101E">
        <w:rPr>
          <w:bCs/>
          <w:lang w:eastAsia="hr-HR"/>
        </w:rPr>
        <w:t>govorom o kredit</w:t>
      </w:r>
      <w:r w:rsidR="00382FEA" w:rsidRPr="00CF101E">
        <w:rPr>
          <w:bCs/>
          <w:lang w:eastAsia="hr-HR"/>
        </w:rPr>
        <w:t>u i njemu pripadajućih dodataka.</w:t>
      </w:r>
    </w:p>
    <w:p w:rsidR="006A5891" w:rsidRDefault="006A5891" w:rsidP="00255288">
      <w:pPr>
        <w:ind w:left="709" w:right="22" w:hanging="709"/>
        <w:jc w:val="both"/>
        <w:rPr>
          <w:bCs/>
        </w:rPr>
      </w:pPr>
    </w:p>
    <w:p w:rsidR="00072256" w:rsidRDefault="00072256" w:rsidP="00255288">
      <w:pPr>
        <w:ind w:left="709" w:right="22" w:hanging="709"/>
        <w:jc w:val="both"/>
        <w:rPr>
          <w:bCs/>
        </w:rPr>
      </w:pPr>
    </w:p>
    <w:p w:rsidR="00072256" w:rsidRDefault="00072256" w:rsidP="00255288">
      <w:pPr>
        <w:ind w:left="709" w:right="22" w:hanging="709"/>
        <w:jc w:val="both"/>
        <w:rPr>
          <w:bCs/>
        </w:rPr>
      </w:pPr>
    </w:p>
    <w:p w:rsidR="00072256" w:rsidRPr="00CF101E" w:rsidRDefault="00072256" w:rsidP="00255288">
      <w:pPr>
        <w:ind w:left="709" w:right="22" w:hanging="709"/>
        <w:jc w:val="both"/>
        <w:rPr>
          <w:bCs/>
        </w:rPr>
      </w:pPr>
    </w:p>
    <w:p w:rsidR="006A5891" w:rsidRPr="00255288" w:rsidRDefault="006A5891" w:rsidP="00255288">
      <w:pPr>
        <w:numPr>
          <w:ilvl w:val="0"/>
          <w:numId w:val="14"/>
        </w:numPr>
        <w:ind w:left="709" w:right="22" w:hanging="709"/>
        <w:contextualSpacing/>
        <w:jc w:val="both"/>
        <w:rPr>
          <w:bCs/>
          <w:lang w:eastAsia="hr-HR"/>
        </w:rPr>
      </w:pPr>
      <w:r w:rsidRPr="00CF101E">
        <w:rPr>
          <w:bCs/>
          <w:lang w:eastAsia="hr-HR"/>
        </w:rPr>
        <w:t xml:space="preserve">Korisnik kredita dužan </w:t>
      </w:r>
      <w:r w:rsidR="009243A4">
        <w:rPr>
          <w:bCs/>
          <w:lang w:eastAsia="hr-HR"/>
        </w:rPr>
        <w:t xml:space="preserve">je </w:t>
      </w:r>
      <w:r w:rsidRPr="00CF101E">
        <w:rPr>
          <w:bCs/>
          <w:lang w:eastAsia="hr-HR"/>
        </w:rPr>
        <w:t xml:space="preserve">osigurati pravovremenu izradu i dostavu izvješća o namjenskom trošenju sredstava iz </w:t>
      </w:r>
      <w:r w:rsidR="009243A4">
        <w:rPr>
          <w:bCs/>
          <w:lang w:eastAsia="hr-HR"/>
        </w:rPr>
        <w:t>u</w:t>
      </w:r>
      <w:r w:rsidRPr="00CF101E">
        <w:rPr>
          <w:bCs/>
          <w:lang w:eastAsia="hr-HR"/>
        </w:rPr>
        <w:t>govora o kreditu i njemu pripadajućih dodataka.</w:t>
      </w:r>
      <w:r w:rsidR="00255288">
        <w:rPr>
          <w:bCs/>
          <w:lang w:eastAsia="hr-HR"/>
        </w:rPr>
        <w:t xml:space="preserve"> </w:t>
      </w:r>
      <w:r w:rsidRPr="00255288">
        <w:rPr>
          <w:bCs/>
          <w:lang w:eastAsia="hr-HR"/>
        </w:rPr>
        <w:t xml:space="preserve">Izvješće o namjenskom trošenju sredstava izrađuje se sukladno sklopljenom </w:t>
      </w:r>
      <w:r w:rsidR="009243A4">
        <w:rPr>
          <w:bCs/>
          <w:lang w:eastAsia="hr-HR"/>
        </w:rPr>
        <w:t>u</w:t>
      </w:r>
      <w:r w:rsidRPr="00255288">
        <w:rPr>
          <w:bCs/>
          <w:lang w:eastAsia="hr-HR"/>
        </w:rPr>
        <w:t>govoru o kreditu i njemu pripadajućih dodataka, a ukoliko istima nije određen nositelj odnosno obveznik izrade izvješća, izvješće je dužan izraditi korisnik kredita.</w:t>
      </w:r>
      <w:r w:rsidR="00255288">
        <w:rPr>
          <w:bCs/>
          <w:lang w:eastAsia="hr-HR"/>
        </w:rPr>
        <w:t xml:space="preserve"> </w:t>
      </w:r>
      <w:r w:rsidRPr="00255288">
        <w:rPr>
          <w:bCs/>
          <w:lang w:eastAsia="hr-HR"/>
        </w:rPr>
        <w:t>Nositelj odnosno obveznik izrade izvješća, dostavlja izvješće nadležnom Ministarstvu mora, prometa i infrastrukture i Ministarstvu financija, do 15. u mjesecu za prethodno tromjesečje, a po potrebi i na zahtjev Ministarstvu mora, prometa i infrastrukture i češće.</w:t>
      </w:r>
    </w:p>
    <w:p w:rsidR="006A5891" w:rsidRPr="00CF101E" w:rsidRDefault="006A5891" w:rsidP="00255288">
      <w:pPr>
        <w:ind w:left="709" w:right="22" w:hanging="709"/>
        <w:jc w:val="both"/>
        <w:rPr>
          <w:bCs/>
        </w:rPr>
      </w:pPr>
    </w:p>
    <w:p w:rsidR="006A5891" w:rsidRPr="00CF101E" w:rsidRDefault="006A5891" w:rsidP="00255288">
      <w:pPr>
        <w:numPr>
          <w:ilvl w:val="0"/>
          <w:numId w:val="14"/>
        </w:numPr>
        <w:overflowPunct w:val="0"/>
        <w:autoSpaceDE w:val="0"/>
        <w:autoSpaceDN w:val="0"/>
        <w:adjustRightInd w:val="0"/>
        <w:ind w:left="709" w:hanging="709"/>
        <w:contextualSpacing/>
        <w:jc w:val="both"/>
        <w:textAlignment w:val="baseline"/>
        <w:rPr>
          <w:lang w:eastAsia="hr-HR"/>
        </w:rPr>
      </w:pPr>
      <w:r w:rsidRPr="00CF101E">
        <w:rPr>
          <w:lang w:eastAsia="hr-HR"/>
        </w:rPr>
        <w:t xml:space="preserve">Korisnik kredita obvezuje </w:t>
      </w:r>
      <w:r w:rsidR="009243A4">
        <w:rPr>
          <w:lang w:eastAsia="hr-HR"/>
        </w:rPr>
        <w:t xml:space="preserve">se </w:t>
      </w:r>
      <w:r w:rsidRPr="00CF101E">
        <w:rPr>
          <w:bCs/>
          <w:lang w:eastAsia="hr-HR"/>
        </w:rPr>
        <w:t xml:space="preserve">Ministarstvu mora, prometa i infrastrukture </w:t>
      </w:r>
      <w:r w:rsidRPr="00CF101E">
        <w:rPr>
          <w:lang w:eastAsia="hr-HR"/>
        </w:rPr>
        <w:t xml:space="preserve">omogućiti provedbu tehničke i financijske kontrole, te provedbu općeg nadzora i namjenskog trošenja sredstava iz </w:t>
      </w:r>
      <w:r w:rsidR="00D63379">
        <w:rPr>
          <w:lang w:eastAsia="hr-HR"/>
        </w:rPr>
        <w:t>u</w:t>
      </w:r>
      <w:r w:rsidRPr="00CF101E">
        <w:rPr>
          <w:lang w:eastAsia="hr-HR"/>
        </w:rPr>
        <w:t>govora o kreditu i njemu pripadajućih dodataka.</w:t>
      </w:r>
    </w:p>
    <w:p w:rsidR="006A5891" w:rsidRPr="00CF101E" w:rsidRDefault="006A5891" w:rsidP="00255288">
      <w:pPr>
        <w:overflowPunct w:val="0"/>
        <w:autoSpaceDE w:val="0"/>
        <w:autoSpaceDN w:val="0"/>
        <w:adjustRightInd w:val="0"/>
        <w:ind w:left="709" w:hanging="709"/>
        <w:jc w:val="both"/>
        <w:textAlignment w:val="baseline"/>
        <w:rPr>
          <w:lang w:eastAsia="hr-HR"/>
        </w:rPr>
      </w:pPr>
    </w:p>
    <w:p w:rsidR="006A5891" w:rsidRPr="00CF101E" w:rsidRDefault="006A5891" w:rsidP="00255288">
      <w:pPr>
        <w:numPr>
          <w:ilvl w:val="0"/>
          <w:numId w:val="14"/>
        </w:numPr>
        <w:overflowPunct w:val="0"/>
        <w:autoSpaceDE w:val="0"/>
        <w:autoSpaceDN w:val="0"/>
        <w:adjustRightInd w:val="0"/>
        <w:ind w:left="709" w:hanging="709"/>
        <w:contextualSpacing/>
        <w:jc w:val="both"/>
        <w:textAlignment w:val="baseline"/>
        <w:rPr>
          <w:lang w:eastAsia="hr-HR"/>
        </w:rPr>
      </w:pPr>
      <w:r w:rsidRPr="00CF101E">
        <w:rPr>
          <w:lang w:eastAsia="hr-HR"/>
        </w:rPr>
        <w:t xml:space="preserve">Korisnik kredita obvezuje </w:t>
      </w:r>
      <w:r w:rsidR="00D63379">
        <w:rPr>
          <w:lang w:eastAsia="hr-HR"/>
        </w:rPr>
        <w:t xml:space="preserve">se </w:t>
      </w:r>
      <w:r w:rsidRPr="00CF101E">
        <w:rPr>
          <w:lang w:eastAsia="hr-HR"/>
        </w:rPr>
        <w:t xml:space="preserve">izvijestiti </w:t>
      </w:r>
      <w:r w:rsidRPr="00CF101E">
        <w:rPr>
          <w:bCs/>
          <w:lang w:eastAsia="hr-HR"/>
        </w:rPr>
        <w:t>Ministarstv</w:t>
      </w:r>
      <w:r w:rsidR="002B2F08" w:rsidRPr="00CF101E">
        <w:rPr>
          <w:bCs/>
          <w:lang w:eastAsia="hr-HR"/>
        </w:rPr>
        <w:t>o</w:t>
      </w:r>
      <w:r w:rsidRPr="00CF101E">
        <w:rPr>
          <w:bCs/>
          <w:lang w:eastAsia="hr-HR"/>
        </w:rPr>
        <w:t xml:space="preserve"> mora, prometa i infrastrukture </w:t>
      </w:r>
      <w:r w:rsidRPr="00CF101E">
        <w:rPr>
          <w:lang w:eastAsia="hr-HR"/>
        </w:rPr>
        <w:t>i Ministarstvo financija o nemogućnosti ispunjenja obveza za čije osiguranje Ministarstvo financija izdaje jamstvo, najmanje 15 radnih dana prije roka u kojem davatelj kredita može pozvati Ministarstvo financija na plaćanje temeljem izdanog jamstva.</w:t>
      </w:r>
    </w:p>
    <w:p w:rsidR="006A5891" w:rsidRPr="00CF101E" w:rsidRDefault="006A5891" w:rsidP="00255288">
      <w:pPr>
        <w:overflowPunct w:val="0"/>
        <w:autoSpaceDE w:val="0"/>
        <w:autoSpaceDN w:val="0"/>
        <w:adjustRightInd w:val="0"/>
        <w:ind w:left="709" w:hanging="709"/>
        <w:jc w:val="both"/>
        <w:textAlignment w:val="baseline"/>
        <w:rPr>
          <w:lang w:eastAsia="hr-HR"/>
        </w:rPr>
      </w:pPr>
    </w:p>
    <w:p w:rsidR="006A5891" w:rsidRPr="00CF101E" w:rsidRDefault="006A5891" w:rsidP="00255288">
      <w:pPr>
        <w:numPr>
          <w:ilvl w:val="0"/>
          <w:numId w:val="14"/>
        </w:numPr>
        <w:overflowPunct w:val="0"/>
        <w:autoSpaceDE w:val="0"/>
        <w:autoSpaceDN w:val="0"/>
        <w:adjustRightInd w:val="0"/>
        <w:ind w:left="709" w:hanging="709"/>
        <w:contextualSpacing/>
        <w:jc w:val="both"/>
        <w:textAlignment w:val="baseline"/>
        <w:rPr>
          <w:lang w:eastAsia="hr-HR"/>
        </w:rPr>
      </w:pPr>
      <w:r w:rsidRPr="00CF101E">
        <w:rPr>
          <w:lang w:eastAsia="hr-HR"/>
        </w:rPr>
        <w:t xml:space="preserve">Ukoliko po izdanom jamstvu dođe do plaćanja iz sredstava </w:t>
      </w:r>
      <w:r w:rsidR="007670FC">
        <w:rPr>
          <w:lang w:eastAsia="hr-HR"/>
        </w:rPr>
        <w:t>d</w:t>
      </w:r>
      <w:r w:rsidRPr="00CF101E">
        <w:rPr>
          <w:lang w:eastAsia="hr-HR"/>
        </w:rPr>
        <w:t>ržavnog proračuna</w:t>
      </w:r>
      <w:r w:rsidR="007670FC">
        <w:rPr>
          <w:lang w:eastAsia="hr-HR"/>
        </w:rPr>
        <w:t xml:space="preserve"> Republike Hrvatske</w:t>
      </w:r>
      <w:r w:rsidRPr="00CF101E">
        <w:rPr>
          <w:lang w:eastAsia="hr-HR"/>
        </w:rPr>
        <w:t xml:space="preserve">, tako isplaćeni iznos smatra se dospjelim potraživanjem Ministarstva financija. Korisnik kredita obvezan je odmah Ministarstvu financija izvršiti povrat isplaćenih sredstava iz </w:t>
      </w:r>
      <w:r w:rsidR="00072256">
        <w:rPr>
          <w:lang w:eastAsia="hr-HR"/>
        </w:rPr>
        <w:t>d</w:t>
      </w:r>
      <w:r w:rsidRPr="00CF101E">
        <w:rPr>
          <w:lang w:eastAsia="hr-HR"/>
        </w:rPr>
        <w:t>ržavnog proračuna</w:t>
      </w:r>
      <w:r w:rsidR="00072256">
        <w:rPr>
          <w:lang w:eastAsia="hr-HR"/>
        </w:rPr>
        <w:t xml:space="preserve"> Republike Hrvatske</w:t>
      </w:r>
      <w:r w:rsidRPr="00CF101E">
        <w:rPr>
          <w:lang w:eastAsia="hr-HR"/>
        </w:rPr>
        <w:t>, nakon izvršenog plaćanja, uvećano za zakonsku zateznu kamatu sa svim pripadajućim troškovima.</w:t>
      </w:r>
    </w:p>
    <w:p w:rsidR="006A5891" w:rsidRPr="00CF101E" w:rsidRDefault="006A5891" w:rsidP="00255288">
      <w:pPr>
        <w:overflowPunct w:val="0"/>
        <w:autoSpaceDE w:val="0"/>
        <w:autoSpaceDN w:val="0"/>
        <w:adjustRightInd w:val="0"/>
        <w:ind w:left="709" w:hanging="709"/>
        <w:jc w:val="both"/>
        <w:textAlignment w:val="baseline"/>
        <w:rPr>
          <w:lang w:eastAsia="hr-HR"/>
        </w:rPr>
      </w:pPr>
    </w:p>
    <w:p w:rsidR="006A5891" w:rsidRPr="00CF101E" w:rsidRDefault="006A5891" w:rsidP="00255288">
      <w:pPr>
        <w:numPr>
          <w:ilvl w:val="0"/>
          <w:numId w:val="14"/>
        </w:numPr>
        <w:overflowPunct w:val="0"/>
        <w:autoSpaceDE w:val="0"/>
        <w:autoSpaceDN w:val="0"/>
        <w:adjustRightInd w:val="0"/>
        <w:ind w:left="709" w:hanging="709"/>
        <w:contextualSpacing/>
        <w:jc w:val="both"/>
        <w:textAlignment w:val="baseline"/>
        <w:rPr>
          <w:lang w:eastAsia="hr-HR"/>
        </w:rPr>
      </w:pPr>
      <w:r w:rsidRPr="00CF101E">
        <w:rPr>
          <w:lang w:eastAsia="hr-HR"/>
        </w:rPr>
        <w:t>Korisnik kredita snosi i eventualne tečajne razlike nastale u razdoblju između dana plaćanja obveza prema davatelju kredita i dana uplate pokrića.</w:t>
      </w:r>
    </w:p>
    <w:p w:rsidR="006A5891" w:rsidRPr="00CF101E" w:rsidRDefault="006A5891" w:rsidP="00255288">
      <w:pPr>
        <w:overflowPunct w:val="0"/>
        <w:autoSpaceDE w:val="0"/>
        <w:autoSpaceDN w:val="0"/>
        <w:adjustRightInd w:val="0"/>
        <w:ind w:left="709" w:hanging="709"/>
        <w:jc w:val="both"/>
        <w:textAlignment w:val="baseline"/>
        <w:rPr>
          <w:lang w:eastAsia="hr-HR"/>
        </w:rPr>
      </w:pPr>
    </w:p>
    <w:p w:rsidR="006A5891" w:rsidRPr="00CF101E" w:rsidRDefault="006A5891" w:rsidP="00255288">
      <w:pPr>
        <w:numPr>
          <w:ilvl w:val="0"/>
          <w:numId w:val="14"/>
        </w:numPr>
        <w:overflowPunct w:val="0"/>
        <w:autoSpaceDE w:val="0"/>
        <w:autoSpaceDN w:val="0"/>
        <w:adjustRightInd w:val="0"/>
        <w:ind w:left="709" w:hanging="709"/>
        <w:contextualSpacing/>
        <w:jc w:val="both"/>
        <w:textAlignment w:val="baseline"/>
        <w:rPr>
          <w:lang w:eastAsia="hr-HR"/>
        </w:rPr>
      </w:pPr>
      <w:r w:rsidRPr="00CF101E">
        <w:rPr>
          <w:lang w:eastAsia="hr-HR"/>
        </w:rPr>
        <w:t xml:space="preserve">Korisnik kredita obvezuje </w:t>
      </w:r>
      <w:r w:rsidR="00072256">
        <w:rPr>
          <w:lang w:eastAsia="hr-HR"/>
        </w:rPr>
        <w:t xml:space="preserve">se </w:t>
      </w:r>
      <w:r w:rsidRPr="00CF101E">
        <w:rPr>
          <w:lang w:eastAsia="hr-HR"/>
        </w:rPr>
        <w:t xml:space="preserve">platiti i sve ostale troškove koji se mogu javiti u zemlji i inozemstvu u vezi </w:t>
      </w:r>
      <w:r w:rsidR="00072256">
        <w:rPr>
          <w:lang w:eastAsia="hr-HR"/>
        </w:rPr>
        <w:t xml:space="preserve">s </w:t>
      </w:r>
      <w:r w:rsidRPr="00CF101E">
        <w:rPr>
          <w:lang w:eastAsia="hr-HR"/>
        </w:rPr>
        <w:t>jamstv</w:t>
      </w:r>
      <w:r w:rsidR="00072256">
        <w:rPr>
          <w:lang w:eastAsia="hr-HR"/>
        </w:rPr>
        <w:t>om</w:t>
      </w:r>
      <w:r w:rsidRPr="00CF101E">
        <w:rPr>
          <w:lang w:eastAsia="hr-HR"/>
        </w:rPr>
        <w:t>.</w:t>
      </w:r>
    </w:p>
    <w:p w:rsidR="006A5891" w:rsidRPr="00CF101E" w:rsidRDefault="006A5891" w:rsidP="00255288">
      <w:pPr>
        <w:ind w:left="709" w:right="22" w:hanging="709"/>
      </w:pPr>
    </w:p>
    <w:p w:rsidR="006A5891" w:rsidRPr="00CF101E" w:rsidRDefault="006A5891" w:rsidP="00255288">
      <w:pPr>
        <w:numPr>
          <w:ilvl w:val="0"/>
          <w:numId w:val="14"/>
        </w:numPr>
        <w:overflowPunct w:val="0"/>
        <w:autoSpaceDE w:val="0"/>
        <w:autoSpaceDN w:val="0"/>
        <w:adjustRightInd w:val="0"/>
        <w:ind w:left="709" w:hanging="709"/>
        <w:contextualSpacing/>
        <w:jc w:val="both"/>
        <w:textAlignment w:val="baseline"/>
        <w:rPr>
          <w:lang w:eastAsia="hr-HR"/>
        </w:rPr>
      </w:pPr>
      <w:r w:rsidRPr="00CF101E">
        <w:rPr>
          <w:lang w:eastAsia="hr-HR"/>
        </w:rPr>
        <w:t xml:space="preserve">Za osiguranje urednog izvršenja svih obveza koje mogu nastati po izdanom jamstvu iz </w:t>
      </w:r>
      <w:r w:rsidR="00072256">
        <w:rPr>
          <w:lang w:eastAsia="hr-HR"/>
        </w:rPr>
        <w:t>u</w:t>
      </w:r>
      <w:r w:rsidRPr="00CF101E">
        <w:rPr>
          <w:lang w:eastAsia="hr-HR"/>
        </w:rPr>
        <w:t xml:space="preserve">govora o kreditu i njemu pripadajućih dodataka, </w:t>
      </w:r>
      <w:r w:rsidR="00072256">
        <w:rPr>
          <w:lang w:eastAsia="hr-HR"/>
        </w:rPr>
        <w:t>k</w:t>
      </w:r>
      <w:r w:rsidRPr="00CF101E">
        <w:rPr>
          <w:lang w:eastAsia="hr-HR"/>
        </w:rPr>
        <w:t>orisnik kredita je obvezan dostaviti Ministarstvu financija:</w:t>
      </w:r>
    </w:p>
    <w:p w:rsidR="0035645D" w:rsidRPr="00CF101E" w:rsidRDefault="0035645D" w:rsidP="00CF101E">
      <w:pPr>
        <w:overflowPunct w:val="0"/>
        <w:autoSpaceDE w:val="0"/>
        <w:autoSpaceDN w:val="0"/>
        <w:adjustRightInd w:val="0"/>
        <w:jc w:val="both"/>
        <w:textAlignment w:val="baseline"/>
        <w:rPr>
          <w:lang w:eastAsia="hr-HR"/>
        </w:rPr>
      </w:pPr>
    </w:p>
    <w:p w:rsidR="006A5891" w:rsidRPr="00CF101E" w:rsidRDefault="006A5891" w:rsidP="00255288">
      <w:pPr>
        <w:numPr>
          <w:ilvl w:val="0"/>
          <w:numId w:val="20"/>
        </w:numPr>
        <w:overflowPunct w:val="0"/>
        <w:autoSpaceDE w:val="0"/>
        <w:autoSpaceDN w:val="0"/>
        <w:adjustRightInd w:val="0"/>
        <w:ind w:left="1418" w:hanging="709"/>
        <w:contextualSpacing/>
        <w:jc w:val="both"/>
        <w:textAlignment w:val="baseline"/>
        <w:rPr>
          <w:lang w:eastAsia="hr-HR"/>
        </w:rPr>
      </w:pPr>
      <w:r w:rsidRPr="00CF101E">
        <w:rPr>
          <w:lang w:eastAsia="hr-HR"/>
        </w:rPr>
        <w:t xml:space="preserve">javnobilježnički ovjerovljenu ispravu (zadužnicu) kojom </w:t>
      </w:r>
      <w:r w:rsidR="00072256">
        <w:rPr>
          <w:lang w:eastAsia="hr-HR"/>
        </w:rPr>
        <w:t>k</w:t>
      </w:r>
      <w:r w:rsidRPr="00CF101E">
        <w:rPr>
          <w:lang w:eastAsia="hr-HR"/>
        </w:rPr>
        <w:t xml:space="preserve">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00072256">
        <w:rPr>
          <w:lang w:eastAsia="hr-HR"/>
        </w:rPr>
        <w:t>u</w:t>
      </w:r>
      <w:r w:rsidRPr="00CF101E">
        <w:rPr>
          <w:lang w:eastAsia="hr-HR"/>
        </w:rPr>
        <w:t xml:space="preserve">govoru o kreditu te njemu pripadajućih dodataka, te </w:t>
      </w:r>
      <w:r w:rsidR="00072256">
        <w:rPr>
          <w:lang w:eastAsia="hr-HR"/>
        </w:rPr>
        <w:t>u</w:t>
      </w:r>
      <w:r w:rsidRPr="00CF101E">
        <w:rPr>
          <w:lang w:eastAsia="hr-HR"/>
        </w:rPr>
        <w:t>govoru o izdavanju</w:t>
      </w:r>
      <w:r w:rsidR="00C26C90" w:rsidRPr="00CF101E">
        <w:rPr>
          <w:lang w:eastAsia="hr-HR"/>
        </w:rPr>
        <w:t xml:space="preserve"> jamstva</w:t>
      </w:r>
      <w:r w:rsidRPr="00CF101E">
        <w:rPr>
          <w:lang w:eastAsia="hr-HR"/>
        </w:rPr>
        <w:t xml:space="preserve"> za uredno izmirenje dugoročnih obveza, a sve sukladno članku 215. Ovršnog zakona (Narodne novine, br</w:t>
      </w:r>
      <w:r w:rsidR="00072256">
        <w:rPr>
          <w:lang w:eastAsia="hr-HR"/>
        </w:rPr>
        <w:t>.</w:t>
      </w:r>
      <w:r w:rsidRPr="00CF101E">
        <w:rPr>
          <w:lang w:eastAsia="hr-HR"/>
        </w:rPr>
        <w:t xml:space="preserve"> 112/1</w:t>
      </w:r>
      <w:r w:rsidR="00B30E33" w:rsidRPr="00CF101E">
        <w:rPr>
          <w:lang w:eastAsia="hr-HR"/>
        </w:rPr>
        <w:t>2, 25/13, 93/14, 55/16 i 73/17)</w:t>
      </w:r>
    </w:p>
    <w:p w:rsidR="00B30E33" w:rsidRPr="00CF101E" w:rsidRDefault="00B30E33" w:rsidP="00255288">
      <w:pPr>
        <w:overflowPunct w:val="0"/>
        <w:autoSpaceDE w:val="0"/>
        <w:autoSpaceDN w:val="0"/>
        <w:adjustRightInd w:val="0"/>
        <w:ind w:left="1418" w:hanging="709"/>
        <w:contextualSpacing/>
        <w:jc w:val="both"/>
        <w:textAlignment w:val="baseline"/>
        <w:rPr>
          <w:lang w:eastAsia="hr-HR"/>
        </w:rPr>
      </w:pPr>
    </w:p>
    <w:p w:rsidR="006A5891" w:rsidRPr="00CF101E" w:rsidRDefault="006A5891" w:rsidP="00255288">
      <w:pPr>
        <w:numPr>
          <w:ilvl w:val="0"/>
          <w:numId w:val="20"/>
        </w:numPr>
        <w:overflowPunct w:val="0"/>
        <w:autoSpaceDE w:val="0"/>
        <w:autoSpaceDN w:val="0"/>
        <w:adjustRightInd w:val="0"/>
        <w:ind w:left="1418" w:hanging="709"/>
        <w:contextualSpacing/>
        <w:jc w:val="both"/>
        <w:textAlignment w:val="baseline"/>
        <w:rPr>
          <w:lang w:eastAsia="hr-HR"/>
        </w:rPr>
      </w:pPr>
      <w:r w:rsidRPr="00CF101E">
        <w:rPr>
          <w:lang w:eastAsia="hr-HR"/>
        </w:rPr>
        <w:t xml:space="preserve">deset komada vlastitih trasiranih bjanko akceptiranih mjenica, s potpisanom klauzulom </w:t>
      </w:r>
      <w:r w:rsidR="00072256">
        <w:rPr>
          <w:lang w:eastAsia="hr-HR"/>
        </w:rPr>
        <w:t>"</w:t>
      </w:r>
      <w:r w:rsidRPr="00CF101E">
        <w:rPr>
          <w:lang w:eastAsia="hr-HR"/>
        </w:rPr>
        <w:t>bez protesta</w:t>
      </w:r>
      <w:r w:rsidR="00072256">
        <w:rPr>
          <w:lang w:eastAsia="hr-HR"/>
        </w:rPr>
        <w:t>"</w:t>
      </w:r>
      <w:r w:rsidRPr="00CF101E">
        <w:rPr>
          <w:lang w:eastAsia="hr-HR"/>
        </w:rPr>
        <w:t xml:space="preserve"> i mjeničnim očitovanjem.</w:t>
      </w:r>
    </w:p>
    <w:p w:rsidR="006A5891" w:rsidRDefault="006A5891" w:rsidP="00255288">
      <w:pPr>
        <w:overflowPunct w:val="0"/>
        <w:autoSpaceDE w:val="0"/>
        <w:autoSpaceDN w:val="0"/>
        <w:adjustRightInd w:val="0"/>
        <w:jc w:val="center"/>
        <w:textAlignment w:val="baseline"/>
        <w:rPr>
          <w:b/>
          <w:lang w:eastAsia="hr-HR"/>
        </w:rPr>
      </w:pPr>
    </w:p>
    <w:p w:rsidR="00072256" w:rsidRDefault="00072256" w:rsidP="00255288">
      <w:pPr>
        <w:overflowPunct w:val="0"/>
        <w:autoSpaceDE w:val="0"/>
        <w:autoSpaceDN w:val="0"/>
        <w:adjustRightInd w:val="0"/>
        <w:jc w:val="center"/>
        <w:textAlignment w:val="baseline"/>
        <w:rPr>
          <w:b/>
          <w:lang w:eastAsia="hr-HR"/>
        </w:rPr>
      </w:pPr>
    </w:p>
    <w:p w:rsidR="00072256" w:rsidRDefault="00072256" w:rsidP="00255288">
      <w:pPr>
        <w:overflowPunct w:val="0"/>
        <w:autoSpaceDE w:val="0"/>
        <w:autoSpaceDN w:val="0"/>
        <w:adjustRightInd w:val="0"/>
        <w:jc w:val="center"/>
        <w:textAlignment w:val="baseline"/>
        <w:rPr>
          <w:b/>
          <w:lang w:eastAsia="hr-HR"/>
        </w:rPr>
      </w:pPr>
    </w:p>
    <w:p w:rsidR="00072256" w:rsidRPr="00255288" w:rsidRDefault="00072256" w:rsidP="00255288">
      <w:pPr>
        <w:overflowPunct w:val="0"/>
        <w:autoSpaceDE w:val="0"/>
        <w:autoSpaceDN w:val="0"/>
        <w:adjustRightInd w:val="0"/>
        <w:jc w:val="center"/>
        <w:textAlignment w:val="baseline"/>
        <w:rPr>
          <w:b/>
          <w:lang w:eastAsia="hr-HR"/>
        </w:rPr>
      </w:pPr>
    </w:p>
    <w:p w:rsidR="006A5891" w:rsidRPr="00255288" w:rsidRDefault="006A5891" w:rsidP="00255288">
      <w:pPr>
        <w:suppressAutoHyphens/>
        <w:autoSpaceDN w:val="0"/>
        <w:jc w:val="center"/>
        <w:textAlignment w:val="baseline"/>
        <w:rPr>
          <w:b/>
          <w:lang w:eastAsia="hr-HR"/>
        </w:rPr>
      </w:pPr>
      <w:r w:rsidRPr="00255288">
        <w:rPr>
          <w:b/>
          <w:lang w:eastAsia="hr-HR"/>
        </w:rPr>
        <w:t>V.</w:t>
      </w:r>
    </w:p>
    <w:p w:rsidR="006A5891" w:rsidRPr="00255288" w:rsidRDefault="006A5891" w:rsidP="00255288">
      <w:pPr>
        <w:suppressAutoHyphens/>
        <w:autoSpaceDN w:val="0"/>
        <w:jc w:val="center"/>
        <w:textAlignment w:val="baseline"/>
        <w:rPr>
          <w:b/>
          <w:lang w:eastAsia="hr-HR"/>
        </w:rPr>
      </w:pPr>
    </w:p>
    <w:p w:rsidR="006A5891" w:rsidRPr="00CF101E" w:rsidRDefault="006A5891" w:rsidP="00CF101E">
      <w:pPr>
        <w:suppressAutoHyphens/>
        <w:autoSpaceDN w:val="0"/>
        <w:ind w:firstLine="1418"/>
        <w:jc w:val="both"/>
        <w:textAlignment w:val="baseline"/>
        <w:rPr>
          <w:lang w:eastAsia="hr-HR"/>
        </w:rPr>
      </w:pPr>
      <w:r w:rsidRPr="00CF101E">
        <w:rPr>
          <w:lang w:eastAsia="hr-HR"/>
        </w:rPr>
        <w:t>Zadužuje se Ministarstvo mora, prometa i infrastrukture, da u suradnji s Ministarstvom financija, osigura provedbu ove Odluke.</w:t>
      </w:r>
    </w:p>
    <w:p w:rsidR="006A5891" w:rsidRPr="00255288" w:rsidRDefault="006A5891" w:rsidP="00255288">
      <w:pPr>
        <w:suppressAutoHyphens/>
        <w:autoSpaceDN w:val="0"/>
        <w:jc w:val="center"/>
        <w:textAlignment w:val="baseline"/>
        <w:rPr>
          <w:b/>
          <w:lang w:eastAsia="hr-HR"/>
        </w:rPr>
      </w:pPr>
    </w:p>
    <w:p w:rsidR="006A5891" w:rsidRPr="00255288" w:rsidRDefault="006A5891" w:rsidP="00255288">
      <w:pPr>
        <w:suppressAutoHyphens/>
        <w:autoSpaceDN w:val="0"/>
        <w:jc w:val="center"/>
        <w:textAlignment w:val="baseline"/>
        <w:rPr>
          <w:b/>
          <w:lang w:eastAsia="hr-HR"/>
        </w:rPr>
      </w:pPr>
      <w:r w:rsidRPr="00255288">
        <w:rPr>
          <w:b/>
          <w:lang w:eastAsia="hr-HR"/>
        </w:rPr>
        <w:t>VI.</w:t>
      </w:r>
    </w:p>
    <w:p w:rsidR="006A5891" w:rsidRPr="00255288" w:rsidRDefault="006A5891" w:rsidP="00255288">
      <w:pPr>
        <w:suppressAutoHyphens/>
        <w:autoSpaceDN w:val="0"/>
        <w:jc w:val="center"/>
        <w:textAlignment w:val="baseline"/>
        <w:rPr>
          <w:b/>
          <w:lang w:eastAsia="hr-HR"/>
        </w:rPr>
      </w:pPr>
    </w:p>
    <w:p w:rsidR="006A5891" w:rsidRPr="00CF101E" w:rsidRDefault="006A5891" w:rsidP="00CF101E">
      <w:pPr>
        <w:ind w:firstLine="1418"/>
        <w:rPr>
          <w:rFonts w:eastAsia="Calibri"/>
        </w:rPr>
      </w:pPr>
      <w:r w:rsidRPr="00CF101E">
        <w:rPr>
          <w:rFonts w:eastAsia="Calibri"/>
        </w:rPr>
        <w:t>Ova Odluka stupa na snagu danom donošenja.</w:t>
      </w:r>
    </w:p>
    <w:p w:rsidR="00036ECF" w:rsidRPr="00CF101E" w:rsidRDefault="00036ECF" w:rsidP="00CF101E">
      <w:pPr>
        <w:pStyle w:val="BodyText"/>
      </w:pPr>
    </w:p>
    <w:p w:rsidR="005516B0" w:rsidRDefault="005516B0" w:rsidP="00CF101E"/>
    <w:p w:rsidR="00255288" w:rsidRPr="00CF101E" w:rsidRDefault="00255288" w:rsidP="00CF101E"/>
    <w:p w:rsidR="001C29D0" w:rsidRPr="00CF101E" w:rsidRDefault="001C29D0" w:rsidP="00CF101E">
      <w:pPr>
        <w:pStyle w:val="BodyText"/>
      </w:pPr>
      <w:r w:rsidRPr="00CF101E">
        <w:t>Klasa:</w:t>
      </w:r>
    </w:p>
    <w:p w:rsidR="001C29D0" w:rsidRPr="00CF101E" w:rsidRDefault="001C29D0" w:rsidP="00CF101E">
      <w:pPr>
        <w:pStyle w:val="BodyText"/>
      </w:pPr>
      <w:r w:rsidRPr="00CF101E">
        <w:t>Urbroj:</w:t>
      </w:r>
    </w:p>
    <w:p w:rsidR="001C29D0" w:rsidRPr="00CF101E" w:rsidRDefault="001C29D0" w:rsidP="00CF101E">
      <w:pPr>
        <w:pStyle w:val="BodyText"/>
      </w:pPr>
    </w:p>
    <w:p w:rsidR="001C29D0" w:rsidRPr="00CF101E" w:rsidRDefault="001C29D0" w:rsidP="00CF101E">
      <w:pPr>
        <w:pStyle w:val="BodyText"/>
      </w:pPr>
      <w:r w:rsidRPr="00CF101E">
        <w:t xml:space="preserve">Zagreb, </w:t>
      </w:r>
    </w:p>
    <w:p w:rsidR="001C29D0" w:rsidRPr="00CF101E" w:rsidRDefault="001C29D0" w:rsidP="00CF101E">
      <w:pPr>
        <w:pStyle w:val="BodyText"/>
      </w:pPr>
    </w:p>
    <w:p w:rsidR="001C29D0" w:rsidRDefault="001C29D0" w:rsidP="00CF101E">
      <w:pPr>
        <w:pStyle w:val="BodyText"/>
      </w:pPr>
    </w:p>
    <w:p w:rsidR="00255288" w:rsidRPr="00CF101E" w:rsidRDefault="00255288" w:rsidP="00CF101E">
      <w:pPr>
        <w:pStyle w:val="BodyText"/>
      </w:pPr>
    </w:p>
    <w:p w:rsidR="001C29D0" w:rsidRPr="00CF101E" w:rsidRDefault="001C29D0" w:rsidP="00CF101E">
      <w:pPr>
        <w:pStyle w:val="BodyText"/>
        <w:ind w:firstLine="5670"/>
        <w:jc w:val="center"/>
      </w:pPr>
      <w:r w:rsidRPr="00CF101E">
        <w:t>PREDSJEDNIK</w:t>
      </w:r>
    </w:p>
    <w:p w:rsidR="001C29D0" w:rsidRPr="00CF101E" w:rsidRDefault="001C29D0" w:rsidP="00CF101E">
      <w:pPr>
        <w:pStyle w:val="BodyText"/>
        <w:ind w:firstLine="5670"/>
        <w:jc w:val="center"/>
      </w:pPr>
    </w:p>
    <w:p w:rsidR="001C29D0" w:rsidRPr="00CF101E" w:rsidRDefault="001C29D0" w:rsidP="00CF101E">
      <w:pPr>
        <w:pStyle w:val="BodyText"/>
        <w:ind w:firstLine="5670"/>
        <w:jc w:val="center"/>
      </w:pPr>
    </w:p>
    <w:p w:rsidR="001C29D0" w:rsidRPr="00CF101E" w:rsidRDefault="001C29D0" w:rsidP="00CF101E">
      <w:pPr>
        <w:pStyle w:val="BodyText"/>
        <w:ind w:firstLine="5670"/>
        <w:jc w:val="center"/>
      </w:pPr>
      <w:r w:rsidRPr="00CF101E">
        <w:t>mr. sc. Andrej Plenković</w:t>
      </w:r>
    </w:p>
    <w:p w:rsidR="00255288" w:rsidRDefault="00255288">
      <w:pPr>
        <w:rPr>
          <w:b/>
          <w:bCs/>
        </w:rPr>
      </w:pPr>
      <w:r>
        <w:rPr>
          <w:b/>
          <w:bCs/>
        </w:rPr>
        <w:br w:type="page"/>
      </w:r>
    </w:p>
    <w:p w:rsidR="00FC07EB" w:rsidRPr="00CF101E" w:rsidRDefault="00FC07EB" w:rsidP="00CF101E">
      <w:pPr>
        <w:jc w:val="center"/>
        <w:rPr>
          <w:b/>
          <w:bCs/>
        </w:rPr>
      </w:pPr>
    </w:p>
    <w:p w:rsidR="00B20D0B" w:rsidRPr="00CF101E" w:rsidRDefault="00255288" w:rsidP="00CF101E">
      <w:pPr>
        <w:jc w:val="center"/>
        <w:rPr>
          <w:b/>
          <w:bCs/>
        </w:rPr>
      </w:pPr>
      <w:r w:rsidRPr="00CF101E">
        <w:rPr>
          <w:b/>
          <w:bCs/>
        </w:rPr>
        <w:t>O B R A Z L O Ž E N J E</w:t>
      </w:r>
    </w:p>
    <w:p w:rsidR="00F60FEB" w:rsidRPr="00CF101E" w:rsidRDefault="00F60FEB" w:rsidP="00CF101E">
      <w:pPr>
        <w:jc w:val="center"/>
        <w:rPr>
          <w:b/>
          <w:bCs/>
        </w:rPr>
      </w:pPr>
    </w:p>
    <w:p w:rsidR="001C29D0" w:rsidRPr="00CF101E" w:rsidRDefault="001C29D0" w:rsidP="00CF101E">
      <w:pPr>
        <w:jc w:val="center"/>
        <w:rPr>
          <w:b/>
          <w:bCs/>
        </w:rPr>
      </w:pPr>
    </w:p>
    <w:p w:rsidR="00B20D0B" w:rsidRPr="00CF101E" w:rsidRDefault="00B20D0B" w:rsidP="00CF101E">
      <w:pPr>
        <w:jc w:val="both"/>
      </w:pPr>
      <w:r w:rsidRPr="00CF101E">
        <w:rPr>
          <w:bCs/>
        </w:rPr>
        <w:t xml:space="preserve">Svojim dopisom </w:t>
      </w:r>
      <w:r w:rsidR="00072256">
        <w:rPr>
          <w:bCs/>
        </w:rPr>
        <w:t>klase</w:t>
      </w:r>
      <w:r w:rsidRPr="00CF101E">
        <w:rPr>
          <w:bCs/>
        </w:rPr>
        <w:t xml:space="preserve">: 441-03/19-01/1, </w:t>
      </w:r>
      <w:r w:rsidR="00072256">
        <w:rPr>
          <w:bCs/>
        </w:rPr>
        <w:t>ur</w:t>
      </w:r>
      <w:r w:rsidRPr="00CF101E">
        <w:rPr>
          <w:bCs/>
        </w:rPr>
        <w:t>broj</w:t>
      </w:r>
      <w:r w:rsidR="00072256">
        <w:rPr>
          <w:bCs/>
        </w:rPr>
        <w:t>a</w:t>
      </w:r>
      <w:r w:rsidRPr="00CF101E">
        <w:rPr>
          <w:bCs/>
        </w:rPr>
        <w:t>: 530-06-1-2-19-7</w:t>
      </w:r>
      <w:r w:rsidR="00072256">
        <w:rPr>
          <w:bCs/>
        </w:rPr>
        <w:t>,</w:t>
      </w:r>
      <w:r w:rsidRPr="00CF101E">
        <w:rPr>
          <w:bCs/>
        </w:rPr>
        <w:t xml:space="preserve"> od 11. studenog</w:t>
      </w:r>
      <w:r w:rsidR="00072256">
        <w:rPr>
          <w:bCs/>
        </w:rPr>
        <w:t>a</w:t>
      </w:r>
      <w:r w:rsidRPr="00CF101E">
        <w:rPr>
          <w:bCs/>
        </w:rPr>
        <w:t xml:space="preserve"> 2019. godine, Ministarstvo mora, prometa i infrastrukture na temelju zaprimljenog dokumentiranog Zahtjeva </w:t>
      </w:r>
      <w:r w:rsidRPr="00CF101E">
        <w:t>društva Autocesta Rijeka-Zagreb d.d., Ur.br. 01-600-1918/19, od 29. listopada 2019. godine, sukladno</w:t>
      </w:r>
      <w:r w:rsidR="00093667" w:rsidRPr="00CF101E">
        <w:t xml:space="preserve"> članku 80. stavk</w:t>
      </w:r>
      <w:r w:rsidR="00072256">
        <w:t>u</w:t>
      </w:r>
      <w:r w:rsidR="00093667" w:rsidRPr="00CF101E">
        <w:t xml:space="preserve"> 1.</w:t>
      </w:r>
      <w:r w:rsidRPr="00CF101E">
        <w:t xml:space="preserve"> Zakonu o proračunu (Narodne novine, br</w:t>
      </w:r>
      <w:r w:rsidR="00072256">
        <w:t>.</w:t>
      </w:r>
      <w:r w:rsidRPr="00CF101E">
        <w:t xml:space="preserve"> 87/08, 136/12 i 15/15) i članku 35. Zakona o izvršavanju Državnog proračuna Republike Hrvatske za 2019. godinu (Narodne novine, br</w:t>
      </w:r>
      <w:r w:rsidR="00072256">
        <w:t>.</w:t>
      </w:r>
      <w:r w:rsidRPr="00CF101E">
        <w:t xml:space="preserve"> 113/18</w:t>
      </w:r>
      <w:r w:rsidR="00022202" w:rsidRPr="00CF101E">
        <w:t xml:space="preserve"> i 111/19</w:t>
      </w:r>
      <w:r w:rsidRPr="00CF101E">
        <w:t xml:space="preserve">), dostavilo je Ministarstvu financija obrazloženi Zahtjev s ocjenom i mišljenjem da isti uputi u redovni postupak odobrenja Vladi Republike Hrvatske radi donošenja </w:t>
      </w:r>
      <w:r w:rsidR="00072256">
        <w:t>o</w:t>
      </w:r>
      <w:r w:rsidRPr="00CF101E">
        <w:t xml:space="preserve">dluke o davanju </w:t>
      </w:r>
      <w:r w:rsidRPr="00CF101E">
        <w:rPr>
          <w:lang w:eastAsia="hr-HR"/>
        </w:rPr>
        <w:t xml:space="preserve">državnog jamstva društvu Autocesta Rijeka-Zagreb d.d., za kreditno zaduženje kod: </w:t>
      </w:r>
      <w:r w:rsidRPr="00CF101E">
        <w:t xml:space="preserve">Hrvatska poštanska banka d.d., Zagreb i Hrvatska banka za obnovu i razvitak </w:t>
      </w:r>
      <w:r w:rsidRPr="00CF101E">
        <w:rPr>
          <w:lang w:eastAsia="hr-HR"/>
        </w:rPr>
        <w:t xml:space="preserve">u iznosu od </w:t>
      </w:r>
      <w:r w:rsidRPr="00CF101E">
        <w:rPr>
          <w:bCs/>
        </w:rPr>
        <w:t xml:space="preserve">70.000.000,00 eura </w:t>
      </w:r>
      <w:r w:rsidRPr="00CF101E">
        <w:rPr>
          <w:lang w:eastAsia="hr-HR"/>
        </w:rPr>
        <w:t xml:space="preserve">uz uvećanje za kamate, naknade i troškove, radi </w:t>
      </w:r>
      <w:r w:rsidR="0086481B" w:rsidRPr="00CF101E">
        <w:t>financiranja Plana poslovanja za 2019. godinu i dijela Plana poslovanja za 2020. godinu</w:t>
      </w:r>
      <w:r w:rsidRPr="00CF101E">
        <w:t>.</w:t>
      </w:r>
    </w:p>
    <w:p w:rsidR="00072256" w:rsidRDefault="00072256" w:rsidP="00CF101E">
      <w:pPr>
        <w:jc w:val="both"/>
      </w:pPr>
    </w:p>
    <w:p w:rsidR="00B20D0B" w:rsidRPr="00CF101E" w:rsidRDefault="00B20D0B" w:rsidP="00CF101E">
      <w:pPr>
        <w:jc w:val="both"/>
      </w:pPr>
      <w:r w:rsidRPr="00CF101E">
        <w:t>Novo kreditno zaduženje je sukladno obvezujućoj ponudi od banaka: Hrvatska poštanska banka d.d., Zagreb i Hrvatska banka za obnovu i razvitak uvjetovano davanjem financijskog državnog jamstva Republike Hrvatske u 100</w:t>
      </w:r>
      <w:r w:rsidR="00072256">
        <w:t xml:space="preserve"> </w:t>
      </w:r>
      <w:r w:rsidRPr="00CF101E">
        <w:t>% iznosa kredita, s iznosom naknade za obradu zahtjeva u visini od 0,18</w:t>
      </w:r>
      <w:r w:rsidR="00072256">
        <w:t xml:space="preserve"> </w:t>
      </w:r>
      <w:r w:rsidRPr="00CF101E">
        <w:t>% jednokratno, na ukupan iznos kredita.</w:t>
      </w:r>
    </w:p>
    <w:p w:rsidR="00F60FEB" w:rsidRDefault="00F60FEB" w:rsidP="00CF101E">
      <w:pPr>
        <w:jc w:val="both"/>
        <w:rPr>
          <w:b/>
          <w:bCs/>
        </w:rPr>
      </w:pPr>
    </w:p>
    <w:p w:rsidR="00255288" w:rsidRPr="00CF101E" w:rsidRDefault="00255288" w:rsidP="00CF101E">
      <w:pPr>
        <w:jc w:val="both"/>
        <w:rPr>
          <w:b/>
          <w:bCs/>
        </w:rPr>
      </w:pPr>
    </w:p>
    <w:p w:rsidR="00B20D0B" w:rsidRPr="00255288" w:rsidRDefault="00B20D0B" w:rsidP="00255288">
      <w:pPr>
        <w:jc w:val="center"/>
        <w:rPr>
          <w:b/>
          <w:bCs/>
        </w:rPr>
      </w:pPr>
      <w:r w:rsidRPr="00255288">
        <w:rPr>
          <w:b/>
          <w:bCs/>
        </w:rPr>
        <w:t>Financiranje društva Autocesta Rijeka-Zagreb d.d. i ocjena stanja zaduženosti društva</w:t>
      </w:r>
    </w:p>
    <w:p w:rsidR="00255288" w:rsidRDefault="00255288" w:rsidP="00CF101E">
      <w:pPr>
        <w:jc w:val="both"/>
      </w:pPr>
    </w:p>
    <w:p w:rsidR="00B20D0B" w:rsidRPr="00CF101E" w:rsidRDefault="00B20D0B" w:rsidP="00CF101E">
      <w:pPr>
        <w:jc w:val="both"/>
      </w:pPr>
      <w:r w:rsidRPr="00CF101E">
        <w:t xml:space="preserve">Sukladno ugovoru o koncesiji, Društvo ima pravo naplaćivati naknadu za korištenje ceste </w:t>
      </w:r>
      <w:r w:rsidR="00530592">
        <w:t>-</w:t>
      </w:r>
      <w:r w:rsidRPr="00CF101E">
        <w:t xml:space="preserve"> cestarinu od korisnika, dok je za dodijeljenu koncesiju dužno Republici Hrvatskoj plaćati naknadu koja odgovara iznosu cjelokupne dobiti Društva umanjene za iznos koji se odlukom Glavne skupštine rasporedi u pričuve. S obzirom na to da je </w:t>
      </w:r>
      <w:r w:rsidR="00520722">
        <w:t xml:space="preserve">društvo </w:t>
      </w:r>
      <w:r w:rsidRPr="00CF101E">
        <w:t xml:space="preserve">Autocesta Rijeka-Zagreb d.d. javno dobro u općoj uporabi koja je koncesijskim ugovorom dana društvu na upravljanje, te da davatelj koncesije kontrolira ili regulira usluge koje upravitelj (Društvo) mora pružiti koristeći infrastrukturu, kome ih treba pružati i po kojoj cijeni, davatelj koncesije upravlja </w:t>
      </w:r>
      <w:r w:rsidR="00520722">
        <w:t>-</w:t>
      </w:r>
      <w:r w:rsidRPr="00CF101E">
        <w:t xml:space="preserve"> putem vlasništva, stvarnog prava ili na neki drugi način - svakim značajnim preostalim udjelom u infrastrukturi na kraju razdoblja koncesije. </w:t>
      </w:r>
    </w:p>
    <w:p w:rsidR="00F60FEB" w:rsidRPr="00CF101E" w:rsidRDefault="00F60FEB" w:rsidP="00CF101E">
      <w:pPr>
        <w:jc w:val="both"/>
        <w:rPr>
          <w:bCs/>
        </w:rPr>
      </w:pPr>
    </w:p>
    <w:p w:rsidR="00B20D0B" w:rsidRPr="00CF101E" w:rsidRDefault="00B20D0B" w:rsidP="00CF101E">
      <w:pPr>
        <w:jc w:val="both"/>
        <w:rPr>
          <w:bCs/>
        </w:rPr>
      </w:pPr>
      <w:r w:rsidRPr="00CF101E">
        <w:rPr>
          <w:bCs/>
        </w:rPr>
        <w:t>Društvo Autocesta Rijeka-Zagreb d.d. svoje redovno poslovanje financira iz vlastitih prihoda koji se sastoje od prihoda od naplate cestarine, čiju visinu određuje Društvo na način utvrđen Ugovorom o koncesiji, uz suglasnost Ministarstva mora, prometa i infrastrukture. Osim cestarine, društvo ostvaruje prihode od korištenja cestovnog zemljišta za PUO-e na trasi autoceste te ostale prihode iz redovnog poslovanja.</w:t>
      </w:r>
    </w:p>
    <w:p w:rsidR="00F60FEB" w:rsidRPr="00CF101E" w:rsidRDefault="00F60FEB" w:rsidP="00CF101E">
      <w:pPr>
        <w:jc w:val="both"/>
        <w:rPr>
          <w:bCs/>
        </w:rPr>
      </w:pPr>
    </w:p>
    <w:p w:rsidR="00B20D0B" w:rsidRPr="00CF101E" w:rsidRDefault="00B20D0B" w:rsidP="00CF101E">
      <w:pPr>
        <w:jc w:val="both"/>
        <w:rPr>
          <w:bCs/>
        </w:rPr>
      </w:pPr>
      <w:r w:rsidRPr="00CF101E">
        <w:rPr>
          <w:bCs/>
        </w:rPr>
        <w:t xml:space="preserve">Drugi izvor financiranja su sredstva koja se Društvu isplaćuju iz državnog proračuna </w:t>
      </w:r>
      <w:r w:rsidR="00520722">
        <w:rPr>
          <w:bCs/>
        </w:rPr>
        <w:t xml:space="preserve">Republike Hrvatske </w:t>
      </w:r>
      <w:r w:rsidRPr="00CF101E">
        <w:rPr>
          <w:bCs/>
        </w:rPr>
        <w:t>za izvlaštenja i projektiranje u skladu s člankom 16. stavk</w:t>
      </w:r>
      <w:r w:rsidR="00520722">
        <w:rPr>
          <w:bCs/>
        </w:rPr>
        <w:t>om</w:t>
      </w:r>
      <w:r w:rsidRPr="00CF101E">
        <w:rPr>
          <w:bCs/>
        </w:rPr>
        <w:t xml:space="preserve"> 7. i člankom 17. stavk</w:t>
      </w:r>
      <w:r w:rsidR="00520722">
        <w:rPr>
          <w:bCs/>
        </w:rPr>
        <w:t>om</w:t>
      </w:r>
      <w:r w:rsidRPr="00CF101E">
        <w:rPr>
          <w:bCs/>
        </w:rPr>
        <w:t xml:space="preserve"> 1. Ugovora o koncesiji te naknada troškova održavanja obilaznice </w:t>
      </w:r>
      <w:r w:rsidR="00520722" w:rsidRPr="00CF101E">
        <w:rPr>
          <w:bCs/>
        </w:rPr>
        <w:t xml:space="preserve">Grada </w:t>
      </w:r>
      <w:r w:rsidRPr="00CF101E">
        <w:rPr>
          <w:bCs/>
        </w:rPr>
        <w:t>Rijeke i sanacije mosta Krk temeljem članka 23. IV Ugovora o izmjenama i dopunama Ugovora o koncesiji.</w:t>
      </w:r>
      <w:r w:rsidRPr="00CF101E">
        <w:t xml:space="preserve"> Također, sukladno članku 90. Zakona o cestama</w:t>
      </w:r>
      <w:r w:rsidR="00520722">
        <w:t>,</w:t>
      </w:r>
      <w:r w:rsidRPr="00CF101E">
        <w:t xml:space="preserve"> sufinancira se plaćanje mostarine za most Krk za pravne i fizičke osobe koj</w:t>
      </w:r>
      <w:r w:rsidR="00520722">
        <w:t>e</w:t>
      </w:r>
      <w:r w:rsidRPr="00CF101E">
        <w:t xml:space="preserve"> su ostvarili besplatan prolazak mostom temeljem članka 32. Zakona o otocima.</w:t>
      </w:r>
    </w:p>
    <w:p w:rsidR="00F60FEB" w:rsidRDefault="00F60FEB" w:rsidP="00CF101E">
      <w:pPr>
        <w:jc w:val="both"/>
        <w:rPr>
          <w:bCs/>
        </w:rPr>
      </w:pPr>
    </w:p>
    <w:p w:rsidR="00520722" w:rsidRDefault="00520722" w:rsidP="00CF101E">
      <w:pPr>
        <w:jc w:val="both"/>
        <w:rPr>
          <w:bCs/>
        </w:rPr>
      </w:pPr>
    </w:p>
    <w:p w:rsidR="00520722" w:rsidRPr="00CF101E" w:rsidRDefault="00520722" w:rsidP="00CF101E">
      <w:pPr>
        <w:jc w:val="both"/>
        <w:rPr>
          <w:bCs/>
        </w:rPr>
      </w:pPr>
    </w:p>
    <w:p w:rsidR="00B20D0B" w:rsidRPr="00CF101E" w:rsidRDefault="00B20D0B" w:rsidP="00CF101E">
      <w:pPr>
        <w:jc w:val="both"/>
        <w:rPr>
          <w:bCs/>
        </w:rPr>
      </w:pPr>
      <w:r w:rsidRPr="00CF101E">
        <w:rPr>
          <w:bCs/>
        </w:rPr>
        <w:lastRenderedPageBreak/>
        <w:t>Usporedno s vlastitim izvorima financiranja i izvorima financiranja iz državnog proračuna</w:t>
      </w:r>
      <w:r w:rsidR="00520722">
        <w:rPr>
          <w:bCs/>
        </w:rPr>
        <w:t xml:space="preserve"> Republike Hrvatske</w:t>
      </w:r>
      <w:r w:rsidRPr="00CF101E">
        <w:rPr>
          <w:bCs/>
        </w:rPr>
        <w:t>, Društvo koristi i raspoloživa bespovratna sredstva za financiranje iz EU fondova</w:t>
      </w:r>
      <w:r w:rsidR="00520722">
        <w:rPr>
          <w:bCs/>
        </w:rPr>
        <w:t>,</w:t>
      </w:r>
      <w:r w:rsidRPr="00CF101E">
        <w:rPr>
          <w:bCs/>
        </w:rPr>
        <w:t xml:space="preserve"> kao i kreditna sredstva odobrena od strane europskih razvojnih banaka i domaćih komercijalnih banaka. Poseban trud se ulaže kako bi se u što većoj mjeri osiguralo financiranje sredstvima iz EU fondova, a u svrhu financiranja planiranih projekata.</w:t>
      </w:r>
    </w:p>
    <w:p w:rsidR="00F60FEB" w:rsidRPr="00CF101E" w:rsidRDefault="00F60FEB" w:rsidP="00CF101E">
      <w:pPr>
        <w:jc w:val="both"/>
        <w:rPr>
          <w:bCs/>
        </w:rPr>
      </w:pPr>
    </w:p>
    <w:p w:rsidR="00B20D0B" w:rsidRPr="00CF101E" w:rsidRDefault="00B20D0B" w:rsidP="00CF101E">
      <w:pPr>
        <w:jc w:val="both"/>
        <w:rPr>
          <w:bCs/>
        </w:rPr>
      </w:pPr>
      <w:r w:rsidRPr="00CF101E">
        <w:rPr>
          <w:bCs/>
        </w:rPr>
        <w:t xml:space="preserve">Ukupna imovina </w:t>
      </w:r>
      <w:r w:rsidR="00520722">
        <w:rPr>
          <w:bCs/>
        </w:rPr>
        <w:t>-</w:t>
      </w:r>
      <w:r w:rsidRPr="00CF101E">
        <w:rPr>
          <w:bCs/>
        </w:rPr>
        <w:t xml:space="preserve"> aktiva </w:t>
      </w:r>
      <w:r w:rsidR="00520722">
        <w:rPr>
          <w:bCs/>
        </w:rPr>
        <w:t xml:space="preserve">društva </w:t>
      </w:r>
      <w:r w:rsidRPr="00CF101E">
        <w:rPr>
          <w:bCs/>
        </w:rPr>
        <w:t>Autocest</w:t>
      </w:r>
      <w:r w:rsidR="00520722">
        <w:rPr>
          <w:bCs/>
        </w:rPr>
        <w:t>a</w:t>
      </w:r>
      <w:r w:rsidRPr="00CF101E">
        <w:rPr>
          <w:bCs/>
        </w:rPr>
        <w:t xml:space="preserve"> Rijeka-Zagreb d.d.</w:t>
      </w:r>
      <w:r w:rsidR="00520722">
        <w:rPr>
          <w:bCs/>
        </w:rPr>
        <w:t>,</w:t>
      </w:r>
      <w:r w:rsidRPr="00CF101E">
        <w:rPr>
          <w:bCs/>
        </w:rPr>
        <w:t xml:space="preserve"> iznosi 4.452.286.155 kuna od čega se 89,71</w:t>
      </w:r>
      <w:r w:rsidR="00520722">
        <w:rPr>
          <w:bCs/>
        </w:rPr>
        <w:t xml:space="preserve"> </w:t>
      </w:r>
      <w:r w:rsidRPr="00CF101E">
        <w:rPr>
          <w:bCs/>
        </w:rPr>
        <w:t>% odnosi na imovinu koncesijskog dobra od javnog interesa u vlasništvu Republike Hrvatske. Ukupne obveze iznose 6.202.695.605 kuna, od kojih se na obveze prema bankama i drugim financijskim institucijama odnosi 5.573.400.885 kuna, odnosno 90</w:t>
      </w:r>
      <w:r w:rsidR="00520722">
        <w:rPr>
          <w:bCs/>
        </w:rPr>
        <w:t xml:space="preserve"> </w:t>
      </w:r>
      <w:r w:rsidRPr="00CF101E">
        <w:rPr>
          <w:bCs/>
        </w:rPr>
        <w:t xml:space="preserve">% ukupnih obveza Društva. </w:t>
      </w:r>
    </w:p>
    <w:p w:rsidR="00F60FEB" w:rsidRPr="00CF101E" w:rsidRDefault="00F60FEB" w:rsidP="00CF101E">
      <w:pPr>
        <w:jc w:val="both"/>
        <w:rPr>
          <w:bCs/>
        </w:rPr>
      </w:pPr>
    </w:p>
    <w:p w:rsidR="00B20D0B" w:rsidRPr="00CF101E" w:rsidRDefault="00B20D0B" w:rsidP="00CF101E">
      <w:pPr>
        <w:jc w:val="both"/>
        <w:rPr>
          <w:bCs/>
        </w:rPr>
      </w:pPr>
      <w:r w:rsidRPr="00CF101E">
        <w:rPr>
          <w:bCs/>
        </w:rPr>
        <w:t>Dugoročne obveze po kreditima stranih i domaćih banaka osigurane su jamstvom Republike Hrvatske u 100</w:t>
      </w:r>
      <w:r w:rsidR="007D6C2A">
        <w:rPr>
          <w:bCs/>
        </w:rPr>
        <w:t xml:space="preserve"> </w:t>
      </w:r>
      <w:r w:rsidRPr="00CF101E">
        <w:rPr>
          <w:bCs/>
        </w:rPr>
        <w:t>% iznosu. Kamatne stope po svim kreditima se baziraju na vrijednosti EURIBOR-a uvećanog za maržu koja se kreće u rasponu od 0,13</w:t>
      </w:r>
      <w:r w:rsidR="007D6C2A">
        <w:rPr>
          <w:bCs/>
        </w:rPr>
        <w:t xml:space="preserve"> </w:t>
      </w:r>
      <w:r w:rsidRPr="00CF101E">
        <w:rPr>
          <w:bCs/>
        </w:rPr>
        <w:t>% do 1,95</w:t>
      </w:r>
      <w:r w:rsidR="007D6C2A">
        <w:rPr>
          <w:bCs/>
        </w:rPr>
        <w:t xml:space="preserve"> </w:t>
      </w:r>
      <w:r w:rsidRPr="00CF101E">
        <w:rPr>
          <w:bCs/>
        </w:rPr>
        <w:t xml:space="preserve">%. Iznimku čine novčana sredstva doznačena od strane Ministarstva financija, prikupljena izdavanjem euro obveznica, za koje društvo jednom godišnje otplaćuje fiksnu kamatu u iznosu od 2.338.757 eura, osim za prvu godinu otplate kada kamata iznosi 2.729.967 eura. </w:t>
      </w:r>
    </w:p>
    <w:p w:rsidR="00F60FEB" w:rsidRPr="00CF101E" w:rsidRDefault="00F60FEB" w:rsidP="00CF101E">
      <w:pPr>
        <w:jc w:val="both"/>
        <w:rPr>
          <w:bCs/>
        </w:rPr>
      </w:pPr>
    </w:p>
    <w:p w:rsidR="00B20D0B" w:rsidRPr="00CF101E" w:rsidRDefault="00B20D0B" w:rsidP="00CF101E">
      <w:pPr>
        <w:jc w:val="both"/>
        <w:rPr>
          <w:bCs/>
        </w:rPr>
      </w:pPr>
      <w:r w:rsidRPr="00CF101E">
        <w:rPr>
          <w:bCs/>
        </w:rPr>
        <w:t>Društvo upravlja svojim kapitalom kako bi osiguralo vremenski neograničen nastavak poslovanja, uz istovremenu realizaciju najvećeg mogućeg povrata interesnim stranama kroz optimiranje stanja između dužničkog i vlasničkog kapitala.</w:t>
      </w:r>
    </w:p>
    <w:p w:rsidR="00F60FEB" w:rsidRPr="00CF101E" w:rsidRDefault="00F60FEB" w:rsidP="00CF101E">
      <w:pPr>
        <w:jc w:val="both"/>
        <w:rPr>
          <w:bCs/>
        </w:rPr>
      </w:pPr>
    </w:p>
    <w:p w:rsidR="00B20D0B" w:rsidRPr="00CF101E" w:rsidRDefault="00B20D0B" w:rsidP="00CF101E">
      <w:pPr>
        <w:jc w:val="both"/>
        <w:rPr>
          <w:bCs/>
        </w:rPr>
      </w:pPr>
      <w:r w:rsidRPr="00CF101E">
        <w:rPr>
          <w:bCs/>
        </w:rPr>
        <w:t>Najveća izloženost društva predstavljaju financijske obveze po kreditima.</w:t>
      </w:r>
      <w:r w:rsidRPr="007D6C2A">
        <w:rPr>
          <w:bCs/>
        </w:rPr>
        <w:t xml:space="preserve"> </w:t>
      </w:r>
      <w:r w:rsidRPr="00CF101E">
        <w:rPr>
          <w:bCs/>
        </w:rPr>
        <w:t xml:space="preserve">Krajnju odgovornost za upravljanje rizikom likvidnosti snosi Uprava koja je postavila okvir za upravljanje rizikom likvidnosti po kratkoročnim, srednjoročnim i dugoročnim obvezama Društva i definirala zahtjeve koje se odnose na upravljanje likvidnošću. Društvo upravlja svojom likvidnošću održavanjem dostatnih rezervi, korištenjem bankovnih kreditnih proizvoda od stranih banaka kao i ostalim izvorima financiranja kroz kontinuirano praćenje prognoziranih i ostvarenih novčanih tijekova te usklađivanjem dospijeća financijske imovine i financijskih obveza. </w:t>
      </w:r>
    </w:p>
    <w:p w:rsidR="00F60FEB" w:rsidRPr="00CF101E" w:rsidRDefault="00F60FEB" w:rsidP="00CF101E">
      <w:pPr>
        <w:jc w:val="both"/>
        <w:rPr>
          <w:bCs/>
        </w:rPr>
      </w:pPr>
    </w:p>
    <w:p w:rsidR="00B20D0B" w:rsidRPr="00CF101E" w:rsidRDefault="00B20D0B" w:rsidP="00CF101E">
      <w:pPr>
        <w:jc w:val="both"/>
        <w:rPr>
          <w:bCs/>
        </w:rPr>
      </w:pPr>
      <w:r w:rsidRPr="00CF101E">
        <w:rPr>
          <w:bCs/>
        </w:rPr>
        <w:t xml:space="preserve">Ostvareni promet u 2018. godini na koncesijskom području </w:t>
      </w:r>
      <w:r w:rsidR="007D6C2A">
        <w:rPr>
          <w:bCs/>
        </w:rPr>
        <w:t xml:space="preserve">društva </w:t>
      </w:r>
      <w:r w:rsidRPr="00CF101E">
        <w:rPr>
          <w:bCs/>
        </w:rPr>
        <w:t>Autocesta Rijeka-Zagreb d.d.</w:t>
      </w:r>
      <w:r w:rsidR="007D6C2A">
        <w:rPr>
          <w:bCs/>
        </w:rPr>
        <w:t>,</w:t>
      </w:r>
      <w:r w:rsidRPr="00CF101E">
        <w:rPr>
          <w:bCs/>
        </w:rPr>
        <w:t xml:space="preserve"> od 23,57 milijuna vozila najveći je do sad zabilježeni promet od osnutka Društva. U posljednjih </w:t>
      </w:r>
      <w:r w:rsidR="007D6C2A">
        <w:rPr>
          <w:bCs/>
        </w:rPr>
        <w:t>pet</w:t>
      </w:r>
      <w:r w:rsidRPr="00CF101E">
        <w:rPr>
          <w:bCs/>
        </w:rPr>
        <w:t xml:space="preserve"> godina (od 2014.</w:t>
      </w:r>
      <w:r w:rsidR="007D6C2A">
        <w:rPr>
          <w:bCs/>
        </w:rPr>
        <w:t xml:space="preserve"> </w:t>
      </w:r>
      <w:r w:rsidRPr="00CF101E">
        <w:rPr>
          <w:bCs/>
        </w:rPr>
        <w:t>-</w:t>
      </w:r>
      <w:r w:rsidR="007D6C2A">
        <w:rPr>
          <w:bCs/>
        </w:rPr>
        <w:t xml:space="preserve"> </w:t>
      </w:r>
      <w:r w:rsidRPr="00CF101E">
        <w:rPr>
          <w:bCs/>
        </w:rPr>
        <w:t>2018. godine) zabilježen je rast broja vozila od 25,77</w:t>
      </w:r>
      <w:r w:rsidR="007D6C2A">
        <w:rPr>
          <w:bCs/>
        </w:rPr>
        <w:t xml:space="preserve"> </w:t>
      </w:r>
      <w:r w:rsidRPr="00CF101E">
        <w:rPr>
          <w:bCs/>
        </w:rPr>
        <w:t>% (2018./2014.). Rast prometa utjecao je i na rast prihoda od naplate cestarine koji bilježe svoj maksimum od početka poslovanja Društva. Društvo je 2018. godine ostvarilo pozitivan rezultat poslovanja</w:t>
      </w:r>
      <w:r w:rsidR="007D6C2A">
        <w:rPr>
          <w:bCs/>
        </w:rPr>
        <w:t>,</w:t>
      </w:r>
      <w:r w:rsidRPr="00CF101E">
        <w:rPr>
          <w:bCs/>
        </w:rPr>
        <w:t xml:space="preserve"> odnosno dobit u visini od 640.210.136 kuna.</w:t>
      </w:r>
    </w:p>
    <w:p w:rsidR="00F60FEB" w:rsidRPr="00CF101E" w:rsidRDefault="00F60FEB" w:rsidP="00CF101E">
      <w:pPr>
        <w:jc w:val="both"/>
        <w:rPr>
          <w:bCs/>
          <w:lang w:eastAsia="hr-HR"/>
        </w:rPr>
      </w:pPr>
    </w:p>
    <w:p w:rsidR="00B20D0B" w:rsidRPr="00CF101E" w:rsidRDefault="00B20D0B" w:rsidP="00CF101E">
      <w:pPr>
        <w:jc w:val="both"/>
        <w:rPr>
          <w:bCs/>
          <w:lang w:eastAsia="hr-HR"/>
        </w:rPr>
      </w:pPr>
      <w:r w:rsidRPr="00CF101E">
        <w:rPr>
          <w:bCs/>
          <w:lang w:eastAsia="hr-HR"/>
        </w:rPr>
        <w:t xml:space="preserve">Budući da je izgradnja autoceste Rijeka-Zagreb trajala desetak godina (od 1998. - 2008. godine), puni iznos prihoda ova cesta će ostvariti u razdoblju trajanja koncesije, dakle unutar 25 godina, a </w:t>
      </w:r>
      <w:r w:rsidR="007D6C2A">
        <w:rPr>
          <w:bCs/>
          <w:lang w:eastAsia="hr-HR"/>
        </w:rPr>
        <w:t xml:space="preserve">s </w:t>
      </w:r>
      <w:r w:rsidRPr="00CF101E">
        <w:rPr>
          <w:bCs/>
          <w:lang w:eastAsia="hr-HR"/>
        </w:rPr>
        <w:t xml:space="preserve">obzirom na uobičajeni ekonomski vijek trajanja ceste najmanje 40-50 godina, nije realno za očekivati da će se prihodima ostvarenim u preostalom koncesijskom razdoblju podmiriti svi neamortizirani troškovi gradnje. </w:t>
      </w:r>
    </w:p>
    <w:p w:rsidR="00B20D0B" w:rsidRPr="00CF101E" w:rsidRDefault="00B20D0B" w:rsidP="00CF101E">
      <w:pPr>
        <w:jc w:val="both"/>
        <w:rPr>
          <w:bCs/>
          <w:lang w:eastAsia="hr-HR"/>
        </w:rPr>
      </w:pPr>
    </w:p>
    <w:p w:rsidR="00B20D0B" w:rsidRPr="00CF101E" w:rsidRDefault="00B20D0B" w:rsidP="00CF101E">
      <w:pPr>
        <w:jc w:val="both"/>
        <w:rPr>
          <w:bCs/>
          <w:lang w:eastAsia="hr-HR"/>
        </w:rPr>
      </w:pPr>
      <w:r w:rsidRPr="00CF101E">
        <w:rPr>
          <w:bCs/>
          <w:lang w:eastAsia="hr-HR"/>
        </w:rPr>
        <w:t xml:space="preserve">Planirani prihod u 2019. godini iznosi 709,46 mil. kuna, dok je rashod planiran na razini operativnih troškova koji se kreću u visini od 290,65 mil. kuna te ulaganja u cestovnu infrastrukturu u visini od 80,53 mil. kuna. Uz navedeno, prema otplatnom planu, tijekom 2019. godine Društvo mora otplatiti dug u visini 79.314.426,79 eura. Na ovaj iznos duga nadovezuju se kreditne obveze s dospijećem plaćanja u 2020. godini koje, bez ukalkuliranih novih troškova zaduženja, iznose cca. 79,07 mil. eura. </w:t>
      </w:r>
    </w:p>
    <w:p w:rsidR="00B20D0B" w:rsidRPr="00CF101E" w:rsidRDefault="00B20D0B" w:rsidP="00CF101E">
      <w:pPr>
        <w:jc w:val="both"/>
        <w:rPr>
          <w:bCs/>
          <w:lang w:eastAsia="hr-HR"/>
        </w:rPr>
      </w:pPr>
    </w:p>
    <w:p w:rsidR="00B20D0B" w:rsidRPr="00CF101E" w:rsidRDefault="00B20D0B" w:rsidP="00CF101E">
      <w:pPr>
        <w:jc w:val="both"/>
        <w:rPr>
          <w:bCs/>
          <w:lang w:eastAsia="hr-HR"/>
        </w:rPr>
      </w:pPr>
      <w:r w:rsidRPr="00CF101E">
        <w:rPr>
          <w:bCs/>
          <w:lang w:eastAsia="hr-HR"/>
        </w:rPr>
        <w:t xml:space="preserve">Daljnji nastavak poslovanja Društva ovisi, prije svega, o strateškim odlukama Vlade Republike Hrvatske vezanim uz provođenje postupka restrukturiranja i smanjenja javnog duga u području financiranja prometne infrastrukture u cestarskom sektoru. </w:t>
      </w:r>
    </w:p>
    <w:p w:rsidR="00B20D0B" w:rsidRPr="00CF101E" w:rsidRDefault="00B20D0B" w:rsidP="00CF101E">
      <w:pPr>
        <w:jc w:val="both"/>
        <w:rPr>
          <w:lang w:eastAsia="hr-HR"/>
        </w:rPr>
      </w:pPr>
    </w:p>
    <w:p w:rsidR="00B20D0B" w:rsidRPr="00CF101E" w:rsidRDefault="00B20D0B" w:rsidP="00CF101E">
      <w:pPr>
        <w:jc w:val="both"/>
        <w:rPr>
          <w:noProof/>
          <w:lang w:eastAsia="hr-HR"/>
        </w:rPr>
      </w:pPr>
      <w:r w:rsidRPr="00CF101E">
        <w:rPr>
          <w:lang w:eastAsia="hr-HR"/>
        </w:rPr>
        <w:t>Tako je Vlada Republike Hrvatske</w:t>
      </w:r>
      <w:r w:rsidR="007D6C2A">
        <w:rPr>
          <w:lang w:eastAsia="hr-HR"/>
        </w:rPr>
        <w:t>,</w:t>
      </w:r>
      <w:r w:rsidRPr="00CF101E">
        <w:rPr>
          <w:lang w:eastAsia="hr-HR"/>
        </w:rPr>
        <w:t xml:space="preserve"> 16. ožujka 2017. godine</w:t>
      </w:r>
      <w:r w:rsidR="007D6C2A">
        <w:rPr>
          <w:lang w:eastAsia="hr-HR"/>
        </w:rPr>
        <w:t>,</w:t>
      </w:r>
      <w:r w:rsidRPr="00CF101E">
        <w:rPr>
          <w:lang w:eastAsia="hr-HR"/>
        </w:rPr>
        <w:t xml:space="preserve"> odobrila Pismo sektorske politike, pripremljeno uz pomoć Svjetske banke, kojim je započeo proces restrukturiranja cestarskog sektora.</w:t>
      </w:r>
      <w:r w:rsidRPr="00CF101E">
        <w:rPr>
          <w:noProof/>
          <w:lang w:eastAsia="hr-HR"/>
        </w:rPr>
        <w:t xml:space="preserve"> Resorno ministarstvo</w:t>
      </w:r>
      <w:r w:rsidRPr="00CF101E">
        <w:rPr>
          <w:lang w:eastAsia="hr-HR"/>
        </w:rPr>
        <w:t xml:space="preserve"> angažiralo je francusku konzultantsku tvrtku Lazard Freres sa zadatkom da napravi studioznu analizu duga te da pripremi i dogovori optimalne modele reprograma i otplate dijela kreditnih obveza. U sklopu ovog</w:t>
      </w:r>
      <w:r w:rsidR="007D6C2A">
        <w:rPr>
          <w:lang w:eastAsia="hr-HR"/>
        </w:rPr>
        <w:t>a</w:t>
      </w:r>
      <w:r w:rsidRPr="00CF101E">
        <w:rPr>
          <w:lang w:eastAsia="hr-HR"/>
        </w:rPr>
        <w:t xml:space="preserve"> opsežnog financijskog plana Lazard Freres je s Ministarstvom mora, prometa i infrastrukture i Ministarstvom financija usuglasio plan otplate i dinamiku financijskog restrukturiranja </w:t>
      </w:r>
      <w:r w:rsidRPr="00CF101E">
        <w:rPr>
          <w:noProof/>
          <w:lang w:eastAsia="hr-HR"/>
        </w:rPr>
        <w:t xml:space="preserve">duga koje je </w:t>
      </w:r>
      <w:r w:rsidR="007D6C2A">
        <w:rPr>
          <w:noProof/>
          <w:lang w:eastAsia="hr-HR"/>
        </w:rPr>
        <w:t xml:space="preserve">društvo </w:t>
      </w:r>
      <w:r w:rsidRPr="00CF101E">
        <w:rPr>
          <w:noProof/>
          <w:lang w:eastAsia="hr-HR"/>
        </w:rPr>
        <w:t>Autocesta Rijeka-Zagreb d.d. provel</w:t>
      </w:r>
      <w:r w:rsidR="007D6C2A">
        <w:rPr>
          <w:noProof/>
          <w:lang w:eastAsia="hr-HR"/>
        </w:rPr>
        <w:t>o</w:t>
      </w:r>
      <w:r w:rsidRPr="00CF101E">
        <w:rPr>
          <w:noProof/>
          <w:lang w:eastAsia="hr-HR"/>
        </w:rPr>
        <w:t xml:space="preserve"> u dvije faze kako slijedi: </w:t>
      </w:r>
    </w:p>
    <w:p w:rsidR="00B20D0B" w:rsidRPr="00CF101E" w:rsidRDefault="00B20D0B" w:rsidP="00CF101E">
      <w:pPr>
        <w:jc w:val="both"/>
        <w:rPr>
          <w:noProof/>
          <w:lang w:eastAsia="hr-HR"/>
        </w:rPr>
      </w:pPr>
    </w:p>
    <w:p w:rsidR="00B20D0B" w:rsidRPr="00CF101E" w:rsidRDefault="00B20D0B" w:rsidP="00CF101E">
      <w:pPr>
        <w:jc w:val="both"/>
        <w:rPr>
          <w:lang w:eastAsia="hr-HR"/>
        </w:rPr>
      </w:pPr>
      <w:r w:rsidRPr="00CF101E">
        <w:rPr>
          <w:noProof/>
          <w:lang w:eastAsia="hr-HR"/>
        </w:rPr>
        <w:t>U studenom 2017. godine odobren je kredit u iznosu od 55.000.000,00 eura od strane kluba banaka: Zagrebačka banka d.d., Zagreb, Addiko bank d.d., Zagreb i OTP banke d.d., Split po kamatnoj stopi 3M EURIBOR uvećan za maržu 5,1</w:t>
      </w:r>
      <w:r w:rsidR="007D6C2A">
        <w:rPr>
          <w:noProof/>
          <w:lang w:eastAsia="hr-HR"/>
        </w:rPr>
        <w:t xml:space="preserve"> </w:t>
      </w:r>
      <w:r w:rsidRPr="00CF101E">
        <w:rPr>
          <w:noProof/>
          <w:lang w:eastAsia="hr-HR"/>
        </w:rPr>
        <w:t xml:space="preserve">% i otplatom glavnice 2019. godine odjednom, otplaćen je prije roka dospijeća iz doznačenih sredstava od strane Ministarstva financija koja su prikupljena izdavanjem euro obveznica. </w:t>
      </w:r>
    </w:p>
    <w:p w:rsidR="00B20D0B" w:rsidRPr="00CF101E" w:rsidRDefault="00B20D0B" w:rsidP="00CF101E">
      <w:pPr>
        <w:jc w:val="both"/>
        <w:rPr>
          <w:noProof/>
          <w:lang w:eastAsia="hr-HR"/>
        </w:rPr>
      </w:pPr>
    </w:p>
    <w:p w:rsidR="00B20D0B" w:rsidRPr="00CF101E" w:rsidRDefault="00B20D0B" w:rsidP="00CF101E">
      <w:pPr>
        <w:jc w:val="both"/>
        <w:rPr>
          <w:lang w:eastAsia="hr-HR"/>
        </w:rPr>
      </w:pPr>
      <w:r w:rsidRPr="00CF101E">
        <w:rPr>
          <w:noProof/>
          <w:lang w:eastAsia="hr-HR"/>
        </w:rPr>
        <w:t>U travnju 2018. godine kredit Zagrebačke banke d.d. u iznosu od 177 mil. eura po kamatnoj stopi 6M EURIBOR uvećan za maržu 3,96</w:t>
      </w:r>
      <w:r w:rsidR="007D6C2A">
        <w:rPr>
          <w:noProof/>
          <w:lang w:eastAsia="hr-HR"/>
        </w:rPr>
        <w:t xml:space="preserve"> </w:t>
      </w:r>
      <w:r w:rsidRPr="00CF101E">
        <w:rPr>
          <w:noProof/>
          <w:lang w:eastAsia="hr-HR"/>
        </w:rPr>
        <w:t>% i kredit Kluba banaka (</w:t>
      </w:r>
      <w:r w:rsidRPr="00CF101E">
        <w:rPr>
          <w:lang w:eastAsia="hr-HR"/>
        </w:rPr>
        <w:t>Erste&amp;Steiermärkische Bank d.d., Privredna banka Zagreb d.d., Societe Generale-Splitska banka d.d. i Zagrebačka banka d.d.) od 70 mil. eura po kamatnoj stopi 6M EURIBOR plus 4,15</w:t>
      </w:r>
      <w:r w:rsidR="007D6C2A">
        <w:rPr>
          <w:lang w:eastAsia="hr-HR"/>
        </w:rPr>
        <w:t xml:space="preserve"> </w:t>
      </w:r>
      <w:r w:rsidRPr="00CF101E">
        <w:rPr>
          <w:lang w:eastAsia="hr-HR"/>
        </w:rPr>
        <w:t>% na ime marže, refinancirani su novim kreditom zajednice kreditora (Privredna banka Zagreb d.d., Zagrebačka banka d.d., Erste&amp;Steiermärkische Bank d.d., OTP banka d.d. i Hrvatska poštanska banka d.d.) u iznosu od 202.025.000,00 eura na rok korištenja od 12 godina i uz nižu kamatnu stopu u visini 6M EURIBOR-a uvećanog za maržu 1,95</w:t>
      </w:r>
      <w:r w:rsidR="007D6C2A">
        <w:rPr>
          <w:lang w:eastAsia="hr-HR"/>
        </w:rPr>
        <w:t xml:space="preserve"> </w:t>
      </w:r>
      <w:r w:rsidRPr="00CF101E">
        <w:rPr>
          <w:lang w:eastAsia="hr-HR"/>
        </w:rPr>
        <w:t xml:space="preserve">%. </w:t>
      </w:r>
    </w:p>
    <w:p w:rsidR="00B20D0B" w:rsidRPr="00CF101E" w:rsidRDefault="00B20D0B" w:rsidP="00CF101E">
      <w:pPr>
        <w:jc w:val="both"/>
        <w:rPr>
          <w:lang w:eastAsia="hr-HR"/>
        </w:rPr>
      </w:pPr>
    </w:p>
    <w:p w:rsidR="00B20D0B" w:rsidRPr="00CF101E" w:rsidRDefault="00B20D0B" w:rsidP="00CF101E">
      <w:pPr>
        <w:jc w:val="both"/>
        <w:rPr>
          <w:lang w:eastAsia="hr-HR"/>
        </w:rPr>
      </w:pPr>
      <w:r w:rsidRPr="00CF101E">
        <w:rPr>
          <w:lang w:eastAsia="hr-HR"/>
        </w:rPr>
        <w:t>U zadnjem kvartalu 2019. godine dug po glavnicama uvećan za troškove kamata koji dospijeva do kraja tekuće godine iznosi 21.617.390,23 eura. Kreditne obveze koje predstoje u nadolazećoj 2020. godini odnose se na dug po glavnici od 66.108.205,92 eura uvećano za procijenjene troškove kamate od 11.318.421,20 eura te troškove naknade od 33.000,00 eura što ukupno iznosi 77.459.627,12 eura.</w:t>
      </w:r>
    </w:p>
    <w:p w:rsidR="00B20D0B" w:rsidRPr="00CF101E" w:rsidRDefault="00B20D0B" w:rsidP="00CF101E">
      <w:pPr>
        <w:jc w:val="both"/>
        <w:rPr>
          <w:lang w:eastAsia="hr-HR"/>
        </w:rPr>
      </w:pPr>
    </w:p>
    <w:p w:rsidR="00B20D0B" w:rsidRPr="00CF101E" w:rsidRDefault="007D6C2A" w:rsidP="00CF101E">
      <w:pPr>
        <w:jc w:val="both"/>
        <w:rPr>
          <w:b/>
          <w:lang w:eastAsia="hr-HR"/>
        </w:rPr>
      </w:pPr>
      <w:r>
        <w:rPr>
          <w:lang w:eastAsia="hr-HR"/>
        </w:rPr>
        <w:t>S o</w:t>
      </w:r>
      <w:r w:rsidR="00B20D0B" w:rsidRPr="00CF101E">
        <w:rPr>
          <w:lang w:eastAsia="hr-HR"/>
        </w:rPr>
        <w:t>bzirom na činjenicu da dinamika otplate kredita i drugih obveza nije identična prihodima Društva, a imajući u vidu i da je angažirana konzultantska tvrtka Lazard Freres u svom završnom izvješću utvrdila da će društvo Autocesta Rijeka-Zagreb d.d. unatoč provedenom restrukturiranju duga u bilanci imati iskazan nedostatak financijskih sredstava te da će za uredno servisiranje kreditnih obveza morati osigurati dodatna sredstva, zahtjev za novim kreditnim zaduženjem</w:t>
      </w:r>
      <w:r w:rsidR="00B20D0B" w:rsidRPr="00CF101E">
        <w:rPr>
          <w:b/>
          <w:lang w:eastAsia="hr-HR"/>
        </w:rPr>
        <w:t xml:space="preserve"> </w:t>
      </w:r>
      <w:r w:rsidR="00B20D0B" w:rsidRPr="00CF101E">
        <w:rPr>
          <w:lang w:eastAsia="hr-HR"/>
        </w:rPr>
        <w:t>smatra se opravdanim i nužnim.</w:t>
      </w:r>
    </w:p>
    <w:p w:rsidR="00B20D0B" w:rsidRPr="00CF101E" w:rsidRDefault="00B20D0B" w:rsidP="00CF101E">
      <w:pPr>
        <w:jc w:val="both"/>
        <w:rPr>
          <w:lang w:eastAsia="hr-HR"/>
        </w:rPr>
      </w:pPr>
    </w:p>
    <w:p w:rsidR="00B20D0B" w:rsidRDefault="00B20D0B" w:rsidP="00CF101E">
      <w:pPr>
        <w:jc w:val="both"/>
        <w:rPr>
          <w:lang w:eastAsia="hr-HR"/>
        </w:rPr>
      </w:pPr>
      <w:r w:rsidRPr="00CF101E">
        <w:rPr>
          <w:lang w:eastAsia="hr-HR"/>
        </w:rPr>
        <w:t xml:space="preserve">Naime, ako se uzmu obveze prema kreditorima s osnove glavnice i kamata koje dospijevaju tijekom 2019. godine i ako se tome pridoda dug koji dospijeva na naplatu tijekom 2020. godine, jasno je da bez dodatnog zaduženja neće biti moguće iz očekivanih prihoda pokriti očekivane rashode. U tom smislu, odobravanje dodatnog zaduženja od 70. mil. eura bilo bi dostatno za urednu otplatu kreditnih obveza u drugoj polovici 2019. i tijekom 2020. godine. </w:t>
      </w:r>
    </w:p>
    <w:p w:rsidR="007D6C2A" w:rsidRDefault="007D6C2A" w:rsidP="00CF101E">
      <w:pPr>
        <w:jc w:val="both"/>
        <w:rPr>
          <w:lang w:eastAsia="hr-HR"/>
        </w:rPr>
      </w:pPr>
    </w:p>
    <w:p w:rsidR="007D6C2A" w:rsidRDefault="007D6C2A" w:rsidP="00CF101E">
      <w:pPr>
        <w:jc w:val="both"/>
        <w:rPr>
          <w:lang w:eastAsia="hr-HR"/>
        </w:rPr>
      </w:pPr>
    </w:p>
    <w:p w:rsidR="007D6C2A" w:rsidRDefault="007D6C2A" w:rsidP="00CF101E">
      <w:pPr>
        <w:jc w:val="both"/>
        <w:rPr>
          <w:lang w:eastAsia="hr-HR"/>
        </w:rPr>
      </w:pPr>
    </w:p>
    <w:p w:rsidR="007D6C2A" w:rsidRPr="00CF101E" w:rsidRDefault="007D6C2A" w:rsidP="00CF101E">
      <w:pPr>
        <w:jc w:val="both"/>
        <w:rPr>
          <w:lang w:eastAsia="hr-HR"/>
        </w:rPr>
      </w:pPr>
    </w:p>
    <w:p w:rsidR="00B20D0B" w:rsidRPr="00CF101E" w:rsidRDefault="00B20D0B" w:rsidP="00CF101E">
      <w:pPr>
        <w:jc w:val="both"/>
        <w:rPr>
          <w:lang w:eastAsia="hr-HR"/>
        </w:rPr>
      </w:pPr>
      <w:r w:rsidRPr="00CF101E">
        <w:rPr>
          <w:lang w:eastAsia="hr-HR"/>
        </w:rPr>
        <w:t>Otplatom glavnice koje dospijevaju na naplatu u ovoj godini, dug na kraju 2019. godine će smanjiti iznos ukupnog duga Društva na visinu od 67.926.335,95 eura. Novim kreditnim zaduženjem ukupan iznos aktivnih državnih jamstava u odnosu na postojeće stanje povećao bi se za 2.073.664,05 mil. eura.</w:t>
      </w:r>
    </w:p>
    <w:p w:rsidR="00B20D0B" w:rsidRPr="00CF101E" w:rsidRDefault="00B20D0B" w:rsidP="00CF101E">
      <w:pPr>
        <w:jc w:val="both"/>
        <w:rPr>
          <w:bCs/>
          <w:u w:val="single"/>
          <w:lang w:eastAsia="hr-HR"/>
        </w:rPr>
      </w:pPr>
    </w:p>
    <w:p w:rsidR="00F60FEB" w:rsidRPr="007D6C2A" w:rsidRDefault="00F60FEB" w:rsidP="00CF101E">
      <w:pPr>
        <w:jc w:val="both"/>
        <w:rPr>
          <w:bCs/>
          <w:lang w:eastAsia="hr-HR"/>
        </w:rPr>
      </w:pPr>
    </w:p>
    <w:p w:rsidR="00B20D0B" w:rsidRPr="00CF101E" w:rsidRDefault="00B20D0B" w:rsidP="00CF101E">
      <w:pPr>
        <w:jc w:val="both"/>
        <w:rPr>
          <w:b/>
          <w:bCs/>
          <w:lang w:eastAsia="hr-HR"/>
        </w:rPr>
      </w:pPr>
      <w:r w:rsidRPr="00CF101E">
        <w:rPr>
          <w:b/>
          <w:bCs/>
          <w:lang w:eastAsia="hr-HR"/>
        </w:rPr>
        <w:t>Značaj novog zaduženja za likvidnost i funkcioniranje Društva</w:t>
      </w:r>
    </w:p>
    <w:p w:rsidR="00B20D0B" w:rsidRPr="00CF101E" w:rsidRDefault="00B20D0B" w:rsidP="00CF101E">
      <w:pPr>
        <w:jc w:val="both"/>
        <w:rPr>
          <w:bCs/>
          <w:lang w:eastAsia="hr-HR"/>
        </w:rPr>
      </w:pPr>
    </w:p>
    <w:p w:rsidR="00B20D0B" w:rsidRPr="00CF101E" w:rsidRDefault="00B20D0B" w:rsidP="00CF101E">
      <w:pPr>
        <w:jc w:val="both"/>
        <w:rPr>
          <w:bCs/>
          <w:lang w:eastAsia="hr-HR"/>
        </w:rPr>
      </w:pPr>
      <w:r w:rsidRPr="00CF101E">
        <w:rPr>
          <w:bCs/>
          <w:lang w:eastAsia="hr-HR"/>
        </w:rPr>
        <w:t>Vođena kriterijem sigurnosti u poslovanju, Uprava Društva prati financijski položaj društva Autocesta Rijeka-Zagreb d.d. na temelju pokazatelja stupnja zaduženosti i to: Stupnjem zaduženosti kao omjerom ukupnih obveza i ukupne imovine i Neto financijskim dugom koji je omjer neto duga i kapitala.</w:t>
      </w:r>
    </w:p>
    <w:p w:rsidR="00F60FEB" w:rsidRPr="00CF101E" w:rsidRDefault="00F60FEB" w:rsidP="00CF101E">
      <w:pPr>
        <w:jc w:val="both"/>
        <w:rPr>
          <w:bCs/>
          <w:lang w:eastAsia="hr-HR"/>
        </w:rPr>
      </w:pPr>
    </w:p>
    <w:p w:rsidR="00B20D0B" w:rsidRPr="00CF101E" w:rsidRDefault="00B20D0B" w:rsidP="00CF101E">
      <w:pPr>
        <w:jc w:val="both"/>
        <w:rPr>
          <w:bCs/>
          <w:lang w:eastAsia="hr-HR"/>
        </w:rPr>
      </w:pPr>
    </w:p>
    <w:p w:rsidR="00B20D0B" w:rsidRPr="00CF101E" w:rsidRDefault="00B20D0B" w:rsidP="00CF101E">
      <w:pPr>
        <w:jc w:val="both"/>
        <w:rPr>
          <w:bCs/>
          <w:lang w:eastAsia="hr-H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001"/>
        <w:gridCol w:w="1989"/>
      </w:tblGrid>
      <w:tr w:rsidR="00CF101E" w:rsidRPr="00CF101E" w:rsidTr="00CF55D6">
        <w:tc>
          <w:tcPr>
            <w:tcW w:w="4990" w:type="dxa"/>
            <w:gridSpan w:val="2"/>
            <w:tcBorders>
              <w:top w:val="single" w:sz="4" w:space="0" w:color="44546A"/>
              <w:left w:val="dashSmallGap" w:sz="4" w:space="0" w:color="FFFFFF"/>
              <w:bottom w:val="single" w:sz="4" w:space="0" w:color="44546A"/>
              <w:right w:val="dashSmallGap" w:sz="4" w:space="0" w:color="FFFFFF"/>
            </w:tcBorders>
            <w:hideMark/>
          </w:tcPr>
          <w:p w:rsidR="00B20D0B" w:rsidRPr="00CF101E" w:rsidRDefault="00B20D0B" w:rsidP="00CF101E">
            <w:pPr>
              <w:jc w:val="both"/>
              <w:rPr>
                <w:bCs/>
                <w:lang w:eastAsia="hr-HR"/>
              </w:rPr>
            </w:pPr>
            <w:r w:rsidRPr="00CF101E">
              <w:rPr>
                <w:bCs/>
                <w:lang w:eastAsia="hr-HR"/>
              </w:rPr>
              <w:t>Opis</w:t>
            </w:r>
          </w:p>
          <w:p w:rsidR="00B20D0B" w:rsidRPr="00CF101E" w:rsidRDefault="00B20D0B" w:rsidP="00CF101E">
            <w:pPr>
              <w:jc w:val="both"/>
              <w:rPr>
                <w:bCs/>
                <w:i/>
              </w:rPr>
            </w:pPr>
            <w:r w:rsidRPr="00CF101E">
              <w:rPr>
                <w:b/>
                <w:bCs/>
                <w:i/>
                <w:lang w:eastAsia="hr-HR"/>
              </w:rPr>
              <w:t>Iznosi u</w:t>
            </w:r>
            <w:r w:rsidRPr="00CF101E">
              <w:rPr>
                <w:bCs/>
                <w:i/>
                <w:lang w:eastAsia="hr-HR"/>
              </w:rPr>
              <w:t xml:space="preserve"> </w:t>
            </w:r>
            <w:r w:rsidRPr="00CF101E">
              <w:rPr>
                <w:b/>
                <w:bCs/>
                <w:i/>
                <w:lang w:eastAsia="hr-HR"/>
              </w:rPr>
              <w:t>milijunima kuna</w:t>
            </w:r>
          </w:p>
        </w:tc>
        <w:tc>
          <w:tcPr>
            <w:tcW w:w="1989" w:type="dxa"/>
            <w:tcBorders>
              <w:top w:val="single" w:sz="4" w:space="0" w:color="44546A"/>
              <w:left w:val="dashSmallGap" w:sz="4" w:space="0" w:color="FFFFFF"/>
              <w:bottom w:val="single" w:sz="4" w:space="0" w:color="44546A"/>
              <w:right w:val="dashSmallGap" w:sz="4" w:space="0" w:color="FFFFFF"/>
            </w:tcBorders>
            <w:hideMark/>
          </w:tcPr>
          <w:p w:rsidR="00B20D0B" w:rsidRPr="00CF101E" w:rsidRDefault="00B20D0B" w:rsidP="00CF101E">
            <w:pPr>
              <w:jc w:val="both"/>
              <w:rPr>
                <w:bCs/>
              </w:rPr>
            </w:pPr>
            <w:r w:rsidRPr="00CF101E">
              <w:rPr>
                <w:bCs/>
                <w:lang w:eastAsia="hr-HR"/>
              </w:rPr>
              <w:t>Stanje na dan 31.12.2018.</w:t>
            </w:r>
          </w:p>
        </w:tc>
      </w:tr>
      <w:tr w:rsidR="00CF101E" w:rsidRPr="00CF101E" w:rsidTr="00CF55D6">
        <w:tc>
          <w:tcPr>
            <w:tcW w:w="4990" w:type="dxa"/>
            <w:gridSpan w:val="2"/>
            <w:tcBorders>
              <w:top w:val="single" w:sz="4" w:space="0" w:color="44546A"/>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Ukupna imovina - aktiva</w:t>
            </w:r>
          </w:p>
        </w:tc>
        <w:tc>
          <w:tcPr>
            <w:tcW w:w="1989" w:type="dxa"/>
            <w:tcBorders>
              <w:top w:val="single" w:sz="4" w:space="0" w:color="44546A"/>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4.452</w:t>
            </w:r>
          </w:p>
        </w:tc>
      </w:tr>
      <w:tr w:rsidR="00CF101E" w:rsidRPr="00CF101E" w:rsidTr="00CF55D6">
        <w:tc>
          <w:tcPr>
            <w:tcW w:w="4990" w:type="dxa"/>
            <w:gridSpan w:val="2"/>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Ukupne obveze</w:t>
            </w:r>
          </w:p>
        </w:tc>
        <w:tc>
          <w:tcPr>
            <w:tcW w:w="1989" w:type="dxa"/>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lang w:eastAsia="hr-HR"/>
              </w:rPr>
              <w:t>6.203</w:t>
            </w:r>
          </w:p>
        </w:tc>
      </w:tr>
      <w:tr w:rsidR="00CF101E" w:rsidRPr="00CF101E" w:rsidTr="00CF55D6">
        <w:tc>
          <w:tcPr>
            <w:tcW w:w="4990" w:type="dxa"/>
            <w:gridSpan w:val="2"/>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Obveze prema bankama i drugim financijskim institucijama</w:t>
            </w:r>
          </w:p>
        </w:tc>
        <w:tc>
          <w:tcPr>
            <w:tcW w:w="1989" w:type="dxa"/>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lang w:eastAsia="hr-HR"/>
              </w:rPr>
              <w:t>5.573</w:t>
            </w:r>
          </w:p>
        </w:tc>
      </w:tr>
      <w:tr w:rsidR="00CF101E" w:rsidRPr="00CF101E" w:rsidTr="00CF55D6">
        <w:trPr>
          <w:trHeight w:val="474"/>
        </w:trPr>
        <w:tc>
          <w:tcPr>
            <w:tcW w:w="4990" w:type="dxa"/>
            <w:gridSpan w:val="2"/>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Novac i novčani ekvivalenti</w:t>
            </w:r>
          </w:p>
        </w:tc>
        <w:tc>
          <w:tcPr>
            <w:tcW w:w="1989" w:type="dxa"/>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lang w:eastAsia="hr-HR"/>
              </w:rPr>
            </w:pPr>
            <w:r w:rsidRPr="00CF101E">
              <w:rPr>
                <w:lang w:eastAsia="hr-HR"/>
              </w:rPr>
              <w:t xml:space="preserve">   369</w:t>
            </w:r>
          </w:p>
        </w:tc>
      </w:tr>
      <w:tr w:rsidR="00CF101E" w:rsidRPr="00CF101E" w:rsidTr="00CF55D6">
        <w:tc>
          <w:tcPr>
            <w:tcW w:w="4990" w:type="dxa"/>
            <w:gridSpan w:val="2"/>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 xml:space="preserve">Neto dug             </w:t>
            </w:r>
          </w:p>
        </w:tc>
        <w:tc>
          <w:tcPr>
            <w:tcW w:w="1989" w:type="dxa"/>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5.833</w:t>
            </w:r>
          </w:p>
        </w:tc>
      </w:tr>
      <w:tr w:rsidR="00CF101E" w:rsidRPr="00CF101E" w:rsidTr="00CF55D6">
        <w:tc>
          <w:tcPr>
            <w:tcW w:w="4990" w:type="dxa"/>
            <w:gridSpan w:val="2"/>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rPr>
                <w:bCs/>
              </w:rPr>
            </w:pPr>
            <w:r w:rsidRPr="00CF101E">
              <w:rPr>
                <w:bCs/>
                <w:lang w:eastAsia="hr-HR"/>
              </w:rPr>
              <w:t>Kapital i rezerve</w:t>
            </w:r>
          </w:p>
        </w:tc>
        <w:tc>
          <w:tcPr>
            <w:tcW w:w="1989" w:type="dxa"/>
            <w:tcBorders>
              <w:top w:val="single" w:sz="4" w:space="0" w:color="808080"/>
              <w:left w:val="dashSmallGap" w:sz="4" w:space="0" w:color="FFFFFF"/>
              <w:bottom w:val="single" w:sz="4" w:space="0" w:color="808080"/>
              <w:right w:val="dashSmallGap" w:sz="4" w:space="0" w:color="FFFFFF"/>
            </w:tcBorders>
            <w:hideMark/>
          </w:tcPr>
          <w:p w:rsidR="00B20D0B" w:rsidRPr="00CF101E" w:rsidRDefault="00B20D0B" w:rsidP="00CF101E">
            <w:pPr>
              <w:jc w:val="both"/>
            </w:pPr>
            <w:r w:rsidRPr="00CF101E">
              <w:rPr>
                <w:lang w:eastAsia="hr-HR"/>
              </w:rPr>
              <w:t>-1.794</w:t>
            </w:r>
          </w:p>
        </w:tc>
      </w:tr>
      <w:tr w:rsidR="00CF101E" w:rsidRPr="00CF101E" w:rsidTr="00CF55D6">
        <w:trPr>
          <w:gridAfter w:val="2"/>
          <w:wAfter w:w="4990" w:type="dxa"/>
        </w:trPr>
        <w:tc>
          <w:tcPr>
            <w:tcW w:w="1989" w:type="dxa"/>
            <w:tcBorders>
              <w:top w:val="single" w:sz="4" w:space="0" w:color="808080"/>
              <w:left w:val="dashSmallGap" w:sz="4" w:space="0" w:color="FFFFFF"/>
              <w:bottom w:val="single" w:sz="4" w:space="0" w:color="auto"/>
              <w:right w:val="dashSmallGap" w:sz="4" w:space="0" w:color="FFFFFF"/>
            </w:tcBorders>
          </w:tcPr>
          <w:p w:rsidR="00B20D0B" w:rsidRPr="00CF101E" w:rsidRDefault="00B20D0B" w:rsidP="00CF101E">
            <w:pPr>
              <w:jc w:val="both"/>
              <w:rPr>
                <w:bCs/>
              </w:rPr>
            </w:pPr>
          </w:p>
        </w:tc>
      </w:tr>
      <w:tr w:rsidR="00CF101E" w:rsidRPr="00CF101E" w:rsidTr="00CF55D6">
        <w:tc>
          <w:tcPr>
            <w:tcW w:w="4990" w:type="dxa"/>
            <w:gridSpan w:val="2"/>
            <w:tcBorders>
              <w:top w:val="single" w:sz="4" w:space="0" w:color="auto"/>
              <w:left w:val="dashSmallGap" w:sz="4" w:space="0" w:color="FFFFFF"/>
              <w:bottom w:val="dashSmallGap" w:sz="4" w:space="0" w:color="808080"/>
              <w:right w:val="dashSmallGap" w:sz="4" w:space="0" w:color="FFFFFF"/>
            </w:tcBorders>
            <w:hideMark/>
          </w:tcPr>
          <w:p w:rsidR="00B20D0B" w:rsidRPr="00CF101E" w:rsidRDefault="00B20D0B" w:rsidP="00CF101E">
            <w:pPr>
              <w:numPr>
                <w:ilvl w:val="0"/>
                <w:numId w:val="22"/>
              </w:numPr>
              <w:ind w:left="0"/>
              <w:jc w:val="both"/>
              <w:rPr>
                <w:bCs/>
              </w:rPr>
            </w:pPr>
            <w:r w:rsidRPr="00CF101E">
              <w:rPr>
                <w:bCs/>
                <w:lang w:eastAsia="hr-HR"/>
              </w:rPr>
              <w:t xml:space="preserve">Koeficijent zaduženosti   </w:t>
            </w:r>
          </w:p>
        </w:tc>
        <w:tc>
          <w:tcPr>
            <w:tcW w:w="1989" w:type="dxa"/>
            <w:tcBorders>
              <w:top w:val="single" w:sz="4" w:space="0" w:color="auto"/>
              <w:left w:val="dashSmallGap" w:sz="4" w:space="0" w:color="FFFFFF"/>
              <w:bottom w:val="dashSmallGap" w:sz="4" w:space="0" w:color="808080"/>
              <w:right w:val="dashSmallGap" w:sz="4" w:space="0" w:color="FFFFFF"/>
            </w:tcBorders>
            <w:hideMark/>
          </w:tcPr>
          <w:p w:rsidR="00B20D0B" w:rsidRPr="00CF101E" w:rsidRDefault="00B20D0B" w:rsidP="00CF101E">
            <w:pPr>
              <w:jc w:val="both"/>
              <w:rPr>
                <w:bCs/>
              </w:rPr>
            </w:pPr>
            <w:r w:rsidRPr="00CF101E">
              <w:rPr>
                <w:bCs/>
                <w:lang w:eastAsia="hr-HR"/>
              </w:rPr>
              <w:t>1,39</w:t>
            </w:r>
          </w:p>
        </w:tc>
      </w:tr>
      <w:tr w:rsidR="00CF101E" w:rsidRPr="00CF101E" w:rsidTr="00CF55D6">
        <w:tc>
          <w:tcPr>
            <w:tcW w:w="4990" w:type="dxa"/>
            <w:gridSpan w:val="2"/>
            <w:tcBorders>
              <w:top w:val="dashSmallGap" w:sz="4" w:space="0" w:color="808080"/>
              <w:left w:val="dashSmallGap" w:sz="4" w:space="0" w:color="FFFFFF"/>
              <w:bottom w:val="dashSmallGap" w:sz="4" w:space="0" w:color="808080"/>
              <w:right w:val="dashSmallGap" w:sz="4" w:space="0" w:color="FFFFFF"/>
            </w:tcBorders>
            <w:hideMark/>
          </w:tcPr>
          <w:p w:rsidR="00B20D0B" w:rsidRPr="00CF101E" w:rsidRDefault="00B20D0B" w:rsidP="00CF101E">
            <w:pPr>
              <w:numPr>
                <w:ilvl w:val="0"/>
                <w:numId w:val="22"/>
              </w:numPr>
              <w:ind w:left="0"/>
              <w:jc w:val="both"/>
              <w:rPr>
                <w:bCs/>
              </w:rPr>
            </w:pPr>
            <w:r w:rsidRPr="00CF101E">
              <w:rPr>
                <w:bCs/>
                <w:lang w:eastAsia="hr-HR"/>
              </w:rPr>
              <w:t xml:space="preserve">Koeficijent tekuće likvidnosti    </w:t>
            </w:r>
          </w:p>
        </w:tc>
        <w:tc>
          <w:tcPr>
            <w:tcW w:w="1989" w:type="dxa"/>
            <w:tcBorders>
              <w:top w:val="dashSmallGap" w:sz="4" w:space="0" w:color="808080"/>
              <w:left w:val="dashSmallGap" w:sz="4" w:space="0" w:color="FFFFFF"/>
              <w:bottom w:val="dashSmallGap" w:sz="4" w:space="0" w:color="808080"/>
              <w:right w:val="dashSmallGap" w:sz="4" w:space="0" w:color="FFFFFF"/>
            </w:tcBorders>
            <w:hideMark/>
          </w:tcPr>
          <w:p w:rsidR="00B20D0B" w:rsidRPr="00CF101E" w:rsidRDefault="00B20D0B" w:rsidP="00CF101E">
            <w:pPr>
              <w:jc w:val="both"/>
              <w:rPr>
                <w:bCs/>
              </w:rPr>
            </w:pPr>
            <w:r w:rsidRPr="00CF101E">
              <w:rPr>
                <w:bCs/>
                <w:lang w:eastAsia="hr-HR"/>
              </w:rPr>
              <w:t>0,68</w:t>
            </w:r>
          </w:p>
        </w:tc>
      </w:tr>
      <w:tr w:rsidR="00CF101E" w:rsidRPr="00CF101E" w:rsidTr="00CF55D6">
        <w:tc>
          <w:tcPr>
            <w:tcW w:w="4990" w:type="dxa"/>
            <w:gridSpan w:val="2"/>
            <w:tcBorders>
              <w:top w:val="dashSmallGap" w:sz="4" w:space="0" w:color="808080"/>
              <w:left w:val="dashSmallGap" w:sz="4" w:space="0" w:color="FFFFFF"/>
              <w:bottom w:val="single" w:sz="4" w:space="0" w:color="44546A"/>
              <w:right w:val="dashSmallGap" w:sz="4" w:space="0" w:color="FFFFFF"/>
            </w:tcBorders>
            <w:hideMark/>
          </w:tcPr>
          <w:p w:rsidR="00B20D0B" w:rsidRPr="00CF101E" w:rsidRDefault="00B20D0B" w:rsidP="00CF101E">
            <w:pPr>
              <w:numPr>
                <w:ilvl w:val="0"/>
                <w:numId w:val="22"/>
              </w:numPr>
              <w:ind w:left="0"/>
              <w:jc w:val="both"/>
              <w:rPr>
                <w:bCs/>
              </w:rPr>
            </w:pPr>
            <w:r w:rsidRPr="00CF101E">
              <w:rPr>
                <w:bCs/>
                <w:lang w:eastAsia="hr-HR"/>
              </w:rPr>
              <w:t>Koeficijent financijske stabilnosti</w:t>
            </w:r>
          </w:p>
        </w:tc>
        <w:tc>
          <w:tcPr>
            <w:tcW w:w="1989" w:type="dxa"/>
            <w:tcBorders>
              <w:top w:val="dashSmallGap" w:sz="4" w:space="0" w:color="808080"/>
              <w:left w:val="dashSmallGap" w:sz="4" w:space="0" w:color="FFFFFF"/>
              <w:bottom w:val="single" w:sz="4" w:space="0" w:color="44546A"/>
              <w:right w:val="dashSmallGap" w:sz="4" w:space="0" w:color="FFFFFF"/>
            </w:tcBorders>
            <w:hideMark/>
          </w:tcPr>
          <w:p w:rsidR="00B20D0B" w:rsidRPr="00CF101E" w:rsidRDefault="00B20D0B" w:rsidP="00CF101E">
            <w:pPr>
              <w:jc w:val="both"/>
              <w:rPr>
                <w:bCs/>
              </w:rPr>
            </w:pPr>
            <w:r w:rsidRPr="00CF101E">
              <w:rPr>
                <w:bCs/>
                <w:lang w:eastAsia="hr-HR"/>
              </w:rPr>
              <w:t>1,06</w:t>
            </w:r>
          </w:p>
        </w:tc>
      </w:tr>
    </w:tbl>
    <w:p w:rsidR="00B20D0B" w:rsidRPr="00CF101E" w:rsidRDefault="00B20D0B" w:rsidP="00CF101E">
      <w:pPr>
        <w:jc w:val="both"/>
        <w:rPr>
          <w:bCs/>
        </w:rPr>
      </w:pPr>
    </w:p>
    <w:p w:rsidR="00B20D0B" w:rsidRPr="00CF101E" w:rsidRDefault="00B20D0B" w:rsidP="00CF101E">
      <w:pPr>
        <w:jc w:val="both"/>
        <w:rPr>
          <w:bCs/>
          <w:lang w:eastAsia="hr-HR"/>
        </w:rPr>
      </w:pPr>
      <w:r w:rsidRPr="00CF101E">
        <w:rPr>
          <w:bCs/>
          <w:lang w:eastAsia="hr-HR"/>
        </w:rPr>
        <w:t xml:space="preserve">Uzimajući u obzir koeficijente stupnja zaduženosti, tekuće likvidnosti i financijske stabilnosti, te sagledavajući  potencijalne rizike povezane s izvorima financiranja možemo zaključiti da je financijska stabilnost društva Autocesta Rijeka-Zagreb d.d. s aspekta sigurnosti poslovanja zadovoljavajuća.  </w:t>
      </w:r>
    </w:p>
    <w:p w:rsidR="00B20D0B" w:rsidRPr="00CF101E" w:rsidRDefault="00B20D0B" w:rsidP="00CF101E">
      <w:pPr>
        <w:jc w:val="both"/>
        <w:rPr>
          <w:lang w:eastAsia="hr-HR"/>
        </w:rPr>
      </w:pPr>
    </w:p>
    <w:p w:rsidR="00B20D0B" w:rsidRPr="00CF101E" w:rsidRDefault="00B20D0B" w:rsidP="00CF101E">
      <w:pPr>
        <w:jc w:val="both"/>
        <w:rPr>
          <w:lang w:eastAsia="hr-HR"/>
        </w:rPr>
      </w:pPr>
      <w:r w:rsidRPr="00CF101E">
        <w:rPr>
          <w:lang w:eastAsia="hr-HR"/>
        </w:rPr>
        <w:t>Sredstva novog zaduženja bit će upotrijebljena za financiranje Plana poslovanja</w:t>
      </w:r>
      <w:r w:rsidR="00726E59" w:rsidRPr="00CF101E">
        <w:rPr>
          <w:lang w:eastAsia="hr-HR"/>
        </w:rPr>
        <w:t xml:space="preserve"> za 2019. godinu</w:t>
      </w:r>
      <w:r w:rsidR="007D6C2A">
        <w:rPr>
          <w:lang w:eastAsia="hr-HR"/>
        </w:rPr>
        <w:t>,</w:t>
      </w:r>
      <w:r w:rsidRPr="00CF101E">
        <w:rPr>
          <w:lang w:eastAsia="hr-HR"/>
        </w:rPr>
        <w:t xml:space="preserve"> kao i financiranja dijela Plana poslovanja</w:t>
      </w:r>
      <w:r w:rsidR="00726E59" w:rsidRPr="00CF101E">
        <w:rPr>
          <w:lang w:eastAsia="hr-HR"/>
        </w:rPr>
        <w:t xml:space="preserve"> za</w:t>
      </w:r>
      <w:r w:rsidRPr="00CF101E">
        <w:rPr>
          <w:lang w:eastAsia="hr-HR"/>
        </w:rPr>
        <w:t xml:space="preserve"> 2020. godin</w:t>
      </w:r>
      <w:r w:rsidR="00726E59" w:rsidRPr="00CF101E">
        <w:rPr>
          <w:lang w:eastAsia="hr-HR"/>
        </w:rPr>
        <w:t>u</w:t>
      </w:r>
      <w:r w:rsidRPr="00CF101E">
        <w:rPr>
          <w:lang w:eastAsia="hr-HR"/>
        </w:rPr>
        <w:t xml:space="preserve">, što će omogućiti Društvu uredno servisiranje kreditnih obveza i podmirenje investicijskih troškova obuhvaćenih Planom poslovanja.  </w:t>
      </w:r>
    </w:p>
    <w:p w:rsidR="00B20D0B" w:rsidRPr="00CF101E" w:rsidRDefault="00B20D0B" w:rsidP="00CF101E">
      <w:pPr>
        <w:rPr>
          <w:noProof/>
          <w:u w:val="single"/>
          <w:lang w:eastAsia="hr-HR"/>
        </w:rPr>
      </w:pPr>
    </w:p>
    <w:p w:rsidR="00B20D0B" w:rsidRPr="00CF101E" w:rsidRDefault="00B20D0B" w:rsidP="00CF101E">
      <w:pPr>
        <w:rPr>
          <w:b/>
          <w:bCs/>
          <w:noProof/>
          <w:u w:val="single"/>
          <w:lang w:eastAsia="hr-HR"/>
        </w:rPr>
      </w:pPr>
      <w:r w:rsidRPr="00CF101E">
        <w:rPr>
          <w:b/>
          <w:bCs/>
          <w:noProof/>
          <w:u w:val="single"/>
          <w:lang w:eastAsia="hr-HR"/>
        </w:rPr>
        <w:t xml:space="preserve">Opći uvjeti gospodarske stabilnosti i važnosti u regionalnom razvitku </w:t>
      </w:r>
    </w:p>
    <w:p w:rsidR="00B20D0B" w:rsidRPr="00CF101E" w:rsidRDefault="00B20D0B" w:rsidP="00CF101E">
      <w:pPr>
        <w:jc w:val="both"/>
        <w:rPr>
          <w:rFonts w:eastAsia="Calibri"/>
        </w:rPr>
      </w:pPr>
    </w:p>
    <w:p w:rsidR="00B20D0B" w:rsidRPr="00CF101E" w:rsidRDefault="00B20D0B" w:rsidP="00CF101E">
      <w:pPr>
        <w:jc w:val="both"/>
        <w:rPr>
          <w:rFonts w:eastAsia="Calibri"/>
        </w:rPr>
      </w:pPr>
      <w:r w:rsidRPr="00CF101E">
        <w:rPr>
          <w:rFonts w:eastAsia="Calibri"/>
        </w:rPr>
        <w:t>Društvo Autocesta Rijeka-Zagreb d.d. u svojem djelokrugu poslovanja obuhvaća pružanje usluga i izvođenja radova izvanrednog/investicijskog održavanja na pravcu autoceste ukupne duljine 187,03 kilometara i to:</w:t>
      </w:r>
    </w:p>
    <w:p w:rsidR="00B20D0B" w:rsidRPr="00CF101E" w:rsidRDefault="00B20D0B" w:rsidP="00CF101E">
      <w:pPr>
        <w:jc w:val="both"/>
        <w:rPr>
          <w:rFonts w:eastAsia="Calibri"/>
        </w:rPr>
      </w:pPr>
    </w:p>
    <w:p w:rsidR="00B20D0B" w:rsidRPr="00CF101E" w:rsidRDefault="00B20D0B" w:rsidP="00CF101E">
      <w:pPr>
        <w:numPr>
          <w:ilvl w:val="0"/>
          <w:numId w:val="23"/>
        </w:numPr>
        <w:jc w:val="both"/>
      </w:pPr>
      <w:r w:rsidRPr="00CF101E">
        <w:t>174,5 km autocesta</w:t>
      </w:r>
    </w:p>
    <w:p w:rsidR="00B20D0B" w:rsidRPr="00CF101E" w:rsidRDefault="00B20D0B" w:rsidP="00CF101E">
      <w:pPr>
        <w:numPr>
          <w:ilvl w:val="0"/>
          <w:numId w:val="23"/>
        </w:numPr>
        <w:jc w:val="both"/>
      </w:pPr>
      <w:r w:rsidRPr="00CF101E">
        <w:t>12,5 km državnih cesta</w:t>
      </w:r>
    </w:p>
    <w:p w:rsidR="00B20D0B" w:rsidRPr="00CF101E" w:rsidRDefault="00B20D0B" w:rsidP="00CF101E">
      <w:pPr>
        <w:numPr>
          <w:ilvl w:val="0"/>
          <w:numId w:val="23"/>
        </w:numPr>
        <w:jc w:val="both"/>
      </w:pPr>
      <w:r w:rsidRPr="00CF101E">
        <w:lastRenderedPageBreak/>
        <w:t>37 vijadukata i mostova u punom profilu (74 konstrukcija), ukupne duljine 28,6 km (2x14,3 km)</w:t>
      </w:r>
    </w:p>
    <w:p w:rsidR="00B20D0B" w:rsidRPr="00CF101E" w:rsidRDefault="00B20D0B" w:rsidP="00CF101E">
      <w:pPr>
        <w:numPr>
          <w:ilvl w:val="0"/>
          <w:numId w:val="23"/>
        </w:numPr>
        <w:jc w:val="both"/>
      </w:pPr>
      <w:r w:rsidRPr="00CF101E">
        <w:t xml:space="preserve">Most Krk </w:t>
      </w:r>
      <w:r w:rsidR="007D6C2A">
        <w:t>-</w:t>
      </w:r>
      <w:r w:rsidRPr="00CF101E">
        <w:t xml:space="preserve"> most s svjetski najvećim rasponom armirano betonskog luka (390 m), ukupne duljine 1.410 metara</w:t>
      </w:r>
    </w:p>
    <w:p w:rsidR="00B20D0B" w:rsidRPr="00CF101E" w:rsidRDefault="00B20D0B" w:rsidP="00CF101E">
      <w:pPr>
        <w:numPr>
          <w:ilvl w:val="0"/>
          <w:numId w:val="23"/>
        </w:numPr>
        <w:jc w:val="both"/>
      </w:pPr>
      <w:r w:rsidRPr="00CF101E">
        <w:t>18 tunela u punom profilu (36 tunelskih cijevi) ukupne duljine 26 km (2x13 km).</w:t>
      </w:r>
    </w:p>
    <w:p w:rsidR="00B20D0B" w:rsidRPr="00CF101E" w:rsidRDefault="00B20D0B" w:rsidP="00CF101E">
      <w:pPr>
        <w:jc w:val="both"/>
        <w:rPr>
          <w:lang w:eastAsia="hr-HR"/>
        </w:rPr>
      </w:pPr>
    </w:p>
    <w:p w:rsidR="00B20D0B" w:rsidRPr="00CF101E" w:rsidRDefault="00B20D0B" w:rsidP="00CF101E">
      <w:pPr>
        <w:jc w:val="both"/>
        <w:rPr>
          <w:rFonts w:eastAsia="Calibri"/>
          <w:lang w:eastAsia="hr-HR"/>
        </w:rPr>
      </w:pPr>
      <w:r w:rsidRPr="00CF101E">
        <w:rPr>
          <w:lang w:eastAsia="hr-HR"/>
        </w:rPr>
        <w:t xml:space="preserve">Radovi i usluge izvanrednog održavanja odnose se na sanaciju i obnovu asfaltne kolničke konstrukcije, sanaciju klizišta, nestabilnih pokosa, armirano betonskih konstrukcija, revizionih okana i ugradnju novih poklopaca sustava za odvodnju, te na usluge specijalističkog pregleda objekata i izrade izvedbene tehničke dokumentacije za sanaciju objekata. </w:t>
      </w:r>
      <w:r w:rsidRPr="00CF101E">
        <w:rPr>
          <w:rFonts w:eastAsia="Calibri"/>
          <w:lang w:eastAsia="hr-HR"/>
        </w:rPr>
        <w:t xml:space="preserve">Za gore navedene radove u 2019. godini Društvo planira utrošiti ukupno 135.175.337 kuna. Nadalje, </w:t>
      </w:r>
      <w:r w:rsidRPr="00CF101E">
        <w:rPr>
          <w:lang w:eastAsia="hr-HR"/>
        </w:rPr>
        <w:t>u 2020. godini planirana je sanacija vijadukata Bukovo i Zečeve Drage, podvožnjaka Kikovica, sanacija mosta Krk, ugovaranje i početak sanacije vijadukta Golubinjak i Zalesina, kao i sanacija i obnova asfaltne kolničke konstrukcije i zamjena svih prijelaznih naprava na vijaduktu Drežnik. Plan ukupnog investicijskog održavanja u 2020. godini iznosi 130.179.092,00 kuna.</w:t>
      </w:r>
    </w:p>
    <w:p w:rsidR="00B20D0B" w:rsidRPr="00CF101E" w:rsidRDefault="00B20D0B" w:rsidP="00CF101E">
      <w:pPr>
        <w:jc w:val="both"/>
        <w:rPr>
          <w:lang w:eastAsia="hr-HR"/>
        </w:rPr>
      </w:pPr>
    </w:p>
    <w:p w:rsidR="00B20D0B" w:rsidRPr="00CF101E" w:rsidRDefault="00B20D0B" w:rsidP="00CF101E">
      <w:pPr>
        <w:jc w:val="both"/>
        <w:rPr>
          <w:lang w:eastAsia="hr-HR"/>
        </w:rPr>
      </w:pPr>
      <w:r w:rsidRPr="00CF101E">
        <w:rPr>
          <w:lang w:eastAsia="hr-HR"/>
        </w:rPr>
        <w:t xml:space="preserve">Investicijska aktivnost u 2019. godini planirana je u ukupnom iznosu od 4.297.944,00 kuna, a odnosi se na projektiranje i provedbu upravnog postupka za postavljanje zidova za zaštitu od buke - dijelovi A1, A6 i A7, izradu studije izvodljivosti za projekt Prilagodba infrastrukture na relaciji Zagreb-Karlovac, izradu projektne dokumentacije i provedbu cjelokupnog upravnog postupka i postupka izvlaštenja za čvor Trinajstići na autocesti A7, dionica Rupa-Rijeka, provedba projekta CROCODILE II Croatia koji kao dionike uključuje sve upravitelje hrvatskih cesta i autocesta s ciljem koordiniranog upravljanja i kontrole prometa te postizanja usklađenosti Inteligentnih transportnih sustava (ITS) na prometnicama. Za razmjenu podataka i informacija između centara za kontrolu i upravljanje prometom, prometnih informacijskih centara, pružatelja i korisnika usluga u prometu na europskoj razini koristit će se DATEX II standard. Na projekt CROCODILE II Croatia nastavlja se EU Projekt CROCODILE III koji uključuje šest zemalja članica (Austrija, Češka, Hrvatska, Mađarska, Italija i Slovenija). Glavni fokus projekta CROCODILE III je na nastavku implementacije DATEX II standarda nadogradnjom sustava u centrima za upravljanje i kontrolu prometa Bosiljevo, Delnice i Čavle. Kroz projekt će se ugraditi i prometna oprema (info displeji, video kamere i meteo stanice). </w:t>
      </w:r>
    </w:p>
    <w:p w:rsidR="00B20D0B" w:rsidRPr="00CF101E" w:rsidRDefault="00B20D0B" w:rsidP="00CF101E">
      <w:pPr>
        <w:jc w:val="both"/>
        <w:rPr>
          <w:lang w:eastAsia="hr-HR"/>
        </w:rPr>
      </w:pPr>
    </w:p>
    <w:p w:rsidR="00B20D0B" w:rsidRPr="00CF101E" w:rsidRDefault="00B20D0B" w:rsidP="00CF101E">
      <w:pPr>
        <w:jc w:val="both"/>
        <w:rPr>
          <w:lang w:eastAsia="hr-HR"/>
        </w:rPr>
      </w:pPr>
      <w:r w:rsidRPr="00CF101E">
        <w:rPr>
          <w:lang w:eastAsia="hr-HR"/>
        </w:rPr>
        <w:t xml:space="preserve">U 2020. godini investicijska aktivnost planirana je u iznosu od </w:t>
      </w:r>
      <w:r w:rsidRPr="00CF101E">
        <w:rPr>
          <w:bCs/>
          <w:lang w:eastAsia="hr-HR"/>
        </w:rPr>
        <w:t xml:space="preserve">8.468.993,00 kuna </w:t>
      </w:r>
      <w:r w:rsidRPr="00CF101E">
        <w:rPr>
          <w:lang w:eastAsia="hr-HR"/>
        </w:rPr>
        <w:t>i obuhvaća nastavak ugovorenih radova iz 2019. godine, te izgradnju vatrogasne postaje VP Vrbovsko i izradu projektne dokumentacije i provedbu upravnog postupka za izm</w:t>
      </w:r>
      <w:r w:rsidR="00F60FEB" w:rsidRPr="00CF101E">
        <w:rPr>
          <w:lang w:eastAsia="hr-HR"/>
        </w:rPr>
        <w:t>i</w:t>
      </w:r>
      <w:r w:rsidRPr="00CF101E">
        <w:rPr>
          <w:lang w:eastAsia="hr-HR"/>
        </w:rPr>
        <w:t xml:space="preserve">ještanje državne ceste D6 na čvoru Novigrad - Lišnica, 4.440 m. </w:t>
      </w:r>
    </w:p>
    <w:p w:rsidR="00B20D0B" w:rsidRPr="00CF101E" w:rsidRDefault="00B20D0B" w:rsidP="00CF101E">
      <w:pPr>
        <w:jc w:val="both"/>
        <w:rPr>
          <w:lang w:eastAsia="hr-HR"/>
        </w:rPr>
      </w:pPr>
    </w:p>
    <w:p w:rsidR="00B20D0B" w:rsidRPr="00CF101E" w:rsidRDefault="00B20D0B" w:rsidP="00CF101E">
      <w:pPr>
        <w:jc w:val="both"/>
        <w:rPr>
          <w:lang w:eastAsia="hr-HR"/>
        </w:rPr>
      </w:pPr>
      <w:r w:rsidRPr="00CF101E">
        <w:rPr>
          <w:lang w:eastAsia="hr-HR"/>
        </w:rPr>
        <w:t>Planirana je rekonstrukcija</w:t>
      </w:r>
      <w:r w:rsidR="008C5D8C">
        <w:rPr>
          <w:lang w:eastAsia="hr-HR"/>
        </w:rPr>
        <w:t>,</w:t>
      </w:r>
      <w:r w:rsidRPr="00CF101E">
        <w:rPr>
          <w:lang w:eastAsia="hr-HR"/>
        </w:rPr>
        <w:t xml:space="preserve"> odnosno poboljšanje funkcionalnosti postojeće opreme na autocesti u ukupnom iznosu od </w:t>
      </w:r>
      <w:r w:rsidRPr="00CF101E">
        <w:rPr>
          <w:bCs/>
          <w:lang w:eastAsia="hr-HR"/>
        </w:rPr>
        <w:t>22.625.000 kuna</w:t>
      </w:r>
      <w:r w:rsidRPr="00CF101E">
        <w:rPr>
          <w:lang w:eastAsia="hr-HR"/>
        </w:rPr>
        <w:t>, a odnosi se na radove vodoopskrbe tunela s hidrantskim sustavom za gašenje požara u tunelima Čardak, Vršek, Lučice, Sopča i Sleme, modernizaciju sustava naplate cestarine i investicije u informacijske sustave, implementaciju sustava za nadzor brzina na autocestama i rekonstrukciju i novelaciju sustava video nadzora i sustava video detekcije na autocestama pod nadležnošću društ</w:t>
      </w:r>
      <w:r w:rsidR="008C5D8C">
        <w:rPr>
          <w:lang w:eastAsia="hr-HR"/>
        </w:rPr>
        <w:t>va Autocesta Rijeka-Zagreb d.d.</w:t>
      </w:r>
    </w:p>
    <w:p w:rsidR="00B20D0B" w:rsidRPr="00CF101E" w:rsidRDefault="00B20D0B" w:rsidP="00CF101E">
      <w:pPr>
        <w:jc w:val="both"/>
        <w:rPr>
          <w:lang w:eastAsia="hr-HR"/>
        </w:rPr>
      </w:pPr>
    </w:p>
    <w:p w:rsidR="00B20D0B" w:rsidRPr="00CF101E" w:rsidRDefault="00B20D0B" w:rsidP="00CF101E">
      <w:pPr>
        <w:jc w:val="both"/>
      </w:pPr>
      <w:r w:rsidRPr="00CF101E">
        <w:t>Iz svega navedenog</w:t>
      </w:r>
      <w:r w:rsidR="008C5D8C">
        <w:t>a</w:t>
      </w:r>
      <w:r w:rsidRPr="00CF101E">
        <w:t xml:space="preserve"> razvidno je da prihodi od naplate cestarine iz kojih se pokrivaju troškovi izgradnje i rekonstrukcije kao i troškovi poslovanja, te troškovi servisiranja kreditnih obveza nisu dostatni, stoga je nužno ishoditi dodatna financijska sredstva u vidu kreditnog zaduženja.</w:t>
      </w:r>
    </w:p>
    <w:p w:rsidR="00B20D0B" w:rsidRPr="00CF101E" w:rsidRDefault="00B20D0B" w:rsidP="00CF101E">
      <w:pPr>
        <w:pStyle w:val="BodyText"/>
        <w:jc w:val="center"/>
      </w:pPr>
    </w:p>
    <w:p w:rsidR="00B20D0B" w:rsidRPr="00CF101E" w:rsidRDefault="00B20D0B" w:rsidP="00CF101E">
      <w:pPr>
        <w:pStyle w:val="BodyText"/>
        <w:jc w:val="center"/>
      </w:pPr>
    </w:p>
    <w:sectPr w:rsidR="00B20D0B" w:rsidRPr="00CF101E" w:rsidSect="0048713B">
      <w:headerReference w:type="default" r:id="rId14"/>
      <w:footerReference w:type="default" r:id="rId15"/>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1B" w:rsidRDefault="0011761B" w:rsidP="005516B0">
      <w:r>
        <w:separator/>
      </w:r>
    </w:p>
  </w:endnote>
  <w:endnote w:type="continuationSeparator" w:id="0">
    <w:p w:rsidR="0011761B" w:rsidRDefault="0011761B" w:rsidP="0055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88" w:rsidRPr="00CE78D1" w:rsidRDefault="00255288"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3B" w:rsidRPr="0048713B" w:rsidRDefault="0048713B" w:rsidP="0048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1B" w:rsidRDefault="0011761B" w:rsidP="005516B0">
      <w:r>
        <w:separator/>
      </w:r>
    </w:p>
  </w:footnote>
  <w:footnote w:type="continuationSeparator" w:id="0">
    <w:p w:rsidR="0011761B" w:rsidRDefault="0011761B" w:rsidP="0055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BE" w:rsidRDefault="002621BE">
    <w:pPr>
      <w:pStyle w:val="Header"/>
      <w:jc w:val="center"/>
    </w:pPr>
    <w:r>
      <w:fldChar w:fldCharType="begin"/>
    </w:r>
    <w:r>
      <w:instrText xml:space="preserve"> PAGE   \* MERGEFORMAT </w:instrText>
    </w:r>
    <w:r>
      <w:fldChar w:fldCharType="separate"/>
    </w:r>
    <w:r w:rsidR="00595B7D">
      <w:rPr>
        <w:noProof/>
      </w:rPr>
      <w:t>10</w:t>
    </w:r>
    <w:r>
      <w:rPr>
        <w:noProof/>
      </w:rPr>
      <w:fldChar w:fldCharType="end"/>
    </w:r>
  </w:p>
  <w:p w:rsidR="002621BE" w:rsidRDefault="00262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DB5"/>
    <w:multiLevelType w:val="hybridMultilevel"/>
    <w:tmpl w:val="313E61F8"/>
    <w:lvl w:ilvl="0" w:tplc="589810F4">
      <w:start w:val="1"/>
      <w:numFmt w:val="bullet"/>
      <w:lvlText w:val="-"/>
      <w:lvlJc w:val="left"/>
      <w:pPr>
        <w:tabs>
          <w:tab w:val="num" w:pos="1080"/>
        </w:tabs>
        <w:ind w:left="1080" w:hanging="360"/>
      </w:pPr>
      <w:rPr>
        <w:rFonts w:ascii="Calibri" w:eastAsia="Times New Roman" w:hAnsi="Calibri"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591BF5"/>
    <w:multiLevelType w:val="hybridMultilevel"/>
    <w:tmpl w:val="5C36033C"/>
    <w:lvl w:ilvl="0" w:tplc="589810F4">
      <w:start w:val="1"/>
      <w:numFmt w:val="bullet"/>
      <w:lvlText w:val="-"/>
      <w:lvlJc w:val="left"/>
      <w:pPr>
        <w:ind w:left="754" w:hanging="360"/>
      </w:pPr>
      <w:rPr>
        <w:rFonts w:ascii="Calibri" w:eastAsia="Times New Roman" w:hAnsi="Calibri"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 w15:restartNumberingAfterBreak="0">
    <w:nsid w:val="129A4605"/>
    <w:multiLevelType w:val="hybridMultilevel"/>
    <w:tmpl w:val="4F92FBAE"/>
    <w:lvl w:ilvl="0" w:tplc="27DA616E">
      <w:start w:val="1"/>
      <w:numFmt w:val="bullet"/>
      <w:lvlText w:val="-"/>
      <w:lvlJc w:val="left"/>
      <w:pPr>
        <w:ind w:left="720" w:hanging="360"/>
      </w:pPr>
      <w:rPr>
        <w:rFonts w:ascii="Segoe UI Light" w:eastAsia="Calibri" w:hAnsi="Segoe UI Light" w:cs="Segoe U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620148"/>
    <w:multiLevelType w:val="hybridMultilevel"/>
    <w:tmpl w:val="BAB409B6"/>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0A75AE"/>
    <w:multiLevelType w:val="hybridMultilevel"/>
    <w:tmpl w:val="C3F4EE40"/>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5" w15:restartNumberingAfterBreak="0">
    <w:nsid w:val="1E9F6FBB"/>
    <w:multiLevelType w:val="hybridMultilevel"/>
    <w:tmpl w:val="3B742602"/>
    <w:lvl w:ilvl="0" w:tplc="589810F4">
      <w:start w:val="1"/>
      <w:numFmt w:val="bullet"/>
      <w:lvlText w:val="-"/>
      <w:lvlJc w:val="left"/>
      <w:pPr>
        <w:ind w:left="1121" w:hanging="360"/>
      </w:pPr>
      <w:rPr>
        <w:rFonts w:ascii="Calibri" w:eastAsia="Times New Roman" w:hAnsi="Calibri" w:cs="Times New Roman" w:hint="default"/>
      </w:rPr>
    </w:lvl>
    <w:lvl w:ilvl="1" w:tplc="041A0003" w:tentative="1">
      <w:start w:val="1"/>
      <w:numFmt w:val="bullet"/>
      <w:lvlText w:val="o"/>
      <w:lvlJc w:val="left"/>
      <w:pPr>
        <w:ind w:left="1841" w:hanging="360"/>
      </w:pPr>
      <w:rPr>
        <w:rFonts w:ascii="Courier New" w:hAnsi="Courier New" w:cs="Courier New" w:hint="default"/>
      </w:rPr>
    </w:lvl>
    <w:lvl w:ilvl="2" w:tplc="041A0005" w:tentative="1">
      <w:start w:val="1"/>
      <w:numFmt w:val="bullet"/>
      <w:lvlText w:val=""/>
      <w:lvlJc w:val="left"/>
      <w:pPr>
        <w:ind w:left="2561" w:hanging="360"/>
      </w:pPr>
      <w:rPr>
        <w:rFonts w:ascii="Wingdings" w:hAnsi="Wingdings" w:hint="default"/>
      </w:rPr>
    </w:lvl>
    <w:lvl w:ilvl="3" w:tplc="041A0001" w:tentative="1">
      <w:start w:val="1"/>
      <w:numFmt w:val="bullet"/>
      <w:lvlText w:val=""/>
      <w:lvlJc w:val="left"/>
      <w:pPr>
        <w:ind w:left="3281" w:hanging="360"/>
      </w:pPr>
      <w:rPr>
        <w:rFonts w:ascii="Symbol" w:hAnsi="Symbol" w:hint="default"/>
      </w:rPr>
    </w:lvl>
    <w:lvl w:ilvl="4" w:tplc="041A0003" w:tentative="1">
      <w:start w:val="1"/>
      <w:numFmt w:val="bullet"/>
      <w:lvlText w:val="o"/>
      <w:lvlJc w:val="left"/>
      <w:pPr>
        <w:ind w:left="4001" w:hanging="360"/>
      </w:pPr>
      <w:rPr>
        <w:rFonts w:ascii="Courier New" w:hAnsi="Courier New" w:cs="Courier New" w:hint="default"/>
      </w:rPr>
    </w:lvl>
    <w:lvl w:ilvl="5" w:tplc="041A0005" w:tentative="1">
      <w:start w:val="1"/>
      <w:numFmt w:val="bullet"/>
      <w:lvlText w:val=""/>
      <w:lvlJc w:val="left"/>
      <w:pPr>
        <w:ind w:left="4721" w:hanging="360"/>
      </w:pPr>
      <w:rPr>
        <w:rFonts w:ascii="Wingdings" w:hAnsi="Wingdings" w:hint="default"/>
      </w:rPr>
    </w:lvl>
    <w:lvl w:ilvl="6" w:tplc="041A0001" w:tentative="1">
      <w:start w:val="1"/>
      <w:numFmt w:val="bullet"/>
      <w:lvlText w:val=""/>
      <w:lvlJc w:val="left"/>
      <w:pPr>
        <w:ind w:left="5441" w:hanging="360"/>
      </w:pPr>
      <w:rPr>
        <w:rFonts w:ascii="Symbol" w:hAnsi="Symbol" w:hint="default"/>
      </w:rPr>
    </w:lvl>
    <w:lvl w:ilvl="7" w:tplc="041A0003" w:tentative="1">
      <w:start w:val="1"/>
      <w:numFmt w:val="bullet"/>
      <w:lvlText w:val="o"/>
      <w:lvlJc w:val="left"/>
      <w:pPr>
        <w:ind w:left="6161" w:hanging="360"/>
      </w:pPr>
      <w:rPr>
        <w:rFonts w:ascii="Courier New" w:hAnsi="Courier New" w:cs="Courier New" w:hint="default"/>
      </w:rPr>
    </w:lvl>
    <w:lvl w:ilvl="8" w:tplc="041A0005" w:tentative="1">
      <w:start w:val="1"/>
      <w:numFmt w:val="bullet"/>
      <w:lvlText w:val=""/>
      <w:lvlJc w:val="left"/>
      <w:pPr>
        <w:ind w:left="6881" w:hanging="360"/>
      </w:pPr>
      <w:rPr>
        <w:rFonts w:ascii="Wingdings" w:hAnsi="Wingdings" w:hint="default"/>
      </w:rPr>
    </w:lvl>
  </w:abstractNum>
  <w:abstractNum w:abstractNumId="6" w15:restartNumberingAfterBreak="0">
    <w:nsid w:val="228743B2"/>
    <w:multiLevelType w:val="hybridMultilevel"/>
    <w:tmpl w:val="6EA093A8"/>
    <w:lvl w:ilvl="0" w:tplc="589810F4">
      <w:start w:val="1"/>
      <w:numFmt w:val="bullet"/>
      <w:lvlText w:val="-"/>
      <w:lvlJc w:val="left"/>
      <w:pPr>
        <w:ind w:left="754" w:hanging="360"/>
      </w:pPr>
      <w:rPr>
        <w:rFonts w:ascii="Calibri" w:eastAsia="Times New Roman" w:hAnsi="Calibri"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7" w15:restartNumberingAfterBreak="0">
    <w:nsid w:val="30903AEA"/>
    <w:multiLevelType w:val="hybridMultilevel"/>
    <w:tmpl w:val="43BA992E"/>
    <w:lvl w:ilvl="0" w:tplc="D276AC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0265C"/>
    <w:multiLevelType w:val="hybridMultilevel"/>
    <w:tmpl w:val="7F02E9C0"/>
    <w:lvl w:ilvl="0" w:tplc="08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C3F7D32"/>
    <w:multiLevelType w:val="hybridMultilevel"/>
    <w:tmpl w:val="860E5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A83EDF"/>
    <w:multiLevelType w:val="hybridMultilevel"/>
    <w:tmpl w:val="1F486286"/>
    <w:lvl w:ilvl="0" w:tplc="041A0001">
      <w:start w:val="1"/>
      <w:numFmt w:val="bullet"/>
      <w:lvlText w:val=""/>
      <w:lvlJc w:val="left"/>
      <w:pPr>
        <w:ind w:left="754" w:hanging="360"/>
      </w:pPr>
      <w:rPr>
        <w:rFonts w:ascii="Symbol" w:hAnsi="Symbol"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1" w15:restartNumberingAfterBreak="0">
    <w:nsid w:val="463650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C7E0682"/>
    <w:multiLevelType w:val="hybridMultilevel"/>
    <w:tmpl w:val="37F08216"/>
    <w:lvl w:ilvl="0" w:tplc="D276A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83E91"/>
    <w:multiLevelType w:val="hybridMultilevel"/>
    <w:tmpl w:val="F8149FB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F0C07BC"/>
    <w:multiLevelType w:val="hybridMultilevel"/>
    <w:tmpl w:val="DC82150A"/>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8D20BF0"/>
    <w:multiLevelType w:val="hybridMultilevel"/>
    <w:tmpl w:val="707EE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69581C5D"/>
    <w:multiLevelType w:val="multilevel"/>
    <w:tmpl w:val="2C8C72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650B"/>
    <w:multiLevelType w:val="hybridMultilevel"/>
    <w:tmpl w:val="ABB01790"/>
    <w:lvl w:ilvl="0" w:tplc="589810F4">
      <w:start w:val="1"/>
      <w:numFmt w:val="bullet"/>
      <w:lvlText w:val="-"/>
      <w:lvlJc w:val="left"/>
      <w:pPr>
        <w:ind w:left="2160" w:hanging="360"/>
      </w:pPr>
      <w:rPr>
        <w:rFonts w:ascii="Calibri" w:eastAsia="Times New Roman" w:hAnsi="Calibri"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15:restartNumberingAfterBreak="0">
    <w:nsid w:val="6D1466C7"/>
    <w:multiLevelType w:val="hybridMultilevel"/>
    <w:tmpl w:val="7D20A086"/>
    <w:lvl w:ilvl="0" w:tplc="041A0001">
      <w:start w:val="1"/>
      <w:numFmt w:val="bullet"/>
      <w:lvlText w:val=""/>
      <w:lvlJc w:val="left"/>
      <w:pPr>
        <w:ind w:left="4720" w:hanging="360"/>
      </w:pPr>
      <w:rPr>
        <w:rFonts w:ascii="Symbol" w:hAnsi="Symbol" w:hint="default"/>
      </w:rPr>
    </w:lvl>
    <w:lvl w:ilvl="1" w:tplc="041A0003">
      <w:start w:val="1"/>
      <w:numFmt w:val="bullet"/>
      <w:lvlText w:val="o"/>
      <w:lvlJc w:val="left"/>
      <w:pPr>
        <w:ind w:left="5440" w:hanging="360"/>
      </w:pPr>
      <w:rPr>
        <w:rFonts w:ascii="Courier New" w:hAnsi="Courier New" w:cs="Courier New" w:hint="default"/>
      </w:rPr>
    </w:lvl>
    <w:lvl w:ilvl="2" w:tplc="041A0005" w:tentative="1">
      <w:start w:val="1"/>
      <w:numFmt w:val="bullet"/>
      <w:lvlText w:val=""/>
      <w:lvlJc w:val="left"/>
      <w:pPr>
        <w:ind w:left="6160" w:hanging="360"/>
      </w:pPr>
      <w:rPr>
        <w:rFonts w:ascii="Wingdings" w:hAnsi="Wingdings" w:hint="default"/>
      </w:rPr>
    </w:lvl>
    <w:lvl w:ilvl="3" w:tplc="041A0001" w:tentative="1">
      <w:start w:val="1"/>
      <w:numFmt w:val="bullet"/>
      <w:lvlText w:val=""/>
      <w:lvlJc w:val="left"/>
      <w:pPr>
        <w:ind w:left="6880" w:hanging="360"/>
      </w:pPr>
      <w:rPr>
        <w:rFonts w:ascii="Symbol" w:hAnsi="Symbol" w:hint="default"/>
      </w:rPr>
    </w:lvl>
    <w:lvl w:ilvl="4" w:tplc="041A0003" w:tentative="1">
      <w:start w:val="1"/>
      <w:numFmt w:val="bullet"/>
      <w:lvlText w:val="o"/>
      <w:lvlJc w:val="left"/>
      <w:pPr>
        <w:ind w:left="7600" w:hanging="360"/>
      </w:pPr>
      <w:rPr>
        <w:rFonts w:ascii="Courier New" w:hAnsi="Courier New" w:cs="Courier New" w:hint="default"/>
      </w:rPr>
    </w:lvl>
    <w:lvl w:ilvl="5" w:tplc="041A0005" w:tentative="1">
      <w:start w:val="1"/>
      <w:numFmt w:val="bullet"/>
      <w:lvlText w:val=""/>
      <w:lvlJc w:val="left"/>
      <w:pPr>
        <w:ind w:left="8320" w:hanging="360"/>
      </w:pPr>
      <w:rPr>
        <w:rFonts w:ascii="Wingdings" w:hAnsi="Wingdings" w:hint="default"/>
      </w:rPr>
    </w:lvl>
    <w:lvl w:ilvl="6" w:tplc="041A0001" w:tentative="1">
      <w:start w:val="1"/>
      <w:numFmt w:val="bullet"/>
      <w:lvlText w:val=""/>
      <w:lvlJc w:val="left"/>
      <w:pPr>
        <w:ind w:left="9040" w:hanging="360"/>
      </w:pPr>
      <w:rPr>
        <w:rFonts w:ascii="Symbol" w:hAnsi="Symbol" w:hint="default"/>
      </w:rPr>
    </w:lvl>
    <w:lvl w:ilvl="7" w:tplc="041A0003" w:tentative="1">
      <w:start w:val="1"/>
      <w:numFmt w:val="bullet"/>
      <w:lvlText w:val="o"/>
      <w:lvlJc w:val="left"/>
      <w:pPr>
        <w:ind w:left="9760" w:hanging="360"/>
      </w:pPr>
      <w:rPr>
        <w:rFonts w:ascii="Courier New" w:hAnsi="Courier New" w:cs="Courier New" w:hint="default"/>
      </w:rPr>
    </w:lvl>
    <w:lvl w:ilvl="8" w:tplc="041A0005" w:tentative="1">
      <w:start w:val="1"/>
      <w:numFmt w:val="bullet"/>
      <w:lvlText w:val=""/>
      <w:lvlJc w:val="left"/>
      <w:pPr>
        <w:ind w:left="10480" w:hanging="360"/>
      </w:pPr>
      <w:rPr>
        <w:rFonts w:ascii="Wingdings" w:hAnsi="Wingdings" w:hint="default"/>
      </w:rPr>
    </w:lvl>
  </w:abstractNum>
  <w:abstractNum w:abstractNumId="21" w15:restartNumberingAfterBreak="0">
    <w:nsid w:val="6F93283B"/>
    <w:multiLevelType w:val="hybridMultilevel"/>
    <w:tmpl w:val="50202E72"/>
    <w:lvl w:ilvl="0" w:tplc="589810F4">
      <w:start w:val="1"/>
      <w:numFmt w:val="bullet"/>
      <w:lvlText w:val="-"/>
      <w:lvlJc w:val="left"/>
      <w:pPr>
        <w:tabs>
          <w:tab w:val="num" w:pos="360"/>
        </w:tabs>
        <w:ind w:left="360" w:hanging="360"/>
      </w:pPr>
      <w:rPr>
        <w:rFonts w:ascii="Calibri" w:eastAsia="Times New Roman" w:hAnsi="Calibri"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FE62FD"/>
    <w:multiLevelType w:val="hybridMultilevel"/>
    <w:tmpl w:val="197C0310"/>
    <w:lvl w:ilvl="0" w:tplc="D276AC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07703"/>
    <w:multiLevelType w:val="hybridMultilevel"/>
    <w:tmpl w:val="E790FE3C"/>
    <w:lvl w:ilvl="0" w:tplc="589810F4">
      <w:start w:val="1"/>
      <w:numFmt w:val="bullet"/>
      <w:lvlText w:val="-"/>
      <w:lvlJc w:val="left"/>
      <w:pPr>
        <w:ind w:left="765" w:hanging="360"/>
      </w:pPr>
      <w:rPr>
        <w:rFonts w:ascii="Calibri" w:eastAsia="Times New Roman" w:hAnsi="Calibri"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11"/>
  </w:num>
  <w:num w:numId="2">
    <w:abstractNumId w:val="21"/>
  </w:num>
  <w:num w:numId="3">
    <w:abstractNumId w:val="14"/>
  </w:num>
  <w:num w:numId="4">
    <w:abstractNumId w:val="7"/>
  </w:num>
  <w:num w:numId="5">
    <w:abstractNumId w:val="13"/>
  </w:num>
  <w:num w:numId="6">
    <w:abstractNumId w:val="22"/>
  </w:num>
  <w:num w:numId="7">
    <w:abstractNumId w:val="18"/>
  </w:num>
  <w:num w:numId="8">
    <w:abstractNumId w:val="0"/>
  </w:num>
  <w:num w:numId="9">
    <w:abstractNumId w:val="9"/>
  </w:num>
  <w:num w:numId="10">
    <w:abstractNumId w:val="4"/>
  </w:num>
  <w:num w:numId="11">
    <w:abstractNumId w:val="16"/>
  </w:num>
  <w:num w:numId="12">
    <w:abstractNumId w:val="3"/>
  </w:num>
  <w:num w:numId="13">
    <w:abstractNumId w:val="15"/>
  </w:num>
  <w:num w:numId="14">
    <w:abstractNumId w:val="12"/>
  </w:num>
  <w:num w:numId="15">
    <w:abstractNumId w:val="17"/>
  </w:num>
  <w:num w:numId="16">
    <w:abstractNumId w:val="23"/>
  </w:num>
  <w:num w:numId="17">
    <w:abstractNumId w:val="20"/>
  </w:num>
  <w:num w:numId="18">
    <w:abstractNumId w:val="5"/>
  </w:num>
  <w:num w:numId="19">
    <w:abstractNumId w:val="10"/>
  </w:num>
  <w:num w:numId="20">
    <w:abstractNumId w:val="19"/>
  </w:num>
  <w:num w:numId="21">
    <w:abstractNumId w:val="6"/>
  </w:num>
  <w:num w:numId="22">
    <w:abstractNumId w:val="2"/>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89"/>
    <w:rsid w:val="00013D7C"/>
    <w:rsid w:val="00015B21"/>
    <w:rsid w:val="00020788"/>
    <w:rsid w:val="00022202"/>
    <w:rsid w:val="000303CB"/>
    <w:rsid w:val="00036ECF"/>
    <w:rsid w:val="0004004B"/>
    <w:rsid w:val="00044E3C"/>
    <w:rsid w:val="00046589"/>
    <w:rsid w:val="000573A8"/>
    <w:rsid w:val="0006007A"/>
    <w:rsid w:val="00066852"/>
    <w:rsid w:val="00066A8C"/>
    <w:rsid w:val="00067839"/>
    <w:rsid w:val="00072256"/>
    <w:rsid w:val="00083C2B"/>
    <w:rsid w:val="00083D89"/>
    <w:rsid w:val="00084ACC"/>
    <w:rsid w:val="00093667"/>
    <w:rsid w:val="00096F7E"/>
    <w:rsid w:val="000A28F0"/>
    <w:rsid w:val="000A5EDE"/>
    <w:rsid w:val="000C2832"/>
    <w:rsid w:val="000C5EA1"/>
    <w:rsid w:val="000C6213"/>
    <w:rsid w:val="000C707E"/>
    <w:rsid w:val="001005A2"/>
    <w:rsid w:val="00101370"/>
    <w:rsid w:val="001018BB"/>
    <w:rsid w:val="001132DD"/>
    <w:rsid w:val="00115455"/>
    <w:rsid w:val="0011761B"/>
    <w:rsid w:val="00121582"/>
    <w:rsid w:val="00123799"/>
    <w:rsid w:val="001300F5"/>
    <w:rsid w:val="0013787B"/>
    <w:rsid w:val="00140E25"/>
    <w:rsid w:val="00144C3E"/>
    <w:rsid w:val="001471ED"/>
    <w:rsid w:val="0015600E"/>
    <w:rsid w:val="00163F9C"/>
    <w:rsid w:val="0017355B"/>
    <w:rsid w:val="00174623"/>
    <w:rsid w:val="00176ABB"/>
    <w:rsid w:val="0019346F"/>
    <w:rsid w:val="00194C2F"/>
    <w:rsid w:val="001A5575"/>
    <w:rsid w:val="001B0361"/>
    <w:rsid w:val="001B26B6"/>
    <w:rsid w:val="001B420A"/>
    <w:rsid w:val="001B70B6"/>
    <w:rsid w:val="001C29D0"/>
    <w:rsid w:val="001D5A72"/>
    <w:rsid w:val="001E4A92"/>
    <w:rsid w:val="001E5F0E"/>
    <w:rsid w:val="001F3DE3"/>
    <w:rsid w:val="001F79B3"/>
    <w:rsid w:val="002103A3"/>
    <w:rsid w:val="00215ED4"/>
    <w:rsid w:val="00224EAB"/>
    <w:rsid w:val="0023285D"/>
    <w:rsid w:val="00241538"/>
    <w:rsid w:val="0024450B"/>
    <w:rsid w:val="002455CB"/>
    <w:rsid w:val="00252E63"/>
    <w:rsid w:val="00255288"/>
    <w:rsid w:val="002621BE"/>
    <w:rsid w:val="00263E6E"/>
    <w:rsid w:val="00270E3D"/>
    <w:rsid w:val="00272F26"/>
    <w:rsid w:val="00273F26"/>
    <w:rsid w:val="00284B5E"/>
    <w:rsid w:val="00293E7C"/>
    <w:rsid w:val="002A1539"/>
    <w:rsid w:val="002A1961"/>
    <w:rsid w:val="002A5A86"/>
    <w:rsid w:val="002A5E09"/>
    <w:rsid w:val="002A608A"/>
    <w:rsid w:val="002B2D23"/>
    <w:rsid w:val="002B2F08"/>
    <w:rsid w:val="002C56B0"/>
    <w:rsid w:val="002D23A8"/>
    <w:rsid w:val="002D2A73"/>
    <w:rsid w:val="002F5A7E"/>
    <w:rsid w:val="002F79D7"/>
    <w:rsid w:val="00300B2A"/>
    <w:rsid w:val="00301081"/>
    <w:rsid w:val="003128EF"/>
    <w:rsid w:val="00320773"/>
    <w:rsid w:val="0032123C"/>
    <w:rsid w:val="00323FE9"/>
    <w:rsid w:val="00324600"/>
    <w:rsid w:val="00325CA9"/>
    <w:rsid w:val="00326B10"/>
    <w:rsid w:val="0033559C"/>
    <w:rsid w:val="0034614E"/>
    <w:rsid w:val="00353A89"/>
    <w:rsid w:val="003542CC"/>
    <w:rsid w:val="00354AD1"/>
    <w:rsid w:val="0035645D"/>
    <w:rsid w:val="00360099"/>
    <w:rsid w:val="003626A7"/>
    <w:rsid w:val="00362BF9"/>
    <w:rsid w:val="003671EF"/>
    <w:rsid w:val="00371295"/>
    <w:rsid w:val="00382FEA"/>
    <w:rsid w:val="00394229"/>
    <w:rsid w:val="00394454"/>
    <w:rsid w:val="00394F94"/>
    <w:rsid w:val="003A0EE6"/>
    <w:rsid w:val="003B28E9"/>
    <w:rsid w:val="003D2331"/>
    <w:rsid w:val="003E4481"/>
    <w:rsid w:val="003F4981"/>
    <w:rsid w:val="004013F8"/>
    <w:rsid w:val="004070DB"/>
    <w:rsid w:val="00416F56"/>
    <w:rsid w:val="00422D1F"/>
    <w:rsid w:val="00423B7D"/>
    <w:rsid w:val="004259AF"/>
    <w:rsid w:val="0043250C"/>
    <w:rsid w:val="00437235"/>
    <w:rsid w:val="00447216"/>
    <w:rsid w:val="00447F32"/>
    <w:rsid w:val="00456E54"/>
    <w:rsid w:val="004606D8"/>
    <w:rsid w:val="00466D85"/>
    <w:rsid w:val="00471C48"/>
    <w:rsid w:val="00473BC2"/>
    <w:rsid w:val="00483B48"/>
    <w:rsid w:val="0048713B"/>
    <w:rsid w:val="00492D16"/>
    <w:rsid w:val="004B4C75"/>
    <w:rsid w:val="004B623B"/>
    <w:rsid w:val="004C246F"/>
    <w:rsid w:val="004D1544"/>
    <w:rsid w:val="004D1B26"/>
    <w:rsid w:val="004D6805"/>
    <w:rsid w:val="004E13F3"/>
    <w:rsid w:val="004E40D4"/>
    <w:rsid w:val="004E60F6"/>
    <w:rsid w:val="004F28C0"/>
    <w:rsid w:val="004F53E4"/>
    <w:rsid w:val="004F64C1"/>
    <w:rsid w:val="00501F22"/>
    <w:rsid w:val="00502C2F"/>
    <w:rsid w:val="00504BFD"/>
    <w:rsid w:val="00513602"/>
    <w:rsid w:val="005136B8"/>
    <w:rsid w:val="00513C4A"/>
    <w:rsid w:val="005141DA"/>
    <w:rsid w:val="00520722"/>
    <w:rsid w:val="005222C8"/>
    <w:rsid w:val="00526D57"/>
    <w:rsid w:val="00530592"/>
    <w:rsid w:val="00543F07"/>
    <w:rsid w:val="005506B6"/>
    <w:rsid w:val="00550A02"/>
    <w:rsid w:val="005516B0"/>
    <w:rsid w:val="00553D83"/>
    <w:rsid w:val="00557CDE"/>
    <w:rsid w:val="00560DBD"/>
    <w:rsid w:val="00561E8C"/>
    <w:rsid w:val="005700D7"/>
    <w:rsid w:val="00573D60"/>
    <w:rsid w:val="00576786"/>
    <w:rsid w:val="005838CB"/>
    <w:rsid w:val="00595B7D"/>
    <w:rsid w:val="005A3148"/>
    <w:rsid w:val="005A3C94"/>
    <w:rsid w:val="005B02F1"/>
    <w:rsid w:val="005B5269"/>
    <w:rsid w:val="005B7FDC"/>
    <w:rsid w:val="005D3592"/>
    <w:rsid w:val="005D3D09"/>
    <w:rsid w:val="005D4819"/>
    <w:rsid w:val="005F2EB0"/>
    <w:rsid w:val="005F6044"/>
    <w:rsid w:val="00620EFF"/>
    <w:rsid w:val="006316B0"/>
    <w:rsid w:val="00634105"/>
    <w:rsid w:val="0063646E"/>
    <w:rsid w:val="0065425F"/>
    <w:rsid w:val="00654742"/>
    <w:rsid w:val="00667405"/>
    <w:rsid w:val="006711E0"/>
    <w:rsid w:val="006734D0"/>
    <w:rsid w:val="0067792C"/>
    <w:rsid w:val="00687BC1"/>
    <w:rsid w:val="006A0F8C"/>
    <w:rsid w:val="006A3A45"/>
    <w:rsid w:val="006A5891"/>
    <w:rsid w:val="006A5B31"/>
    <w:rsid w:val="006A703C"/>
    <w:rsid w:val="006A7043"/>
    <w:rsid w:val="006A789A"/>
    <w:rsid w:val="006C541A"/>
    <w:rsid w:val="006C5DF3"/>
    <w:rsid w:val="006D6349"/>
    <w:rsid w:val="006E59AF"/>
    <w:rsid w:val="006F2B79"/>
    <w:rsid w:val="00703352"/>
    <w:rsid w:val="00704FA3"/>
    <w:rsid w:val="007056A4"/>
    <w:rsid w:val="007130DC"/>
    <w:rsid w:val="007131F0"/>
    <w:rsid w:val="00715A29"/>
    <w:rsid w:val="00726E59"/>
    <w:rsid w:val="007312BD"/>
    <w:rsid w:val="0073414C"/>
    <w:rsid w:val="007409CD"/>
    <w:rsid w:val="007436E5"/>
    <w:rsid w:val="007440B1"/>
    <w:rsid w:val="007468AF"/>
    <w:rsid w:val="00764E32"/>
    <w:rsid w:val="00765FAE"/>
    <w:rsid w:val="007670FC"/>
    <w:rsid w:val="007720B7"/>
    <w:rsid w:val="00774D3C"/>
    <w:rsid w:val="007871EE"/>
    <w:rsid w:val="007A05F3"/>
    <w:rsid w:val="007A4F49"/>
    <w:rsid w:val="007C5251"/>
    <w:rsid w:val="007D1309"/>
    <w:rsid w:val="007D3A22"/>
    <w:rsid w:val="007D3B01"/>
    <w:rsid w:val="007D6C2A"/>
    <w:rsid w:val="007E3AF4"/>
    <w:rsid w:val="007F302A"/>
    <w:rsid w:val="007F375F"/>
    <w:rsid w:val="00804DF0"/>
    <w:rsid w:val="00806480"/>
    <w:rsid w:val="00815750"/>
    <w:rsid w:val="00817316"/>
    <w:rsid w:val="00820110"/>
    <w:rsid w:val="00821088"/>
    <w:rsid w:val="0082384E"/>
    <w:rsid w:val="0082524F"/>
    <w:rsid w:val="00825C33"/>
    <w:rsid w:val="00831486"/>
    <w:rsid w:val="008339AB"/>
    <w:rsid w:val="00837ABF"/>
    <w:rsid w:val="00840C32"/>
    <w:rsid w:val="00841F72"/>
    <w:rsid w:val="00847385"/>
    <w:rsid w:val="008530AA"/>
    <w:rsid w:val="0086481B"/>
    <w:rsid w:val="00867586"/>
    <w:rsid w:val="00872FF0"/>
    <w:rsid w:val="00873631"/>
    <w:rsid w:val="00876412"/>
    <w:rsid w:val="00876C1E"/>
    <w:rsid w:val="0088745D"/>
    <w:rsid w:val="0089301A"/>
    <w:rsid w:val="00893C84"/>
    <w:rsid w:val="00894F32"/>
    <w:rsid w:val="008A11B7"/>
    <w:rsid w:val="008A11B9"/>
    <w:rsid w:val="008A4E72"/>
    <w:rsid w:val="008B0D5D"/>
    <w:rsid w:val="008C0198"/>
    <w:rsid w:val="008C33C1"/>
    <w:rsid w:val="008C51D9"/>
    <w:rsid w:val="008C5D8C"/>
    <w:rsid w:val="008C7FEB"/>
    <w:rsid w:val="008D29E2"/>
    <w:rsid w:val="008D4406"/>
    <w:rsid w:val="008E0BC1"/>
    <w:rsid w:val="008E5F04"/>
    <w:rsid w:val="008E61AC"/>
    <w:rsid w:val="008F0537"/>
    <w:rsid w:val="009059B6"/>
    <w:rsid w:val="009243A4"/>
    <w:rsid w:val="0093259D"/>
    <w:rsid w:val="00934249"/>
    <w:rsid w:val="00937052"/>
    <w:rsid w:val="0094044E"/>
    <w:rsid w:val="00940641"/>
    <w:rsid w:val="00942442"/>
    <w:rsid w:val="009611C6"/>
    <w:rsid w:val="009620AE"/>
    <w:rsid w:val="00974464"/>
    <w:rsid w:val="00976F66"/>
    <w:rsid w:val="009772EE"/>
    <w:rsid w:val="00981BB2"/>
    <w:rsid w:val="0098433A"/>
    <w:rsid w:val="00991A4B"/>
    <w:rsid w:val="00992859"/>
    <w:rsid w:val="00997925"/>
    <w:rsid w:val="009A07E9"/>
    <w:rsid w:val="009A6F90"/>
    <w:rsid w:val="009B1E52"/>
    <w:rsid w:val="009B2ECE"/>
    <w:rsid w:val="009C0305"/>
    <w:rsid w:val="009D5D39"/>
    <w:rsid w:val="009E51A2"/>
    <w:rsid w:val="009F2102"/>
    <w:rsid w:val="00A059E2"/>
    <w:rsid w:val="00A17740"/>
    <w:rsid w:val="00A17D6F"/>
    <w:rsid w:val="00A271CA"/>
    <w:rsid w:val="00A33A7E"/>
    <w:rsid w:val="00A34DA5"/>
    <w:rsid w:val="00A5199A"/>
    <w:rsid w:val="00A524A0"/>
    <w:rsid w:val="00A5454F"/>
    <w:rsid w:val="00A62502"/>
    <w:rsid w:val="00A6762D"/>
    <w:rsid w:val="00A72DB4"/>
    <w:rsid w:val="00A76741"/>
    <w:rsid w:val="00A77586"/>
    <w:rsid w:val="00A82D31"/>
    <w:rsid w:val="00A851C3"/>
    <w:rsid w:val="00A91D67"/>
    <w:rsid w:val="00A92F28"/>
    <w:rsid w:val="00A9560D"/>
    <w:rsid w:val="00A95F43"/>
    <w:rsid w:val="00AC38A3"/>
    <w:rsid w:val="00AC59E1"/>
    <w:rsid w:val="00AD0907"/>
    <w:rsid w:val="00AD3485"/>
    <w:rsid w:val="00AD7642"/>
    <w:rsid w:val="00B0455F"/>
    <w:rsid w:val="00B142B0"/>
    <w:rsid w:val="00B157FA"/>
    <w:rsid w:val="00B20D0B"/>
    <w:rsid w:val="00B23E00"/>
    <w:rsid w:val="00B24F61"/>
    <w:rsid w:val="00B27493"/>
    <w:rsid w:val="00B30E33"/>
    <w:rsid w:val="00B37C51"/>
    <w:rsid w:val="00B4035C"/>
    <w:rsid w:val="00B4107B"/>
    <w:rsid w:val="00B51818"/>
    <w:rsid w:val="00B5181D"/>
    <w:rsid w:val="00B55685"/>
    <w:rsid w:val="00B613F3"/>
    <w:rsid w:val="00B74755"/>
    <w:rsid w:val="00B77388"/>
    <w:rsid w:val="00B81CBC"/>
    <w:rsid w:val="00B82AC8"/>
    <w:rsid w:val="00B83879"/>
    <w:rsid w:val="00B9042D"/>
    <w:rsid w:val="00B93550"/>
    <w:rsid w:val="00B93728"/>
    <w:rsid w:val="00B93804"/>
    <w:rsid w:val="00BA6AAC"/>
    <w:rsid w:val="00BC33CF"/>
    <w:rsid w:val="00BC6035"/>
    <w:rsid w:val="00BD3B53"/>
    <w:rsid w:val="00BD6074"/>
    <w:rsid w:val="00BD7123"/>
    <w:rsid w:val="00BE0D1C"/>
    <w:rsid w:val="00BE1792"/>
    <w:rsid w:val="00BF03D3"/>
    <w:rsid w:val="00BF6CA0"/>
    <w:rsid w:val="00C02106"/>
    <w:rsid w:val="00C024E5"/>
    <w:rsid w:val="00C062C6"/>
    <w:rsid w:val="00C13181"/>
    <w:rsid w:val="00C13718"/>
    <w:rsid w:val="00C26C90"/>
    <w:rsid w:val="00C27A5B"/>
    <w:rsid w:val="00C303BA"/>
    <w:rsid w:val="00C30470"/>
    <w:rsid w:val="00C43517"/>
    <w:rsid w:val="00C453F2"/>
    <w:rsid w:val="00C65BA1"/>
    <w:rsid w:val="00C701E8"/>
    <w:rsid w:val="00C74FDE"/>
    <w:rsid w:val="00C75109"/>
    <w:rsid w:val="00C80B98"/>
    <w:rsid w:val="00C80BCF"/>
    <w:rsid w:val="00C86B39"/>
    <w:rsid w:val="00C91909"/>
    <w:rsid w:val="00C91C9D"/>
    <w:rsid w:val="00CB3BAF"/>
    <w:rsid w:val="00CC39BD"/>
    <w:rsid w:val="00CC3A63"/>
    <w:rsid w:val="00CD02B7"/>
    <w:rsid w:val="00CF016E"/>
    <w:rsid w:val="00CF101E"/>
    <w:rsid w:val="00CF5968"/>
    <w:rsid w:val="00D007FD"/>
    <w:rsid w:val="00D029F7"/>
    <w:rsid w:val="00D038DD"/>
    <w:rsid w:val="00D218B3"/>
    <w:rsid w:val="00D422DC"/>
    <w:rsid w:val="00D5372A"/>
    <w:rsid w:val="00D5744F"/>
    <w:rsid w:val="00D6188D"/>
    <w:rsid w:val="00D63379"/>
    <w:rsid w:val="00D64CBF"/>
    <w:rsid w:val="00D74C95"/>
    <w:rsid w:val="00D819DE"/>
    <w:rsid w:val="00D85236"/>
    <w:rsid w:val="00D861B0"/>
    <w:rsid w:val="00D946CF"/>
    <w:rsid w:val="00D954BF"/>
    <w:rsid w:val="00D97B63"/>
    <w:rsid w:val="00DA2F14"/>
    <w:rsid w:val="00DA4386"/>
    <w:rsid w:val="00DB5B2D"/>
    <w:rsid w:val="00DB71B4"/>
    <w:rsid w:val="00DC21DD"/>
    <w:rsid w:val="00DF018E"/>
    <w:rsid w:val="00DF1B42"/>
    <w:rsid w:val="00DF4F8E"/>
    <w:rsid w:val="00E037F8"/>
    <w:rsid w:val="00E040D8"/>
    <w:rsid w:val="00E060D1"/>
    <w:rsid w:val="00E121BA"/>
    <w:rsid w:val="00E216EC"/>
    <w:rsid w:val="00E21D1A"/>
    <w:rsid w:val="00E23AF9"/>
    <w:rsid w:val="00E27F26"/>
    <w:rsid w:val="00E27FA6"/>
    <w:rsid w:val="00E35DCC"/>
    <w:rsid w:val="00E35F59"/>
    <w:rsid w:val="00E3603B"/>
    <w:rsid w:val="00E36303"/>
    <w:rsid w:val="00E36E73"/>
    <w:rsid w:val="00E41872"/>
    <w:rsid w:val="00E41D72"/>
    <w:rsid w:val="00E45B4B"/>
    <w:rsid w:val="00E46DD5"/>
    <w:rsid w:val="00E53D80"/>
    <w:rsid w:val="00E551C1"/>
    <w:rsid w:val="00E60785"/>
    <w:rsid w:val="00E62E75"/>
    <w:rsid w:val="00E71755"/>
    <w:rsid w:val="00E75D1E"/>
    <w:rsid w:val="00E77E73"/>
    <w:rsid w:val="00E85E2F"/>
    <w:rsid w:val="00E92112"/>
    <w:rsid w:val="00E95003"/>
    <w:rsid w:val="00EA1744"/>
    <w:rsid w:val="00EA72CA"/>
    <w:rsid w:val="00EB0E38"/>
    <w:rsid w:val="00EB16B3"/>
    <w:rsid w:val="00EB21ED"/>
    <w:rsid w:val="00EC3E65"/>
    <w:rsid w:val="00EC5857"/>
    <w:rsid w:val="00ED29E8"/>
    <w:rsid w:val="00EE39FC"/>
    <w:rsid w:val="00EE4553"/>
    <w:rsid w:val="00EF1270"/>
    <w:rsid w:val="00EF562D"/>
    <w:rsid w:val="00F00417"/>
    <w:rsid w:val="00F05966"/>
    <w:rsid w:val="00F05B6F"/>
    <w:rsid w:val="00F11DF0"/>
    <w:rsid w:val="00F12083"/>
    <w:rsid w:val="00F27A95"/>
    <w:rsid w:val="00F36ADB"/>
    <w:rsid w:val="00F37AA7"/>
    <w:rsid w:val="00F42769"/>
    <w:rsid w:val="00F43247"/>
    <w:rsid w:val="00F4411E"/>
    <w:rsid w:val="00F47B12"/>
    <w:rsid w:val="00F60FEB"/>
    <w:rsid w:val="00F63130"/>
    <w:rsid w:val="00F77A34"/>
    <w:rsid w:val="00F83952"/>
    <w:rsid w:val="00FA5C77"/>
    <w:rsid w:val="00FB4A7E"/>
    <w:rsid w:val="00FB4D5D"/>
    <w:rsid w:val="00FB7F21"/>
    <w:rsid w:val="00FC07EB"/>
    <w:rsid w:val="00FC16F8"/>
    <w:rsid w:val="00FC2591"/>
    <w:rsid w:val="00FE17F0"/>
    <w:rsid w:val="00FF6196"/>
    <w:rsid w:val="00FF6D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B11FC-088B-4594-A38A-3432C2FF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hanging="1440"/>
      <w:jc w:val="both"/>
    </w:pPr>
    <w:rPr>
      <w:b/>
      <w:sz w:val="22"/>
      <w:szCs w:val="20"/>
    </w:rPr>
  </w:style>
  <w:style w:type="paragraph" w:styleId="BodyText">
    <w:name w:val="Body Text"/>
    <w:basedOn w:val="Normal"/>
    <w:link w:val="BodyTextChar"/>
    <w:pPr>
      <w:jc w:val="both"/>
    </w:pPr>
  </w:style>
  <w:style w:type="paragraph" w:styleId="BalloonText">
    <w:name w:val="Balloon Text"/>
    <w:basedOn w:val="Normal"/>
    <w:semiHidden/>
    <w:rsid w:val="00A6762D"/>
    <w:rPr>
      <w:rFonts w:ascii="Tahoma" w:hAnsi="Tahoma" w:cs="Tahoma"/>
      <w:sz w:val="16"/>
      <w:szCs w:val="16"/>
    </w:rPr>
  </w:style>
  <w:style w:type="paragraph" w:styleId="ListParagraph">
    <w:name w:val="List Paragraph"/>
    <w:aliases w:val="Heading 12,heading 1,naslov 1,Naslov 12,Graf"/>
    <w:basedOn w:val="Normal"/>
    <w:link w:val="ListParagraphChar"/>
    <w:uiPriority w:val="34"/>
    <w:qFormat/>
    <w:rsid w:val="007409CD"/>
    <w:pPr>
      <w:ind w:left="708"/>
    </w:pPr>
  </w:style>
  <w:style w:type="character" w:customStyle="1" w:styleId="BodyTextChar">
    <w:name w:val="Body Text Char"/>
    <w:link w:val="BodyText"/>
    <w:rsid w:val="00215ED4"/>
    <w:rPr>
      <w:sz w:val="24"/>
      <w:szCs w:val="24"/>
      <w:lang w:eastAsia="en-US"/>
    </w:rPr>
  </w:style>
  <w:style w:type="paragraph" w:styleId="Header">
    <w:name w:val="header"/>
    <w:basedOn w:val="Normal"/>
    <w:link w:val="HeaderChar"/>
    <w:uiPriority w:val="99"/>
    <w:rsid w:val="005516B0"/>
    <w:pPr>
      <w:tabs>
        <w:tab w:val="center" w:pos="4536"/>
        <w:tab w:val="right" w:pos="9072"/>
      </w:tabs>
    </w:pPr>
  </w:style>
  <w:style w:type="character" w:customStyle="1" w:styleId="HeaderChar">
    <w:name w:val="Header Char"/>
    <w:link w:val="Header"/>
    <w:uiPriority w:val="99"/>
    <w:rsid w:val="005516B0"/>
    <w:rPr>
      <w:sz w:val="24"/>
      <w:szCs w:val="24"/>
      <w:lang w:eastAsia="en-US"/>
    </w:rPr>
  </w:style>
  <w:style w:type="paragraph" w:styleId="Footer">
    <w:name w:val="footer"/>
    <w:basedOn w:val="Normal"/>
    <w:link w:val="FooterChar"/>
    <w:uiPriority w:val="99"/>
    <w:rsid w:val="005516B0"/>
    <w:pPr>
      <w:tabs>
        <w:tab w:val="center" w:pos="4536"/>
        <w:tab w:val="right" w:pos="9072"/>
      </w:tabs>
    </w:pPr>
  </w:style>
  <w:style w:type="character" w:customStyle="1" w:styleId="FooterChar">
    <w:name w:val="Footer Char"/>
    <w:link w:val="Footer"/>
    <w:uiPriority w:val="99"/>
    <w:rsid w:val="005516B0"/>
    <w:rPr>
      <w:sz w:val="24"/>
      <w:szCs w:val="24"/>
      <w:lang w:eastAsia="en-US"/>
    </w:rPr>
  </w:style>
  <w:style w:type="character" w:customStyle="1" w:styleId="ListParagraphChar">
    <w:name w:val="List Paragraph Char"/>
    <w:aliases w:val="Heading 12 Char,heading 1 Char,naslov 1 Char,Naslov 12 Char,Graf Char"/>
    <w:link w:val="ListParagraph"/>
    <w:uiPriority w:val="34"/>
    <w:locked/>
    <w:rsid w:val="00DC21DD"/>
    <w:rPr>
      <w:sz w:val="24"/>
      <w:szCs w:val="24"/>
      <w:lang w:eastAsia="en-US"/>
    </w:rPr>
  </w:style>
  <w:style w:type="character" w:styleId="CommentReference">
    <w:name w:val="annotation reference"/>
    <w:rsid w:val="00371295"/>
    <w:rPr>
      <w:sz w:val="16"/>
      <w:szCs w:val="16"/>
    </w:rPr>
  </w:style>
  <w:style w:type="paragraph" w:styleId="CommentText">
    <w:name w:val="annotation text"/>
    <w:basedOn w:val="Normal"/>
    <w:link w:val="CommentTextChar"/>
    <w:rsid w:val="00371295"/>
    <w:rPr>
      <w:sz w:val="20"/>
      <w:szCs w:val="20"/>
    </w:rPr>
  </w:style>
  <w:style w:type="character" w:customStyle="1" w:styleId="CommentTextChar">
    <w:name w:val="Comment Text Char"/>
    <w:link w:val="CommentText"/>
    <w:rsid w:val="00371295"/>
    <w:rPr>
      <w:lang w:eastAsia="en-US"/>
    </w:rPr>
  </w:style>
  <w:style w:type="paragraph" w:styleId="CommentSubject">
    <w:name w:val="annotation subject"/>
    <w:basedOn w:val="CommentText"/>
    <w:next w:val="CommentText"/>
    <w:link w:val="CommentSubjectChar"/>
    <w:rsid w:val="00371295"/>
    <w:rPr>
      <w:b/>
      <w:bCs/>
    </w:rPr>
  </w:style>
  <w:style w:type="character" w:customStyle="1" w:styleId="CommentSubjectChar">
    <w:name w:val="Comment Subject Char"/>
    <w:link w:val="CommentSubject"/>
    <w:rsid w:val="00371295"/>
    <w:rPr>
      <w:b/>
      <w:bCs/>
      <w:lang w:eastAsia="en-US"/>
    </w:rPr>
  </w:style>
  <w:style w:type="table" w:styleId="TableGrid">
    <w:name w:val="Table Grid"/>
    <w:basedOn w:val="TableNormal"/>
    <w:rsid w:val="0025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9E7A-A984-43F3-852E-B7D9EE0F168D}">
  <ds:schemaRefs>
    <ds:schemaRef ds:uri="http://schemas.microsoft.com/sharepoint/events"/>
  </ds:schemaRefs>
</ds:datastoreItem>
</file>

<file path=customXml/itemProps2.xml><?xml version="1.0" encoding="utf-8"?>
<ds:datastoreItem xmlns:ds="http://schemas.openxmlformats.org/officeDocument/2006/customXml" ds:itemID="{563E4900-6A4A-468A-94CC-475F3E256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F4E6E-8301-4C3C-9319-ED043E73648B}">
  <ds:schemaRefs>
    <ds:schemaRef ds:uri="http://schemas.microsoft.com/sharepoint/v3/contenttype/forms"/>
  </ds:schemaRefs>
</ds:datastoreItem>
</file>

<file path=customXml/itemProps4.xml><?xml version="1.0" encoding="utf-8"?>
<ds:datastoreItem xmlns:ds="http://schemas.openxmlformats.org/officeDocument/2006/customXml" ds:itemID="{7A90DD63-F186-4301-BB8D-5F46C06EA00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65B6864-A29A-4C3E-A3A9-A15A1CF3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3741</Words>
  <Characters>21329</Characters>
  <Application>Microsoft Office Word</Application>
  <DocSecurity>0</DocSecurity>
  <Lines>177</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XXX</vt:lpstr>
      <vt:lpstr>Na temelju članka XXX</vt:lpstr>
    </vt:vector>
  </TitlesOfParts>
  <Company>Hrvatske autoceste</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XXX</dc:title>
  <dc:creator>user</dc:creator>
  <cp:lastModifiedBy>Vlatka Šelimber</cp:lastModifiedBy>
  <cp:revision>2</cp:revision>
  <cp:lastPrinted>2019-12-18T07:05:00Z</cp:lastPrinted>
  <dcterms:created xsi:type="dcterms:W3CDTF">2019-12-24T12:34:00Z</dcterms:created>
  <dcterms:modified xsi:type="dcterms:W3CDTF">2019-12-24T12:34:00Z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