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F35D" w14:textId="55C533B3" w:rsidR="000207A4" w:rsidRPr="000207A4" w:rsidRDefault="000207A4" w:rsidP="000207A4">
      <w:pPr>
        <w:autoSpaceDE w:val="0"/>
        <w:autoSpaceDN w:val="0"/>
        <w:adjustRightInd w:val="0"/>
        <w:rPr>
          <w:rFonts w:eastAsiaTheme="minorHAnsi"/>
          <w:b/>
          <w:bCs/>
          <w:lang w:eastAsia="en-US"/>
        </w:rPr>
      </w:pPr>
      <w:bookmarkStart w:id="0" w:name="_GoBack"/>
      <w:bookmarkEnd w:id="0"/>
    </w:p>
    <w:p w14:paraId="549E22E8" w14:textId="77777777" w:rsidR="000207A4" w:rsidRPr="000207A4" w:rsidRDefault="000207A4" w:rsidP="000207A4">
      <w:pPr>
        <w:jc w:val="center"/>
        <w:rPr>
          <w:rFonts w:eastAsiaTheme="minorHAnsi" w:cstheme="minorBidi"/>
          <w:lang w:eastAsia="en-US"/>
        </w:rPr>
      </w:pPr>
      <w:r w:rsidRPr="000207A4">
        <w:rPr>
          <w:rFonts w:eastAsiaTheme="minorHAnsi" w:cstheme="minorBidi"/>
          <w:noProof/>
        </w:rPr>
        <w:drawing>
          <wp:inline distT="0" distB="0" distL="0" distR="0" wp14:anchorId="127ED80F" wp14:editId="27337D5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207A4">
        <w:rPr>
          <w:rFonts w:eastAsiaTheme="minorHAnsi" w:cstheme="minorBidi"/>
          <w:lang w:eastAsia="en-US"/>
        </w:rPr>
        <w:fldChar w:fldCharType="begin"/>
      </w:r>
      <w:r w:rsidRPr="000207A4">
        <w:rPr>
          <w:rFonts w:eastAsiaTheme="minorHAnsi" w:cstheme="minorBidi"/>
          <w:lang w:eastAsia="en-US"/>
        </w:rPr>
        <w:instrText xml:space="preserve"> INCLUDEPICTURE "http://www.inet.hr/~box/images/grb-rh.gif" \* MERGEFORMATINET </w:instrText>
      </w:r>
      <w:r w:rsidRPr="000207A4">
        <w:rPr>
          <w:rFonts w:eastAsiaTheme="minorHAnsi" w:cstheme="minorBidi"/>
          <w:lang w:eastAsia="en-US"/>
        </w:rPr>
        <w:fldChar w:fldCharType="end"/>
      </w:r>
    </w:p>
    <w:p w14:paraId="51ADFC3E" w14:textId="77777777" w:rsidR="000207A4" w:rsidRPr="000207A4" w:rsidRDefault="000207A4" w:rsidP="000207A4">
      <w:pPr>
        <w:spacing w:before="60" w:after="1680"/>
        <w:jc w:val="center"/>
        <w:rPr>
          <w:rFonts w:eastAsiaTheme="minorHAnsi" w:cstheme="minorBidi"/>
          <w:lang w:eastAsia="en-US"/>
        </w:rPr>
      </w:pPr>
      <w:r w:rsidRPr="000207A4">
        <w:rPr>
          <w:rFonts w:eastAsiaTheme="minorHAnsi" w:cstheme="minorBidi"/>
          <w:lang w:eastAsia="en-US"/>
        </w:rPr>
        <w:t>VLADA REPUBLIKE HRVATSKE</w:t>
      </w:r>
    </w:p>
    <w:p w14:paraId="1AB2A7D3" w14:textId="77777777" w:rsidR="000207A4" w:rsidRPr="000207A4" w:rsidRDefault="000207A4" w:rsidP="000207A4">
      <w:pPr>
        <w:rPr>
          <w:rFonts w:eastAsiaTheme="minorHAnsi" w:cstheme="minorBidi"/>
          <w:lang w:eastAsia="en-US"/>
        </w:rPr>
      </w:pPr>
    </w:p>
    <w:p w14:paraId="52DD0033" w14:textId="77777777" w:rsidR="000207A4" w:rsidRPr="000207A4" w:rsidRDefault="000207A4" w:rsidP="000207A4">
      <w:pPr>
        <w:rPr>
          <w:rFonts w:eastAsiaTheme="minorHAnsi" w:cstheme="minorBidi"/>
          <w:lang w:eastAsia="en-US"/>
        </w:rPr>
      </w:pPr>
    </w:p>
    <w:p w14:paraId="035D875D" w14:textId="6939B63B" w:rsidR="000207A4" w:rsidRPr="000207A4" w:rsidRDefault="000207A4" w:rsidP="000207A4">
      <w:pPr>
        <w:jc w:val="right"/>
        <w:rPr>
          <w:rFonts w:eastAsiaTheme="minorHAnsi" w:cstheme="minorBidi"/>
          <w:lang w:eastAsia="en-US"/>
        </w:rPr>
      </w:pPr>
      <w:r w:rsidRPr="000207A4">
        <w:rPr>
          <w:rFonts w:eastAsiaTheme="minorHAnsi" w:cstheme="minorBidi"/>
          <w:lang w:eastAsia="en-US"/>
        </w:rPr>
        <w:t xml:space="preserve">Zagreb, </w:t>
      </w:r>
      <w:r>
        <w:rPr>
          <w:rFonts w:eastAsiaTheme="minorHAnsi" w:cstheme="minorBidi"/>
          <w:lang w:eastAsia="en-US"/>
        </w:rPr>
        <w:t>5</w:t>
      </w:r>
      <w:r w:rsidRPr="000207A4">
        <w:rPr>
          <w:rFonts w:eastAsiaTheme="minorHAnsi" w:cstheme="minorBidi"/>
          <w:lang w:eastAsia="en-US"/>
        </w:rPr>
        <w:t xml:space="preserve">. </w:t>
      </w:r>
      <w:r>
        <w:rPr>
          <w:rFonts w:eastAsiaTheme="minorHAnsi" w:cstheme="minorBidi"/>
          <w:lang w:eastAsia="en-US"/>
        </w:rPr>
        <w:t>rujna</w:t>
      </w:r>
      <w:r w:rsidRPr="000207A4">
        <w:rPr>
          <w:rFonts w:eastAsiaTheme="minorHAnsi" w:cstheme="minorBidi"/>
          <w:lang w:eastAsia="en-US"/>
        </w:rPr>
        <w:t xml:space="preserve"> 2019.</w:t>
      </w:r>
    </w:p>
    <w:p w14:paraId="361E9E4D" w14:textId="77777777" w:rsidR="000207A4" w:rsidRPr="000207A4" w:rsidRDefault="000207A4" w:rsidP="000207A4">
      <w:pPr>
        <w:jc w:val="right"/>
        <w:rPr>
          <w:rFonts w:eastAsiaTheme="minorHAnsi" w:cstheme="minorBidi"/>
          <w:lang w:eastAsia="en-US"/>
        </w:rPr>
      </w:pPr>
    </w:p>
    <w:p w14:paraId="4FABCD8F" w14:textId="77777777" w:rsidR="000207A4" w:rsidRPr="000207A4" w:rsidRDefault="000207A4" w:rsidP="000207A4">
      <w:pPr>
        <w:jc w:val="right"/>
        <w:rPr>
          <w:rFonts w:eastAsiaTheme="minorHAnsi" w:cstheme="minorBidi"/>
          <w:lang w:eastAsia="en-US"/>
        </w:rPr>
      </w:pPr>
    </w:p>
    <w:p w14:paraId="0CF9BBC6" w14:textId="77777777" w:rsidR="000207A4" w:rsidRPr="000207A4" w:rsidRDefault="000207A4" w:rsidP="000207A4">
      <w:pPr>
        <w:jc w:val="right"/>
        <w:rPr>
          <w:rFonts w:eastAsiaTheme="minorHAnsi" w:cstheme="minorBidi"/>
          <w:lang w:eastAsia="en-US"/>
        </w:rPr>
      </w:pPr>
    </w:p>
    <w:p w14:paraId="63A53FB8" w14:textId="77777777" w:rsidR="000207A4" w:rsidRPr="000207A4" w:rsidRDefault="000207A4" w:rsidP="000207A4">
      <w:pPr>
        <w:jc w:val="right"/>
        <w:rPr>
          <w:rFonts w:eastAsiaTheme="minorHAnsi" w:cstheme="minorBidi"/>
          <w:lang w:eastAsia="en-US"/>
        </w:rPr>
      </w:pPr>
    </w:p>
    <w:p w14:paraId="558A56CD" w14:textId="77777777" w:rsidR="000207A4" w:rsidRPr="000207A4" w:rsidRDefault="000207A4" w:rsidP="000207A4">
      <w:pPr>
        <w:jc w:val="right"/>
        <w:rPr>
          <w:rFonts w:eastAsiaTheme="minorHAnsi" w:cstheme="minorBidi"/>
          <w:lang w:eastAsia="en-US"/>
        </w:rPr>
      </w:pPr>
    </w:p>
    <w:p w14:paraId="3730D1F6" w14:textId="77777777" w:rsidR="000207A4" w:rsidRPr="000207A4" w:rsidRDefault="000207A4" w:rsidP="000207A4">
      <w:pPr>
        <w:jc w:val="right"/>
        <w:rPr>
          <w:rFonts w:eastAsiaTheme="minorHAnsi" w:cstheme="minorBidi"/>
          <w:lang w:eastAsia="en-US"/>
        </w:rPr>
      </w:pPr>
    </w:p>
    <w:p w14:paraId="475EB1A0" w14:textId="40E37E70" w:rsidR="000207A4" w:rsidRPr="000207A4" w:rsidRDefault="000207A4" w:rsidP="00B32790">
      <w:pPr>
        <w:rPr>
          <w:rFonts w:eastAsiaTheme="minorHAnsi" w:cstheme="minorBidi"/>
          <w:lang w:eastAsia="en-US"/>
        </w:rPr>
      </w:pPr>
    </w:p>
    <w:p w14:paraId="16D11222" w14:textId="77777777" w:rsidR="000207A4" w:rsidRPr="000207A4" w:rsidRDefault="000207A4" w:rsidP="000207A4">
      <w:pPr>
        <w:rPr>
          <w:rFonts w:eastAsiaTheme="minorHAnsi" w:cstheme="minorBidi"/>
          <w:lang w:eastAsia="en-US"/>
        </w:rPr>
      </w:pPr>
    </w:p>
    <w:p w14:paraId="6DB14F02" w14:textId="77777777" w:rsidR="000207A4" w:rsidRPr="000207A4" w:rsidRDefault="000207A4" w:rsidP="000207A4">
      <w:pPr>
        <w:rPr>
          <w:rFonts w:eastAsiaTheme="minorHAnsi" w:cstheme="minorBidi"/>
          <w:lang w:eastAsia="en-US"/>
        </w:rPr>
      </w:pPr>
      <w:r w:rsidRPr="000207A4">
        <w:rPr>
          <w:rFonts w:eastAsiaTheme="minorHAnsi" w:cstheme="minorBidi"/>
          <w:lang w:eastAsia="en-US"/>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207A4" w:rsidRPr="000207A4" w14:paraId="074FE62A" w14:textId="77777777" w:rsidTr="00492989">
        <w:tc>
          <w:tcPr>
            <w:tcW w:w="1951" w:type="dxa"/>
          </w:tcPr>
          <w:p w14:paraId="4630E375" w14:textId="77777777" w:rsidR="000207A4" w:rsidRPr="000207A4" w:rsidRDefault="000207A4" w:rsidP="000207A4">
            <w:pPr>
              <w:spacing w:line="360" w:lineRule="auto"/>
              <w:jc w:val="right"/>
              <w:rPr>
                <w:rFonts w:eastAsiaTheme="minorHAnsi" w:cstheme="minorBidi"/>
                <w:lang w:eastAsia="en-US"/>
              </w:rPr>
            </w:pPr>
            <w:r w:rsidRPr="000207A4">
              <w:rPr>
                <w:rFonts w:eastAsiaTheme="minorHAnsi" w:cstheme="minorBidi"/>
                <w:b/>
                <w:smallCaps/>
                <w:lang w:eastAsia="en-US"/>
              </w:rPr>
              <w:t>Predlagatelj</w:t>
            </w:r>
            <w:r w:rsidRPr="000207A4">
              <w:rPr>
                <w:rFonts w:eastAsiaTheme="minorHAnsi" w:cstheme="minorBidi"/>
                <w:b/>
                <w:lang w:eastAsia="en-US"/>
              </w:rPr>
              <w:t>:</w:t>
            </w:r>
          </w:p>
        </w:tc>
        <w:tc>
          <w:tcPr>
            <w:tcW w:w="7229" w:type="dxa"/>
          </w:tcPr>
          <w:p w14:paraId="5C92D05A" w14:textId="6DC3C60A" w:rsidR="000207A4" w:rsidRPr="000207A4" w:rsidRDefault="00B32790" w:rsidP="000207A4">
            <w:pPr>
              <w:spacing w:line="360" w:lineRule="auto"/>
              <w:rPr>
                <w:rFonts w:eastAsiaTheme="minorHAnsi" w:cstheme="minorBidi"/>
                <w:lang w:eastAsia="en-US"/>
              </w:rPr>
            </w:pPr>
            <w:r>
              <w:rPr>
                <w:rFonts w:eastAsiaTheme="minorHAnsi" w:cstheme="minorBidi"/>
                <w:lang w:eastAsia="en-US"/>
              </w:rPr>
              <w:t>Ministarstvo zaštite okoliša i energetike</w:t>
            </w:r>
          </w:p>
        </w:tc>
      </w:tr>
    </w:tbl>
    <w:p w14:paraId="1F3D8817" w14:textId="77777777" w:rsidR="000207A4" w:rsidRPr="000207A4" w:rsidRDefault="000207A4" w:rsidP="000207A4">
      <w:pPr>
        <w:rPr>
          <w:rFonts w:eastAsiaTheme="minorHAnsi" w:cstheme="minorBidi"/>
          <w:lang w:eastAsia="en-US"/>
        </w:rPr>
      </w:pPr>
      <w:r w:rsidRPr="000207A4">
        <w:rPr>
          <w:rFonts w:eastAsiaTheme="minorHAnsi" w:cstheme="minorBidi"/>
          <w:lang w:eastAsia="en-US"/>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207A4" w:rsidRPr="000207A4" w14:paraId="0ACC6EB4" w14:textId="77777777" w:rsidTr="00492989">
        <w:tc>
          <w:tcPr>
            <w:tcW w:w="1939" w:type="dxa"/>
          </w:tcPr>
          <w:p w14:paraId="169AA1FD" w14:textId="77777777" w:rsidR="000207A4" w:rsidRPr="000207A4" w:rsidRDefault="000207A4" w:rsidP="000207A4">
            <w:pPr>
              <w:spacing w:line="360" w:lineRule="auto"/>
              <w:jc w:val="right"/>
              <w:rPr>
                <w:rFonts w:eastAsiaTheme="minorHAnsi" w:cstheme="minorBidi"/>
                <w:b/>
                <w:lang w:eastAsia="en-US"/>
              </w:rPr>
            </w:pPr>
            <w:r w:rsidRPr="000207A4">
              <w:rPr>
                <w:rFonts w:eastAsiaTheme="minorHAnsi" w:cstheme="minorBidi"/>
                <w:b/>
                <w:smallCaps/>
                <w:lang w:eastAsia="en-US"/>
              </w:rPr>
              <w:t>Predmet</w:t>
            </w:r>
            <w:r w:rsidRPr="000207A4">
              <w:rPr>
                <w:rFonts w:eastAsiaTheme="minorHAnsi" w:cstheme="minorBidi"/>
                <w:b/>
                <w:lang w:eastAsia="en-US"/>
              </w:rPr>
              <w:t>:</w:t>
            </w:r>
          </w:p>
        </w:tc>
        <w:tc>
          <w:tcPr>
            <w:tcW w:w="7133" w:type="dxa"/>
          </w:tcPr>
          <w:p w14:paraId="45453343" w14:textId="6B5A28F8" w:rsidR="000207A4" w:rsidRPr="000207A4" w:rsidRDefault="000207A4" w:rsidP="00B32790">
            <w:pPr>
              <w:spacing w:line="360" w:lineRule="auto"/>
              <w:jc w:val="both"/>
              <w:rPr>
                <w:rFonts w:eastAsiaTheme="minorHAnsi" w:cstheme="minorBidi"/>
                <w:highlight w:val="yellow"/>
                <w:lang w:eastAsia="en-US"/>
              </w:rPr>
            </w:pPr>
            <w:r w:rsidRPr="000207A4">
              <w:rPr>
                <w:rFonts w:eastAsiaTheme="minorHAnsi" w:cstheme="minorBidi"/>
                <w:lang w:eastAsia="en-US"/>
              </w:rPr>
              <w:t xml:space="preserve">Prijedlog uredbe o </w:t>
            </w:r>
            <w:r w:rsidR="00B32790">
              <w:rPr>
                <w:rFonts w:eastAsiaTheme="minorHAnsi" w:cstheme="minorBidi"/>
                <w:lang w:eastAsia="en-US"/>
              </w:rPr>
              <w:t>izmjenama i dopunama Uredbe o gospodarenju komunalnim otpadom</w:t>
            </w:r>
            <w:r w:rsidRPr="000207A4">
              <w:rPr>
                <w:rFonts w:eastAsiaTheme="minorHAnsi" w:cstheme="minorBidi"/>
                <w:lang w:eastAsia="en-US"/>
              </w:rPr>
              <w:t xml:space="preserve"> </w:t>
            </w:r>
          </w:p>
        </w:tc>
      </w:tr>
    </w:tbl>
    <w:p w14:paraId="5FBFAF4E" w14:textId="77777777" w:rsidR="000207A4" w:rsidRPr="000207A4" w:rsidRDefault="000207A4" w:rsidP="000207A4">
      <w:pPr>
        <w:rPr>
          <w:rFonts w:eastAsiaTheme="minorHAnsi" w:cstheme="minorBidi"/>
          <w:lang w:eastAsia="en-US"/>
        </w:rPr>
      </w:pPr>
      <w:r w:rsidRPr="000207A4">
        <w:rPr>
          <w:rFonts w:eastAsiaTheme="minorHAnsi" w:cstheme="minorBidi"/>
          <w:lang w:eastAsia="en-US"/>
        </w:rPr>
        <w:t>________________________________________________________________________</w:t>
      </w:r>
    </w:p>
    <w:p w14:paraId="57B51ADA" w14:textId="77777777" w:rsidR="000207A4" w:rsidRPr="000207A4" w:rsidRDefault="000207A4" w:rsidP="000207A4">
      <w:pPr>
        <w:rPr>
          <w:rFonts w:eastAsiaTheme="minorHAnsi" w:cstheme="minorBidi"/>
          <w:lang w:eastAsia="en-US"/>
        </w:rPr>
      </w:pPr>
    </w:p>
    <w:p w14:paraId="59D3FD07" w14:textId="77777777" w:rsidR="000207A4" w:rsidRPr="000207A4" w:rsidRDefault="000207A4" w:rsidP="000207A4">
      <w:pPr>
        <w:rPr>
          <w:rFonts w:eastAsiaTheme="minorHAnsi" w:cstheme="minorBidi"/>
          <w:lang w:eastAsia="en-US"/>
        </w:rPr>
      </w:pPr>
    </w:p>
    <w:p w14:paraId="349EDB99" w14:textId="77777777" w:rsidR="000207A4" w:rsidRPr="000207A4" w:rsidRDefault="000207A4" w:rsidP="000207A4">
      <w:pPr>
        <w:rPr>
          <w:rFonts w:eastAsiaTheme="minorHAnsi" w:cstheme="minorBidi"/>
          <w:lang w:eastAsia="en-US"/>
        </w:rPr>
      </w:pPr>
    </w:p>
    <w:p w14:paraId="4D5B3F31" w14:textId="77777777" w:rsidR="000207A4" w:rsidRPr="000207A4" w:rsidRDefault="000207A4" w:rsidP="000207A4">
      <w:pPr>
        <w:rPr>
          <w:rFonts w:eastAsiaTheme="minorHAnsi" w:cstheme="minorBidi"/>
          <w:lang w:eastAsia="en-US"/>
        </w:rPr>
      </w:pPr>
    </w:p>
    <w:p w14:paraId="409426FF" w14:textId="77777777" w:rsidR="000207A4" w:rsidRPr="000207A4" w:rsidRDefault="000207A4" w:rsidP="000207A4">
      <w:pPr>
        <w:rPr>
          <w:rFonts w:eastAsiaTheme="minorHAnsi" w:cstheme="minorBidi"/>
          <w:lang w:eastAsia="en-US"/>
        </w:rPr>
      </w:pPr>
    </w:p>
    <w:p w14:paraId="0EA8E992" w14:textId="77777777" w:rsidR="000207A4" w:rsidRPr="000207A4" w:rsidRDefault="000207A4" w:rsidP="000207A4">
      <w:pPr>
        <w:rPr>
          <w:rFonts w:eastAsiaTheme="minorHAnsi" w:cstheme="minorBidi"/>
          <w:lang w:eastAsia="en-US"/>
        </w:rPr>
      </w:pPr>
    </w:p>
    <w:p w14:paraId="01152CDB" w14:textId="77777777" w:rsidR="000207A4" w:rsidRPr="000207A4" w:rsidRDefault="000207A4" w:rsidP="000207A4">
      <w:pPr>
        <w:rPr>
          <w:rFonts w:eastAsiaTheme="minorHAnsi" w:cstheme="minorBidi"/>
          <w:lang w:eastAsia="en-US"/>
        </w:rPr>
      </w:pPr>
    </w:p>
    <w:p w14:paraId="2466847C" w14:textId="77777777" w:rsidR="000207A4" w:rsidRPr="000207A4" w:rsidRDefault="000207A4" w:rsidP="000207A4">
      <w:pPr>
        <w:tabs>
          <w:tab w:val="left" w:pos="5715"/>
        </w:tabs>
        <w:rPr>
          <w:rFonts w:eastAsiaTheme="minorHAnsi" w:cstheme="minorBidi"/>
          <w:lang w:eastAsia="en-US"/>
        </w:rPr>
      </w:pPr>
    </w:p>
    <w:p w14:paraId="0BF541FF" w14:textId="77777777" w:rsidR="000207A4" w:rsidRPr="000207A4" w:rsidRDefault="000207A4" w:rsidP="000207A4">
      <w:pPr>
        <w:tabs>
          <w:tab w:val="left" w:pos="5715"/>
        </w:tabs>
        <w:rPr>
          <w:rFonts w:eastAsiaTheme="minorHAnsi" w:cstheme="minorBidi"/>
          <w:lang w:eastAsia="en-US"/>
        </w:rPr>
      </w:pPr>
    </w:p>
    <w:p w14:paraId="5AF19469" w14:textId="77777777" w:rsidR="000207A4" w:rsidRPr="000207A4" w:rsidRDefault="000207A4" w:rsidP="000207A4">
      <w:pPr>
        <w:rPr>
          <w:rFonts w:eastAsiaTheme="minorHAnsi" w:cstheme="minorBidi"/>
          <w:lang w:eastAsia="en-US"/>
        </w:rPr>
      </w:pPr>
    </w:p>
    <w:p w14:paraId="00D76E41" w14:textId="77777777" w:rsidR="000207A4" w:rsidRPr="000207A4" w:rsidRDefault="000207A4" w:rsidP="000207A4">
      <w:pPr>
        <w:rPr>
          <w:rFonts w:eastAsiaTheme="minorHAnsi" w:cstheme="minorBidi"/>
          <w:lang w:eastAsia="en-US"/>
        </w:rPr>
      </w:pPr>
    </w:p>
    <w:p w14:paraId="63AD7732" w14:textId="77777777" w:rsidR="000207A4" w:rsidRPr="000207A4" w:rsidRDefault="000207A4" w:rsidP="000207A4">
      <w:pPr>
        <w:rPr>
          <w:rFonts w:eastAsiaTheme="minorHAnsi" w:cstheme="minorBidi"/>
          <w:lang w:eastAsia="en-US"/>
        </w:rPr>
      </w:pPr>
    </w:p>
    <w:p w14:paraId="10C2B33A" w14:textId="77777777" w:rsidR="000207A4" w:rsidRPr="000207A4" w:rsidRDefault="000207A4" w:rsidP="000207A4">
      <w:pPr>
        <w:rPr>
          <w:rFonts w:eastAsiaTheme="minorHAnsi" w:cstheme="minorBidi"/>
          <w:lang w:eastAsia="en-US"/>
        </w:rPr>
      </w:pPr>
    </w:p>
    <w:p w14:paraId="186272E4" w14:textId="77777777" w:rsidR="000207A4" w:rsidRPr="000207A4" w:rsidRDefault="000207A4" w:rsidP="000207A4">
      <w:pPr>
        <w:rPr>
          <w:rFonts w:eastAsiaTheme="minorHAnsi" w:cstheme="minorBidi"/>
          <w:lang w:eastAsia="en-US"/>
        </w:rPr>
      </w:pPr>
    </w:p>
    <w:p w14:paraId="13DE5EDC" w14:textId="77777777" w:rsidR="000207A4" w:rsidRPr="000207A4" w:rsidRDefault="000207A4" w:rsidP="000207A4">
      <w:pPr>
        <w:rPr>
          <w:rFonts w:eastAsiaTheme="minorHAnsi" w:cstheme="minorBidi"/>
          <w:lang w:eastAsia="en-US"/>
        </w:rPr>
      </w:pPr>
    </w:p>
    <w:p w14:paraId="0305E229" w14:textId="72766F58" w:rsidR="000207A4" w:rsidRDefault="000207A4" w:rsidP="000207A4">
      <w:pPr>
        <w:rPr>
          <w:rFonts w:eastAsiaTheme="minorHAnsi" w:cstheme="minorBidi"/>
          <w:lang w:eastAsia="en-US"/>
        </w:rPr>
      </w:pPr>
    </w:p>
    <w:p w14:paraId="449A68F2" w14:textId="72B8EDFE" w:rsidR="00B32790" w:rsidRDefault="00B32790" w:rsidP="000207A4">
      <w:pPr>
        <w:rPr>
          <w:rFonts w:eastAsiaTheme="minorHAnsi" w:cstheme="minorBidi"/>
          <w:lang w:eastAsia="en-US"/>
        </w:rPr>
      </w:pPr>
    </w:p>
    <w:p w14:paraId="3B8F208F" w14:textId="77777777" w:rsidR="00B32790" w:rsidRPr="000207A4" w:rsidRDefault="00B32790" w:rsidP="000207A4">
      <w:pPr>
        <w:rPr>
          <w:rFonts w:eastAsiaTheme="minorHAnsi" w:cstheme="minorBidi"/>
          <w:lang w:eastAsia="en-US"/>
        </w:rPr>
      </w:pPr>
    </w:p>
    <w:p w14:paraId="13C1F273" w14:textId="77777777" w:rsidR="000207A4" w:rsidRPr="000207A4" w:rsidRDefault="000207A4" w:rsidP="000207A4">
      <w:pPr>
        <w:pBdr>
          <w:top w:val="single" w:sz="4" w:space="1" w:color="404040" w:themeColor="text1" w:themeTint="BF"/>
        </w:pBdr>
        <w:tabs>
          <w:tab w:val="center" w:pos="4680"/>
          <w:tab w:val="right" w:pos="9360"/>
        </w:tabs>
        <w:suppressAutoHyphens/>
        <w:autoSpaceDN w:val="0"/>
        <w:jc w:val="center"/>
        <w:rPr>
          <w:rFonts w:eastAsia="Calibri"/>
          <w:color w:val="404040" w:themeColor="text1" w:themeTint="BF"/>
          <w:spacing w:val="20"/>
          <w:sz w:val="22"/>
          <w:szCs w:val="22"/>
          <w:lang w:eastAsia="en-US"/>
        </w:rPr>
      </w:pPr>
      <w:r w:rsidRPr="000207A4">
        <w:rPr>
          <w:rFonts w:eastAsia="Calibri"/>
          <w:color w:val="404040" w:themeColor="text1" w:themeTint="BF"/>
          <w:spacing w:val="20"/>
          <w:sz w:val="22"/>
          <w:szCs w:val="22"/>
          <w:lang w:eastAsia="en-US"/>
        </w:rPr>
        <w:t>Banski dvori | Trg Sv. Marka 2 | 10000 Zagreb | tel. 01 4569 222 | vlada.gov.hr</w:t>
      </w:r>
    </w:p>
    <w:p w14:paraId="32D3FC15" w14:textId="77777777" w:rsidR="00381EDE" w:rsidRDefault="00381EDE" w:rsidP="00381EDE">
      <w:pPr>
        <w:jc w:val="both"/>
      </w:pPr>
    </w:p>
    <w:p w14:paraId="097A8E18" w14:textId="77777777" w:rsidR="00381EDE" w:rsidRDefault="00381EDE" w:rsidP="00381EDE">
      <w:pPr>
        <w:jc w:val="both"/>
      </w:pPr>
    </w:p>
    <w:p w14:paraId="3DA9E7BD" w14:textId="77777777" w:rsidR="00381EDE" w:rsidRDefault="00381EDE" w:rsidP="00381EDE">
      <w:pPr>
        <w:jc w:val="both"/>
      </w:pPr>
    </w:p>
    <w:p w14:paraId="49DEAC0A" w14:textId="7CE0EE61" w:rsidR="00381EDE" w:rsidRDefault="00381EDE" w:rsidP="00381EDE">
      <w:pPr>
        <w:jc w:val="both"/>
      </w:pPr>
    </w:p>
    <w:p w14:paraId="5C25F6AC" w14:textId="62D6832F" w:rsidR="00B32790" w:rsidRDefault="00B32790" w:rsidP="00381EDE">
      <w:pPr>
        <w:jc w:val="both"/>
      </w:pPr>
    </w:p>
    <w:p w14:paraId="5A73874E" w14:textId="77777777" w:rsidR="00B32790" w:rsidRDefault="00B32790" w:rsidP="00381EDE">
      <w:pPr>
        <w:jc w:val="both"/>
      </w:pPr>
    </w:p>
    <w:p w14:paraId="7E7AE594" w14:textId="77777777" w:rsidR="00381EDE" w:rsidRDefault="00381EDE" w:rsidP="00381EDE">
      <w:pPr>
        <w:ind w:firstLine="1416"/>
        <w:jc w:val="both"/>
      </w:pPr>
      <w:r>
        <w:t xml:space="preserve">Na temelju članka 29. stavka 10. Zakona o održivom gospodarenju otpadom (Narodne novine, br. 94/13, 73/17 i 14/19), Vlada Republike Hrvatske je na sjednici održanoj </w:t>
      </w:r>
      <w:r w:rsidR="009664CC">
        <w:t>____________</w:t>
      </w:r>
      <w:r>
        <w:t xml:space="preserve"> 2019. godine donijela </w:t>
      </w:r>
    </w:p>
    <w:p w14:paraId="4BC658D3" w14:textId="77777777" w:rsidR="00381EDE" w:rsidRPr="00381EDE" w:rsidRDefault="00381EDE" w:rsidP="00381EDE"/>
    <w:p w14:paraId="134A6C73" w14:textId="77777777" w:rsidR="00381EDE" w:rsidRPr="00381EDE" w:rsidRDefault="00381EDE" w:rsidP="00381EDE">
      <w:pPr>
        <w:jc w:val="center"/>
        <w:rPr>
          <w:b/>
        </w:rPr>
      </w:pPr>
    </w:p>
    <w:p w14:paraId="292F2A6E" w14:textId="77777777" w:rsidR="00381EDE" w:rsidRPr="00381EDE" w:rsidRDefault="00381EDE" w:rsidP="00381EDE">
      <w:pPr>
        <w:jc w:val="center"/>
        <w:rPr>
          <w:b/>
        </w:rPr>
      </w:pPr>
      <w:r w:rsidRPr="00381EDE">
        <w:rPr>
          <w:b/>
        </w:rPr>
        <w:t>U</w:t>
      </w:r>
      <w:r>
        <w:rPr>
          <w:b/>
        </w:rPr>
        <w:t xml:space="preserve"> </w:t>
      </w:r>
      <w:r w:rsidRPr="00381EDE">
        <w:rPr>
          <w:b/>
        </w:rPr>
        <w:t>R</w:t>
      </w:r>
      <w:r>
        <w:rPr>
          <w:b/>
        </w:rPr>
        <w:t xml:space="preserve"> </w:t>
      </w:r>
      <w:r w:rsidRPr="00381EDE">
        <w:rPr>
          <w:b/>
        </w:rPr>
        <w:t>E</w:t>
      </w:r>
      <w:r>
        <w:rPr>
          <w:b/>
        </w:rPr>
        <w:t xml:space="preserve"> </w:t>
      </w:r>
      <w:r w:rsidRPr="00381EDE">
        <w:rPr>
          <w:b/>
        </w:rPr>
        <w:t>D</w:t>
      </w:r>
      <w:r>
        <w:rPr>
          <w:b/>
        </w:rPr>
        <w:t xml:space="preserve"> </w:t>
      </w:r>
      <w:r w:rsidRPr="00381EDE">
        <w:rPr>
          <w:b/>
        </w:rPr>
        <w:t>B</w:t>
      </w:r>
      <w:r>
        <w:rPr>
          <w:b/>
        </w:rPr>
        <w:t xml:space="preserve"> </w:t>
      </w:r>
      <w:r w:rsidRPr="00381EDE">
        <w:rPr>
          <w:b/>
        </w:rPr>
        <w:t>U</w:t>
      </w:r>
    </w:p>
    <w:p w14:paraId="117B8FB6" w14:textId="77777777" w:rsidR="00381EDE" w:rsidRDefault="00381EDE" w:rsidP="00381EDE">
      <w:pPr>
        <w:jc w:val="center"/>
        <w:rPr>
          <w:b/>
        </w:rPr>
      </w:pPr>
    </w:p>
    <w:p w14:paraId="4C44F31C" w14:textId="77777777" w:rsidR="00381EDE" w:rsidRPr="00381EDE" w:rsidRDefault="00381EDE" w:rsidP="00381EDE">
      <w:pPr>
        <w:jc w:val="center"/>
        <w:rPr>
          <w:b/>
        </w:rPr>
      </w:pPr>
      <w:r w:rsidRPr="00381EDE">
        <w:rPr>
          <w:b/>
        </w:rPr>
        <w:t xml:space="preserve">o izmjenama i dopunama </w:t>
      </w:r>
      <w:r>
        <w:rPr>
          <w:b/>
        </w:rPr>
        <w:t>U</w:t>
      </w:r>
      <w:r w:rsidRPr="00381EDE">
        <w:rPr>
          <w:b/>
        </w:rPr>
        <w:t>redbe o gospodarenju komunalnim otpadom</w:t>
      </w:r>
    </w:p>
    <w:p w14:paraId="0C2F69A5" w14:textId="77777777" w:rsidR="00381EDE" w:rsidRPr="00381EDE" w:rsidRDefault="00381EDE" w:rsidP="00381EDE">
      <w:pPr>
        <w:jc w:val="center"/>
        <w:rPr>
          <w:b/>
        </w:rPr>
      </w:pPr>
    </w:p>
    <w:p w14:paraId="11F484B5" w14:textId="77777777" w:rsidR="00381EDE" w:rsidRPr="00381EDE" w:rsidRDefault="00381EDE" w:rsidP="00381EDE">
      <w:pPr>
        <w:jc w:val="center"/>
        <w:rPr>
          <w:b/>
        </w:rPr>
      </w:pPr>
    </w:p>
    <w:p w14:paraId="6C93DC35" w14:textId="77777777" w:rsidR="00381EDE" w:rsidRPr="00381EDE" w:rsidRDefault="00381EDE" w:rsidP="00381EDE">
      <w:pPr>
        <w:jc w:val="center"/>
        <w:rPr>
          <w:b/>
        </w:rPr>
      </w:pPr>
      <w:r w:rsidRPr="00381EDE">
        <w:rPr>
          <w:b/>
        </w:rPr>
        <w:t>Članak 1.</w:t>
      </w:r>
    </w:p>
    <w:p w14:paraId="7F73CFE4" w14:textId="77777777" w:rsidR="00381EDE" w:rsidRPr="00381EDE" w:rsidRDefault="00381EDE" w:rsidP="00381EDE">
      <w:pPr>
        <w:jc w:val="both"/>
      </w:pPr>
    </w:p>
    <w:p w14:paraId="18FB5ABC" w14:textId="77777777" w:rsidR="00381EDE" w:rsidRPr="00381EDE" w:rsidRDefault="00381EDE" w:rsidP="001E7545">
      <w:pPr>
        <w:ind w:firstLine="1416"/>
        <w:jc w:val="both"/>
      </w:pPr>
      <w:r w:rsidRPr="00381EDE">
        <w:t>U Uredbi o gos</w:t>
      </w:r>
      <w:r>
        <w:t>podarenju komunalnim otpadom (Narodne novine</w:t>
      </w:r>
      <w:r w:rsidRPr="00381EDE">
        <w:t xml:space="preserve">, broj 50/17), u članku 3. stavku 1. točka 1. briše se. </w:t>
      </w:r>
    </w:p>
    <w:p w14:paraId="7DD4B057" w14:textId="77777777" w:rsidR="00381EDE" w:rsidRPr="00381EDE" w:rsidRDefault="00381EDE" w:rsidP="00381EDE">
      <w:pPr>
        <w:jc w:val="both"/>
      </w:pPr>
    </w:p>
    <w:p w14:paraId="637DF5D6" w14:textId="77777777" w:rsidR="00381EDE" w:rsidRPr="00381EDE" w:rsidRDefault="00381EDE" w:rsidP="001E7545">
      <w:pPr>
        <w:ind w:left="708" w:firstLine="708"/>
        <w:jc w:val="both"/>
      </w:pPr>
      <w:r w:rsidRPr="00381EDE">
        <w:t xml:space="preserve">Dosadašnje točke 2. do 8. postaju točke 1. do 7. </w:t>
      </w:r>
    </w:p>
    <w:p w14:paraId="724CF2DF" w14:textId="77777777" w:rsidR="00381EDE" w:rsidRPr="00381EDE" w:rsidRDefault="00381EDE" w:rsidP="00381EDE">
      <w:pPr>
        <w:jc w:val="both"/>
      </w:pPr>
    </w:p>
    <w:p w14:paraId="0D0E56F1" w14:textId="77777777" w:rsidR="00381EDE" w:rsidRPr="00381EDE" w:rsidRDefault="00381EDE" w:rsidP="001E7545">
      <w:pPr>
        <w:ind w:left="708" w:firstLine="708"/>
        <w:jc w:val="both"/>
      </w:pPr>
      <w:r w:rsidRPr="00381EDE">
        <w:t xml:space="preserve">Iza dosadašnje točke 9. koja postaje točka 8. dodaje se </w:t>
      </w:r>
      <w:r w:rsidRPr="002517F5">
        <w:t>nova točka</w:t>
      </w:r>
      <w:r w:rsidRPr="00381EDE">
        <w:t xml:space="preserve"> 9. koja glasi: </w:t>
      </w:r>
    </w:p>
    <w:p w14:paraId="7A2A0DD3" w14:textId="77777777" w:rsidR="00381EDE" w:rsidRPr="00381EDE" w:rsidRDefault="00381EDE" w:rsidP="00381EDE">
      <w:pPr>
        <w:jc w:val="both"/>
      </w:pPr>
    </w:p>
    <w:p w14:paraId="3A615349" w14:textId="77777777" w:rsidR="00381EDE" w:rsidRPr="00381EDE" w:rsidRDefault="00381EDE" w:rsidP="00381EDE">
      <w:pPr>
        <w:jc w:val="both"/>
      </w:pPr>
      <w:r w:rsidRPr="00381EDE">
        <w:t xml:space="preserve">„9. </w:t>
      </w:r>
      <w:r w:rsidRPr="00381EDE">
        <w:rPr>
          <w:i/>
        </w:rPr>
        <w:t>Ministarstvo</w:t>
      </w:r>
      <w:r w:rsidRPr="00381EDE">
        <w:t xml:space="preserve"> je ministarstvo nadležno za poslove zaštite okoliša.“. </w:t>
      </w:r>
    </w:p>
    <w:p w14:paraId="42C4E645" w14:textId="77777777" w:rsidR="00381EDE" w:rsidRPr="00381EDE" w:rsidRDefault="00381EDE" w:rsidP="00381EDE">
      <w:pPr>
        <w:jc w:val="center"/>
        <w:rPr>
          <w:b/>
        </w:rPr>
      </w:pPr>
    </w:p>
    <w:p w14:paraId="16C2BB3D" w14:textId="77777777" w:rsidR="00381EDE" w:rsidRPr="00381EDE" w:rsidRDefault="00381EDE" w:rsidP="00381EDE">
      <w:pPr>
        <w:jc w:val="center"/>
        <w:rPr>
          <w:b/>
        </w:rPr>
      </w:pPr>
      <w:r w:rsidRPr="00381EDE">
        <w:rPr>
          <w:b/>
        </w:rPr>
        <w:t>Članak 2.</w:t>
      </w:r>
    </w:p>
    <w:p w14:paraId="4795C24A" w14:textId="77777777" w:rsidR="00381EDE" w:rsidRPr="00381EDE" w:rsidRDefault="00381EDE" w:rsidP="00381EDE">
      <w:pPr>
        <w:jc w:val="both"/>
      </w:pPr>
    </w:p>
    <w:p w14:paraId="574B7463" w14:textId="77777777" w:rsidR="00381EDE" w:rsidRPr="00381EDE" w:rsidRDefault="00381EDE" w:rsidP="001E7545">
      <w:pPr>
        <w:ind w:left="708" w:firstLine="708"/>
        <w:jc w:val="both"/>
      </w:pPr>
      <w:r w:rsidRPr="00381EDE">
        <w:t xml:space="preserve">Iza članka 3. dodaje se članak 3.a koji glasi: </w:t>
      </w:r>
    </w:p>
    <w:p w14:paraId="04BCDC33" w14:textId="77777777" w:rsidR="00381EDE" w:rsidRPr="00381EDE" w:rsidRDefault="00381EDE" w:rsidP="00381EDE">
      <w:pPr>
        <w:jc w:val="both"/>
      </w:pPr>
    </w:p>
    <w:p w14:paraId="5C584906" w14:textId="77777777" w:rsidR="00381EDE" w:rsidRPr="00381EDE" w:rsidRDefault="00381EDE" w:rsidP="00381EDE">
      <w:pPr>
        <w:jc w:val="center"/>
      </w:pPr>
      <w:r w:rsidRPr="00381EDE">
        <w:t>„Članak 3.a</w:t>
      </w:r>
    </w:p>
    <w:p w14:paraId="41F6435F" w14:textId="77777777" w:rsidR="00381EDE" w:rsidRPr="00381EDE" w:rsidRDefault="00381EDE" w:rsidP="00381EDE">
      <w:pPr>
        <w:jc w:val="both"/>
      </w:pPr>
    </w:p>
    <w:p w14:paraId="1F836556" w14:textId="77777777" w:rsidR="00381EDE" w:rsidRPr="00381EDE" w:rsidRDefault="00381EDE" w:rsidP="00381EDE">
      <w:pPr>
        <w:jc w:val="both"/>
      </w:pPr>
      <w:r w:rsidRPr="00381EDE">
        <w:t xml:space="preserve">(1) Korisnici javne usluge prikupljanja miješanog komunalnog otpada i prikupljanja biorazgradivog komunalnog otpada iz članka 30. stavka 5. Zakona razvrstavaju se u kategoriju: </w:t>
      </w:r>
    </w:p>
    <w:p w14:paraId="0ED35535" w14:textId="77777777" w:rsidR="00381EDE" w:rsidRPr="00381EDE" w:rsidRDefault="00381EDE" w:rsidP="00381EDE">
      <w:pPr>
        <w:jc w:val="both"/>
      </w:pPr>
    </w:p>
    <w:p w14:paraId="5C78983C" w14:textId="77777777" w:rsidR="00381EDE" w:rsidRPr="00381EDE" w:rsidRDefault="00381EDE" w:rsidP="00381EDE">
      <w:pPr>
        <w:jc w:val="both"/>
      </w:pPr>
      <w:r w:rsidRPr="00381EDE">
        <w:t xml:space="preserve">- korisnika kućanstvo </w:t>
      </w:r>
    </w:p>
    <w:p w14:paraId="197528AA" w14:textId="77777777" w:rsidR="00381EDE" w:rsidRPr="00381EDE" w:rsidRDefault="00381EDE" w:rsidP="00381EDE">
      <w:pPr>
        <w:jc w:val="both"/>
      </w:pPr>
      <w:r w:rsidRPr="00381EDE">
        <w:t xml:space="preserve">- korisnika koji nije kućanstvo. </w:t>
      </w:r>
    </w:p>
    <w:p w14:paraId="3EA5C6B1" w14:textId="77777777" w:rsidR="00381EDE" w:rsidRPr="00381EDE" w:rsidRDefault="00381EDE" w:rsidP="00381EDE">
      <w:pPr>
        <w:jc w:val="both"/>
      </w:pPr>
    </w:p>
    <w:p w14:paraId="78C45255" w14:textId="77777777" w:rsidR="00381EDE" w:rsidRPr="00381EDE" w:rsidRDefault="00381EDE" w:rsidP="00381EDE">
      <w:pPr>
        <w:jc w:val="both"/>
      </w:pPr>
      <w:r w:rsidRPr="00381EDE">
        <w:t xml:space="preserve">(2) Korisnik iz stavka 1. podstavka 1. ovoga članka je korisnik javne usluge koji nekretninu koristi trajno ili povremeno u svrhu stanovanja (npr. vlasnici stanova, kuća, nekretnina za odmor). </w:t>
      </w:r>
    </w:p>
    <w:p w14:paraId="1E978583" w14:textId="77777777" w:rsidR="00381EDE" w:rsidRPr="00381EDE" w:rsidRDefault="00381EDE" w:rsidP="00381EDE">
      <w:pPr>
        <w:jc w:val="both"/>
      </w:pPr>
    </w:p>
    <w:p w14:paraId="35E9A52B" w14:textId="77777777" w:rsidR="00381EDE" w:rsidRPr="00381EDE" w:rsidRDefault="00381EDE" w:rsidP="00381EDE">
      <w:pPr>
        <w:jc w:val="both"/>
      </w:pPr>
      <w:r w:rsidRPr="00381EDE">
        <w:t xml:space="preserve">(3) Korisnik iz stavka 1. podstavka 2. ovoga članka je korisnik javne usluge koji nije razvrstan u kategoriju korisnika kućanstvo, a koji nekretninu koristi u svrhu obavljanja djelatnosti.“. </w:t>
      </w:r>
    </w:p>
    <w:p w14:paraId="5F722D66" w14:textId="77777777" w:rsidR="00381EDE" w:rsidRPr="00381EDE" w:rsidRDefault="00381EDE" w:rsidP="00381EDE">
      <w:pPr>
        <w:jc w:val="center"/>
        <w:rPr>
          <w:b/>
        </w:rPr>
      </w:pPr>
    </w:p>
    <w:p w14:paraId="3A448689" w14:textId="77777777" w:rsidR="00381EDE" w:rsidRPr="00381EDE" w:rsidRDefault="00381EDE" w:rsidP="00381EDE">
      <w:pPr>
        <w:jc w:val="center"/>
        <w:rPr>
          <w:b/>
        </w:rPr>
      </w:pPr>
      <w:r w:rsidRPr="00381EDE">
        <w:rPr>
          <w:b/>
        </w:rPr>
        <w:t>Članak 3.</w:t>
      </w:r>
    </w:p>
    <w:p w14:paraId="71E9FF7F" w14:textId="77777777" w:rsidR="00381EDE" w:rsidRPr="00381EDE" w:rsidRDefault="00381EDE" w:rsidP="00381EDE">
      <w:pPr>
        <w:jc w:val="both"/>
      </w:pPr>
    </w:p>
    <w:p w14:paraId="38FBA126" w14:textId="77777777" w:rsidR="00381EDE" w:rsidRPr="00381EDE" w:rsidRDefault="00381EDE" w:rsidP="001E7545">
      <w:pPr>
        <w:ind w:left="708" w:firstLine="708"/>
        <w:jc w:val="both"/>
      </w:pPr>
      <w:r w:rsidRPr="00381EDE">
        <w:t xml:space="preserve">U članku 4. stavku 1. točka 7. mijenja se i glasi: </w:t>
      </w:r>
    </w:p>
    <w:p w14:paraId="28620BF1" w14:textId="77777777" w:rsidR="00381EDE" w:rsidRPr="00381EDE" w:rsidRDefault="00381EDE" w:rsidP="00381EDE">
      <w:pPr>
        <w:jc w:val="both"/>
      </w:pPr>
    </w:p>
    <w:p w14:paraId="5470EDEC" w14:textId="77777777" w:rsidR="00381EDE" w:rsidRPr="00381EDE" w:rsidRDefault="005E20B0" w:rsidP="00381EDE">
      <w:pPr>
        <w:jc w:val="both"/>
      </w:pPr>
      <w:r w:rsidRPr="00381EDE">
        <w:lastRenderedPageBreak/>
        <w:t>„</w:t>
      </w:r>
      <w:r w:rsidR="00381EDE" w:rsidRPr="00381EDE">
        <w:t>7. odredbe o načinu izračuna i određivanju cijene, te iznos obvezne minimalne javne usluge za korisnike javne usluge razvrstane u kategoriju korisnika kućanstvo i potkategorije korisnika koji nisu kućanstvo“.</w:t>
      </w:r>
    </w:p>
    <w:p w14:paraId="0B645A9E" w14:textId="77777777" w:rsidR="00381EDE" w:rsidRPr="00381EDE" w:rsidRDefault="00381EDE" w:rsidP="00381EDE">
      <w:pPr>
        <w:jc w:val="both"/>
      </w:pPr>
    </w:p>
    <w:p w14:paraId="23F517BF" w14:textId="77777777" w:rsidR="00381EDE" w:rsidRPr="00381EDE" w:rsidRDefault="00381EDE" w:rsidP="001E7545">
      <w:pPr>
        <w:ind w:firstLine="1416"/>
        <w:jc w:val="both"/>
      </w:pPr>
      <w:r w:rsidRPr="00381EDE">
        <w:t>U stavku 5. iza riječi: „takvog postupanja“ umjesto točke stavlja se zarez i</w:t>
      </w:r>
      <w:r w:rsidR="005E20B0">
        <w:t xml:space="preserve"> dodaju se riječi: „a najviše do </w:t>
      </w:r>
      <w:r w:rsidRPr="00381EDE">
        <w:t>iznosa godišnje cijene obvezne minimalne javne usluge za kategoriju korisnika usluge u koju je korisnik razvrstan</w:t>
      </w:r>
      <w:r w:rsidR="005E20B0">
        <w:t>.</w:t>
      </w:r>
      <w:r w:rsidRPr="00381EDE">
        <w:t>“.</w:t>
      </w:r>
    </w:p>
    <w:p w14:paraId="0C9CC4A5" w14:textId="77777777" w:rsidR="00381EDE" w:rsidRPr="00381EDE" w:rsidRDefault="00381EDE" w:rsidP="00381EDE">
      <w:pPr>
        <w:jc w:val="both"/>
      </w:pPr>
    </w:p>
    <w:p w14:paraId="7530A1A4" w14:textId="77777777" w:rsidR="00381EDE" w:rsidRPr="00381EDE" w:rsidRDefault="00381EDE" w:rsidP="001E7545">
      <w:pPr>
        <w:ind w:left="708" w:firstLine="708"/>
        <w:jc w:val="both"/>
      </w:pPr>
      <w:r w:rsidRPr="00381EDE">
        <w:t xml:space="preserve">Stavak 6. mijenja se i glasi: </w:t>
      </w:r>
    </w:p>
    <w:p w14:paraId="65B5F727" w14:textId="77777777" w:rsidR="00381EDE" w:rsidRPr="00381EDE" w:rsidRDefault="00381EDE" w:rsidP="00381EDE">
      <w:pPr>
        <w:jc w:val="both"/>
      </w:pPr>
    </w:p>
    <w:p w14:paraId="10D786A3" w14:textId="77777777" w:rsidR="00381EDE" w:rsidRPr="00381EDE" w:rsidRDefault="00381EDE" w:rsidP="00381EDE">
      <w:pPr>
        <w:jc w:val="both"/>
      </w:pPr>
      <w:r w:rsidRPr="00381EDE">
        <w:t xml:space="preserve">„(6) Standardna veličina i druga bitna svojstva spremnika za sakupljanje otpada mora se odrediti na način da spremnik bude primjeren potrebi pojedinog korisnika usluge te se  korisniku usluge ne može propisati obveza korištenja spremnika određenog volumena. Primjerenost potrebe ne može se ocjenjivati na temelju površine ili obujma nekretnine iz članka 30. stavka 5. Zakona.“. </w:t>
      </w:r>
    </w:p>
    <w:p w14:paraId="3754CB2B" w14:textId="77777777" w:rsidR="00381EDE" w:rsidRPr="00381EDE" w:rsidRDefault="00381EDE" w:rsidP="00381EDE">
      <w:pPr>
        <w:jc w:val="both"/>
      </w:pPr>
    </w:p>
    <w:p w14:paraId="4B03140D" w14:textId="77777777" w:rsidR="00381EDE" w:rsidRPr="00381EDE" w:rsidRDefault="00381EDE" w:rsidP="001E7545">
      <w:pPr>
        <w:ind w:left="708" w:firstLine="708"/>
        <w:jc w:val="both"/>
      </w:pPr>
      <w:r w:rsidRPr="00381EDE">
        <w:t xml:space="preserve">Iza stavka 7. dodaju se stavci 8. i 9. koji glase: </w:t>
      </w:r>
    </w:p>
    <w:p w14:paraId="502511FC" w14:textId="77777777" w:rsidR="00381EDE" w:rsidRPr="00381EDE" w:rsidRDefault="00381EDE" w:rsidP="00381EDE">
      <w:pPr>
        <w:jc w:val="both"/>
      </w:pPr>
    </w:p>
    <w:p w14:paraId="392FD387" w14:textId="77777777" w:rsidR="00381EDE" w:rsidRPr="00381EDE" w:rsidRDefault="00381EDE" w:rsidP="00381EDE">
      <w:pPr>
        <w:jc w:val="both"/>
      </w:pPr>
      <w:r w:rsidRPr="00381EDE">
        <w:t xml:space="preserve">„(8) Cijena obvezne minimalne javne usluge jedinstvena je na području pružanja usluge za sve korisnike usluge razvrstane u kategoriju korisnika kućanstvo. </w:t>
      </w:r>
    </w:p>
    <w:p w14:paraId="7AD2B9DB" w14:textId="77777777" w:rsidR="00381EDE" w:rsidRPr="00381EDE" w:rsidRDefault="00381EDE" w:rsidP="00381EDE">
      <w:pPr>
        <w:jc w:val="both"/>
      </w:pPr>
    </w:p>
    <w:p w14:paraId="01310245" w14:textId="77777777" w:rsidR="00381EDE" w:rsidRPr="00381EDE" w:rsidRDefault="00381EDE" w:rsidP="00381EDE">
      <w:pPr>
        <w:tabs>
          <w:tab w:val="left" w:pos="284"/>
        </w:tabs>
        <w:jc w:val="both"/>
      </w:pPr>
      <w:r w:rsidRPr="00381EDE">
        <w:t xml:space="preserve">(9) Cijena obvezne minimalne javne usluge jednaka je za sve korisnike usluge razvrstane u kategoriju korisnika koji nije kućanstvo unutar iste </w:t>
      </w:r>
      <w:r w:rsidRPr="009664CC">
        <w:t xml:space="preserve">potkategorije iz </w:t>
      </w:r>
      <w:r w:rsidR="00140FCA" w:rsidRPr="009664CC">
        <w:t>priloga</w:t>
      </w:r>
      <w:r w:rsidR="001E7545" w:rsidRPr="009664CC">
        <w:t xml:space="preserve"> </w:t>
      </w:r>
      <w:r w:rsidRPr="009664CC">
        <w:t xml:space="preserve">koji je tiskan uz ovu Uredbu i </w:t>
      </w:r>
      <w:r w:rsidR="00F90FCF" w:rsidRPr="009664CC">
        <w:t xml:space="preserve">čini </w:t>
      </w:r>
      <w:r w:rsidRPr="009664CC">
        <w:t>njezin sastavni dio.“.</w:t>
      </w:r>
    </w:p>
    <w:p w14:paraId="5030C058" w14:textId="77777777" w:rsidR="00381EDE" w:rsidRDefault="00381EDE" w:rsidP="00381EDE">
      <w:pPr>
        <w:jc w:val="center"/>
        <w:rPr>
          <w:b/>
        </w:rPr>
      </w:pPr>
    </w:p>
    <w:p w14:paraId="794FE168" w14:textId="77777777" w:rsidR="00381EDE" w:rsidRDefault="00381EDE" w:rsidP="00381EDE">
      <w:pPr>
        <w:jc w:val="center"/>
        <w:rPr>
          <w:b/>
        </w:rPr>
      </w:pPr>
      <w:r>
        <w:rPr>
          <w:b/>
        </w:rPr>
        <w:t>Članak 4.</w:t>
      </w:r>
    </w:p>
    <w:p w14:paraId="08875E9A" w14:textId="77777777" w:rsidR="00381EDE" w:rsidRDefault="00381EDE" w:rsidP="00381EDE">
      <w:pPr>
        <w:jc w:val="both"/>
      </w:pPr>
    </w:p>
    <w:p w14:paraId="4C44EB53" w14:textId="77777777" w:rsidR="00381EDE" w:rsidRDefault="00381EDE" w:rsidP="001E7545">
      <w:pPr>
        <w:ind w:left="708" w:firstLine="708"/>
        <w:jc w:val="both"/>
      </w:pPr>
      <w:r>
        <w:t>U članku 8. stavku 4. podstavak 2. mijenja se i glasi:</w:t>
      </w:r>
    </w:p>
    <w:p w14:paraId="0B049D88" w14:textId="77777777" w:rsidR="00381EDE" w:rsidRDefault="00381EDE" w:rsidP="00381EDE">
      <w:pPr>
        <w:jc w:val="both"/>
      </w:pPr>
    </w:p>
    <w:p w14:paraId="4B1C1DBB" w14:textId="77777777" w:rsidR="00381EDE" w:rsidRDefault="00381EDE" w:rsidP="00381EDE">
      <w:pPr>
        <w:jc w:val="both"/>
        <w:rPr>
          <w:b/>
        </w:rPr>
      </w:pPr>
      <w:r>
        <w:t>„- lokacije spremnika za odvojeno sakupljanje komunalnog otpada postavljenih na javnoj površini“.</w:t>
      </w:r>
    </w:p>
    <w:p w14:paraId="10AD7909" w14:textId="77777777" w:rsidR="00381EDE" w:rsidRDefault="00381EDE" w:rsidP="00381EDE">
      <w:pPr>
        <w:jc w:val="center"/>
        <w:rPr>
          <w:b/>
        </w:rPr>
      </w:pPr>
    </w:p>
    <w:p w14:paraId="6A090989" w14:textId="77777777" w:rsidR="00381EDE" w:rsidRDefault="00381EDE" w:rsidP="00381EDE">
      <w:pPr>
        <w:jc w:val="center"/>
        <w:rPr>
          <w:b/>
        </w:rPr>
      </w:pPr>
      <w:r>
        <w:rPr>
          <w:b/>
        </w:rPr>
        <w:t>Članak 5.</w:t>
      </w:r>
    </w:p>
    <w:p w14:paraId="77BFC09B" w14:textId="77777777" w:rsidR="00381EDE" w:rsidRDefault="00381EDE" w:rsidP="00381EDE">
      <w:pPr>
        <w:jc w:val="both"/>
      </w:pPr>
    </w:p>
    <w:p w14:paraId="124CF379" w14:textId="77777777" w:rsidR="00381EDE" w:rsidRDefault="00381EDE" w:rsidP="001E7545">
      <w:pPr>
        <w:ind w:left="708" w:firstLine="708"/>
        <w:jc w:val="both"/>
      </w:pPr>
      <w:r>
        <w:t xml:space="preserve">U članku 14. stavku 2. iza točke 2. dodaje se nova točka 3. koja glasi: </w:t>
      </w:r>
    </w:p>
    <w:p w14:paraId="2D25117F" w14:textId="77777777" w:rsidR="00381EDE" w:rsidRDefault="00381EDE" w:rsidP="00381EDE">
      <w:pPr>
        <w:jc w:val="both"/>
      </w:pPr>
    </w:p>
    <w:p w14:paraId="021CF2E2" w14:textId="77777777" w:rsidR="00381EDE" w:rsidRDefault="00381EDE" w:rsidP="00381EDE">
      <w:pPr>
        <w:jc w:val="both"/>
      </w:pPr>
      <w:r>
        <w:t xml:space="preserve">„3. kategoriju korisnika  usluge na obračunskom mjestu“. </w:t>
      </w:r>
    </w:p>
    <w:p w14:paraId="2B9E6EFE" w14:textId="77777777" w:rsidR="00381EDE" w:rsidRDefault="00381EDE" w:rsidP="00381EDE">
      <w:pPr>
        <w:jc w:val="both"/>
      </w:pPr>
    </w:p>
    <w:p w14:paraId="7814C42A" w14:textId="77777777" w:rsidR="00381EDE" w:rsidRDefault="00381EDE" w:rsidP="006B4A3F">
      <w:pPr>
        <w:ind w:left="708" w:firstLine="708"/>
        <w:jc w:val="both"/>
      </w:pPr>
      <w:r>
        <w:t xml:space="preserve">Dosadašnje točke 3. do 12. postaju točke 4. do 13. </w:t>
      </w:r>
    </w:p>
    <w:p w14:paraId="4FB67173" w14:textId="77777777" w:rsidR="00381EDE" w:rsidRDefault="00381EDE" w:rsidP="00381EDE">
      <w:pPr>
        <w:jc w:val="both"/>
      </w:pPr>
    </w:p>
    <w:p w14:paraId="252B1BBA" w14:textId="77777777" w:rsidR="00381EDE" w:rsidRDefault="00381EDE" w:rsidP="006B4A3F">
      <w:pPr>
        <w:ind w:left="708" w:firstLine="708"/>
        <w:jc w:val="both"/>
      </w:pPr>
      <w:r>
        <w:t xml:space="preserve">Iza stavka 10. dodaju se stavci 11. i 12. koji glase: </w:t>
      </w:r>
    </w:p>
    <w:p w14:paraId="01D364F9" w14:textId="77777777" w:rsidR="00381EDE" w:rsidRDefault="00381EDE" w:rsidP="00381EDE">
      <w:pPr>
        <w:jc w:val="both"/>
      </w:pPr>
    </w:p>
    <w:p w14:paraId="25D552FD" w14:textId="77777777" w:rsidR="00381EDE" w:rsidRDefault="00381EDE" w:rsidP="00381EDE">
      <w:pPr>
        <w:jc w:val="both"/>
      </w:pPr>
      <w:r>
        <w:t xml:space="preserve">„(11) Korisnik  usluge na obračunskom mjestu na kojem se ne obavlja djelatnost, razvrstava se u kategoriju korisnika kućanstvo. </w:t>
      </w:r>
    </w:p>
    <w:p w14:paraId="03DD860A" w14:textId="77777777" w:rsidR="00381EDE" w:rsidRDefault="00381EDE" w:rsidP="00381EDE">
      <w:pPr>
        <w:jc w:val="both"/>
      </w:pPr>
    </w:p>
    <w:p w14:paraId="646BD4BE" w14:textId="77777777" w:rsidR="00381EDE" w:rsidRDefault="00381EDE" w:rsidP="00381EDE">
      <w:pPr>
        <w:jc w:val="both"/>
      </w:pPr>
      <w:r>
        <w:t xml:space="preserve">(12) Korisnik  usluge koji nije razvrstan u kategoriju korisnika kućanstvo, razvrstava se u kategoriju korisnika koji nije kućanstvo i odgovarajuću potkategoriju </w:t>
      </w:r>
      <w:r w:rsidRPr="006967F2">
        <w:t>sukladno prilogu ove</w:t>
      </w:r>
      <w:r>
        <w:t xml:space="preserve"> Uredbe.“. </w:t>
      </w:r>
    </w:p>
    <w:p w14:paraId="17CD762F" w14:textId="77777777" w:rsidR="00381EDE" w:rsidRDefault="00381EDE" w:rsidP="00381EDE">
      <w:pPr>
        <w:jc w:val="center"/>
        <w:rPr>
          <w:b/>
        </w:rPr>
      </w:pPr>
    </w:p>
    <w:p w14:paraId="154E95DB" w14:textId="77777777" w:rsidR="00B32790" w:rsidRDefault="00B32790" w:rsidP="00381EDE">
      <w:pPr>
        <w:jc w:val="center"/>
        <w:rPr>
          <w:b/>
        </w:rPr>
      </w:pPr>
    </w:p>
    <w:p w14:paraId="403BB7E6" w14:textId="7BEB84B2" w:rsidR="00381EDE" w:rsidRDefault="00381EDE" w:rsidP="00381EDE">
      <w:pPr>
        <w:jc w:val="center"/>
        <w:rPr>
          <w:b/>
        </w:rPr>
      </w:pPr>
      <w:r>
        <w:rPr>
          <w:b/>
        </w:rPr>
        <w:lastRenderedPageBreak/>
        <w:t xml:space="preserve">Članak </w:t>
      </w:r>
      <w:r w:rsidR="009664CC">
        <w:rPr>
          <w:b/>
        </w:rPr>
        <w:t>6</w:t>
      </w:r>
      <w:r>
        <w:rPr>
          <w:b/>
        </w:rPr>
        <w:t>.</w:t>
      </w:r>
    </w:p>
    <w:p w14:paraId="4E0ACFB1" w14:textId="77777777" w:rsidR="00381EDE" w:rsidRDefault="00381EDE" w:rsidP="00381EDE">
      <w:pPr>
        <w:jc w:val="both"/>
      </w:pPr>
    </w:p>
    <w:p w14:paraId="0FCE8AAD" w14:textId="77777777" w:rsidR="00381EDE" w:rsidRDefault="00381EDE" w:rsidP="006B4A3F">
      <w:pPr>
        <w:ind w:firstLine="1416"/>
        <w:jc w:val="both"/>
      </w:pPr>
      <w:r>
        <w:t xml:space="preserve">U članku 17. stavku 1. podstavku 1. iza točke 1. dodaje se nova točka 2. koja glasi: </w:t>
      </w:r>
    </w:p>
    <w:p w14:paraId="01AACC5E" w14:textId="77777777" w:rsidR="00381EDE" w:rsidRDefault="00381EDE" w:rsidP="00381EDE">
      <w:pPr>
        <w:jc w:val="both"/>
      </w:pPr>
    </w:p>
    <w:p w14:paraId="106EEA7F" w14:textId="77777777" w:rsidR="00381EDE" w:rsidRDefault="00381EDE" w:rsidP="00381EDE">
      <w:pPr>
        <w:jc w:val="both"/>
      </w:pPr>
      <w:r>
        <w:t xml:space="preserve">„2. kategoriji korisnika, i kad je primjenjivo potkategoriji korisnika </w:t>
      </w:r>
      <w:r w:rsidRPr="006967F2">
        <w:t>sukladno prilogu ove</w:t>
      </w:r>
      <w:r>
        <w:t xml:space="preserve"> Uredbe“. </w:t>
      </w:r>
    </w:p>
    <w:p w14:paraId="0A26D466" w14:textId="77777777" w:rsidR="00381EDE" w:rsidRDefault="00381EDE" w:rsidP="00381EDE">
      <w:pPr>
        <w:jc w:val="both"/>
      </w:pPr>
    </w:p>
    <w:p w14:paraId="0EAEF166" w14:textId="77777777" w:rsidR="00381EDE" w:rsidRDefault="00381EDE" w:rsidP="006B4A3F">
      <w:pPr>
        <w:ind w:left="708" w:firstLine="708"/>
        <w:jc w:val="both"/>
      </w:pPr>
      <w:r>
        <w:t xml:space="preserve">Dosadašnje točke 2. do 4. postaju točke 3. do 5. </w:t>
      </w:r>
    </w:p>
    <w:p w14:paraId="686F8D33" w14:textId="77777777" w:rsidR="00381EDE" w:rsidRDefault="00381EDE" w:rsidP="00381EDE">
      <w:pPr>
        <w:jc w:val="center"/>
        <w:rPr>
          <w:b/>
        </w:rPr>
      </w:pPr>
    </w:p>
    <w:p w14:paraId="1A88D1BE" w14:textId="77777777" w:rsidR="00381EDE" w:rsidRDefault="00381EDE" w:rsidP="00381EDE">
      <w:pPr>
        <w:jc w:val="center"/>
        <w:rPr>
          <w:b/>
        </w:rPr>
      </w:pPr>
      <w:r>
        <w:rPr>
          <w:b/>
        </w:rPr>
        <w:t xml:space="preserve">Članak </w:t>
      </w:r>
      <w:r w:rsidR="009664CC">
        <w:rPr>
          <w:b/>
        </w:rPr>
        <w:t>7</w:t>
      </w:r>
      <w:r>
        <w:rPr>
          <w:b/>
        </w:rPr>
        <w:t>.</w:t>
      </w:r>
    </w:p>
    <w:p w14:paraId="0DE3354D" w14:textId="77777777" w:rsidR="00381EDE" w:rsidRDefault="00381EDE" w:rsidP="00381EDE">
      <w:pPr>
        <w:jc w:val="both"/>
      </w:pPr>
    </w:p>
    <w:p w14:paraId="60808531" w14:textId="77777777" w:rsidR="00381EDE" w:rsidRDefault="00381EDE" w:rsidP="006B4A3F">
      <w:pPr>
        <w:ind w:left="708" w:firstLine="708"/>
        <w:jc w:val="both"/>
      </w:pPr>
      <w:r>
        <w:t xml:space="preserve">U članku 18. stavak 2. mijenja se i glasi: </w:t>
      </w:r>
    </w:p>
    <w:p w14:paraId="3D8287CF" w14:textId="77777777" w:rsidR="00381EDE" w:rsidRDefault="00381EDE" w:rsidP="00381EDE">
      <w:pPr>
        <w:jc w:val="both"/>
      </w:pPr>
    </w:p>
    <w:p w14:paraId="53A0F653" w14:textId="77777777" w:rsidR="00381EDE" w:rsidRDefault="00381EDE" w:rsidP="00381EDE">
      <w:pPr>
        <w:jc w:val="both"/>
      </w:pPr>
      <w:r>
        <w:t xml:space="preserve">„(2) Fond za zaštitu okoliša i energetsku učinkovitost financira troškove sakupljanja reciklabilnog komunalnog otpada čiji tokovi se sastoje pretežito od otpadne ambalaže, a kojeg je davatelj javne usluge preuzeo od korisnika  usluge.“. </w:t>
      </w:r>
    </w:p>
    <w:p w14:paraId="6116BE18" w14:textId="77777777" w:rsidR="00381EDE" w:rsidRDefault="00381EDE" w:rsidP="00381EDE">
      <w:pPr>
        <w:jc w:val="both"/>
      </w:pPr>
    </w:p>
    <w:p w14:paraId="408786CB" w14:textId="77777777" w:rsidR="00381EDE" w:rsidRDefault="00381EDE" w:rsidP="006B4A3F">
      <w:pPr>
        <w:ind w:left="708" w:firstLine="708"/>
        <w:jc w:val="both"/>
      </w:pPr>
      <w:r>
        <w:t xml:space="preserve">Iza stavka 2. dodaje se stavak 3. koji glasi: </w:t>
      </w:r>
    </w:p>
    <w:p w14:paraId="2A4AFF0D" w14:textId="77777777" w:rsidR="00381EDE" w:rsidRDefault="00381EDE" w:rsidP="00381EDE">
      <w:pPr>
        <w:jc w:val="both"/>
      </w:pPr>
    </w:p>
    <w:p w14:paraId="1A275F61" w14:textId="77777777" w:rsidR="00381EDE" w:rsidRDefault="00381EDE" w:rsidP="00381EDE">
      <w:pPr>
        <w:jc w:val="both"/>
      </w:pPr>
      <w:r>
        <w:t xml:space="preserve">„(3) Financiranje troškova iz stavka 1. ovoga članka obavlja se temeljem ugovora Fonda za zaštitu okoliša i energetsku učinkovitost i davatelja javne usluge, kojim se određuju uvjeti sakupljanja i predaje reciklabilnog komunalnog otpada.“. </w:t>
      </w:r>
    </w:p>
    <w:p w14:paraId="7382D4EA" w14:textId="77777777" w:rsidR="00381EDE" w:rsidRDefault="00381EDE" w:rsidP="00381EDE">
      <w:pPr>
        <w:jc w:val="center"/>
        <w:rPr>
          <w:b/>
        </w:rPr>
      </w:pPr>
    </w:p>
    <w:p w14:paraId="7D2F1C8D" w14:textId="77777777" w:rsidR="00381EDE" w:rsidRDefault="00381EDE" w:rsidP="00381EDE">
      <w:pPr>
        <w:jc w:val="center"/>
        <w:rPr>
          <w:b/>
        </w:rPr>
      </w:pPr>
      <w:r>
        <w:rPr>
          <w:b/>
        </w:rPr>
        <w:t xml:space="preserve">Članak </w:t>
      </w:r>
      <w:r w:rsidR="009664CC">
        <w:rPr>
          <w:b/>
        </w:rPr>
        <w:t>8</w:t>
      </w:r>
      <w:r>
        <w:rPr>
          <w:b/>
        </w:rPr>
        <w:t>.</w:t>
      </w:r>
    </w:p>
    <w:p w14:paraId="13673DB1" w14:textId="77777777" w:rsidR="00381EDE" w:rsidRDefault="00381EDE" w:rsidP="00381EDE">
      <w:pPr>
        <w:jc w:val="both"/>
      </w:pPr>
    </w:p>
    <w:p w14:paraId="7AB67B80" w14:textId="77777777" w:rsidR="00381EDE" w:rsidRDefault="00381EDE" w:rsidP="006B4A3F">
      <w:pPr>
        <w:ind w:left="708" w:firstLine="708"/>
        <w:jc w:val="both"/>
      </w:pPr>
      <w:r>
        <w:t xml:space="preserve">U članku 20. iza stavka 9. dodaju se stavci 10. do 13. koji glase: </w:t>
      </w:r>
    </w:p>
    <w:p w14:paraId="45ACD34A" w14:textId="77777777" w:rsidR="00381EDE" w:rsidRDefault="00381EDE" w:rsidP="00381EDE">
      <w:pPr>
        <w:jc w:val="both"/>
      </w:pPr>
    </w:p>
    <w:p w14:paraId="1232860B" w14:textId="77777777" w:rsidR="00381EDE" w:rsidRDefault="00381EDE" w:rsidP="00381EDE">
      <w:pPr>
        <w:jc w:val="both"/>
      </w:pPr>
      <w:r>
        <w:t>„(10) Ako se na istom obračunskom mjestu korisnik može razvrstati i u kategoriju kućanstvo i u kategoriju korisnika koji nije kućanstvo, korisnik je dužan plaćati samo cijenu obvezne minimalne javne usluge obračunatu za kategoriju korisnika koji nije kućanstvo.</w:t>
      </w:r>
    </w:p>
    <w:p w14:paraId="374D0467" w14:textId="77777777" w:rsidR="00381EDE" w:rsidRDefault="00381EDE" w:rsidP="00381EDE">
      <w:pPr>
        <w:jc w:val="both"/>
      </w:pPr>
    </w:p>
    <w:p w14:paraId="20AEA3EF" w14:textId="77777777" w:rsidR="00381EDE" w:rsidRDefault="00381EDE" w:rsidP="00381EDE">
      <w:pPr>
        <w:jc w:val="both"/>
      </w:pPr>
      <w:r>
        <w:t>(11) Ako se na istom obračunskom mjestu korisnik može ra</w:t>
      </w:r>
      <w:r w:rsidR="006B4A3F">
        <w:t xml:space="preserve">zvrstati  u više potkategorija </w:t>
      </w:r>
      <w:r>
        <w:t>korisnika koji nije kućanstvo iz priloga ove Uredbe, korisnik je dužan plaćati samo jednu cijenu obvezne minimalne javne usluge.</w:t>
      </w:r>
    </w:p>
    <w:p w14:paraId="66D3CA5C" w14:textId="77777777" w:rsidR="00381EDE" w:rsidRDefault="00381EDE" w:rsidP="00381EDE">
      <w:pPr>
        <w:jc w:val="both"/>
      </w:pPr>
    </w:p>
    <w:p w14:paraId="660710A6" w14:textId="77777777" w:rsidR="00381EDE" w:rsidRDefault="00381EDE" w:rsidP="00381EDE">
      <w:pPr>
        <w:jc w:val="both"/>
      </w:pPr>
      <w:r>
        <w:t xml:space="preserve">(12) Cijena javne usluge ne može se obračunati na temelju kriterija površine i obujma nekretnine iz članka 30. stavka 5. Zakona. </w:t>
      </w:r>
    </w:p>
    <w:p w14:paraId="3816995B" w14:textId="77777777" w:rsidR="00381EDE" w:rsidRDefault="00381EDE" w:rsidP="00381EDE">
      <w:pPr>
        <w:jc w:val="both"/>
      </w:pPr>
    </w:p>
    <w:p w14:paraId="560604DC" w14:textId="77777777" w:rsidR="00381EDE" w:rsidRDefault="00381EDE" w:rsidP="00381EDE">
      <w:pPr>
        <w:jc w:val="both"/>
      </w:pPr>
      <w:r>
        <w:t>(13) Davatelj javne usluge dužan je na računu za javnu uslugu navesti sve elemente temeljem kojih je izvršio obračun cijene javne usluge, uključivo i porez na dodanu vrijednost određen sukladno posebnom propisu koji uređuje porez na dodanu vrijednost, te iznos naknade za gradnju građevina za gospodarenje komunalnim otpadom ako je ista propisana.“.</w:t>
      </w:r>
    </w:p>
    <w:p w14:paraId="3FF54CBB" w14:textId="77777777" w:rsidR="00381EDE" w:rsidRDefault="00381EDE" w:rsidP="00381EDE">
      <w:pPr>
        <w:jc w:val="center"/>
        <w:rPr>
          <w:b/>
        </w:rPr>
      </w:pPr>
    </w:p>
    <w:p w14:paraId="408D6F7C" w14:textId="77777777" w:rsidR="00381EDE" w:rsidRDefault="00381EDE" w:rsidP="00381EDE">
      <w:pPr>
        <w:jc w:val="center"/>
        <w:rPr>
          <w:b/>
        </w:rPr>
      </w:pPr>
      <w:r>
        <w:rPr>
          <w:b/>
        </w:rPr>
        <w:t xml:space="preserve">Članak </w:t>
      </w:r>
      <w:r w:rsidR="009664CC">
        <w:rPr>
          <w:b/>
        </w:rPr>
        <w:t>9</w:t>
      </w:r>
      <w:r>
        <w:rPr>
          <w:b/>
        </w:rPr>
        <w:t>.</w:t>
      </w:r>
    </w:p>
    <w:p w14:paraId="0CFAC1D0" w14:textId="77777777" w:rsidR="00381EDE" w:rsidRDefault="00381EDE" w:rsidP="00381EDE">
      <w:pPr>
        <w:jc w:val="both"/>
      </w:pPr>
    </w:p>
    <w:p w14:paraId="0AEA1345" w14:textId="77777777" w:rsidR="00381EDE" w:rsidRDefault="00381EDE" w:rsidP="006B4A3F">
      <w:pPr>
        <w:ind w:left="708" w:firstLine="708"/>
        <w:jc w:val="both"/>
      </w:pPr>
      <w:r>
        <w:t xml:space="preserve">U članku 22. stavak 1. mijenja se i glasi: </w:t>
      </w:r>
    </w:p>
    <w:p w14:paraId="50F1F537" w14:textId="77777777" w:rsidR="00381EDE" w:rsidRDefault="00381EDE" w:rsidP="00381EDE">
      <w:pPr>
        <w:jc w:val="both"/>
      </w:pPr>
    </w:p>
    <w:p w14:paraId="6D590CD4" w14:textId="77777777" w:rsidR="00381EDE" w:rsidRDefault="00381EDE" w:rsidP="00381EDE">
      <w:pPr>
        <w:jc w:val="both"/>
      </w:pPr>
      <w:r>
        <w:t xml:space="preserve">„(1) Davatelj javne usluge dužan je predati Izvješće o radu davatelja javne usluge na obrascu kojega Ministarstvo objavljuje na svojoj mrežnoj stranici.“. </w:t>
      </w:r>
    </w:p>
    <w:p w14:paraId="0C4E16A8" w14:textId="77777777" w:rsidR="00381EDE" w:rsidRDefault="00381EDE" w:rsidP="00381EDE">
      <w:pPr>
        <w:jc w:val="both"/>
      </w:pPr>
    </w:p>
    <w:p w14:paraId="2AC7E567" w14:textId="77777777" w:rsidR="00381EDE" w:rsidRDefault="00381EDE" w:rsidP="006B4A3F">
      <w:pPr>
        <w:ind w:left="708" w:firstLine="708"/>
        <w:jc w:val="both"/>
      </w:pPr>
      <w:r>
        <w:t xml:space="preserve">U stavku 3. riječ: </w:t>
      </w:r>
      <w:r w:rsidR="006B4A3F">
        <w:t>„</w:t>
      </w:r>
      <w:r>
        <w:t>Agencija</w:t>
      </w:r>
      <w:r w:rsidR="006B4A3F">
        <w:t>“</w:t>
      </w:r>
      <w:r>
        <w:t xml:space="preserve"> zamjenjuje se riječju: </w:t>
      </w:r>
      <w:r w:rsidR="006B4A3F">
        <w:t>„</w:t>
      </w:r>
      <w:r>
        <w:t>Ministarstvo</w:t>
      </w:r>
      <w:r w:rsidR="006B4A3F">
        <w:t>“</w:t>
      </w:r>
      <w:r>
        <w:t xml:space="preserve">. </w:t>
      </w:r>
    </w:p>
    <w:p w14:paraId="51B86700" w14:textId="77777777" w:rsidR="00381EDE" w:rsidRDefault="00381EDE" w:rsidP="00381EDE">
      <w:pPr>
        <w:jc w:val="center"/>
        <w:rPr>
          <w:b/>
        </w:rPr>
      </w:pPr>
    </w:p>
    <w:p w14:paraId="2A5448E3" w14:textId="77777777" w:rsidR="00381EDE" w:rsidRDefault="00381EDE" w:rsidP="00381EDE">
      <w:pPr>
        <w:jc w:val="center"/>
        <w:rPr>
          <w:b/>
        </w:rPr>
      </w:pPr>
      <w:r>
        <w:rPr>
          <w:b/>
        </w:rPr>
        <w:t>Članak 1</w:t>
      </w:r>
      <w:r w:rsidR="009664CC">
        <w:rPr>
          <w:b/>
        </w:rPr>
        <w:t>0</w:t>
      </w:r>
      <w:r>
        <w:rPr>
          <w:b/>
        </w:rPr>
        <w:t>.</w:t>
      </w:r>
    </w:p>
    <w:p w14:paraId="7E7CF6CA" w14:textId="77777777" w:rsidR="00381EDE" w:rsidRDefault="00381EDE" w:rsidP="00381EDE">
      <w:pPr>
        <w:jc w:val="both"/>
      </w:pPr>
    </w:p>
    <w:p w14:paraId="1B14AAC8" w14:textId="77777777" w:rsidR="00C8248F" w:rsidRDefault="00381EDE" w:rsidP="00C8248F">
      <w:pPr>
        <w:ind w:firstLine="1416"/>
        <w:jc w:val="both"/>
      </w:pPr>
      <w:r>
        <w:t xml:space="preserve">U članku 24. </w:t>
      </w:r>
      <w:r w:rsidR="00C8248F">
        <w:t xml:space="preserve">stavku </w:t>
      </w:r>
      <w:r>
        <w:t>3.</w:t>
      </w:r>
      <w:r w:rsidR="00C8248F">
        <w:t xml:space="preserve"> riječ: „Agencija“ zamjenjuje se riječju: „Ministarstvo“. </w:t>
      </w:r>
    </w:p>
    <w:p w14:paraId="02E876D4" w14:textId="77777777" w:rsidR="00C8248F" w:rsidRDefault="00C8248F" w:rsidP="00C8248F">
      <w:pPr>
        <w:ind w:firstLine="1416"/>
        <w:jc w:val="both"/>
      </w:pPr>
    </w:p>
    <w:p w14:paraId="2B235106" w14:textId="77777777" w:rsidR="00381EDE" w:rsidRDefault="00C8248F" w:rsidP="00C8248F">
      <w:pPr>
        <w:ind w:firstLine="1416"/>
        <w:jc w:val="both"/>
      </w:pPr>
      <w:r>
        <w:t xml:space="preserve">U stavcima </w:t>
      </w:r>
      <w:r w:rsidR="00381EDE">
        <w:t xml:space="preserve">4. i 8. riječ: </w:t>
      </w:r>
      <w:r>
        <w:t>„Agencije“</w:t>
      </w:r>
      <w:r w:rsidR="00381EDE">
        <w:t xml:space="preserve"> zamjenjuje se riječju: </w:t>
      </w:r>
      <w:r>
        <w:t>„Ministarstva“</w:t>
      </w:r>
      <w:r w:rsidR="00381EDE">
        <w:t xml:space="preserve">. </w:t>
      </w:r>
    </w:p>
    <w:p w14:paraId="04E81AE4" w14:textId="77777777" w:rsidR="00381EDE" w:rsidRDefault="00381EDE" w:rsidP="00381EDE">
      <w:pPr>
        <w:jc w:val="both"/>
      </w:pPr>
    </w:p>
    <w:p w14:paraId="575C60C9" w14:textId="77777777" w:rsidR="00381EDE" w:rsidRDefault="00381EDE" w:rsidP="00C8248F">
      <w:pPr>
        <w:ind w:left="708" w:firstLine="708"/>
        <w:jc w:val="both"/>
      </w:pPr>
      <w:r>
        <w:t xml:space="preserve">Iza stavka 8. dodaju se stavci 9., 10. i 11. koji glase: </w:t>
      </w:r>
    </w:p>
    <w:p w14:paraId="0DF9F58F" w14:textId="77777777" w:rsidR="00381EDE" w:rsidRDefault="00381EDE" w:rsidP="00381EDE">
      <w:pPr>
        <w:jc w:val="both"/>
      </w:pPr>
    </w:p>
    <w:p w14:paraId="494E3010" w14:textId="77777777" w:rsidR="00381EDE" w:rsidRDefault="00381EDE" w:rsidP="00381EDE">
      <w:pPr>
        <w:jc w:val="both"/>
      </w:pPr>
      <w:r>
        <w:t xml:space="preserve">„(9) Iznimno od stavka 1. ovoga članka iznos poticajne naknade za smanjenje količine miješanog komunalnog otpada za jedinicu lokalne samouprave iznosi nula kuna ako je stopa odvojenog sakupljanja komunalnog otpada u jedinici lokalne samouprave: </w:t>
      </w:r>
    </w:p>
    <w:p w14:paraId="5796A9BB" w14:textId="77777777" w:rsidR="00381EDE" w:rsidRDefault="00381EDE" w:rsidP="00381EDE">
      <w:pPr>
        <w:jc w:val="both"/>
      </w:pPr>
    </w:p>
    <w:p w14:paraId="49FA558E" w14:textId="77777777" w:rsidR="00381EDE" w:rsidRDefault="00381EDE" w:rsidP="00381EDE">
      <w:pPr>
        <w:jc w:val="both"/>
      </w:pPr>
      <w:r>
        <w:t xml:space="preserve">- za 2018. godinu 36 % ili više </w:t>
      </w:r>
    </w:p>
    <w:p w14:paraId="23B114A2" w14:textId="77777777" w:rsidR="00381EDE" w:rsidRDefault="00381EDE" w:rsidP="00381EDE">
      <w:pPr>
        <w:jc w:val="both"/>
      </w:pPr>
      <w:r>
        <w:t xml:space="preserve">- za 2019. godinu 44 % ili više </w:t>
      </w:r>
    </w:p>
    <w:p w14:paraId="5B7161D8" w14:textId="77777777" w:rsidR="00381EDE" w:rsidRDefault="00381EDE" w:rsidP="00381EDE">
      <w:pPr>
        <w:jc w:val="both"/>
      </w:pPr>
      <w:r>
        <w:t xml:space="preserve">- za 2020. godinu 52 % ili više </w:t>
      </w:r>
    </w:p>
    <w:p w14:paraId="27C370E4" w14:textId="77777777" w:rsidR="00381EDE" w:rsidRDefault="00381EDE" w:rsidP="00381EDE">
      <w:pPr>
        <w:jc w:val="both"/>
      </w:pPr>
      <w:r>
        <w:t xml:space="preserve">- za 2021. godinu 56 % ili više </w:t>
      </w:r>
    </w:p>
    <w:p w14:paraId="0FCE9101" w14:textId="77777777" w:rsidR="00381EDE" w:rsidRDefault="00381EDE" w:rsidP="00381EDE">
      <w:pPr>
        <w:jc w:val="both"/>
      </w:pPr>
      <w:r>
        <w:t xml:space="preserve">- za 2022. godinu 60 % ili više. </w:t>
      </w:r>
    </w:p>
    <w:p w14:paraId="029D935B" w14:textId="77777777" w:rsidR="00381EDE" w:rsidRDefault="00381EDE" w:rsidP="00381EDE">
      <w:pPr>
        <w:jc w:val="both"/>
      </w:pPr>
    </w:p>
    <w:p w14:paraId="722AC22D" w14:textId="77777777" w:rsidR="00381EDE" w:rsidRDefault="00381EDE" w:rsidP="00381EDE">
      <w:pPr>
        <w:jc w:val="both"/>
      </w:pPr>
      <w:r>
        <w:t xml:space="preserve">(10) Stopa odvojenog sakupljanja komunalnog otpada za jedinicu lokalne samouprave izračunava se prema izrazu: </w:t>
      </w:r>
    </w:p>
    <w:p w14:paraId="6D683A6C" w14:textId="77777777" w:rsidR="00381EDE" w:rsidRDefault="00381EDE" w:rsidP="00381EDE">
      <w:pPr>
        <w:jc w:val="both"/>
      </w:pPr>
    </w:p>
    <w:p w14:paraId="52963EBD" w14:textId="77777777" w:rsidR="00381EDE" w:rsidRDefault="00381EDE" w:rsidP="00381EDE">
      <w:pPr>
        <w:jc w:val="both"/>
      </w:pPr>
      <w:r>
        <w:t>ST = 100 × m</w:t>
      </w:r>
      <w:r>
        <w:rPr>
          <w:vertAlign w:val="subscript"/>
        </w:rPr>
        <w:t>OS</w:t>
      </w:r>
      <w:r>
        <w:t xml:space="preserve"> / (m</w:t>
      </w:r>
      <w:r>
        <w:rPr>
          <w:vertAlign w:val="subscript"/>
        </w:rPr>
        <w:t>OS</w:t>
      </w:r>
      <w:r>
        <w:t xml:space="preserve"> + m</w:t>
      </w:r>
      <w:r>
        <w:rPr>
          <w:vertAlign w:val="subscript"/>
        </w:rPr>
        <w:t>MKO</w:t>
      </w:r>
      <w:r>
        <w:t xml:space="preserve">) </w:t>
      </w:r>
    </w:p>
    <w:p w14:paraId="68F1BC16" w14:textId="77777777" w:rsidR="00381EDE" w:rsidRDefault="00381EDE" w:rsidP="00381EDE">
      <w:pPr>
        <w:jc w:val="both"/>
      </w:pPr>
    </w:p>
    <w:p w14:paraId="1CC9999F" w14:textId="77777777" w:rsidR="00381EDE" w:rsidRDefault="00381EDE" w:rsidP="00381EDE">
      <w:pPr>
        <w:jc w:val="both"/>
      </w:pPr>
      <w:r>
        <w:t xml:space="preserve">pri čemu je : </w:t>
      </w:r>
    </w:p>
    <w:p w14:paraId="7D172560" w14:textId="77777777" w:rsidR="00381EDE" w:rsidRDefault="00381EDE" w:rsidP="00381EDE">
      <w:pPr>
        <w:jc w:val="both"/>
      </w:pPr>
    </w:p>
    <w:p w14:paraId="7C01D20D" w14:textId="77777777" w:rsidR="00381EDE" w:rsidRDefault="00381EDE" w:rsidP="00381EDE">
      <w:pPr>
        <w:jc w:val="both"/>
      </w:pPr>
      <w:r>
        <w:t xml:space="preserve">ST – stopa odvojenog sakupljanja komunalnog otpada jedinice lokalne samouprave izražena u % </w:t>
      </w:r>
    </w:p>
    <w:p w14:paraId="6CE4386D" w14:textId="77777777" w:rsidR="00381EDE" w:rsidRDefault="00381EDE" w:rsidP="00381EDE">
      <w:pPr>
        <w:jc w:val="both"/>
      </w:pPr>
    </w:p>
    <w:p w14:paraId="0A55A99C" w14:textId="77777777" w:rsidR="00381EDE" w:rsidRDefault="00381EDE" w:rsidP="00381EDE">
      <w:pPr>
        <w:jc w:val="both"/>
      </w:pPr>
      <w:r>
        <w:t>m</w:t>
      </w:r>
      <w:r>
        <w:rPr>
          <w:vertAlign w:val="subscript"/>
        </w:rPr>
        <w:t>OS</w:t>
      </w:r>
      <w:r>
        <w:t xml:space="preserve"> – masa otpada, u tonama, prikupljenog u sklopu javne usluge i usluge povezane s javnom uslugom na području jedinice lokalne samouprave slijedećih odvojeno sakupljenih frakcija propisanih posebnim propisom koji uređuje katalog otpada: </w:t>
      </w:r>
    </w:p>
    <w:p w14:paraId="13586A77" w14:textId="77777777" w:rsidR="00381EDE" w:rsidRDefault="00381EDE" w:rsidP="00381EDE">
      <w:pPr>
        <w:jc w:val="both"/>
      </w:pPr>
      <w:r>
        <w:t xml:space="preserve">- sve vrste komunalnog otpada iz podgrupe 15 01 </w:t>
      </w:r>
    </w:p>
    <w:p w14:paraId="41F911D3" w14:textId="77777777" w:rsidR="00381EDE" w:rsidRDefault="00381EDE" w:rsidP="00381EDE">
      <w:pPr>
        <w:jc w:val="both"/>
      </w:pPr>
      <w:r>
        <w:t xml:space="preserve">- sve vrste komunalnog otpada iz podgrupe 20 01 osim otpada koji se karakterizira ključnim brojem 20 01 99 </w:t>
      </w:r>
    </w:p>
    <w:p w14:paraId="0B2DA725" w14:textId="77777777" w:rsidR="00381EDE" w:rsidRDefault="00381EDE" w:rsidP="00381EDE">
      <w:pPr>
        <w:jc w:val="both"/>
      </w:pPr>
      <w:r>
        <w:t xml:space="preserve">- otpad koji se karakterizira ključnim brojem 20 02 01 i 20 03 02 </w:t>
      </w:r>
    </w:p>
    <w:p w14:paraId="7171E199" w14:textId="77777777" w:rsidR="00381EDE" w:rsidRDefault="00381EDE" w:rsidP="00381EDE">
      <w:pPr>
        <w:jc w:val="both"/>
      </w:pPr>
    </w:p>
    <w:p w14:paraId="38E89C66" w14:textId="77777777" w:rsidR="00381EDE" w:rsidRDefault="00381EDE" w:rsidP="00381EDE">
      <w:pPr>
        <w:jc w:val="both"/>
      </w:pPr>
      <w:r>
        <w:t>m</w:t>
      </w:r>
      <w:r>
        <w:rPr>
          <w:vertAlign w:val="subscript"/>
        </w:rPr>
        <w:t>MKO</w:t>
      </w:r>
      <w:r>
        <w:t xml:space="preserve"> – masa miješanog komunalnog otpada, u tonama, prikupljenog u sklopu javne usluge na području jedinice lokalne samouprave. </w:t>
      </w:r>
    </w:p>
    <w:p w14:paraId="4EC4CB99" w14:textId="77777777" w:rsidR="00381EDE" w:rsidRDefault="00381EDE" w:rsidP="00381EDE">
      <w:pPr>
        <w:jc w:val="both"/>
      </w:pPr>
    </w:p>
    <w:p w14:paraId="6EC37E8D" w14:textId="77777777" w:rsidR="00381EDE" w:rsidRDefault="00381EDE" w:rsidP="00381EDE">
      <w:pPr>
        <w:jc w:val="both"/>
      </w:pPr>
      <w:r>
        <w:t xml:space="preserve">(11) Stopa odvojenog sakupljanja komunalnog otpada jedinice lokalne samouprave objavljuje se na mrežnim stranicama Ministarstva.“. </w:t>
      </w:r>
    </w:p>
    <w:p w14:paraId="5CDADC7C" w14:textId="77777777" w:rsidR="00381EDE" w:rsidRDefault="00381EDE" w:rsidP="00381EDE">
      <w:pPr>
        <w:jc w:val="center"/>
        <w:rPr>
          <w:b/>
        </w:rPr>
      </w:pPr>
    </w:p>
    <w:p w14:paraId="5349653A" w14:textId="77777777" w:rsidR="00C8248F" w:rsidRDefault="00C8248F" w:rsidP="00381EDE">
      <w:pPr>
        <w:jc w:val="center"/>
        <w:rPr>
          <w:b/>
        </w:rPr>
      </w:pPr>
    </w:p>
    <w:p w14:paraId="34A361B4" w14:textId="77777777" w:rsidR="00B32790" w:rsidRDefault="00B32790" w:rsidP="00381EDE">
      <w:pPr>
        <w:jc w:val="center"/>
        <w:rPr>
          <w:b/>
        </w:rPr>
      </w:pPr>
    </w:p>
    <w:p w14:paraId="70F471E9" w14:textId="77777777" w:rsidR="00B32790" w:rsidRDefault="00B32790" w:rsidP="00381EDE">
      <w:pPr>
        <w:jc w:val="center"/>
        <w:rPr>
          <w:b/>
        </w:rPr>
      </w:pPr>
    </w:p>
    <w:p w14:paraId="5C060836" w14:textId="77777777" w:rsidR="00B32790" w:rsidRDefault="00B32790" w:rsidP="00381EDE">
      <w:pPr>
        <w:jc w:val="center"/>
        <w:rPr>
          <w:b/>
        </w:rPr>
      </w:pPr>
    </w:p>
    <w:p w14:paraId="54D2EB08" w14:textId="77777777" w:rsidR="00B32790" w:rsidRDefault="00B32790" w:rsidP="00381EDE">
      <w:pPr>
        <w:jc w:val="center"/>
        <w:rPr>
          <w:b/>
        </w:rPr>
      </w:pPr>
    </w:p>
    <w:p w14:paraId="41BD364A" w14:textId="63A89116" w:rsidR="00381EDE" w:rsidRDefault="00381EDE" w:rsidP="00381EDE">
      <w:pPr>
        <w:jc w:val="center"/>
        <w:rPr>
          <w:b/>
        </w:rPr>
      </w:pPr>
      <w:r>
        <w:rPr>
          <w:b/>
        </w:rPr>
        <w:lastRenderedPageBreak/>
        <w:t>PRIJELAZNE I ZAVRŠNE ODREDBE</w:t>
      </w:r>
    </w:p>
    <w:p w14:paraId="12D89505" w14:textId="77777777" w:rsidR="00381EDE" w:rsidRDefault="00381EDE" w:rsidP="00381EDE">
      <w:pPr>
        <w:jc w:val="center"/>
        <w:rPr>
          <w:b/>
        </w:rPr>
      </w:pPr>
    </w:p>
    <w:p w14:paraId="19D99605" w14:textId="77777777" w:rsidR="00381EDE" w:rsidRDefault="00381EDE" w:rsidP="00381EDE">
      <w:pPr>
        <w:tabs>
          <w:tab w:val="left" w:pos="284"/>
        </w:tabs>
        <w:jc w:val="center"/>
        <w:rPr>
          <w:b/>
        </w:rPr>
      </w:pPr>
      <w:r>
        <w:rPr>
          <w:b/>
        </w:rPr>
        <w:t>Članak 1</w:t>
      </w:r>
      <w:r w:rsidR="00673DCC">
        <w:rPr>
          <w:b/>
        </w:rPr>
        <w:t>1</w:t>
      </w:r>
      <w:r>
        <w:rPr>
          <w:b/>
        </w:rPr>
        <w:t>.</w:t>
      </w:r>
    </w:p>
    <w:p w14:paraId="4B5CEFF1" w14:textId="77777777" w:rsidR="00381EDE" w:rsidRDefault="00381EDE" w:rsidP="00381EDE">
      <w:pPr>
        <w:tabs>
          <w:tab w:val="left" w:pos="284"/>
        </w:tabs>
        <w:jc w:val="both"/>
      </w:pPr>
    </w:p>
    <w:p w14:paraId="476DDE3F" w14:textId="77777777" w:rsidR="00381EDE" w:rsidRDefault="00C8248F" w:rsidP="00C8248F">
      <w:pPr>
        <w:tabs>
          <w:tab w:val="left" w:pos="1418"/>
        </w:tabs>
        <w:jc w:val="both"/>
      </w:pPr>
      <w:r>
        <w:tab/>
      </w:r>
      <w:r w:rsidR="00381EDE">
        <w:t>Jedin</w:t>
      </w:r>
      <w:r w:rsidR="009664CC">
        <w:t>ice lokalne samouprave uskladit</w:t>
      </w:r>
      <w:r w:rsidR="00381EDE">
        <w:t xml:space="preserve"> će Odluku o načinu pružanja javne usluge prikupljanja miješanog komunalnog otpada i biorazgradivog komunalnog otpada u roku od tri mjeseca od dana stupanja na snagu ove Uredbe. </w:t>
      </w:r>
    </w:p>
    <w:p w14:paraId="5CF3EDBA" w14:textId="77777777" w:rsidR="00381EDE" w:rsidRDefault="00381EDE" w:rsidP="006967F2">
      <w:pPr>
        <w:rPr>
          <w:b/>
        </w:rPr>
      </w:pPr>
    </w:p>
    <w:p w14:paraId="14F3E66B" w14:textId="77777777" w:rsidR="00381EDE" w:rsidRDefault="00381EDE" w:rsidP="00381EDE">
      <w:pPr>
        <w:jc w:val="center"/>
        <w:rPr>
          <w:b/>
        </w:rPr>
      </w:pPr>
      <w:r>
        <w:rPr>
          <w:b/>
        </w:rPr>
        <w:t>Članak 1</w:t>
      </w:r>
      <w:r w:rsidR="00673DCC">
        <w:rPr>
          <w:b/>
        </w:rPr>
        <w:t>2</w:t>
      </w:r>
      <w:r>
        <w:rPr>
          <w:b/>
        </w:rPr>
        <w:t>.</w:t>
      </w:r>
    </w:p>
    <w:p w14:paraId="6BDB5549" w14:textId="77777777" w:rsidR="00381EDE" w:rsidRDefault="00381EDE" w:rsidP="00381EDE">
      <w:pPr>
        <w:jc w:val="both"/>
      </w:pPr>
    </w:p>
    <w:p w14:paraId="5863B71F" w14:textId="77777777" w:rsidR="00381EDE" w:rsidRDefault="00381EDE" w:rsidP="00C8248F">
      <w:pPr>
        <w:ind w:firstLine="1418"/>
        <w:jc w:val="both"/>
      </w:pPr>
      <w:r>
        <w:t>Ova Uredba stupa na snag</w:t>
      </w:r>
      <w:r w:rsidR="00C8248F">
        <w:t>u osmoga dana od dana objave u Narodnim novinama</w:t>
      </w:r>
      <w:r>
        <w:t xml:space="preserve">, </w:t>
      </w:r>
      <w:r w:rsidRPr="00673DCC">
        <w:t xml:space="preserve">osim članka </w:t>
      </w:r>
      <w:r w:rsidR="009664CC" w:rsidRPr="00673DCC">
        <w:t>7</w:t>
      </w:r>
      <w:r w:rsidRPr="00673DCC">
        <w:t>. ove Uredbe koji stupa na snagu 1. siječnja 2020.</w:t>
      </w:r>
      <w:r w:rsidR="002517F5" w:rsidRPr="00673DCC">
        <w:t xml:space="preserve"> </w:t>
      </w:r>
      <w:r w:rsidRPr="00673DCC">
        <w:t>godine.</w:t>
      </w:r>
      <w:r>
        <w:t xml:space="preserve"> </w:t>
      </w:r>
    </w:p>
    <w:p w14:paraId="047505CB" w14:textId="77777777" w:rsidR="00381EDE" w:rsidRDefault="00381EDE" w:rsidP="00381EDE">
      <w:pPr>
        <w:jc w:val="both"/>
      </w:pPr>
    </w:p>
    <w:p w14:paraId="186BF4F2" w14:textId="77777777" w:rsidR="00381EDE" w:rsidRDefault="00381EDE" w:rsidP="00381EDE">
      <w:pPr>
        <w:pStyle w:val="klasa2"/>
        <w:spacing w:before="0" w:after="0"/>
        <w:jc w:val="both"/>
        <w:rPr>
          <w:color w:val="000000"/>
        </w:rPr>
      </w:pPr>
      <w:r>
        <w:rPr>
          <w:color w:val="000000"/>
        </w:rPr>
        <w:t>Klasa:</w:t>
      </w:r>
    </w:p>
    <w:p w14:paraId="00A0A43C" w14:textId="77777777" w:rsidR="00381EDE" w:rsidRDefault="00381EDE" w:rsidP="00381EDE">
      <w:pPr>
        <w:pStyle w:val="klasa2"/>
        <w:spacing w:before="0" w:after="0"/>
        <w:jc w:val="both"/>
        <w:rPr>
          <w:color w:val="000000"/>
        </w:rPr>
      </w:pPr>
      <w:r>
        <w:rPr>
          <w:color w:val="000000"/>
        </w:rPr>
        <w:t>Urbroj:</w:t>
      </w:r>
    </w:p>
    <w:p w14:paraId="2DC94DBE" w14:textId="77777777" w:rsidR="00381EDE" w:rsidRDefault="00381EDE" w:rsidP="00381EDE">
      <w:pPr>
        <w:pStyle w:val="klasa2"/>
        <w:spacing w:before="0" w:after="0"/>
        <w:jc w:val="both"/>
        <w:rPr>
          <w:color w:val="000000"/>
        </w:rPr>
      </w:pPr>
    </w:p>
    <w:p w14:paraId="1EB8317E" w14:textId="77777777" w:rsidR="00381EDE" w:rsidRDefault="00381EDE" w:rsidP="00381EDE">
      <w:pPr>
        <w:pStyle w:val="klasa2"/>
        <w:spacing w:before="0" w:after="0"/>
        <w:jc w:val="both"/>
        <w:rPr>
          <w:color w:val="000000"/>
        </w:rPr>
      </w:pPr>
      <w:r>
        <w:rPr>
          <w:color w:val="000000"/>
        </w:rPr>
        <w:t>Zagreb,</w:t>
      </w:r>
      <w:r w:rsidR="002517F5">
        <w:rPr>
          <w:color w:val="000000"/>
        </w:rPr>
        <w:tab/>
      </w:r>
    </w:p>
    <w:p w14:paraId="1B4F67FC" w14:textId="77777777" w:rsidR="00381EDE" w:rsidRDefault="00381EDE" w:rsidP="00381EDE">
      <w:pPr>
        <w:pStyle w:val="klasa2"/>
        <w:spacing w:before="0" w:after="0"/>
        <w:jc w:val="both"/>
        <w:rPr>
          <w:color w:val="000000"/>
        </w:rPr>
      </w:pPr>
    </w:p>
    <w:p w14:paraId="5054E907" w14:textId="77777777" w:rsidR="00381EDE" w:rsidRDefault="00381EDE" w:rsidP="00381EDE">
      <w:pPr>
        <w:pStyle w:val="klasa2"/>
        <w:spacing w:before="0" w:after="0"/>
        <w:jc w:val="both"/>
        <w:rPr>
          <w:color w:val="000000"/>
        </w:rPr>
      </w:pPr>
    </w:p>
    <w:p w14:paraId="647C95C2" w14:textId="77777777" w:rsidR="00381EDE" w:rsidRDefault="00381EDE" w:rsidP="00381EDE">
      <w:pPr>
        <w:pStyle w:val="klasa2"/>
        <w:tabs>
          <w:tab w:val="center" w:pos="6804"/>
        </w:tabs>
        <w:spacing w:before="0" w:after="0"/>
        <w:jc w:val="both"/>
        <w:rPr>
          <w:color w:val="000000"/>
        </w:rPr>
      </w:pPr>
      <w:r>
        <w:rPr>
          <w:color w:val="000000"/>
        </w:rPr>
        <w:tab/>
        <w:t>PREDSJEDNIK</w:t>
      </w:r>
    </w:p>
    <w:p w14:paraId="1A8A1E54" w14:textId="77777777" w:rsidR="00381EDE" w:rsidRDefault="00381EDE" w:rsidP="00381EDE">
      <w:pPr>
        <w:pStyle w:val="klasa2"/>
        <w:tabs>
          <w:tab w:val="center" w:pos="6804"/>
        </w:tabs>
        <w:spacing w:before="0" w:after="0"/>
        <w:jc w:val="both"/>
        <w:rPr>
          <w:color w:val="000000"/>
        </w:rPr>
      </w:pPr>
    </w:p>
    <w:p w14:paraId="3FBA30BE" w14:textId="77777777" w:rsidR="00381EDE" w:rsidRDefault="00381EDE" w:rsidP="00381EDE">
      <w:pPr>
        <w:pStyle w:val="klasa2"/>
        <w:tabs>
          <w:tab w:val="center" w:pos="6804"/>
        </w:tabs>
        <w:spacing w:before="0" w:after="0"/>
        <w:jc w:val="both"/>
        <w:rPr>
          <w:color w:val="000000"/>
        </w:rPr>
      </w:pPr>
    </w:p>
    <w:p w14:paraId="64ECB3A6" w14:textId="77777777" w:rsidR="00381EDE" w:rsidRDefault="00381EDE" w:rsidP="00381EDE">
      <w:pPr>
        <w:pStyle w:val="klasa2"/>
        <w:tabs>
          <w:tab w:val="center" w:pos="6804"/>
        </w:tabs>
        <w:spacing w:before="0" w:after="0"/>
        <w:jc w:val="both"/>
        <w:rPr>
          <w:rStyle w:val="bold"/>
        </w:rPr>
      </w:pPr>
      <w:r>
        <w:rPr>
          <w:rStyle w:val="bold"/>
          <w:color w:val="000000"/>
        </w:rPr>
        <w:tab/>
        <w:t>mr. sc. Andrej Plenković</w:t>
      </w:r>
    </w:p>
    <w:p w14:paraId="67B4E435" w14:textId="77777777" w:rsidR="00381EDE" w:rsidRDefault="00381EDE" w:rsidP="00381EDE">
      <w:pPr>
        <w:pStyle w:val="klasa2"/>
        <w:tabs>
          <w:tab w:val="center" w:pos="6804"/>
        </w:tabs>
        <w:spacing w:before="0" w:after="0"/>
        <w:jc w:val="both"/>
        <w:rPr>
          <w:rStyle w:val="bold"/>
          <w:color w:val="000000"/>
        </w:rPr>
      </w:pPr>
    </w:p>
    <w:p w14:paraId="21A3BD97" w14:textId="77777777" w:rsidR="00381EDE" w:rsidRDefault="00381EDE" w:rsidP="00381EDE">
      <w:pPr>
        <w:jc w:val="both"/>
      </w:pPr>
    </w:p>
    <w:p w14:paraId="21AD18C2" w14:textId="77777777" w:rsidR="00381EDE" w:rsidRDefault="00381EDE" w:rsidP="00381EDE">
      <w:r>
        <w:t> </w:t>
      </w:r>
    </w:p>
    <w:p w14:paraId="089B8839" w14:textId="77777777" w:rsidR="00381EDE" w:rsidRDefault="00381EDE" w:rsidP="00381EDE">
      <w:r>
        <w:br w:type="page"/>
      </w:r>
    </w:p>
    <w:p w14:paraId="51C59998" w14:textId="77777777" w:rsidR="00381EDE" w:rsidRDefault="00381EDE" w:rsidP="00C8248F">
      <w:pPr>
        <w:jc w:val="center"/>
        <w:rPr>
          <w:b/>
        </w:rPr>
      </w:pPr>
      <w:r>
        <w:rPr>
          <w:b/>
        </w:rPr>
        <w:lastRenderedPageBreak/>
        <w:t>PRILOG</w:t>
      </w:r>
    </w:p>
    <w:p w14:paraId="24A2407A" w14:textId="77777777" w:rsidR="00381EDE" w:rsidRDefault="00381EDE" w:rsidP="00381EDE">
      <w:pPr>
        <w:rPr>
          <w:b/>
        </w:rPr>
      </w:pPr>
    </w:p>
    <w:p w14:paraId="7F903D24" w14:textId="77777777" w:rsidR="00F90FCF" w:rsidRDefault="00381EDE" w:rsidP="00381EDE">
      <w:pPr>
        <w:jc w:val="center"/>
        <w:rPr>
          <w:b/>
        </w:rPr>
      </w:pPr>
      <w:r>
        <w:rPr>
          <w:b/>
        </w:rPr>
        <w:t xml:space="preserve">POPIS POTKATEGORIJA KORISNIKA KOJI NISU KUĆANSTVA </w:t>
      </w:r>
    </w:p>
    <w:p w14:paraId="5B869074" w14:textId="77777777" w:rsidR="00381EDE" w:rsidRDefault="00381EDE" w:rsidP="00381EDE">
      <w:pPr>
        <w:jc w:val="center"/>
        <w:rPr>
          <w:b/>
        </w:rPr>
      </w:pPr>
      <w:r>
        <w:rPr>
          <w:b/>
        </w:rPr>
        <w:t>PREMA DJELATNOSTIMA</w:t>
      </w:r>
    </w:p>
    <w:p w14:paraId="54608E14" w14:textId="77777777" w:rsidR="00381EDE" w:rsidRDefault="00381EDE" w:rsidP="00381EDE">
      <w:pPr>
        <w:jc w:val="center"/>
        <w:rPr>
          <w:b/>
        </w:rPr>
      </w:pPr>
    </w:p>
    <w:tbl>
      <w:tblPr>
        <w:tblW w:w="0" w:type="auto"/>
        <w:tblInd w:w="-8" w:type="dxa"/>
        <w:tblCellMar>
          <w:left w:w="0" w:type="dxa"/>
          <w:right w:w="0" w:type="dxa"/>
        </w:tblCellMar>
        <w:tblLook w:val="04A0" w:firstRow="1" w:lastRow="0" w:firstColumn="1" w:lastColumn="0" w:noHBand="0" w:noVBand="1"/>
      </w:tblPr>
      <w:tblGrid>
        <w:gridCol w:w="1680"/>
        <w:gridCol w:w="7155"/>
      </w:tblGrid>
      <w:tr w:rsidR="00381EDE" w14:paraId="69A5D52D" w14:textId="77777777" w:rsidTr="00381EDE">
        <w:trPr>
          <w:trHeight w:val="270"/>
        </w:trPr>
        <w:tc>
          <w:tcPr>
            <w:tcW w:w="1680" w:type="dxa"/>
            <w:tcBorders>
              <w:top w:val="single" w:sz="8" w:space="0" w:color="auto"/>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17376A3D" w14:textId="77777777" w:rsidR="00381EDE" w:rsidRDefault="00381EDE">
            <w:pPr>
              <w:jc w:val="center"/>
              <w:rPr>
                <w:b/>
                <w:bCs/>
              </w:rPr>
            </w:pPr>
            <w:r>
              <w:rPr>
                <w:b/>
                <w:bCs/>
              </w:rPr>
              <w:t>Potkategorija</w:t>
            </w:r>
          </w:p>
        </w:tc>
        <w:tc>
          <w:tcPr>
            <w:tcW w:w="7155" w:type="dxa"/>
            <w:tcBorders>
              <w:top w:val="single" w:sz="8" w:space="0" w:color="auto"/>
              <w:left w:val="nil"/>
              <w:bottom w:val="single" w:sz="8" w:space="0" w:color="auto"/>
              <w:right w:val="single" w:sz="8" w:space="0" w:color="auto"/>
            </w:tcBorders>
            <w:shd w:val="clear" w:color="auto" w:fill="FFFFFF"/>
            <w:tcMar>
              <w:top w:w="0" w:type="dxa"/>
              <w:left w:w="90" w:type="dxa"/>
              <w:bottom w:w="15" w:type="dxa"/>
              <w:right w:w="90" w:type="dxa"/>
            </w:tcMar>
            <w:hideMark/>
          </w:tcPr>
          <w:p w14:paraId="43F358E3" w14:textId="77777777" w:rsidR="00381EDE" w:rsidRDefault="00381EDE">
            <w:pPr>
              <w:jc w:val="center"/>
              <w:rPr>
                <w:b/>
                <w:bCs/>
              </w:rPr>
            </w:pPr>
            <w:r>
              <w:rPr>
                <w:b/>
                <w:bCs/>
              </w:rPr>
              <w:t>Djelatnost koja se obavlja u nekretnini odnosno posebnom dijelu nekretnine</w:t>
            </w:r>
          </w:p>
        </w:tc>
      </w:tr>
      <w:tr w:rsidR="00381EDE" w14:paraId="0EA8A816" w14:textId="77777777" w:rsidTr="00381EDE">
        <w:trPr>
          <w:trHeight w:val="495"/>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19F021F3" w14:textId="77777777" w:rsidR="00381EDE" w:rsidRDefault="00381EDE">
            <w:r>
              <w:t xml:space="preserve">I.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2C5331C2" w14:textId="77777777" w:rsidR="00381EDE" w:rsidRDefault="00381EDE">
            <w:r>
              <w:t xml:space="preserve">Škole i vrtići, učilišta, vjerski objekti, samostani, bolnice, dnevne bolnice, ambulante, domovi za starije osobe, ustanove socijalne skrbi i druge slične djelatnosti. </w:t>
            </w:r>
          </w:p>
        </w:tc>
      </w:tr>
      <w:tr w:rsidR="00381EDE" w14:paraId="037313A0" w14:textId="77777777" w:rsidTr="00381EDE">
        <w:trPr>
          <w:trHeight w:val="590"/>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774507D7" w14:textId="77777777" w:rsidR="00381EDE" w:rsidRDefault="00381EDE">
            <w:r>
              <w:t xml:space="preserve">II .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2E4AB79F" w14:textId="77777777" w:rsidR="00381EDE" w:rsidRDefault="00381EDE">
            <w:r>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rsidR="00381EDE" w14:paraId="729B9DE8" w14:textId="77777777" w:rsidTr="00381EDE">
        <w:trPr>
          <w:trHeight w:val="1521"/>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70C491D3" w14:textId="77777777" w:rsidR="00381EDE" w:rsidRDefault="00381EDE">
            <w:r>
              <w:t xml:space="preserve">III.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401B4E67" w14:textId="77777777" w:rsidR="00381EDE" w:rsidRDefault="00381EDE">
            <w:r>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r>
      <w:tr w:rsidR="00381EDE" w14:paraId="47AB443D" w14:textId="77777777" w:rsidTr="00381EDE">
        <w:trPr>
          <w:trHeight w:val="1440"/>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5705BAFA" w14:textId="77777777" w:rsidR="00381EDE" w:rsidRDefault="00381EDE">
            <w:r>
              <w:t xml:space="preserve">  IV.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11E2DFAA" w14:textId="77777777" w:rsidR="00381EDE" w:rsidRDefault="00381EDE">
            <w:r>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r>
      <w:tr w:rsidR="00381EDE" w14:paraId="7C3FB2E8" w14:textId="77777777" w:rsidTr="00381EDE">
        <w:trPr>
          <w:trHeight w:val="495"/>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1065BCF1" w14:textId="77777777" w:rsidR="00381EDE" w:rsidRDefault="00381EDE">
            <w:r>
              <w:t xml:space="preserve">V.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2A0E28CB" w14:textId="77777777" w:rsidR="00381EDE" w:rsidRDefault="00381EDE">
            <w:r>
              <w:t xml:space="preserve">Korisnici koji pružaju ugostiteljske usluge u domaćinstvu (fizička osoba - građanin koji iznajmljuje sobu/apartman/kuću za odmor i slično) </w:t>
            </w:r>
          </w:p>
        </w:tc>
      </w:tr>
      <w:tr w:rsidR="00381EDE" w14:paraId="0091A717" w14:textId="77777777" w:rsidTr="00381EDE">
        <w:trPr>
          <w:trHeight w:val="750"/>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32BF7335" w14:textId="77777777" w:rsidR="00381EDE" w:rsidRDefault="00381EDE">
            <w:r>
              <w:t xml:space="preserve">VI.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75B374B8" w14:textId="77777777" w:rsidR="00381EDE" w:rsidRDefault="00381EDE">
            <w:r>
              <w:t xml:space="preserve">Korisnici (pravne i fizičke osobe – obrtnici) koji obavljaju ugostiteljsku djelatnost i pružaju uslugu smještaja (kamp, hotel, hostel, prenoćišta i slično) </w:t>
            </w:r>
          </w:p>
        </w:tc>
      </w:tr>
      <w:tr w:rsidR="00381EDE" w14:paraId="3CF952F7" w14:textId="77777777" w:rsidTr="00381EDE">
        <w:trPr>
          <w:trHeight w:val="750"/>
        </w:trPr>
        <w:tc>
          <w:tcPr>
            <w:tcW w:w="1680" w:type="dxa"/>
            <w:tcBorders>
              <w:top w:val="nil"/>
              <w:left w:val="single" w:sz="8" w:space="0" w:color="auto"/>
              <w:bottom w:val="single" w:sz="8" w:space="0" w:color="auto"/>
              <w:right w:val="single" w:sz="8" w:space="0" w:color="auto"/>
            </w:tcBorders>
            <w:shd w:val="clear" w:color="auto" w:fill="FFFFFF"/>
            <w:tcMar>
              <w:top w:w="0" w:type="dxa"/>
              <w:left w:w="90" w:type="dxa"/>
              <w:bottom w:w="15" w:type="dxa"/>
              <w:right w:w="75" w:type="dxa"/>
            </w:tcMar>
            <w:hideMark/>
          </w:tcPr>
          <w:p w14:paraId="6EC3D4BA" w14:textId="77777777" w:rsidR="00381EDE" w:rsidRDefault="00381EDE">
            <w:r>
              <w:t xml:space="preserve">VII. </w:t>
            </w:r>
          </w:p>
        </w:tc>
        <w:tc>
          <w:tcPr>
            <w:tcW w:w="7155" w:type="dxa"/>
            <w:tcBorders>
              <w:top w:val="nil"/>
              <w:left w:val="nil"/>
              <w:bottom w:val="single" w:sz="8" w:space="0" w:color="auto"/>
              <w:right w:val="single" w:sz="8" w:space="0" w:color="auto"/>
            </w:tcBorders>
            <w:shd w:val="clear" w:color="auto" w:fill="FFFFFF"/>
            <w:tcMar>
              <w:top w:w="0" w:type="dxa"/>
              <w:left w:w="90" w:type="dxa"/>
              <w:bottom w:w="15" w:type="dxa"/>
              <w:right w:w="90" w:type="dxa"/>
            </w:tcMar>
            <w:hideMark/>
          </w:tcPr>
          <w:p w14:paraId="69C4C653" w14:textId="77777777" w:rsidR="00381EDE" w:rsidRDefault="00381EDE">
            <w:r>
              <w:t xml:space="preserve">Luka, autobusni i željeznički kolodvor, zračne luke i  druge slične djelatnosti. </w:t>
            </w:r>
          </w:p>
        </w:tc>
      </w:tr>
    </w:tbl>
    <w:p w14:paraId="43F0AE63" w14:textId="77777777" w:rsidR="00381EDE" w:rsidRDefault="00381EDE" w:rsidP="00381EDE"/>
    <w:p w14:paraId="035EF1F2" w14:textId="77777777" w:rsidR="00381EDE" w:rsidRDefault="00381EDE" w:rsidP="00381EDE">
      <w:pPr>
        <w:pStyle w:val="klasa2"/>
        <w:tabs>
          <w:tab w:val="center" w:pos="6804"/>
        </w:tabs>
        <w:spacing w:before="0" w:after="0"/>
        <w:jc w:val="both"/>
      </w:pPr>
    </w:p>
    <w:p w14:paraId="6C748C8E" w14:textId="3CD1261D" w:rsidR="0052075B" w:rsidRDefault="0052075B"/>
    <w:p w14:paraId="12BD113F" w14:textId="77777777" w:rsidR="000207A4" w:rsidRDefault="000207A4" w:rsidP="000207A4">
      <w:pPr>
        <w:jc w:val="center"/>
        <w:rPr>
          <w:b/>
        </w:rPr>
      </w:pPr>
      <w:r>
        <w:rPr>
          <w:b/>
        </w:rPr>
        <w:lastRenderedPageBreak/>
        <w:t>O B R A Z L O Ž E N J E</w:t>
      </w:r>
    </w:p>
    <w:p w14:paraId="7A4B4CDD" w14:textId="77777777" w:rsidR="000207A4" w:rsidRDefault="000207A4" w:rsidP="000207A4">
      <w:pPr>
        <w:pStyle w:val="Default"/>
        <w:jc w:val="both"/>
      </w:pPr>
    </w:p>
    <w:p w14:paraId="35D0B638" w14:textId="77777777" w:rsidR="000207A4" w:rsidRDefault="000207A4" w:rsidP="000207A4">
      <w:pPr>
        <w:pStyle w:val="Default"/>
        <w:jc w:val="both"/>
      </w:pPr>
    </w:p>
    <w:p w14:paraId="22EB469B" w14:textId="77777777" w:rsidR="000207A4" w:rsidRDefault="000207A4" w:rsidP="000207A4">
      <w:pPr>
        <w:spacing w:after="120"/>
        <w:jc w:val="both"/>
      </w:pPr>
      <w:r>
        <w:t>Ovim Prijedlogom uredbe mijenja se i dopunjuje Uredba o gospodarenju komunalnim otpadom („Narodne novine“, broj 50/2017) donesena na temelju članka 29. stavka 10 Zakona o održivom gospodarenju otpadom („Narodne novine“, broj 94/13).</w:t>
      </w:r>
    </w:p>
    <w:p w14:paraId="37006DFE" w14:textId="77777777" w:rsidR="000207A4" w:rsidRDefault="000207A4" w:rsidP="000207A4">
      <w:pPr>
        <w:spacing w:after="120"/>
        <w:jc w:val="both"/>
      </w:pPr>
      <w:r>
        <w:t>Prijedlogom uredbe preciznije se uređuje način obračuna cijene javne usluge prikupljanja miješanog i biorazgradivog komunalnog otpada na način da Odluka jedinice lokalne samouprave mora sadržavati i iznos obvezne minimalne javne usluge za kategoriju korisnika te sam način izračuna i određivanja te cijene, umjesto odredbi o cijeni obavezne minimalne javne usluge kako je sada bilo propisano u važećoj Uredbi o gospodarenju komunalnim otpadom.</w:t>
      </w:r>
    </w:p>
    <w:p w14:paraId="26888044" w14:textId="77777777" w:rsidR="000207A4" w:rsidRDefault="000207A4" w:rsidP="000207A4">
      <w:pPr>
        <w:spacing w:after="120"/>
        <w:jc w:val="both"/>
      </w:pPr>
      <w:r>
        <w:t xml:space="preserve">U odnosu na važeću Uredbu, izmjenama se propisuju dvije kategorije korisnika javne usluge: 1. kategorija kućanstvo, u što spadaju korisnici koji koriste nekretninu za stanovanje (stalno ili povremeno) i 2. kategorija koja obuhvaća korisnike koji obavljaju djelatnost i koja je dodatno podijeljena u sedam potkategorija prema djelatnostima s posebnom razradom potkategorija za ugostiteljske djelatnosti. </w:t>
      </w:r>
    </w:p>
    <w:p w14:paraId="5DAD861F" w14:textId="255D670B" w:rsidR="000207A4" w:rsidRDefault="000207A4" w:rsidP="000207A4">
      <w:pPr>
        <w:spacing w:after="120"/>
        <w:jc w:val="both"/>
      </w:pPr>
      <w:r>
        <w:t>Slijedom kategorizacije korisnika u Odluci JLS za svaku potkategoriju korisnika treba biti određena cijena obvezne minimalne javne usluge koja se plaća u svim obračunskim razdobljima neovisno o korištenju javne usluge. Nadalje se propisuje da je cijena obvezne minimalne javne usluge j</w:t>
      </w:r>
      <w:r w:rsidR="007E3F98">
        <w:t>edinstvena na području pružanja</w:t>
      </w:r>
      <w:r>
        <w:t xml:space="preserve"> usluge za kategoriju kućanstvo te za korisnike razvrstane u istu potkategoriju.</w:t>
      </w:r>
    </w:p>
    <w:p w14:paraId="64FF2FCC" w14:textId="77777777" w:rsidR="000207A4" w:rsidRDefault="000207A4" w:rsidP="000207A4">
      <w:pPr>
        <w:spacing w:after="120"/>
        <w:jc w:val="both"/>
      </w:pPr>
      <w:r>
        <w:t xml:space="preserve">Nadalje se uređuju odredbe o ugovornoj kazni na način da se uvodi ograničenje najvišeg iznosa ugovorne kazne najviše do iznosa godišnje cijene obavezne minimalne javne usluge za kategoriju korisnika u koju je razvrstan i koja mora biti sadržana u Odluci JLS. </w:t>
      </w:r>
    </w:p>
    <w:p w14:paraId="2CD98B77" w14:textId="77777777" w:rsidR="000207A4" w:rsidRDefault="000207A4" w:rsidP="000207A4">
      <w:pPr>
        <w:spacing w:after="120"/>
        <w:jc w:val="both"/>
      </w:pPr>
      <w:r>
        <w:rPr>
          <w:color w:val="000000"/>
        </w:rPr>
        <w:t>Svrha ovih izmjena i dopuna Uredbe je dati jasniji okvir jedinicama lokalne samouprave primjenom koje će se omogućiti transparentniji, ujednačeniji i pravedniji način obračuna cijene javne usluge za sve korisnike na području pružanja iste.</w:t>
      </w:r>
    </w:p>
    <w:p w14:paraId="30C80C5A" w14:textId="77777777" w:rsidR="000207A4" w:rsidRDefault="000207A4" w:rsidP="000207A4">
      <w:pPr>
        <w:spacing w:after="120"/>
        <w:jc w:val="both"/>
      </w:pPr>
      <w:r>
        <w:t>Prijedlogom ove uredbe se dopunjuju odredbe o obvezi davatelja javne usluge na način da na računu za javnu usluge mora navesti sve elemente temeljem kojih je izvršen obračun, kako bi računi potrošačima biti jasniji.</w:t>
      </w:r>
    </w:p>
    <w:p w14:paraId="058EB469" w14:textId="77777777" w:rsidR="000207A4" w:rsidRDefault="000207A4" w:rsidP="000207A4">
      <w:pPr>
        <w:spacing w:after="120"/>
        <w:jc w:val="both"/>
      </w:pPr>
      <w:r>
        <w:t>Mijenjaju se odredbe o obvezi Fonda za zaštitu okoliša i energetsku učinkovitost na način da se obvezuje Fond da financira troškove sakupljanja komunalnog otpada čiji tokovi se pretežno sastoje od otpadne ambalaže, a za što se i uplaćuje naknada gospodarenja u Fond te se propisuje da se financiranje tih troškova obavlja temeljem ugovora Fonda i davatelja javne usluge.</w:t>
      </w:r>
    </w:p>
    <w:p w14:paraId="4EABE035" w14:textId="77777777" w:rsidR="000207A4" w:rsidRDefault="000207A4" w:rsidP="000207A4">
      <w:pPr>
        <w:spacing w:after="120"/>
        <w:jc w:val="both"/>
        <w:rPr>
          <w:color w:val="000000"/>
        </w:rPr>
      </w:pPr>
      <w:r>
        <w:t xml:space="preserve">Mijenjaju se odredbe o načinu izračuna poticajne naknade </w:t>
      </w:r>
      <w:r>
        <w:rPr>
          <w:color w:val="000000"/>
        </w:rPr>
        <w:t>za smanjenje količine miješanog komunalnog otpada zbog toga da bi se postigla propisana svrha naknade - poticanje jedinice lokalne samouprave da u okviru svojih ovlasti provede mjere radi smanjenja količine miješanog komunalnog otpada koji nastaje na njenom području, i to na način da se na postojeći obračun dodaje iznimka kojom se poticajna naknada obračunava u iznosu nula kuna za one jedinice lokalne samouprave koje su postigle stope odvojenog sakupljanja komunalnog otpada sukladno planiranim ciljevima iz Plana gospodarenja otpadom Republike Hrvatske za razdoblje 2017.-2022. godine.</w:t>
      </w:r>
    </w:p>
    <w:p w14:paraId="32C536B5" w14:textId="77777777" w:rsidR="000207A4" w:rsidRDefault="000207A4" w:rsidP="000207A4">
      <w:pPr>
        <w:spacing w:after="120"/>
        <w:jc w:val="both"/>
      </w:pPr>
      <w:r>
        <w:rPr>
          <w:color w:val="000000"/>
        </w:rPr>
        <w:t xml:space="preserve">Određuje se rok </w:t>
      </w:r>
      <w:r>
        <w:t xml:space="preserve">od tri mjeseca u kojem su jedinica lokalne samouprave i davatelj javne usluge prikupljanja miješanog komunalnog otpada i biorazgradivog komunalnog otpada dužni svatko u svom dijelu, uskladiti Odluku o načinu pružanja javne usluge prikupljanja miješanog </w:t>
      </w:r>
      <w:r>
        <w:lastRenderedPageBreak/>
        <w:t>komunalnog otpada i biorazgradivog komunalnog otpada i Cjenik s ovom Uredbom, a što je sukladno članku 179. stavcima 5. i 6. Zakona o održivom gospodarenju otpadom.</w:t>
      </w:r>
    </w:p>
    <w:p w14:paraId="52D09558" w14:textId="77777777" w:rsidR="000207A4" w:rsidRDefault="000207A4" w:rsidP="000207A4">
      <w:pPr>
        <w:spacing w:after="120"/>
        <w:jc w:val="both"/>
      </w:pPr>
      <w:r>
        <w:t>Dodatno, ovim prijedlogom Uredbe se uređuje usklađenje s izmjenom Zakona o održivom gospodarenju otpadom (NN 14/19), jer je Ministarstvo zaštite okoliša i energetike preuzelo poslove Hrvatske agencije za okoliš i prirodu.</w:t>
      </w:r>
    </w:p>
    <w:p w14:paraId="3EAFF164" w14:textId="77777777" w:rsidR="000207A4" w:rsidRDefault="000207A4"/>
    <w:sectPr w:rsidR="000207A4" w:rsidSect="00F90FCF">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6E2F" w14:textId="77777777" w:rsidR="00B41E31" w:rsidRDefault="00B41E31" w:rsidP="00F90FCF">
      <w:r>
        <w:separator/>
      </w:r>
    </w:p>
  </w:endnote>
  <w:endnote w:type="continuationSeparator" w:id="0">
    <w:p w14:paraId="2768B64E" w14:textId="77777777" w:rsidR="00B41E31" w:rsidRDefault="00B41E31" w:rsidP="00F9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B4305" w14:textId="77777777" w:rsidR="00B41E31" w:rsidRDefault="00B41E31" w:rsidP="00F90FCF">
      <w:r>
        <w:separator/>
      </w:r>
    </w:p>
  </w:footnote>
  <w:footnote w:type="continuationSeparator" w:id="0">
    <w:p w14:paraId="0C8231EC" w14:textId="77777777" w:rsidR="00B41E31" w:rsidRDefault="00B41E31" w:rsidP="00F9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9155" w14:textId="1490846D" w:rsidR="00F90FCF" w:rsidRDefault="00F90FCF">
    <w:pPr>
      <w:pStyle w:val="Header"/>
      <w:jc w:val="center"/>
    </w:pPr>
  </w:p>
  <w:p w14:paraId="20E245AB" w14:textId="77777777" w:rsidR="00F90FCF" w:rsidRDefault="00F90FCF">
    <w:pPr>
      <w:pStyle w:val="Header"/>
    </w:pPr>
  </w:p>
  <w:p w14:paraId="327612DB" w14:textId="77777777" w:rsidR="00593A00" w:rsidRDefault="00593A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E"/>
    <w:rsid w:val="000207A4"/>
    <w:rsid w:val="00081FA5"/>
    <w:rsid w:val="00140FCA"/>
    <w:rsid w:val="001E7545"/>
    <w:rsid w:val="002517F5"/>
    <w:rsid w:val="00381EDE"/>
    <w:rsid w:val="004370A8"/>
    <w:rsid w:val="0052075B"/>
    <w:rsid w:val="00593A00"/>
    <w:rsid w:val="005E20B0"/>
    <w:rsid w:val="00673DCC"/>
    <w:rsid w:val="006967F2"/>
    <w:rsid w:val="006B4A3F"/>
    <w:rsid w:val="007E3F98"/>
    <w:rsid w:val="00950B8F"/>
    <w:rsid w:val="009664CC"/>
    <w:rsid w:val="00B32790"/>
    <w:rsid w:val="00B41E31"/>
    <w:rsid w:val="00BE5D41"/>
    <w:rsid w:val="00C8248F"/>
    <w:rsid w:val="00C90DFE"/>
    <w:rsid w:val="00EE49F5"/>
    <w:rsid w:val="00F90F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D1ED"/>
  <w15:chartTrackingRefBased/>
  <w15:docId w15:val="{48C82FF0-8EA2-4482-B495-7359B0FA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DE"/>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asa2">
    <w:name w:val="klasa2"/>
    <w:basedOn w:val="Normal"/>
    <w:rsid w:val="00381EDE"/>
    <w:pPr>
      <w:suppressAutoHyphens/>
      <w:autoSpaceDN w:val="0"/>
      <w:spacing w:before="100" w:after="100"/>
    </w:pPr>
  </w:style>
  <w:style w:type="character" w:customStyle="1" w:styleId="bold">
    <w:name w:val="bold"/>
    <w:rsid w:val="00381EDE"/>
  </w:style>
  <w:style w:type="paragraph" w:styleId="BalloonText">
    <w:name w:val="Balloon Text"/>
    <w:basedOn w:val="Normal"/>
    <w:link w:val="BalloonTextChar"/>
    <w:uiPriority w:val="99"/>
    <w:semiHidden/>
    <w:unhideWhenUsed/>
    <w:rsid w:val="00C82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8F"/>
    <w:rPr>
      <w:rFonts w:ascii="Segoe UI" w:eastAsia="Times New Roman" w:hAnsi="Segoe UI" w:cs="Segoe UI"/>
      <w:sz w:val="18"/>
      <w:szCs w:val="18"/>
      <w:lang w:eastAsia="hr-HR"/>
    </w:rPr>
  </w:style>
  <w:style w:type="paragraph" w:styleId="Header">
    <w:name w:val="header"/>
    <w:basedOn w:val="Normal"/>
    <w:link w:val="HeaderChar"/>
    <w:uiPriority w:val="99"/>
    <w:unhideWhenUsed/>
    <w:rsid w:val="00F90FCF"/>
    <w:pPr>
      <w:tabs>
        <w:tab w:val="center" w:pos="4536"/>
        <w:tab w:val="right" w:pos="9072"/>
      </w:tabs>
    </w:pPr>
  </w:style>
  <w:style w:type="character" w:customStyle="1" w:styleId="HeaderChar">
    <w:name w:val="Header Char"/>
    <w:basedOn w:val="DefaultParagraphFont"/>
    <w:link w:val="Header"/>
    <w:uiPriority w:val="99"/>
    <w:rsid w:val="00F90FCF"/>
    <w:rPr>
      <w:rFonts w:eastAsia="Times New Roman" w:cs="Times New Roman"/>
      <w:szCs w:val="24"/>
      <w:lang w:eastAsia="hr-HR"/>
    </w:rPr>
  </w:style>
  <w:style w:type="paragraph" w:styleId="Footer">
    <w:name w:val="footer"/>
    <w:basedOn w:val="Normal"/>
    <w:link w:val="FooterChar"/>
    <w:uiPriority w:val="99"/>
    <w:unhideWhenUsed/>
    <w:rsid w:val="00F90FCF"/>
    <w:pPr>
      <w:tabs>
        <w:tab w:val="center" w:pos="4536"/>
        <w:tab w:val="right" w:pos="9072"/>
      </w:tabs>
    </w:pPr>
  </w:style>
  <w:style w:type="character" w:customStyle="1" w:styleId="FooterChar">
    <w:name w:val="Footer Char"/>
    <w:basedOn w:val="DefaultParagraphFont"/>
    <w:link w:val="Footer"/>
    <w:uiPriority w:val="99"/>
    <w:rsid w:val="00F90FCF"/>
    <w:rPr>
      <w:rFonts w:eastAsia="Times New Roman" w:cs="Times New Roman"/>
      <w:szCs w:val="24"/>
      <w:lang w:eastAsia="hr-HR"/>
    </w:rPr>
  </w:style>
  <w:style w:type="paragraph" w:customStyle="1" w:styleId="Default">
    <w:name w:val="Default"/>
    <w:rsid w:val="000207A4"/>
    <w:pPr>
      <w:suppressAutoHyphens/>
      <w:autoSpaceDE w:val="0"/>
      <w:autoSpaceDN w:val="0"/>
    </w:pPr>
    <w:rPr>
      <w:rFonts w:eastAsia="Calibri" w:cs="Times New Roman"/>
      <w:color w:val="000000"/>
      <w:szCs w:val="24"/>
    </w:rPr>
  </w:style>
  <w:style w:type="table" w:styleId="TableGrid">
    <w:name w:val="Table Grid"/>
    <w:basedOn w:val="TableNormal"/>
    <w:rsid w:val="0002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3932">
      <w:bodyDiv w:val="1"/>
      <w:marLeft w:val="0"/>
      <w:marRight w:val="0"/>
      <w:marTop w:val="0"/>
      <w:marBottom w:val="0"/>
      <w:divBdr>
        <w:top w:val="none" w:sz="0" w:space="0" w:color="auto"/>
        <w:left w:val="none" w:sz="0" w:space="0" w:color="auto"/>
        <w:bottom w:val="none" w:sz="0" w:space="0" w:color="auto"/>
        <w:right w:val="none" w:sz="0" w:space="0" w:color="auto"/>
      </w:divBdr>
    </w:div>
    <w:div w:id="10041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D5B0D-F652-4CDC-9AB3-DFB26DC355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435BD8-F0C0-4217-8970-7303AAADF517}">
  <ds:schemaRefs>
    <ds:schemaRef ds:uri="http://schemas.microsoft.com/sharepoint/v3/contenttype/forms"/>
  </ds:schemaRefs>
</ds:datastoreItem>
</file>

<file path=customXml/itemProps3.xml><?xml version="1.0" encoding="utf-8"?>
<ds:datastoreItem xmlns:ds="http://schemas.openxmlformats.org/officeDocument/2006/customXml" ds:itemID="{73CA4BC1-4C03-4111-8468-EA7671649C7B}">
  <ds:schemaRefs>
    <ds:schemaRef ds:uri="http://schemas.microsoft.com/sharepoint/events"/>
  </ds:schemaRefs>
</ds:datastoreItem>
</file>

<file path=customXml/itemProps4.xml><?xml version="1.0" encoding="utf-8"?>
<ds:datastoreItem xmlns:ds="http://schemas.openxmlformats.org/officeDocument/2006/customXml" ds:itemID="{9CA67973-602A-4C2B-9CD8-D7D94447B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Marini</dc:creator>
  <cp:keywords/>
  <dc:description/>
  <cp:lastModifiedBy>Vlatka Šelimber</cp:lastModifiedBy>
  <cp:revision>2</cp:revision>
  <cp:lastPrinted>2019-08-30T14:12:00Z</cp:lastPrinted>
  <dcterms:created xsi:type="dcterms:W3CDTF">2019-09-05T07:22:00Z</dcterms:created>
  <dcterms:modified xsi:type="dcterms:W3CDTF">2019-09-05T07:22:00Z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