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DF197A">
        <w:rPr>
          <w:rFonts w:ascii="Times New Roman" w:hAnsi="Times New Roman" w:cs="Times New Roman"/>
          <w:sz w:val="24"/>
          <w:szCs w:val="24"/>
        </w:rPr>
        <w:t xml:space="preserve">Zagreb, </w:t>
      </w:r>
      <w:r w:rsidR="00C10D5D">
        <w:rPr>
          <w:rFonts w:ascii="Times New Roman" w:hAnsi="Times New Roman" w:cs="Times New Roman"/>
          <w:sz w:val="24"/>
          <w:szCs w:val="24"/>
        </w:rPr>
        <w:t>12. rujna</w:t>
      </w:r>
      <w:r w:rsidRPr="00DF197A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 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C44B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 w:rsidR="00C10D5D">
              <w:rPr>
                <w:sz w:val="24"/>
                <w:szCs w:val="24"/>
              </w:rPr>
              <w:t>o</w:t>
            </w:r>
            <w:r w:rsidR="00C44B3C">
              <w:rPr>
                <w:sz w:val="24"/>
                <w:szCs w:val="24"/>
              </w:rPr>
              <w:t xml:space="preserve">dluke o </w:t>
            </w:r>
            <w:r w:rsidR="00C44B3C" w:rsidRPr="00C44B3C">
              <w:rPr>
                <w:sz w:val="24"/>
                <w:szCs w:val="24"/>
              </w:rPr>
              <w:t>donošenju Nacionalnog pčelarskog programa za razdoblje od 2020. do 2022. godine</w:t>
            </w:r>
          </w:p>
        </w:tc>
      </w:tr>
    </w:tbl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D5D" w:rsidRPr="00800462" w:rsidRDefault="00C10D5D" w:rsidP="00C10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D5D" w:rsidRDefault="00C10D5D" w:rsidP="00C10D5D">
      <w:pPr>
        <w:pStyle w:val="Header"/>
      </w:pPr>
    </w:p>
    <w:p w:rsidR="00C10D5D" w:rsidRDefault="00C10D5D" w:rsidP="00C10D5D"/>
    <w:p w:rsidR="00C10D5D" w:rsidRDefault="00C10D5D" w:rsidP="00C10D5D">
      <w:pPr>
        <w:pStyle w:val="Footer"/>
      </w:pPr>
    </w:p>
    <w:p w:rsidR="00C10D5D" w:rsidRDefault="00C10D5D" w:rsidP="00C10D5D"/>
    <w:p w:rsidR="00C10D5D" w:rsidRPr="005222AE" w:rsidRDefault="00C10D5D" w:rsidP="00C10D5D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C10D5D" w:rsidRDefault="00C10D5D" w:rsidP="00C10D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/>
    <w:p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C44B3C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44B3C" w:rsidRPr="000010D1" w:rsidRDefault="00820FCF" w:rsidP="00530253">
      <w:pPr>
        <w:spacing w:after="120" w:line="240" w:lineRule="atLeast"/>
        <w:jc w:val="right"/>
        <w:rPr>
          <w:rFonts w:ascii="Times New Roman" w:hAnsi="Times New Roman" w:cs="Times New Roman"/>
          <w:i/>
        </w:rPr>
      </w:pPr>
      <w:r w:rsidRPr="000010D1">
        <w:rPr>
          <w:rFonts w:ascii="Times New Roman" w:hAnsi="Times New Roman" w:cs="Times New Roman"/>
          <w:i/>
        </w:rPr>
        <w:lastRenderedPageBreak/>
        <w:t xml:space="preserve">PRIJEDLOG </w:t>
      </w:r>
    </w:p>
    <w:p w:rsidR="00C44B3C" w:rsidRPr="000010D1" w:rsidRDefault="00C44B3C" w:rsidP="00530253">
      <w:pPr>
        <w:pStyle w:val="BodyText"/>
        <w:spacing w:after="120" w:line="300" w:lineRule="atLeast"/>
        <w:rPr>
          <w:color w:val="auto"/>
        </w:rPr>
      </w:pPr>
      <w:r w:rsidRPr="000010D1">
        <w:rPr>
          <w:color w:val="auto"/>
        </w:rPr>
        <w:t>Na temelju</w:t>
      </w:r>
      <w:r>
        <w:rPr>
          <w:color w:val="auto"/>
        </w:rPr>
        <w:t xml:space="preserve"> članka </w:t>
      </w:r>
      <w:r w:rsidRPr="00DB29AB">
        <w:rPr>
          <w:color w:val="auto"/>
        </w:rPr>
        <w:t>50. stavka 2. Zakona o poljoprivredi (Narodne novine, broj 118/2018)</w:t>
      </w:r>
      <w:r>
        <w:rPr>
          <w:color w:val="auto"/>
        </w:rPr>
        <w:t xml:space="preserve">, a u skladu s člankom </w:t>
      </w:r>
      <w:r w:rsidRPr="000010D1">
        <w:rPr>
          <w:color w:val="auto"/>
        </w:rPr>
        <w:t>55. stavk</w:t>
      </w:r>
      <w:r>
        <w:rPr>
          <w:color w:val="auto"/>
        </w:rPr>
        <w:t>om</w:t>
      </w:r>
      <w:r w:rsidRPr="000010D1">
        <w:rPr>
          <w:color w:val="auto"/>
        </w:rPr>
        <w:t xml:space="preserve"> 1. Uredbe (EU) br.1308/2013 Europskog parlamenta i Vijeća od 17. prosinca 2013. o uspostavljanju zajedničke organizacije tržišta poljoprivrednih proizvoda i stavljanju izvan snage uredbi Vijeća (EEZ) br. 922/72, (EEZ) br. 234/79, (EZ) br. 1037/2001 i (EZ) br. 1234/2007 (Službeni list L347, 20.12.2013.), Vlada Republike Hrvatske je na sjednici održanoj ________________ donijela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 w:rsidRPr="000010D1">
        <w:rPr>
          <w:rFonts w:ascii="Times New Roman" w:hAnsi="Times New Roman" w:cs="Times New Roman"/>
          <w:b/>
        </w:rPr>
        <w:t>ODLUKU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 w:rsidRPr="000010D1">
        <w:rPr>
          <w:rFonts w:ascii="Times New Roman" w:hAnsi="Times New Roman" w:cs="Times New Roman"/>
          <w:b/>
        </w:rPr>
        <w:t>o donošenju Nacionalnog pčelarskog programa za razdoblje od 2020. do 2022. godine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>I.</w:t>
      </w:r>
    </w:p>
    <w:p w:rsidR="00C44B3C" w:rsidRPr="000010D1" w:rsidRDefault="00C44B3C" w:rsidP="00530253">
      <w:pPr>
        <w:spacing w:after="12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010D1">
        <w:rPr>
          <w:rFonts w:ascii="Times New Roman" w:hAnsi="Times New Roman" w:cs="Times New Roman"/>
        </w:rPr>
        <w:t xml:space="preserve">onosi se Nacionalni pčelarski program za razdoblje od 2020. do 2022. godine (u daljnjem tekstu: Program). 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>II.</w:t>
      </w:r>
    </w:p>
    <w:p w:rsidR="00C44B3C" w:rsidRPr="000010D1" w:rsidRDefault="00C44B3C" w:rsidP="00530253">
      <w:pPr>
        <w:spacing w:after="120" w:line="300" w:lineRule="atLeast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 xml:space="preserve">Program se nalazi u privitku ove Odluke i njezin je sastavni dio. 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>III.</w:t>
      </w:r>
    </w:p>
    <w:p w:rsidR="00C44B3C" w:rsidRPr="000010D1" w:rsidRDefault="00C44B3C" w:rsidP="00530253">
      <w:pPr>
        <w:pStyle w:val="BodyText2"/>
        <w:spacing w:after="120" w:line="300" w:lineRule="atLeast"/>
      </w:pPr>
      <w:r>
        <w:t>Programom se</w:t>
      </w:r>
      <w:r w:rsidRPr="000010D1">
        <w:t xml:space="preserve"> osigurava provedba Uredbe (EU) br.1308/2013 Europskog parlamenta i Vijeća od 17. prosinca 2013. o uspostavljanju zajedničke organizacije tržišta poljoprivrednih proizvoda i stavljanju izvan snage uredbi Vijeća (EEZ) br. 922/72, (EEZ) br. 234/79, (EZ) br. 1037/2001 i (EZ) br. 1234/2007 (Službeni list L347, 20.12.2013.), Provedbene Uredbe Komisije (EU) 2015/1368 od 6. kolovoza 2015. o utvrđivanju pravila primjene Uredbe (EU) br. 1308/2013 Europskog parlamenta i Vijeća u pogledu potpore u pčelarskom sektoru (Službeni list L211, 8.8.2015.). 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>IV.</w:t>
      </w:r>
    </w:p>
    <w:p w:rsidR="00C44B3C" w:rsidRDefault="00C44B3C" w:rsidP="00530253">
      <w:pPr>
        <w:pStyle w:val="BodyText2"/>
        <w:spacing w:after="120" w:line="300" w:lineRule="atLeast"/>
      </w:pPr>
      <w:r w:rsidRPr="00E56C7E">
        <w:t>Financijska sredstva za provedbu Programa u 2020. godini u iznosu od 14.837.601 kn i 2021. godini u iznosu od</w:t>
      </w:r>
      <w:r>
        <w:t xml:space="preserve"> 14.844.139</w:t>
      </w:r>
      <w:r w:rsidRPr="00E56C7E">
        <w:t xml:space="preserve"> kn osigurana su u Državnom proračunu Republike Hrvatske za 2019. godinu i projekcijama za 2020. i 2021. </w:t>
      </w:r>
      <w:r>
        <w:t>g</w:t>
      </w:r>
      <w:r w:rsidRPr="00E56C7E">
        <w:t>odinu</w:t>
      </w:r>
      <w:r>
        <w:t>,</w:t>
      </w:r>
      <w:r w:rsidRPr="00E56C7E">
        <w:t xml:space="preserve"> na pozicijama Ministarstva poljoprivrede. Sredstva potrebna za provedbu u 2022. </w:t>
      </w:r>
      <w:r>
        <w:t>g</w:t>
      </w:r>
      <w:r w:rsidRPr="00E56C7E">
        <w:t>odini</w:t>
      </w:r>
      <w:r>
        <w:t>,</w:t>
      </w:r>
      <w:r w:rsidRPr="00E56C7E">
        <w:t xml:space="preserve"> u godišnjem iznosu od </w:t>
      </w:r>
      <w:r>
        <w:t>14.830.663</w:t>
      </w:r>
      <w:r w:rsidRPr="00E56C7E">
        <w:t xml:space="preserve"> kn</w:t>
      </w:r>
      <w:r>
        <w:t>,</w:t>
      </w:r>
      <w:r w:rsidRPr="00E56C7E">
        <w:t xml:space="preserve"> Ministarstvo poljoprivrede osigurat će u okviru svog utvrđenog limita ukupnih rashoda.</w:t>
      </w:r>
    </w:p>
    <w:p w:rsidR="00530253" w:rsidRPr="00530253" w:rsidRDefault="00530253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30253">
        <w:rPr>
          <w:rFonts w:ascii="Times New Roman" w:hAnsi="Times New Roman" w:cs="Times New Roman"/>
        </w:rPr>
        <w:t>.</w:t>
      </w:r>
    </w:p>
    <w:p w:rsidR="00530253" w:rsidRDefault="00530253" w:rsidP="00530253">
      <w:pPr>
        <w:pStyle w:val="BodyText2"/>
        <w:spacing w:after="120" w:line="300" w:lineRule="atLeast"/>
      </w:pPr>
      <w:r>
        <w:t>Zadužuje se Ministarstvo poljoprivrede da o donošenju ove Odluke izvijesti Agenciju za plaćanja u poljoprivredi, ribarstvu i ruralnom razvoju.</w:t>
      </w:r>
    </w:p>
    <w:p w:rsidR="00530253" w:rsidRPr="00530253" w:rsidRDefault="00530253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53025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</w:t>
      </w:r>
      <w:r w:rsidRPr="00530253">
        <w:rPr>
          <w:rFonts w:ascii="Times New Roman" w:hAnsi="Times New Roman" w:cs="Times New Roman"/>
        </w:rPr>
        <w:t>.</w:t>
      </w:r>
    </w:p>
    <w:p w:rsidR="00530253" w:rsidRPr="000010D1" w:rsidRDefault="00530253" w:rsidP="00530253">
      <w:pPr>
        <w:pStyle w:val="BodyText2"/>
        <w:spacing w:after="120" w:line="300" w:lineRule="atLeast"/>
      </w:pPr>
      <w:r>
        <w:t>Zadužuje se Ministarstvo poljoprivrede da na svojim mrežnim stranicama objavi Program iz točke I. ove Odluke.</w:t>
      </w:r>
    </w:p>
    <w:p w:rsidR="00C44B3C" w:rsidRPr="000010D1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>V</w:t>
      </w:r>
      <w:r w:rsidR="00530253">
        <w:rPr>
          <w:rFonts w:ascii="Times New Roman" w:hAnsi="Times New Roman" w:cs="Times New Roman"/>
        </w:rPr>
        <w:t>II</w:t>
      </w:r>
      <w:r w:rsidRPr="000010D1">
        <w:rPr>
          <w:rFonts w:ascii="Times New Roman" w:hAnsi="Times New Roman" w:cs="Times New Roman"/>
        </w:rPr>
        <w:t>.</w:t>
      </w:r>
    </w:p>
    <w:p w:rsidR="00C44B3C" w:rsidRPr="000010D1" w:rsidRDefault="00C44B3C" w:rsidP="00530253">
      <w:pPr>
        <w:spacing w:after="120" w:line="300" w:lineRule="atLeast"/>
        <w:rPr>
          <w:rFonts w:ascii="Times New Roman" w:hAnsi="Times New Roman" w:cs="Times New Roman"/>
        </w:rPr>
      </w:pPr>
      <w:r w:rsidRPr="000010D1">
        <w:rPr>
          <w:rFonts w:ascii="Times New Roman" w:hAnsi="Times New Roman" w:cs="Times New Roman"/>
        </w:rPr>
        <w:t xml:space="preserve">Ova Odluka stupa na snagu danom donošenja. </w:t>
      </w:r>
    </w:p>
    <w:p w:rsidR="00C44B3C" w:rsidRPr="000010D1" w:rsidRDefault="00C44B3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  <w:r w:rsidRPr="000010D1">
        <w:rPr>
          <w:rFonts w:ascii="Times New Roman" w:hAnsi="Times New Roman" w:cs="Times New Roman"/>
          <w:b/>
        </w:rPr>
        <w:t xml:space="preserve">PREDSJEDNIK VLADE </w:t>
      </w:r>
    </w:p>
    <w:p w:rsidR="00C44B3C" w:rsidRPr="000010D1" w:rsidRDefault="00C44B3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</w:p>
    <w:p w:rsidR="00C44B3C" w:rsidRPr="000010D1" w:rsidRDefault="00C44B3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  <w:r w:rsidRPr="000010D1">
        <w:rPr>
          <w:rFonts w:ascii="Times New Roman" w:hAnsi="Times New Roman" w:cs="Times New Roman"/>
          <w:b/>
        </w:rPr>
        <w:t xml:space="preserve">mr. sc. Andrej Plenković </w:t>
      </w:r>
    </w:p>
    <w:p w:rsidR="00C44B3C" w:rsidRPr="000010D1" w:rsidRDefault="00820FCF" w:rsidP="00C44B3C">
      <w:pPr>
        <w:pStyle w:val="Heading1"/>
      </w:pPr>
      <w:r w:rsidRPr="000010D1">
        <w:lastRenderedPageBreak/>
        <w:t>OBRAZLOŽENJE</w:t>
      </w:r>
    </w:p>
    <w:p w:rsidR="00C44B3C" w:rsidRPr="000010D1" w:rsidRDefault="00C44B3C" w:rsidP="00C44B3C">
      <w:pPr>
        <w:pStyle w:val="BodyText"/>
        <w:rPr>
          <w:color w:val="auto"/>
        </w:rPr>
      </w:pPr>
      <w:r w:rsidRPr="000010D1">
        <w:rPr>
          <w:color w:val="auto"/>
        </w:rPr>
        <w:t>Nacionalni pčelarski program za razdoblje od 2020. do 2022. godine izrađen je u skladu sa Uredbom (EU) br. 1308/2013 Europskog Parlamenta i Vijeća od 17. prosinca 2013. o uspostavljanju zajedničke organizacije tržišta poljoprivrednih proizvoda i stavljanju izvan snage uredbi Vijeća (EEZ) br. 922/72, (EEZ) br. 234/79, (EZ) br.</w:t>
      </w:r>
      <w:r w:rsidR="00416C6E">
        <w:rPr>
          <w:color w:val="auto"/>
        </w:rPr>
        <w:t xml:space="preserve"> 1037/2001 i (EZ) br. 1234/2007</w:t>
      </w:r>
      <w:r w:rsidRPr="000010D1">
        <w:rPr>
          <w:color w:val="auto"/>
        </w:rPr>
        <w:t xml:space="preserve"> i Provedbenom Uredbom Komisije (EU) 2015/1368 od 6. kolovoza 2015. o utvrđivanju pravila primjene Uredbe (EU) br. 1308/2013 Europskog parlamenta i Vijeća u pogledu potpore u pčelarskom sektoru s ciljem poboljšanja općih uvjeta proizvodnje i stavljanja na tržište pčelarskih proizvoda.</w:t>
      </w:r>
    </w:p>
    <w:p w:rsidR="00C44B3C" w:rsidRPr="000010D1" w:rsidRDefault="00C44B3C" w:rsidP="00652649">
      <w:pPr>
        <w:pStyle w:val="BodyText2"/>
      </w:pPr>
      <w:r w:rsidRPr="000010D1">
        <w:t xml:space="preserve">Mjere koje, sukladno članku 55. stavku 4. Uredbe (EU) br. 1308/2013, mogu biti obuhvaćene u navedeni </w:t>
      </w:r>
      <w:r>
        <w:t>P</w:t>
      </w:r>
      <w:r w:rsidRPr="000010D1">
        <w:t xml:space="preserve">rogram su: 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Tehnička pomoć pčelarima i organizac</w:t>
      </w:r>
      <w:r>
        <w:rPr>
          <w:rFonts w:ascii="Times New Roman" w:hAnsi="Times New Roman"/>
        </w:rPr>
        <w:t>ijama pčelara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 xml:space="preserve">Suzbijanje štetnika i </w:t>
      </w:r>
      <w:r>
        <w:rPr>
          <w:rFonts w:ascii="Times New Roman" w:hAnsi="Times New Roman"/>
        </w:rPr>
        <w:t>bolesti pčela, naročito varooze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Racionalizac</w:t>
      </w:r>
      <w:r>
        <w:rPr>
          <w:rFonts w:ascii="Times New Roman" w:hAnsi="Times New Roman"/>
        </w:rPr>
        <w:t>ija troškova selećeg pčelarenja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Mjere za potporu laboratorija za analizu pčelinjih proizvoda s ciljem potpore pčelarima da svoje proizvode plasiraju na tržište i povećaju n</w:t>
      </w:r>
      <w:r>
        <w:rPr>
          <w:rFonts w:ascii="Times New Roman" w:hAnsi="Times New Roman"/>
        </w:rPr>
        <w:t>jihovu vrijednost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Obnavljanje pčelinjeg fonda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Suradnja sa specijaliziranim tijelima za provedbu programa primijenjenih istraživanja u području pčelarstva i pčelarskih proizvoda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Praćenje tržišta</w:t>
      </w:r>
    </w:p>
    <w:p w:rsidR="00C44B3C" w:rsidRPr="000010D1" w:rsidRDefault="00C44B3C" w:rsidP="00C44B3C">
      <w:pPr>
        <w:pStyle w:val="ListParagraph"/>
        <w:numPr>
          <w:ilvl w:val="0"/>
          <w:numId w:val="5"/>
        </w:numPr>
        <w:spacing w:after="120" w:line="240" w:lineRule="atLeast"/>
        <w:ind w:left="851" w:hanging="425"/>
        <w:contextualSpacing w:val="0"/>
        <w:rPr>
          <w:rFonts w:ascii="Times New Roman" w:hAnsi="Times New Roman"/>
        </w:rPr>
      </w:pPr>
      <w:r w:rsidRPr="000010D1">
        <w:rPr>
          <w:rFonts w:ascii="Times New Roman" w:hAnsi="Times New Roman"/>
        </w:rPr>
        <w:t>Poboljšanje kvalitete proizvoda s ciljem iskorištavanja potencijala proizvoda na tržištu</w:t>
      </w:r>
    </w:p>
    <w:p w:rsidR="00C44B3C" w:rsidRPr="000010D1" w:rsidRDefault="00C44B3C" w:rsidP="00C44B3C">
      <w:pPr>
        <w:rPr>
          <w:rFonts w:ascii="Times New Roman" w:hAnsi="Times New Roman" w:cs="Times New Roman"/>
        </w:rPr>
      </w:pPr>
    </w:p>
    <w:p w:rsidR="00C44B3C" w:rsidRPr="00E56C7E" w:rsidRDefault="00C44B3C" w:rsidP="00C44B3C">
      <w:pPr>
        <w:pStyle w:val="BodyText2"/>
      </w:pPr>
      <w:r w:rsidRPr="000D469D">
        <w:t xml:space="preserve">Provedbena odluka Komisije (EU) 2019/974 o odobrenju nacionalnih programa za poboljšanje proizvodnje i stavljanje na tržište pčelarskih proizvoda koje dostavljaju države članice u skladu s Uredbom (EU) br. 1308/2013 Europskog parlamenta i Vijeća objavljena je u Službenom listu Europske unije 14. lipnja 2019. godine. </w:t>
      </w:r>
      <w:r>
        <w:t xml:space="preserve">Provedbenom odlukom se Republici Hrvatskoj odobrava </w:t>
      </w:r>
      <w:r w:rsidRPr="000010D1">
        <w:t>Nacionalni pčelarski program za razdoblje od 2020. do 2022. godine</w:t>
      </w:r>
      <w:r>
        <w:t xml:space="preserve">. U prilogu Odluke određena je visina omotnice za Republiku Hrvatsku po godinama provedbe Programa: za 2020. godinu </w:t>
      </w:r>
      <w:r w:rsidRPr="008C40C3">
        <w:t>1.000.850</w:t>
      </w:r>
      <w:r>
        <w:t xml:space="preserve"> eura, za 2021. godinu </w:t>
      </w:r>
      <w:r w:rsidRPr="008C40C3">
        <w:t>1.001.291</w:t>
      </w:r>
      <w:r>
        <w:t xml:space="preserve"> eura i za 2022. godinu </w:t>
      </w:r>
      <w:r w:rsidRPr="008C40C3">
        <w:t>1.000.382</w:t>
      </w:r>
      <w:r>
        <w:t xml:space="preserve"> eura, što čini 50% iznosa rashoda za provedbu Programa dok se ostatak od 50% iznosa očekivanih rashoda osigurava iz Državnog proračuna. Vezano uz konverziju eura u nacionalnu valutu, Komisija upućuje na članak 6. Delegirane uredbe Komisije (EU) br. 2015/1366 i članak 34. stavak 1. te članak 40. Delegirane uredbe Komisije </w:t>
      </w:r>
      <w:r w:rsidRPr="00E56C7E">
        <w:t xml:space="preserve">(EU) br. 907/2014 od 11. ožujka 2014. godine o dopuni Uredbe (EU) br. 1306/2013 Europskog parlamenta i Vijeća u pogledu agencija za plaćanja i ostalih tijela, financijskog upravljanja, poravnanja računa, jamstava i upotrebe eura, gdje je operativni događaj za devizni tečaj 1. siječnja godine u kojoj je donesena odluka o dodjeli potpore. Prema navedenom, za konverziju iznosa u eurima u kune koristi se tečaj Europske središnje banke na dan 31. prosinca 2018. godine koji je za 1 euro na taj dan iznosio 7,4125 kuna. </w:t>
      </w:r>
    </w:p>
    <w:p w:rsidR="00C44B3C" w:rsidRDefault="00C44B3C" w:rsidP="00C44B3C">
      <w:pPr>
        <w:pStyle w:val="BodyText2"/>
      </w:pPr>
      <w:r w:rsidRPr="00E56C7E">
        <w:t>Financijska sredstva za provedbu programa u 2020. godini u iznosu od 14.837.601 kn i u iznosu od 14.844.139 u 2021. godini osigurana su u Državnom proračunu Republike Hrvatske za 2019. godinu i projekcijama za 2020. i 2021. godinu na proračunskoj poziciji A821058-ZPP mjere uređenja tržišta poljoprivrednih proizvoda Ministarstva poljoprivrede. Sredstva potrebna za provedbu u 2022. godini u iznosu od 14.830.663 kn Ministarstvo poljoprivrede osigurat će u okviru svog utvrđenog limita ukupnih rashoda.</w:t>
      </w:r>
    </w:p>
    <w:p w:rsidR="00652649" w:rsidRPr="009B07A2" w:rsidRDefault="00652649" w:rsidP="00C44B3C">
      <w:pPr>
        <w:pStyle w:val="BodyText2"/>
      </w:pPr>
      <w:r w:rsidRPr="009B07A2">
        <w:lastRenderedPageBreak/>
        <w:t xml:space="preserve">Provedbena pravila kojima se uređuje potpora Unije nacionalnim programima za pčelarski sektor iz članka 55. Uredbe (EU) br. 1308/2013 („pčelarski programi”) navedena su u Provedbenoj uredbi Komisije (EU) 2015/1368 od 6. kolovoza 2015. o utvrđivanju pravila primjene Uredbe (EU) br. 1308/2013 Europskog parlamenta i Vijeća u pogledu potpore u pčelarskom sektoru. </w:t>
      </w:r>
    </w:p>
    <w:p w:rsidR="004A20B9" w:rsidRDefault="00B80858" w:rsidP="00C44B3C">
      <w:pPr>
        <w:pStyle w:val="BodyText2"/>
      </w:pPr>
      <w:r w:rsidRPr="009B07A2">
        <w:t xml:space="preserve">Prema provedbenim pravilima </w:t>
      </w:r>
      <w:r w:rsidR="00FA710F" w:rsidRPr="009B07A2">
        <w:t>„</w:t>
      </w:r>
      <w:r w:rsidRPr="009B07A2">
        <w:t>p</w:t>
      </w:r>
      <w:r w:rsidR="00FA710F" w:rsidRPr="009B07A2">
        <w:t>čelarska godina“ znači razdoblje od 12 uzastopnih mjeseci</w:t>
      </w:r>
      <w:r w:rsidR="00530253" w:rsidRPr="009B07A2">
        <w:t xml:space="preserve"> koje</w:t>
      </w:r>
      <w:r w:rsidR="00F95471" w:rsidRPr="009B07A2">
        <w:t>,</w:t>
      </w:r>
      <w:r w:rsidR="00FA710F" w:rsidRPr="009B07A2">
        <w:t xml:space="preserve"> </w:t>
      </w:r>
      <w:r w:rsidR="00F95471" w:rsidRPr="009B07A2">
        <w:t xml:space="preserve">u skladu s člankom 2. Provedbene uredbe Komisije (EU) 2015/1368, </w:t>
      </w:r>
      <w:r w:rsidR="00FA710F" w:rsidRPr="009B07A2">
        <w:t xml:space="preserve">započinje 1. kolovoza prethodne i traje do 31. srpnja </w:t>
      </w:r>
      <w:r w:rsidR="00652649" w:rsidRPr="009B07A2">
        <w:t>naredne</w:t>
      </w:r>
      <w:r w:rsidR="00FA710F" w:rsidRPr="009B07A2">
        <w:t xml:space="preserve"> kalendarske godine</w:t>
      </w:r>
      <w:r w:rsidR="00C44B3C" w:rsidRPr="009B07A2">
        <w:t>.</w:t>
      </w:r>
      <w:r w:rsidR="00C44B3C">
        <w:t xml:space="preserve"> </w:t>
      </w:r>
    </w:p>
    <w:p w:rsidR="00C44B3C" w:rsidRDefault="00C44B3C" w:rsidP="00C44B3C">
      <w:pPr>
        <w:pStyle w:val="BodyText2"/>
      </w:pPr>
      <w:r>
        <w:t>Budući da razdoblje u kojem su za potporu prihvatljivi troškovi u provedbi mjera navedenog pčelarskog Programa,</w:t>
      </w:r>
      <w:r w:rsidR="00530253">
        <w:t xml:space="preserve"> </w:t>
      </w:r>
      <w:r>
        <w:t xml:space="preserve">započinje 1. kolovoza 2019. godine, uz uzimanje u obzir da je člankom 7. stavak 2. spomenute Provedbene uredbe omogućeno državama članicama da plaćanja korisnicima koja se odnose na mjere tijekom svake pčelarske godine izvršavaju u dvanaestomjesečnom razdoblju koje počinje 16. listopada te pčelarske godine i završava 15. listopada slijedeće godine, te uzimajući u obzir činjenicu da je navedeni pčelarski Program za novo trogodišnje razdoblje nastavak provedbe istog iz prethodnog razdoblja smatramo opravdanim da se donese Odluka Vlade Republike Hrvatske o donošenju Nacionalnog pčelarskog programa za razdoblje od 2020. do 2022. godine. Donošenje spomenute Odluke je značajno kako bi se nastavilo s procesom izrade </w:t>
      </w:r>
      <w:r w:rsidR="00F95471" w:rsidRPr="00F95471">
        <w:t>Pravilnika o provedbi mjera Nacionalnog pčelarskog programa za razdoblje od 2020. do 2022. godine</w:t>
      </w:r>
      <w:r>
        <w:t xml:space="preserve"> kojim će se detaljnije definirate odredbe koje će omogućiti provedbu spomenutog Programa. </w:t>
      </w:r>
    </w:p>
    <w:p w:rsidR="00C44B3C" w:rsidRDefault="00C44B3C" w:rsidP="00C44B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Provedbom mjera iz navedenog Programa stvorit će se uvjeti za bolji položaj pčelarstva u Republici Hrvatskoj te stvoriti osnova za povećanje konkurentnosti u pčelarskom sektoru. </w:t>
      </w:r>
    </w:p>
    <w:p w:rsidR="00C44B3C" w:rsidRDefault="00C44B3C"/>
    <w:sectPr w:rsidR="00C44B3C" w:rsidSect="00C44B3C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50" w:rsidRDefault="007C2D50" w:rsidP="0016213C">
      <w:pPr>
        <w:spacing w:after="0" w:line="240" w:lineRule="auto"/>
      </w:pPr>
      <w:r>
        <w:separator/>
      </w:r>
    </w:p>
  </w:endnote>
  <w:endnote w:type="continuationSeparator" w:id="0">
    <w:p w:rsidR="007C2D50" w:rsidRDefault="007C2D5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50" w:rsidRDefault="007C2D50" w:rsidP="0016213C">
      <w:pPr>
        <w:spacing w:after="0" w:line="240" w:lineRule="auto"/>
      </w:pPr>
      <w:r>
        <w:separator/>
      </w:r>
    </w:p>
  </w:footnote>
  <w:footnote w:type="continuationSeparator" w:id="0">
    <w:p w:rsidR="007C2D50" w:rsidRDefault="007C2D5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A5A6C"/>
    <w:rsid w:val="000C17DD"/>
    <w:rsid w:val="000C3EEE"/>
    <w:rsid w:val="00142592"/>
    <w:rsid w:val="0016213C"/>
    <w:rsid w:val="001874D6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305F6C"/>
    <w:rsid w:val="003377F5"/>
    <w:rsid w:val="0034044C"/>
    <w:rsid w:val="003D43A7"/>
    <w:rsid w:val="00416C6E"/>
    <w:rsid w:val="004171DD"/>
    <w:rsid w:val="00451401"/>
    <w:rsid w:val="00457B4B"/>
    <w:rsid w:val="00475133"/>
    <w:rsid w:val="004A20B9"/>
    <w:rsid w:val="0050674F"/>
    <w:rsid w:val="00510C1E"/>
    <w:rsid w:val="0052065F"/>
    <w:rsid w:val="005222AE"/>
    <w:rsid w:val="00527FA8"/>
    <w:rsid w:val="00530253"/>
    <w:rsid w:val="005414D9"/>
    <w:rsid w:val="005650B3"/>
    <w:rsid w:val="005A33D6"/>
    <w:rsid w:val="005C0332"/>
    <w:rsid w:val="005E2BF4"/>
    <w:rsid w:val="005F6972"/>
    <w:rsid w:val="00615049"/>
    <w:rsid w:val="006433F9"/>
    <w:rsid w:val="00652649"/>
    <w:rsid w:val="006675A7"/>
    <w:rsid w:val="006C5322"/>
    <w:rsid w:val="006E3E26"/>
    <w:rsid w:val="00703036"/>
    <w:rsid w:val="007135C0"/>
    <w:rsid w:val="00736983"/>
    <w:rsid w:val="00785E25"/>
    <w:rsid w:val="00786D1C"/>
    <w:rsid w:val="007900BB"/>
    <w:rsid w:val="007917B2"/>
    <w:rsid w:val="007C2D50"/>
    <w:rsid w:val="007C2EF7"/>
    <w:rsid w:val="00820FCF"/>
    <w:rsid w:val="0086636B"/>
    <w:rsid w:val="00881895"/>
    <w:rsid w:val="00881D8E"/>
    <w:rsid w:val="008A2883"/>
    <w:rsid w:val="008E2228"/>
    <w:rsid w:val="008E7074"/>
    <w:rsid w:val="00927EE4"/>
    <w:rsid w:val="009313BF"/>
    <w:rsid w:val="009355E9"/>
    <w:rsid w:val="00936739"/>
    <w:rsid w:val="00942D0D"/>
    <w:rsid w:val="00953DF9"/>
    <w:rsid w:val="00954B0E"/>
    <w:rsid w:val="00966A54"/>
    <w:rsid w:val="009819F8"/>
    <w:rsid w:val="009B07A2"/>
    <w:rsid w:val="009C0D8D"/>
    <w:rsid w:val="009E61A4"/>
    <w:rsid w:val="00AF76BF"/>
    <w:rsid w:val="00B06361"/>
    <w:rsid w:val="00B1761B"/>
    <w:rsid w:val="00B20C17"/>
    <w:rsid w:val="00B62398"/>
    <w:rsid w:val="00B67F64"/>
    <w:rsid w:val="00B75937"/>
    <w:rsid w:val="00B80858"/>
    <w:rsid w:val="00BE6E47"/>
    <w:rsid w:val="00C10D5D"/>
    <w:rsid w:val="00C44B3C"/>
    <w:rsid w:val="00C46C0F"/>
    <w:rsid w:val="00C5332D"/>
    <w:rsid w:val="00C6534E"/>
    <w:rsid w:val="00CD79E1"/>
    <w:rsid w:val="00D10749"/>
    <w:rsid w:val="00D10AED"/>
    <w:rsid w:val="00D737AC"/>
    <w:rsid w:val="00DA32DB"/>
    <w:rsid w:val="00DD016B"/>
    <w:rsid w:val="00DE40B8"/>
    <w:rsid w:val="00DF197A"/>
    <w:rsid w:val="00E1201B"/>
    <w:rsid w:val="00E17202"/>
    <w:rsid w:val="00E42084"/>
    <w:rsid w:val="00E55D5F"/>
    <w:rsid w:val="00E72511"/>
    <w:rsid w:val="00E7483E"/>
    <w:rsid w:val="00E75431"/>
    <w:rsid w:val="00EE7F8D"/>
    <w:rsid w:val="00EF38DC"/>
    <w:rsid w:val="00F33F1E"/>
    <w:rsid w:val="00F37E26"/>
    <w:rsid w:val="00F95471"/>
    <w:rsid w:val="00FA710F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FE454-7EBB-4F00-A230-8F3290A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E31C-8A86-4F80-B862-B7F25BD64F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6738E4-2866-43FA-8712-4A381F802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84A32-C0C5-463A-AAA3-9B8866BCD1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405195-281D-4FB7-98FE-B65FD6DB20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B3D019-FE38-44F7-9554-434CCACA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2019-08-27T12:32:00Z</cp:lastPrinted>
  <dcterms:created xsi:type="dcterms:W3CDTF">2019-09-12T06:55:00Z</dcterms:created>
  <dcterms:modified xsi:type="dcterms:W3CDTF">2019-09-12T06:55:00Z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