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06F4" w14:textId="77777777" w:rsidR="00AB0BBA" w:rsidRPr="008D72C4" w:rsidRDefault="00AB0BBA" w:rsidP="00AB0BBA">
      <w:pPr>
        <w:rPr>
          <w:lang w:eastAsia="en-US"/>
        </w:rPr>
      </w:pPr>
      <w:bookmarkStart w:id="0" w:name="_GoBack"/>
      <w:bookmarkEnd w:id="0"/>
    </w:p>
    <w:p w14:paraId="38A7860C" w14:textId="77777777" w:rsidR="00AB0BBA" w:rsidRPr="008D72C4" w:rsidRDefault="00AB0BBA" w:rsidP="00AB0BBA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„</w:t>
      </w:r>
      <w:r w:rsidRPr="008D72C4">
        <w:rPr>
          <w:b/>
          <w:lang w:eastAsia="en-US"/>
        </w:rPr>
        <w:t>PRIJEDLOG</w:t>
      </w:r>
      <w:r>
        <w:rPr>
          <w:b/>
          <w:lang w:eastAsia="en-US"/>
        </w:rPr>
        <w:t>“</w:t>
      </w:r>
    </w:p>
    <w:p w14:paraId="0DCE582C" w14:textId="77777777" w:rsidR="00AB0BBA" w:rsidRPr="008D72C4" w:rsidRDefault="00AB0BBA" w:rsidP="00AB0BBA">
      <w:pPr>
        <w:jc w:val="both"/>
      </w:pPr>
    </w:p>
    <w:p w14:paraId="40195358" w14:textId="77777777" w:rsidR="00AB0BBA" w:rsidRPr="008D72C4" w:rsidRDefault="00AB0BBA" w:rsidP="00AB0BBA">
      <w:pPr>
        <w:jc w:val="both"/>
      </w:pPr>
      <w:r w:rsidRPr="008D72C4">
        <w:t>Na temelju članka 8. i članka 31. stavka 2. Zakona o Vladi Republike Hrvatske („Narodne novine“, br. 150/11, 119/14, 93/16 i 116/18</w:t>
      </w:r>
      <w:r w:rsidR="003D0E2F">
        <w:t xml:space="preserve"> </w:t>
      </w:r>
      <w:r w:rsidRPr="008D72C4">
        <w:t>), Vlada Republike Hrvatske, na ____ sjednici održanoj dana ____2019. godine, donosi</w:t>
      </w:r>
    </w:p>
    <w:p w14:paraId="269F3C20" w14:textId="77777777" w:rsidR="00AB0BBA" w:rsidRPr="008D72C4" w:rsidRDefault="00AB0BBA" w:rsidP="00AB0BBA">
      <w:pPr>
        <w:jc w:val="both"/>
        <w:rPr>
          <w:rFonts w:ascii="Arial" w:hAnsi="Arial" w:cs="Arial"/>
          <w:sz w:val="22"/>
          <w:szCs w:val="22"/>
        </w:rPr>
      </w:pP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  <w:r w:rsidRPr="008D72C4">
        <w:rPr>
          <w:rFonts w:ascii="Arial" w:hAnsi="Arial" w:cs="Arial"/>
          <w:b/>
          <w:sz w:val="20"/>
          <w:szCs w:val="20"/>
        </w:rPr>
        <w:tab/>
      </w:r>
    </w:p>
    <w:p w14:paraId="45D25358" w14:textId="77777777" w:rsidR="00AB0BBA" w:rsidRPr="008D72C4" w:rsidRDefault="00AB0BBA" w:rsidP="00AB0BBA">
      <w:pPr>
        <w:jc w:val="center"/>
        <w:rPr>
          <w:b/>
          <w:lang w:eastAsia="en-US"/>
        </w:rPr>
      </w:pPr>
      <w:r w:rsidRPr="008D72C4">
        <w:rPr>
          <w:b/>
          <w:lang w:eastAsia="en-US"/>
        </w:rPr>
        <w:t>ODLUKU</w:t>
      </w:r>
    </w:p>
    <w:p w14:paraId="30D427E4" w14:textId="77777777" w:rsidR="00AB0BBA" w:rsidRPr="008D72C4" w:rsidRDefault="00AB0BBA" w:rsidP="00AB0BBA">
      <w:pPr>
        <w:jc w:val="center"/>
        <w:rPr>
          <w:b/>
          <w:lang w:eastAsia="en-US"/>
        </w:rPr>
      </w:pPr>
    </w:p>
    <w:p w14:paraId="560B3643" w14:textId="77777777" w:rsidR="00AB0BBA" w:rsidRPr="008D72C4" w:rsidRDefault="00AB0BBA" w:rsidP="00AB0BBA">
      <w:pPr>
        <w:jc w:val="center"/>
        <w:rPr>
          <w:b/>
          <w:lang w:eastAsia="en-US"/>
        </w:rPr>
      </w:pPr>
      <w:r w:rsidRPr="008D72C4">
        <w:rPr>
          <w:b/>
          <w:lang w:eastAsia="en-US"/>
        </w:rPr>
        <w:t>O IZMJENI ODLUKE O DAVANJU ODREĐENIH NEKRETNINA U VLASNIŠTVU REPUBLIKE HRVATSKE UREDU PREDSJEDNICE REPUBLIKE HRVATSKE I DRŽAVNOM UREDU ZA UPRAVLJANJE DRŽAVNOM IMOVINOM</w:t>
      </w:r>
    </w:p>
    <w:p w14:paraId="072D796B" w14:textId="77777777" w:rsidR="00AB0BBA" w:rsidRPr="008D72C4" w:rsidRDefault="00AB0BBA" w:rsidP="00AB0BBA">
      <w:pPr>
        <w:jc w:val="center"/>
        <w:rPr>
          <w:b/>
          <w:sz w:val="22"/>
          <w:lang w:eastAsia="en-US"/>
        </w:rPr>
      </w:pPr>
    </w:p>
    <w:p w14:paraId="76979F83" w14:textId="77777777" w:rsidR="00AB0BBA" w:rsidRPr="008D72C4" w:rsidRDefault="00AB0BBA" w:rsidP="00AB0BBA">
      <w:pPr>
        <w:jc w:val="center"/>
        <w:rPr>
          <w:b/>
          <w:sz w:val="22"/>
          <w:lang w:eastAsia="en-US"/>
        </w:rPr>
      </w:pPr>
      <w:r w:rsidRPr="008D72C4">
        <w:rPr>
          <w:b/>
          <w:sz w:val="22"/>
          <w:lang w:eastAsia="en-US"/>
        </w:rPr>
        <w:t xml:space="preserve">I. </w:t>
      </w:r>
    </w:p>
    <w:p w14:paraId="31CF53C9" w14:textId="77777777" w:rsidR="00AB0BBA" w:rsidRPr="008D72C4" w:rsidRDefault="00AB0BBA" w:rsidP="00AB0BBA">
      <w:pPr>
        <w:jc w:val="center"/>
        <w:rPr>
          <w:b/>
          <w:sz w:val="22"/>
          <w:lang w:eastAsia="en-US"/>
        </w:rPr>
      </w:pPr>
    </w:p>
    <w:p w14:paraId="79CE0EC6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 xml:space="preserve">                  U Odluci o davanju određenih nekretnina u vlasništvu Republike Hrvatske na upravljanje Uredu predsjednice Republike Hrvatske i Državnom ured za upravljanje državnom imovinom („Narodne novine“, br. 47/16.), naslov odluke mijenja se i glasi:</w:t>
      </w:r>
    </w:p>
    <w:p w14:paraId="7119AA14" w14:textId="77777777" w:rsidR="00AB0BBA" w:rsidRPr="008D72C4" w:rsidRDefault="00AB0BBA" w:rsidP="00AB0BBA">
      <w:pPr>
        <w:jc w:val="both"/>
        <w:rPr>
          <w:sz w:val="22"/>
          <w:lang w:eastAsia="en-US"/>
        </w:rPr>
      </w:pPr>
    </w:p>
    <w:p w14:paraId="009EADB1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 xml:space="preserve"> „ODLUKA O DAVANJU ODREĐENIH NEKRETNINA U VLASNIŠTVU REPUBLIKE HRVATSKE NA UPRAVLJANJE UREDU PREDSJEDNICE REPUBLIKE HRVATSKE I MINISTARSTVU DRŽAVNE IMOVINE“:</w:t>
      </w:r>
    </w:p>
    <w:p w14:paraId="627A0C7B" w14:textId="77777777" w:rsidR="00AB0BBA" w:rsidRPr="008D72C4" w:rsidRDefault="00AB0BBA" w:rsidP="00AB0BBA">
      <w:pPr>
        <w:jc w:val="both"/>
        <w:rPr>
          <w:sz w:val="22"/>
          <w:lang w:eastAsia="en-US"/>
        </w:rPr>
      </w:pPr>
    </w:p>
    <w:p w14:paraId="7F3DB8D3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ab/>
        <w:t xml:space="preserve">  Točka I.  mijenja se i glasi:</w:t>
      </w:r>
    </w:p>
    <w:p w14:paraId="7DE882C4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>„Zgrade s pratećim prostorima i objektima koje čine  kompleks Predsjedničkih dvora - Vila Zagorje s aneksom, Vila Prekrižje, objekt počasne satnije i drugi objekti   (u daljnjem tekstu: nekretnine) i pokretnine koje neposredno služe tim nekretninama daju se na upravljanje Uredu predsjednice Republike Hrvatske, a u katastarskom operatu označene su kao :</w:t>
      </w:r>
    </w:p>
    <w:p w14:paraId="5BED8CD1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 xml:space="preserve">- kat.čest.br. 113/1, Pantovčak, ukupne površine 279.678 m², upisana u posjedovni list br. 2422 k.o. Črnomerec </w:t>
      </w:r>
    </w:p>
    <w:p w14:paraId="43401241" w14:textId="77777777" w:rsidR="00AB0BBA" w:rsidRPr="008D72C4" w:rsidRDefault="00AB0BBA" w:rsidP="00AB0BBA">
      <w:pPr>
        <w:jc w:val="both"/>
        <w:rPr>
          <w:sz w:val="22"/>
          <w:lang w:eastAsia="en-US"/>
        </w:rPr>
      </w:pPr>
    </w:p>
    <w:p w14:paraId="0C0929C6" w14:textId="77777777" w:rsidR="00AB0BBA" w:rsidRPr="008D72C4" w:rsidRDefault="00AB0BBA" w:rsidP="00AB0BBA">
      <w:pPr>
        <w:jc w:val="center"/>
        <w:rPr>
          <w:b/>
          <w:sz w:val="22"/>
          <w:lang w:eastAsia="en-US"/>
        </w:rPr>
      </w:pPr>
      <w:r w:rsidRPr="008D72C4">
        <w:rPr>
          <w:b/>
          <w:sz w:val="22"/>
          <w:lang w:eastAsia="en-US"/>
        </w:rPr>
        <w:t>II.</w:t>
      </w:r>
    </w:p>
    <w:p w14:paraId="56944275" w14:textId="77777777" w:rsidR="00AB0BBA" w:rsidRPr="008D72C4" w:rsidRDefault="00AB0BBA" w:rsidP="00AB0BBA">
      <w:pPr>
        <w:jc w:val="both"/>
        <w:rPr>
          <w:b/>
          <w:sz w:val="22"/>
          <w:lang w:eastAsia="en-US"/>
        </w:rPr>
      </w:pPr>
    </w:p>
    <w:p w14:paraId="10C65ED2" w14:textId="77777777" w:rsidR="00AB0BBA" w:rsidRPr="008D72C4" w:rsidRDefault="00AB0BBA" w:rsidP="00AB0BBA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ab/>
        <w:t>U točki II. stavku 1. riječi „“Državnom uredu za upravljanje državnom imovinom“ zamjenjuju se riječima  Ministarstvu državne imovine“.</w:t>
      </w:r>
    </w:p>
    <w:p w14:paraId="25304960" w14:textId="77777777" w:rsidR="00AB0BBA" w:rsidRPr="008D72C4" w:rsidRDefault="00AB0BBA" w:rsidP="00AB0BBA">
      <w:pPr>
        <w:jc w:val="both"/>
        <w:rPr>
          <w:sz w:val="22"/>
          <w:lang w:eastAsia="en-US"/>
        </w:rPr>
      </w:pPr>
    </w:p>
    <w:p w14:paraId="487BAC5C" w14:textId="77777777" w:rsidR="00EA3446" w:rsidRDefault="00AB0BBA" w:rsidP="00EA3446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ab/>
        <w:t>U stavku 1. podstavak 2. riječi „Pantovčak 241a, Zagreb“ za</w:t>
      </w:r>
      <w:r w:rsidR="00EA3446">
        <w:rPr>
          <w:sz w:val="22"/>
          <w:lang w:eastAsia="en-US"/>
        </w:rPr>
        <w:t>mjenjuju se riječima „Pantovčak 243“.</w:t>
      </w:r>
    </w:p>
    <w:p w14:paraId="4B902003" w14:textId="77777777" w:rsidR="00EA3446" w:rsidRDefault="00EA3446" w:rsidP="001C0060">
      <w:pPr>
        <w:jc w:val="center"/>
        <w:rPr>
          <w:sz w:val="22"/>
          <w:lang w:eastAsia="en-US"/>
        </w:rPr>
      </w:pPr>
    </w:p>
    <w:p w14:paraId="7328DDB7" w14:textId="77777777" w:rsidR="00745DA3" w:rsidRDefault="00745DA3" w:rsidP="001C0060">
      <w:pPr>
        <w:jc w:val="center"/>
        <w:rPr>
          <w:sz w:val="22"/>
          <w:lang w:eastAsia="en-US"/>
        </w:rPr>
      </w:pPr>
    </w:p>
    <w:p w14:paraId="01CEB264" w14:textId="77777777" w:rsidR="001C0060" w:rsidRPr="008D72C4" w:rsidRDefault="001C0060" w:rsidP="001C0060">
      <w:pPr>
        <w:jc w:val="center"/>
        <w:rPr>
          <w:b/>
          <w:sz w:val="22"/>
          <w:lang w:eastAsia="en-US"/>
        </w:rPr>
      </w:pPr>
      <w:r w:rsidRPr="008D72C4">
        <w:rPr>
          <w:b/>
          <w:sz w:val="22"/>
          <w:lang w:eastAsia="en-US"/>
        </w:rPr>
        <w:t>III.</w:t>
      </w:r>
    </w:p>
    <w:p w14:paraId="719E5202" w14:textId="77777777" w:rsidR="001C0060" w:rsidRPr="008D72C4" w:rsidRDefault="001C0060" w:rsidP="001C0060">
      <w:pPr>
        <w:jc w:val="both"/>
        <w:rPr>
          <w:b/>
          <w:sz w:val="22"/>
          <w:lang w:eastAsia="en-US"/>
        </w:rPr>
      </w:pPr>
    </w:p>
    <w:p w14:paraId="61BD12F5" w14:textId="77777777" w:rsidR="001C0060" w:rsidRPr="008D72C4" w:rsidRDefault="001C0060" w:rsidP="001C0060">
      <w:pPr>
        <w:jc w:val="both"/>
        <w:rPr>
          <w:sz w:val="22"/>
          <w:lang w:eastAsia="en-US"/>
        </w:rPr>
      </w:pPr>
      <w:r w:rsidRPr="008D72C4">
        <w:rPr>
          <w:sz w:val="22"/>
          <w:lang w:eastAsia="en-US"/>
        </w:rPr>
        <w:tab/>
        <w:t>U točki IV. stavku 1. riječi „“Državni ured za upravljanje državnom imovinom“ zamjenjuju se riječima  „Ministarstvo državne imovine“.</w:t>
      </w:r>
    </w:p>
    <w:p w14:paraId="2D8D3811" w14:textId="77777777" w:rsidR="001C0060" w:rsidRPr="008D72C4" w:rsidRDefault="001C0060" w:rsidP="001C0060">
      <w:pPr>
        <w:jc w:val="both"/>
        <w:rPr>
          <w:sz w:val="22"/>
          <w:lang w:eastAsia="en-US"/>
        </w:rPr>
      </w:pPr>
    </w:p>
    <w:p w14:paraId="1DACAFB5" w14:textId="77777777" w:rsidR="001C0060" w:rsidRPr="008D72C4" w:rsidRDefault="001C0060" w:rsidP="001C0060">
      <w:pPr>
        <w:jc w:val="both"/>
        <w:rPr>
          <w:sz w:val="22"/>
          <w:lang w:eastAsia="en-US"/>
        </w:rPr>
      </w:pPr>
    </w:p>
    <w:p w14:paraId="04DD69D5" w14:textId="77777777" w:rsidR="001C0060" w:rsidRPr="008D72C4" w:rsidRDefault="001C0060" w:rsidP="001C0060">
      <w:pPr>
        <w:jc w:val="center"/>
        <w:rPr>
          <w:b/>
          <w:sz w:val="22"/>
          <w:lang w:eastAsia="en-US"/>
        </w:rPr>
      </w:pPr>
      <w:r w:rsidRPr="008D72C4">
        <w:rPr>
          <w:b/>
          <w:sz w:val="22"/>
          <w:lang w:eastAsia="en-US"/>
        </w:rPr>
        <w:t>IV.</w:t>
      </w:r>
    </w:p>
    <w:p w14:paraId="3D31B0E6" w14:textId="77777777" w:rsidR="001C0060" w:rsidRPr="008D72C4" w:rsidRDefault="001C0060" w:rsidP="001C0060">
      <w:pPr>
        <w:jc w:val="both"/>
        <w:rPr>
          <w:sz w:val="22"/>
          <w:lang w:eastAsia="en-US"/>
        </w:rPr>
      </w:pPr>
    </w:p>
    <w:p w14:paraId="365C3AF3" w14:textId="77777777" w:rsidR="001C0060" w:rsidRPr="008D72C4" w:rsidRDefault="001C0060" w:rsidP="001C0060">
      <w:pPr>
        <w:rPr>
          <w:sz w:val="22"/>
          <w:lang w:eastAsia="en-US"/>
        </w:rPr>
      </w:pPr>
      <w:r w:rsidRPr="008D72C4">
        <w:rPr>
          <w:sz w:val="22"/>
          <w:lang w:eastAsia="en-US"/>
        </w:rPr>
        <w:t xml:space="preserve">            Ova Odluka stupa na snagu </w:t>
      </w:r>
      <w:r w:rsidR="001E68F8">
        <w:rPr>
          <w:sz w:val="22"/>
          <w:lang w:eastAsia="en-US"/>
        </w:rPr>
        <w:t>prvog</w:t>
      </w:r>
      <w:r>
        <w:rPr>
          <w:sz w:val="22"/>
          <w:lang w:eastAsia="en-US"/>
        </w:rPr>
        <w:t xml:space="preserve"> dana od</w:t>
      </w:r>
      <w:r w:rsidRPr="008D72C4">
        <w:rPr>
          <w:sz w:val="22"/>
          <w:lang w:eastAsia="en-US"/>
        </w:rPr>
        <w:t xml:space="preserve"> dana objave u Narodnim novinama.</w:t>
      </w:r>
    </w:p>
    <w:p w14:paraId="0B4E5C7D" w14:textId="77777777" w:rsidR="001C0060" w:rsidRPr="008D72C4" w:rsidRDefault="001C0060" w:rsidP="001C0060">
      <w:pPr>
        <w:spacing w:line="20" w:lineRule="atLeast"/>
        <w:rPr>
          <w:rFonts w:eastAsia="Calibri" w:cs="Arial"/>
          <w:lang w:eastAsia="en-US"/>
        </w:rPr>
      </w:pPr>
    </w:p>
    <w:p w14:paraId="583EE394" w14:textId="77777777" w:rsidR="001C0060" w:rsidRPr="008D72C4" w:rsidRDefault="001C0060" w:rsidP="001C0060">
      <w:pPr>
        <w:spacing w:line="20" w:lineRule="atLeast"/>
        <w:rPr>
          <w:rFonts w:eastAsia="Calibri" w:cs="Arial"/>
          <w:lang w:eastAsia="en-US"/>
        </w:rPr>
      </w:pPr>
      <w:r w:rsidRPr="008D72C4">
        <w:rPr>
          <w:rFonts w:eastAsia="Calibri" w:cs="Arial"/>
          <w:lang w:eastAsia="en-US"/>
        </w:rPr>
        <w:t xml:space="preserve">KLASA: </w:t>
      </w:r>
    </w:p>
    <w:p w14:paraId="7FAD7922" w14:textId="77777777" w:rsidR="001C0060" w:rsidRDefault="001C0060" w:rsidP="001C0060">
      <w:pPr>
        <w:spacing w:line="20" w:lineRule="atLeast"/>
        <w:rPr>
          <w:rFonts w:eastAsia="Calibri" w:cs="Arial"/>
          <w:lang w:eastAsia="en-US"/>
        </w:rPr>
      </w:pPr>
      <w:r w:rsidRPr="008D72C4">
        <w:rPr>
          <w:rFonts w:eastAsia="Calibri" w:cs="Arial"/>
          <w:lang w:eastAsia="en-US"/>
        </w:rPr>
        <w:t xml:space="preserve">URBROJ: </w:t>
      </w:r>
    </w:p>
    <w:p w14:paraId="3D0CFB6C" w14:textId="77777777" w:rsidR="001C0060" w:rsidRPr="008D72C4" w:rsidRDefault="001C0060" w:rsidP="001C0060">
      <w:pPr>
        <w:rPr>
          <w:sz w:val="22"/>
          <w:lang w:eastAsia="en-US"/>
        </w:rPr>
      </w:pPr>
    </w:p>
    <w:p w14:paraId="361631A1" w14:textId="77777777" w:rsidR="001C0060" w:rsidRPr="008D72C4" w:rsidRDefault="001C0060" w:rsidP="001C0060">
      <w:pPr>
        <w:ind w:left="4536"/>
        <w:jc w:val="center"/>
        <w:rPr>
          <w:rFonts w:eastAsia="Calibri"/>
          <w:b/>
          <w:lang w:eastAsia="en-US"/>
        </w:rPr>
      </w:pPr>
      <w:r w:rsidRPr="008D72C4">
        <w:rPr>
          <w:rFonts w:eastAsia="Calibri"/>
          <w:b/>
          <w:lang w:eastAsia="en-US"/>
        </w:rPr>
        <w:t>PREDSJEDNIK</w:t>
      </w:r>
    </w:p>
    <w:p w14:paraId="0C7ACDB3" w14:textId="77777777" w:rsidR="001C0060" w:rsidRPr="008D72C4" w:rsidRDefault="001C0060" w:rsidP="001C0060">
      <w:pPr>
        <w:ind w:left="4536"/>
        <w:jc w:val="center"/>
        <w:rPr>
          <w:rFonts w:eastAsia="Calibri"/>
          <w:b/>
          <w:lang w:eastAsia="en-US"/>
        </w:rPr>
      </w:pPr>
    </w:p>
    <w:p w14:paraId="5E320831" w14:textId="77777777" w:rsidR="001C0060" w:rsidRPr="008D72C4" w:rsidRDefault="001C0060" w:rsidP="001C0060">
      <w:pPr>
        <w:ind w:left="4536"/>
        <w:jc w:val="center"/>
        <w:rPr>
          <w:rFonts w:eastAsia="Calibri"/>
          <w:lang w:eastAsia="en-US"/>
        </w:rPr>
      </w:pPr>
    </w:p>
    <w:p w14:paraId="40713A89" w14:textId="77777777" w:rsidR="00AB0BBA" w:rsidRPr="00745DA3" w:rsidRDefault="00745DA3" w:rsidP="00745DA3">
      <w:pPr>
        <w:ind w:left="4536"/>
        <w:jc w:val="center"/>
        <w:rPr>
          <w:rFonts w:eastAsia="Calibri"/>
          <w:lang w:eastAsia="en-US"/>
        </w:rPr>
        <w:sectPr w:rsidR="00AB0BBA" w:rsidRPr="00745DA3" w:rsidSect="001C0060"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  <w:r>
        <w:rPr>
          <w:rFonts w:eastAsia="Calibri"/>
          <w:lang w:eastAsia="en-US"/>
        </w:rPr>
        <w:t>mr. sc. Andrej Plenkovi</w:t>
      </w:r>
      <w:r w:rsidR="007C47DC">
        <w:rPr>
          <w:rFonts w:eastAsia="Calibri"/>
          <w:lang w:eastAsia="en-US"/>
        </w:rPr>
        <w:t>ć</w:t>
      </w:r>
    </w:p>
    <w:p w14:paraId="52DF617A" w14:textId="77777777" w:rsidR="00AB0BBA" w:rsidRPr="00EF3C52" w:rsidRDefault="00AB0BBA" w:rsidP="00AB0BBA">
      <w:pPr>
        <w:spacing w:line="2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EF3C52">
        <w:rPr>
          <w:rFonts w:eastAsia="Calibri"/>
          <w:b/>
          <w:sz w:val="32"/>
          <w:szCs w:val="32"/>
          <w:lang w:eastAsia="en-US"/>
        </w:rPr>
        <w:lastRenderedPageBreak/>
        <w:t>Obrazloženje</w:t>
      </w:r>
    </w:p>
    <w:p w14:paraId="5EAB58A4" w14:textId="77777777" w:rsidR="00AB0BBA" w:rsidRPr="008D72C4" w:rsidRDefault="00AB0BBA" w:rsidP="00AB0BB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14:paraId="6E7464D1" w14:textId="77777777" w:rsidR="00AB0BBA" w:rsidRPr="008D72C4" w:rsidRDefault="00AB0BBA" w:rsidP="00AB0BBA">
      <w:pPr>
        <w:spacing w:line="20" w:lineRule="atLeast"/>
        <w:jc w:val="both"/>
        <w:rPr>
          <w:sz w:val="22"/>
          <w:lang w:eastAsia="en-US"/>
        </w:rPr>
      </w:pPr>
      <w:r w:rsidRPr="008D72C4">
        <w:rPr>
          <w:rFonts w:eastAsia="Calibri"/>
          <w:sz w:val="22"/>
          <w:szCs w:val="22"/>
          <w:lang w:eastAsia="en-US"/>
        </w:rPr>
        <w:t xml:space="preserve">               </w:t>
      </w:r>
      <w:r w:rsidRPr="008D72C4">
        <w:rPr>
          <w:sz w:val="22"/>
          <w:lang w:eastAsia="en-US"/>
        </w:rPr>
        <w:t>Odlukom o davanju određenih nekretnina u vlasništvu Republike Hrvatske na upravljanje Uredu predsjednice Republike Hrvatske i Državnom ured za upravljanje državnom imovinom („N.N. br. 47/16) i to točkom I. dato je na upravljanje Uredu predsjednice Republike Hrvatske  zgrade s pratećim prostorom i objektima i pokretninama koje neposredno služe tim nekretninama i to: 1. glavna kuća, Pantovčak 241, Zagreb i 2. „Vila Prekrižje“, Zagreb.</w:t>
      </w:r>
    </w:p>
    <w:p w14:paraId="024C8C95" w14:textId="77777777" w:rsidR="00AB0BBA" w:rsidRPr="008D72C4" w:rsidRDefault="00AB0BBA" w:rsidP="00AB0BBA">
      <w:pPr>
        <w:spacing w:line="20" w:lineRule="atLeast"/>
        <w:jc w:val="both"/>
        <w:rPr>
          <w:sz w:val="22"/>
          <w:lang w:eastAsia="en-US"/>
        </w:rPr>
      </w:pPr>
    </w:p>
    <w:p w14:paraId="4DB9DDE9" w14:textId="77777777" w:rsidR="00AB0BBA" w:rsidRPr="008D72C4" w:rsidRDefault="00AB0BBA" w:rsidP="00AB0BB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8D72C4">
        <w:rPr>
          <w:sz w:val="22"/>
          <w:lang w:eastAsia="en-US"/>
        </w:rPr>
        <w:tab/>
        <w:t xml:space="preserve"> Postojeći </w:t>
      </w:r>
      <w:r w:rsidRPr="008D72C4">
        <w:rPr>
          <w:rFonts w:eastAsia="Calibri"/>
          <w:sz w:val="22"/>
          <w:szCs w:val="22"/>
          <w:lang w:eastAsia="en-US"/>
        </w:rPr>
        <w:t>Kompleks Predsjedničkih dvora čini Vila Zagorje s aneksom, Vila Prekrižje, objekt počasne satnije i drugi objekt te park-šuma Pantovčak, ukupne površine cca 95 ha.</w:t>
      </w:r>
    </w:p>
    <w:p w14:paraId="6E830CCF" w14:textId="77777777" w:rsidR="00AB0BBA" w:rsidRPr="008D72C4" w:rsidRDefault="00AB0BBA" w:rsidP="00AB0BBA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8D72C4">
        <w:rPr>
          <w:rFonts w:eastAsia="Calibri"/>
          <w:sz w:val="22"/>
          <w:szCs w:val="22"/>
          <w:lang w:eastAsia="en-US"/>
        </w:rPr>
        <w:t xml:space="preserve"> </w:t>
      </w:r>
    </w:p>
    <w:p w14:paraId="348F57E3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rFonts w:eastAsia="Calibri"/>
          <w:sz w:val="22"/>
          <w:szCs w:val="22"/>
          <w:lang w:eastAsia="en-US"/>
        </w:rPr>
        <w:t xml:space="preserve">               Budući da više ne postoje državni, funkcionalni, sadržajni, protkolarni i dr. razlozi da kompleks Predsjedničkih dvora zauzima toliku površinu od cca 95 ha, te da su i sigurnosni kriteriji i mjerila ukazali da više ne postoji potreba da kompleks Predsjedničkih dvora zauzima toliku površinu, oko 95 ha, Ministarstvo državne imovine je poduzelo radnje da se postojeći </w:t>
      </w:r>
      <w:r w:rsidRPr="008D72C4">
        <w:rPr>
          <w:sz w:val="22"/>
          <w:szCs w:val="22"/>
          <w:lang w:eastAsia="en-US"/>
        </w:rPr>
        <w:t>kompleks smanji, te je ishodilo rješenje o utvrđivanju građevne čestice, kojim je utvrđeno nužno zemljište za redovitu uporabu postojećih građevina unutar kompleksa, u površini od cca 28 ha.</w:t>
      </w:r>
    </w:p>
    <w:p w14:paraId="7A2B6E83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6F3B89A1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 xml:space="preserve">    Preostali dio kompleksa od 67 ha namijeniti će se za druge sadržaje i zahvate sukladno prostorno-planskim dokumentima Grada Zagreba i Zagrebačke županije, te određivanjem statusa preostalog zemljišta sukladno šumsko-gospodarskim planovima šumsko-gospodarskog područja, a sve s ciljem da se i taj dio kompleksa učini dostupnim građanima kada se steknu uvjeti za to.</w:t>
      </w:r>
    </w:p>
    <w:p w14:paraId="5A1BD102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 xml:space="preserve">  </w:t>
      </w:r>
    </w:p>
    <w:p w14:paraId="782E2CBD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 xml:space="preserve">                S obzirom na naprijed navedeno, poduzete je cjelovit i sveobuhvatan skup radnji, koji je rezultirao formiranjem jedne jedinstvene građevne čestice za objekte u obuhvatu kompleksa, označene kao kat.čest.br. 113/1, Pantovčak, ukupne površine 279.678 m², poslovna zgrada, Zagreb, Pantovčak 241C, površine 1.639 m², poslovna zgrada, ured Predsjednika Republike Hrvatske, Zagreb, Pantovčak 241, površine 1.581 m², nadstrešnica , površine 27 m², pomoćna zgrada, površine  39 m², spremište, površine 154 m², gospodarska zgrada, površine 225 m², gospodarska zgrada, Zagreb, Pantovčak 241A, površine 367 m², poslovna zgrada, Zagreb, Pantovčak 241B, površine 1.157 m², gospodarska zgrada, površine 461 m², poslovna zgrada, vila Prekrižje, Zagreb, Pantovčak 281, površine 829 m², spremište, površine 62 m², spremište, površine 28 m², trafostanica, površine 9 m², spremište, površine 165 m², pomoćna zgrada, glavna porta, površine 188 m², pomoćna zgrada, površine 20 m², dvorište, površine 42 m², put, površine 12.404 m², dvorište, površine 105.266 m², bazen, površine 108 m², dvorište, površine 154.616 m², dvorište, površine 45 m², dvorište, površine 44 m², put, površine 202 m², upisane u posjedovni list 2422 k.o. Črnomerec, čime su se stekli uvjeti za izmjenu točke I. Odluke o davanju određenih nekretnina u vlasništvu Republike Hrvatske Uredu predsjednice Republike Hrvatske i Državnom uredu za upravljanje državnom imovinom.</w:t>
      </w:r>
    </w:p>
    <w:p w14:paraId="1E7747E6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610DF222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 xml:space="preserve">    Označena nekretnina kat.čest.br. 113/1 k.o. Črnomerec  obuhvaća sve nekretnine (zgrade, objekte, zemljište, ume i dr.) koje su potrebne za zadovoljavanje svih uvjeta neophodnih za normalno funkcioniranje institucije predsjednika Republike Hrvatske  i svih pratećih tijela, ureda i dr.službi koje omogućavaju normalno funkcioniranje ustavne uloge predsjednika Republike Hrvatske, te se točka I. postojeće Odluke mijenja na način da se umjesto. 1. Glavna kuća, Pantovčak 241, Zagreb i 2. „Vila Prekrižje“, Zagreb precizira da se Uredu predsjednice Republike Hrvatske daje na upravljanje nekretnina koja je formirana temeljem svih provedenih radnji označena kao kat.čest.br. 113/1 k.o. Črnomerec , površine 279.678 m².</w:t>
      </w:r>
    </w:p>
    <w:p w14:paraId="6F0EE94D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2A191ED8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 xml:space="preserve">                  Posebno se napominje da zemljišnoknjižno i katastarsko stanje nisu usklađeni te da je, što se tiče zemljišnih knjiga, potrebno prethodno provesti elaborat RN 2/2019 k.o. Črnomerec, temeljem kojeg će i u zemljišnim knjigama nastati početno stanje kakvo je u elaboratu RN broj 45 k.o. Črnomerec, što će omogućiti njegovu provedbu. </w:t>
      </w:r>
    </w:p>
    <w:p w14:paraId="20C0FF4A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270E83EA" w14:textId="77777777" w:rsidR="00AB0BBA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 xml:space="preserve">      Također, točkom I. prijedloga Odluke mijenja se naslov Odluke na način da u istom riječi „Državnom uredu za upravljanje državnom imovinom“  zamjenjuju se riječima „Ministarstvo državne</w:t>
      </w:r>
    </w:p>
    <w:p w14:paraId="72E76D2A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3353D733" w14:textId="77777777" w:rsidR="00AB0BBA" w:rsidRPr="008D72C4" w:rsidRDefault="00AB0BBA" w:rsidP="00AB0BBA">
      <w:pPr>
        <w:spacing w:line="20" w:lineRule="atLeast"/>
        <w:jc w:val="both"/>
        <w:rPr>
          <w:b/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lastRenderedPageBreak/>
        <w:tab/>
      </w:r>
      <w:r w:rsidRPr="008D72C4">
        <w:rPr>
          <w:sz w:val="22"/>
          <w:szCs w:val="22"/>
          <w:lang w:eastAsia="en-US"/>
        </w:rPr>
        <w:tab/>
      </w:r>
      <w:r w:rsidRPr="008D72C4">
        <w:rPr>
          <w:sz w:val="22"/>
          <w:szCs w:val="22"/>
          <w:lang w:eastAsia="en-US"/>
        </w:rPr>
        <w:tab/>
      </w:r>
      <w:r w:rsidRPr="008D72C4">
        <w:rPr>
          <w:sz w:val="22"/>
          <w:szCs w:val="22"/>
          <w:lang w:eastAsia="en-US"/>
        </w:rPr>
        <w:tab/>
      </w:r>
      <w:r w:rsidRPr="008D72C4">
        <w:rPr>
          <w:sz w:val="22"/>
          <w:szCs w:val="22"/>
          <w:lang w:eastAsia="en-US"/>
        </w:rPr>
        <w:tab/>
      </w:r>
      <w:r w:rsidRPr="008D72C4">
        <w:rPr>
          <w:sz w:val="22"/>
          <w:szCs w:val="22"/>
          <w:lang w:eastAsia="en-US"/>
        </w:rPr>
        <w:tab/>
      </w:r>
      <w:r w:rsidRPr="008D72C4">
        <w:rPr>
          <w:b/>
          <w:sz w:val="22"/>
          <w:szCs w:val="22"/>
          <w:lang w:eastAsia="en-US"/>
        </w:rPr>
        <w:t xml:space="preserve">- 2 - </w:t>
      </w:r>
    </w:p>
    <w:p w14:paraId="32738B95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15BE949F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>imovine“, te se na taj način vrši usklađivanje naziva tijela nadležnog za upravljanje državnom imovinom sukladno odredbama članka 23.a Zakona o izmjenama i dopunama Zakona o ustrojstvu i djelokrugu ministarstava i drugih središnjih tijela državne uprave („N.N.“, br. 104/16).</w:t>
      </w:r>
    </w:p>
    <w:p w14:paraId="4B5841CC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13E10521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 xml:space="preserve">U točki II. Prijedloga odluke vrši se usklađivanje naziva tijela nadležnog za upravljanje državnom imovinom sukladno odredbama članka 23.a Zakona o izmjenama i dopunama Zakona o ustrojstvu i djelokrugu ministarstava i drugih središnjih tijela državne uprave, kao i točno određivanje anagrafske oznake „Zelena vila“, koja sada ima oznaku Pantovčak 243, budući se Zelena vila nalazi na kat.čest.br. 113/5 k.o. Pantovčak. </w:t>
      </w:r>
    </w:p>
    <w:p w14:paraId="3A8E8A8C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0965E23F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  <w:r w:rsidRPr="008D72C4">
        <w:rPr>
          <w:sz w:val="22"/>
          <w:szCs w:val="22"/>
          <w:lang w:eastAsia="en-US"/>
        </w:rPr>
        <w:tab/>
        <w:t>U točki III. Prijedloga odluke vrši se usklađivanje naziva tijela nadležnog za upravljanje državnom imovinom sukladno odredbama članka 23.a Zakona o izmjenama i dopunama Zakona o ustrojstvu i djelokrugu ministarstava i drugih središnjih tijela državne uprave.</w:t>
      </w:r>
    </w:p>
    <w:p w14:paraId="24A54602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737B7A43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630E5DBD" w14:textId="77777777" w:rsidR="00AB0BBA" w:rsidRPr="008D72C4" w:rsidRDefault="00AB0BBA" w:rsidP="00AB0BBA">
      <w:pPr>
        <w:spacing w:line="20" w:lineRule="atLeast"/>
        <w:jc w:val="both"/>
        <w:rPr>
          <w:sz w:val="22"/>
          <w:szCs w:val="22"/>
          <w:lang w:eastAsia="en-US"/>
        </w:rPr>
      </w:pPr>
    </w:p>
    <w:p w14:paraId="392F102D" w14:textId="77777777" w:rsidR="00AB0BBA" w:rsidRPr="00CE78D1" w:rsidRDefault="00AB0BBA" w:rsidP="00AB0BBA"/>
    <w:p w14:paraId="5D8C5321" w14:textId="77777777" w:rsidR="00F84E47" w:rsidRDefault="00F84E47"/>
    <w:sectPr w:rsidR="00F84E47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93"/>
    <w:rsid w:val="001C0060"/>
    <w:rsid w:val="001E68F8"/>
    <w:rsid w:val="002075B0"/>
    <w:rsid w:val="003D0E2F"/>
    <w:rsid w:val="00435E4E"/>
    <w:rsid w:val="005D1283"/>
    <w:rsid w:val="00616993"/>
    <w:rsid w:val="00745DA3"/>
    <w:rsid w:val="007C47DC"/>
    <w:rsid w:val="00AB0BBA"/>
    <w:rsid w:val="00B63846"/>
    <w:rsid w:val="00EA3446"/>
    <w:rsid w:val="00EF26EC"/>
    <w:rsid w:val="00EF3C52"/>
    <w:rsid w:val="00F84E47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A5E"/>
  <w15:chartTrackingRefBased/>
  <w15:docId w15:val="{A23F2442-CB7D-45FE-A772-39DBFE9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BA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Vlatka Šelimber</cp:lastModifiedBy>
  <cp:revision>2</cp:revision>
  <cp:lastPrinted>2019-11-14T09:55:00Z</cp:lastPrinted>
  <dcterms:created xsi:type="dcterms:W3CDTF">2019-11-14T10:42:00Z</dcterms:created>
  <dcterms:modified xsi:type="dcterms:W3CDTF">2019-11-14T10:42:00Z</dcterms:modified>
</cp:coreProperties>
</file>