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0DA6" w14:textId="77777777" w:rsidR="00903B45" w:rsidRPr="00583187" w:rsidRDefault="00903B45" w:rsidP="00903B45">
      <w:pPr>
        <w:pStyle w:val="Default"/>
        <w:jc w:val="right"/>
        <w:rPr>
          <w:rFonts w:asciiTheme="minorHAnsi" w:hAnsiTheme="minorHAnsi" w:cs="Arial"/>
          <w:i/>
          <w:sz w:val="22"/>
          <w:szCs w:val="22"/>
        </w:rPr>
      </w:pPr>
      <w:bookmarkStart w:id="0" w:name="_GoBack"/>
      <w:bookmarkEnd w:id="0"/>
    </w:p>
    <w:p w14:paraId="460F0DA7" w14:textId="77777777" w:rsidR="00903B45" w:rsidRPr="00583187" w:rsidRDefault="00903B45" w:rsidP="00903B4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60F0DA8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460F0DA9" w14:textId="77777777" w:rsidR="00903B45" w:rsidRPr="00637A88" w:rsidRDefault="00903B45" w:rsidP="00903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60F0DFA" wp14:editId="460F0DFB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A8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7A8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37A8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60F0DAA" w14:textId="77777777" w:rsidR="00903B45" w:rsidRPr="00637A88" w:rsidRDefault="00903B45" w:rsidP="00903B4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460F0DAB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F0DAC" w14:textId="77777777" w:rsidR="00903B45" w:rsidRPr="00637A88" w:rsidRDefault="00903B45" w:rsidP="00903B45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51D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FA160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3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1608">
        <w:rPr>
          <w:rFonts w:ascii="Times New Roman" w:eastAsia="Times New Roman" w:hAnsi="Times New Roman" w:cs="Times New Roman"/>
          <w:sz w:val="24"/>
          <w:szCs w:val="24"/>
        </w:rPr>
        <w:t xml:space="preserve">svibnja </w:t>
      </w:r>
      <w:r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14:paraId="460F0DAD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AE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Ministarstvo zaštite okoliša i energetike </w:t>
      </w:r>
    </w:p>
    <w:p w14:paraId="460F0DAF" w14:textId="77777777" w:rsidR="00903B45" w:rsidRPr="00637A88" w:rsidRDefault="00903B45" w:rsidP="00903B4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0" w14:textId="77777777" w:rsidR="00903B45" w:rsidRPr="00637A88" w:rsidRDefault="00903B45" w:rsidP="00903B45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1" w14:textId="7744930A" w:rsidR="00903B45" w:rsidRPr="00637A88" w:rsidRDefault="00903B45" w:rsidP="00FA1608">
      <w:pPr>
        <w:spacing w:after="0" w:line="240" w:lineRule="auto"/>
        <w:ind w:left="2124" w:hanging="2124"/>
        <w:jc w:val="both"/>
        <w:rPr>
          <w:rFonts w:ascii="Calibri" w:hAnsi="Calibri" w:cs="Calibri"/>
          <w:color w:val="2F5496" w:themeColor="accent5" w:themeShade="BF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 w:rsidRPr="006F5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608">
        <w:rPr>
          <w:rFonts w:ascii="Times New Roman" w:hAnsi="Times New Roman" w:cs="Times New Roman"/>
          <w:bCs/>
          <w:sz w:val="24"/>
          <w:szCs w:val="24"/>
        </w:rPr>
        <w:tab/>
      </w:r>
      <w:r w:rsidRPr="00435931">
        <w:rPr>
          <w:rFonts w:ascii="Times New Roman" w:hAnsi="Times New Roman" w:cs="Times New Roman"/>
          <w:bCs/>
          <w:sz w:val="24"/>
          <w:szCs w:val="24"/>
        </w:rPr>
        <w:t>Prijedlog od</w:t>
      </w:r>
      <w:r w:rsidR="001651D9">
        <w:rPr>
          <w:rFonts w:ascii="Times New Roman" w:hAnsi="Times New Roman" w:cs="Times New Roman"/>
          <w:bCs/>
          <w:sz w:val="24"/>
          <w:szCs w:val="24"/>
        </w:rPr>
        <w:t xml:space="preserve">luke </w:t>
      </w:r>
      <w:r w:rsidR="003121F6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5D3584">
        <w:rPr>
          <w:rFonts w:ascii="Times New Roman" w:hAnsi="Times New Roman" w:cs="Times New Roman"/>
          <w:bCs/>
          <w:sz w:val="24"/>
          <w:szCs w:val="24"/>
        </w:rPr>
        <w:t xml:space="preserve">koordinaciji aktivnosti vezanih </w:t>
      </w:r>
      <w:r w:rsidR="0097476C">
        <w:rPr>
          <w:rFonts w:ascii="Times New Roman" w:hAnsi="Times New Roman" w:cs="Times New Roman"/>
          <w:bCs/>
          <w:sz w:val="24"/>
          <w:szCs w:val="24"/>
        </w:rPr>
        <w:t>uz</w:t>
      </w:r>
      <w:r w:rsidR="005D3584">
        <w:rPr>
          <w:rFonts w:ascii="Times New Roman" w:hAnsi="Times New Roman" w:cs="Times New Roman"/>
          <w:bCs/>
          <w:sz w:val="24"/>
          <w:szCs w:val="24"/>
        </w:rPr>
        <w:t xml:space="preserve"> izgradnju i opr</w:t>
      </w:r>
      <w:r w:rsidR="003121F6">
        <w:rPr>
          <w:rFonts w:ascii="Times New Roman" w:hAnsi="Times New Roman" w:cs="Times New Roman"/>
          <w:bCs/>
          <w:sz w:val="24"/>
          <w:szCs w:val="24"/>
        </w:rPr>
        <w:t>e</w:t>
      </w:r>
      <w:r w:rsidR="005D3584">
        <w:rPr>
          <w:rFonts w:ascii="Times New Roman" w:hAnsi="Times New Roman" w:cs="Times New Roman"/>
          <w:bCs/>
          <w:sz w:val="24"/>
          <w:szCs w:val="24"/>
        </w:rPr>
        <w:t>manje centara za gospodarenje otpadom</w:t>
      </w:r>
    </w:p>
    <w:p w14:paraId="460F0DB2" w14:textId="77777777" w:rsidR="00903B45" w:rsidRPr="00637A88" w:rsidRDefault="00903B45" w:rsidP="00903B4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3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4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5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6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7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8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9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A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B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C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D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E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F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C0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C1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C2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F0DC3" w14:textId="77777777" w:rsidR="00903B45" w:rsidRPr="00637A88" w:rsidRDefault="00903B45" w:rsidP="00903B4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637A88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460F0DC4" w14:textId="77777777" w:rsidR="00903B45" w:rsidRDefault="00903B45" w:rsidP="004C58D1">
      <w:pPr>
        <w:pStyle w:val="Default"/>
        <w:jc w:val="right"/>
      </w:pPr>
    </w:p>
    <w:p w14:paraId="460F0DC5" w14:textId="77777777" w:rsidR="005019AB" w:rsidRDefault="005019AB" w:rsidP="001651D9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C6" w14:textId="77777777" w:rsidR="001651D9" w:rsidRPr="001651D9" w:rsidRDefault="001651D9" w:rsidP="001651D9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PRIJEDLOG</w:t>
      </w:r>
    </w:p>
    <w:p w14:paraId="460F0DC7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C8" w14:textId="673DAD8A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Na temelju članka 31. stavka 2. Zakona o Vladi Republike Hrvatske (Narodne novine, broj 150/11, 119/14, 93/16) 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</w:t>
      </w:r>
      <w:r w:rsidR="00CD37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vezi s </w:t>
      </w:r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Plan</w:t>
      </w:r>
      <w:r w:rsidR="00CD3751">
        <w:rPr>
          <w:rFonts w:ascii="Times New Roman" w:eastAsia="SimSun" w:hAnsi="Times New Roman" w:cs="Times New Roman"/>
          <w:sz w:val="24"/>
          <w:szCs w:val="24"/>
          <w:lang w:eastAsia="zh-CN"/>
        </w:rPr>
        <w:t>om</w:t>
      </w:r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gospodarenja otpadom </w:t>
      </w:r>
      <w:r w:rsidR="003121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Republike Hrvatske </w:t>
      </w:r>
      <w:r w:rsidR="00927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razdoblje </w:t>
      </w:r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2017. do 2022. godine (Narodne novine, broj 3/17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1D0B3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Vlada Republike Hrvatske je na sjednici održanoj ___________________2019. godine donijela </w:t>
      </w:r>
    </w:p>
    <w:p w14:paraId="460F0DC9" w14:textId="77777777" w:rsidR="001651D9" w:rsidRPr="001651D9" w:rsidRDefault="001651D9" w:rsidP="001651D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CA" w14:textId="77777777" w:rsidR="001651D9" w:rsidRPr="001651D9" w:rsidRDefault="001651D9" w:rsidP="001651D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CB" w14:textId="77777777" w:rsidR="001651D9" w:rsidRPr="001651D9" w:rsidRDefault="001651D9" w:rsidP="001651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ODLUKU</w:t>
      </w:r>
    </w:p>
    <w:p w14:paraId="460F0DCC" w14:textId="5129EBB2" w:rsidR="0047784F" w:rsidRDefault="005D3584" w:rsidP="00165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584">
        <w:rPr>
          <w:rFonts w:ascii="Times New Roman" w:hAnsi="Times New Roman" w:cs="Times New Roman"/>
          <w:b/>
          <w:bCs/>
          <w:sz w:val="24"/>
          <w:szCs w:val="24"/>
        </w:rPr>
        <w:t xml:space="preserve">o koordinaciji aktivnosti vezanih </w:t>
      </w:r>
      <w:r w:rsidR="00B445E8">
        <w:rPr>
          <w:rFonts w:ascii="Times New Roman" w:hAnsi="Times New Roman" w:cs="Times New Roman"/>
          <w:b/>
          <w:bCs/>
          <w:sz w:val="24"/>
          <w:szCs w:val="24"/>
        </w:rPr>
        <w:t>uz</w:t>
      </w:r>
      <w:r w:rsidRPr="005D3584">
        <w:rPr>
          <w:rFonts w:ascii="Times New Roman" w:hAnsi="Times New Roman" w:cs="Times New Roman"/>
          <w:b/>
          <w:bCs/>
          <w:sz w:val="24"/>
          <w:szCs w:val="24"/>
        </w:rPr>
        <w:t xml:space="preserve"> izgradnju i opr</w:t>
      </w:r>
      <w:r w:rsidR="003121F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D3584">
        <w:rPr>
          <w:rFonts w:ascii="Times New Roman" w:hAnsi="Times New Roman" w:cs="Times New Roman"/>
          <w:b/>
          <w:bCs/>
          <w:sz w:val="24"/>
          <w:szCs w:val="24"/>
        </w:rPr>
        <w:t>manje</w:t>
      </w:r>
    </w:p>
    <w:p w14:paraId="460F0DCD" w14:textId="77777777" w:rsidR="001651D9" w:rsidRPr="001651D9" w:rsidRDefault="005D3584" w:rsidP="001651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D3584">
        <w:rPr>
          <w:rFonts w:ascii="Times New Roman" w:hAnsi="Times New Roman" w:cs="Times New Roman"/>
          <w:b/>
          <w:bCs/>
          <w:sz w:val="24"/>
          <w:szCs w:val="24"/>
        </w:rPr>
        <w:t xml:space="preserve"> centara za gospodarenje otpadom</w:t>
      </w:r>
    </w:p>
    <w:p w14:paraId="460F0DCE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60F0DCF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60F0DD0" w14:textId="77777777" w:rsidR="001651D9" w:rsidRPr="001651D9" w:rsidRDefault="001651D9" w:rsidP="001651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I.</w:t>
      </w:r>
    </w:p>
    <w:p w14:paraId="460F0DD1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0F0DD2" w14:textId="2B853839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cilju izvršenja obveza iz </w:t>
      </w:r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Plan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gospodarenja otpadom</w:t>
      </w:r>
      <w:r w:rsidR="003121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Republike Hrvatske</w:t>
      </w:r>
      <w:r w:rsidR="00927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 razdoblje </w:t>
      </w:r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2017. do 2022. godine (Narodne novine, broj 3/17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>) (u daljnj</w:t>
      </w:r>
      <w:r w:rsidR="003121F6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 tekstu „Plan“), zadužuje se Ministarstvo zaštite okoliša i energetike za koordinaciju aktivnosti vezanih </w:t>
      </w:r>
      <w:r w:rsidR="00B445E8">
        <w:rPr>
          <w:rFonts w:ascii="Times New Roman" w:eastAsia="SimSun" w:hAnsi="Times New Roman" w:cs="Times New Roman"/>
          <w:sz w:val="24"/>
          <w:szCs w:val="24"/>
          <w:lang w:eastAsia="zh-CN"/>
        </w:rPr>
        <w:t>uz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izgradnju i opr</w:t>
      </w:r>
      <w:r w:rsidR="003121F6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>manje centara za gospodar</w:t>
      </w:r>
      <w:r w:rsidR="003121F6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>n</w:t>
      </w:r>
      <w:r w:rsidR="003121F6">
        <w:rPr>
          <w:rFonts w:ascii="Times New Roman" w:eastAsia="SimSun" w:hAnsi="Times New Roman" w:cs="Times New Roman"/>
          <w:sz w:val="24"/>
          <w:szCs w:val="24"/>
          <w:lang w:eastAsia="zh-CN"/>
        </w:rPr>
        <w:t>j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otpadom </w:t>
      </w:r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Biljane Donje, </w:t>
      </w:r>
      <w:proofErr w:type="spellStart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Bikarac</w:t>
      </w:r>
      <w:proofErr w:type="spellEnd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Lećevica</w:t>
      </w:r>
      <w:proofErr w:type="spellEnd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Lučino</w:t>
      </w:r>
      <w:proofErr w:type="spellEnd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razdolje</w:t>
      </w:r>
      <w:proofErr w:type="spellEnd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Babina gora, </w:t>
      </w:r>
      <w:proofErr w:type="spellStart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Piškornica</w:t>
      </w:r>
      <w:proofErr w:type="spellEnd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Orlovnjak</w:t>
      </w:r>
      <w:proofErr w:type="spellEnd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Šagulje</w:t>
      </w:r>
      <w:proofErr w:type="spellEnd"/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Zagreb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60F0DD3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D4" w14:textId="77777777" w:rsidR="001651D9" w:rsidRDefault="001651D9" w:rsidP="001651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II.</w:t>
      </w:r>
    </w:p>
    <w:p w14:paraId="460F0DD5" w14:textId="77777777" w:rsidR="005019AB" w:rsidRPr="001651D9" w:rsidRDefault="005019AB" w:rsidP="001651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60F0DD6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>Sukl</w:t>
      </w:r>
      <w:r w:rsidR="003121F6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>dno obvezama iz Plana</w:t>
      </w:r>
      <w:r w:rsidR="00EF4EC2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1D0B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financiranje 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izgradnj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</w:t>
      </w:r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nabav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="005D3584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opreme za centre za gospodarenje otpadom iz točke I. ove Odluke,</w:t>
      </w:r>
      <w:r w:rsidR="001D0B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F0C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ostvaruje</w:t>
      </w:r>
      <w:r w:rsidR="005D35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 prema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sljedećim udjelima:</w:t>
      </w:r>
    </w:p>
    <w:p w14:paraId="460F0DD7" w14:textId="77777777" w:rsidR="001651D9" w:rsidRPr="001651D9" w:rsidRDefault="001651D9" w:rsidP="001651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D9">
        <w:rPr>
          <w:rFonts w:ascii="Times New Roman" w:eastAsia="Times New Roman" w:hAnsi="Times New Roman" w:cs="Times New Roman"/>
          <w:sz w:val="24"/>
          <w:szCs w:val="24"/>
        </w:rPr>
        <w:t>90% sredstava osigura</w:t>
      </w:r>
      <w:r w:rsidR="008F0C4A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1651D9">
        <w:rPr>
          <w:rFonts w:ascii="Times New Roman" w:eastAsia="Times New Roman" w:hAnsi="Times New Roman" w:cs="Times New Roman"/>
          <w:sz w:val="24"/>
          <w:szCs w:val="24"/>
        </w:rPr>
        <w:t xml:space="preserve">  se iz Europskih strukturnih i investicijskih fondova i Fonda za zaštitu okoliša i energetsku učinkovitost. Udio sufinanciranja Fonda za zaštitu okoliša i energetsku učinkovitost ovisi o određenom udjelu sufinanciranja sredstvima Europske unije. </w:t>
      </w:r>
    </w:p>
    <w:p w14:paraId="460F0DD8" w14:textId="77777777" w:rsidR="001651D9" w:rsidRPr="001651D9" w:rsidRDefault="001651D9" w:rsidP="001651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D9">
        <w:rPr>
          <w:rFonts w:ascii="Times New Roman" w:eastAsia="Times New Roman" w:hAnsi="Times New Roman" w:cs="Times New Roman"/>
          <w:sz w:val="24"/>
          <w:szCs w:val="24"/>
        </w:rPr>
        <w:t>10% sredstava osigura</w:t>
      </w:r>
      <w:r w:rsidR="008F0C4A">
        <w:rPr>
          <w:rFonts w:ascii="Times New Roman" w:eastAsia="Times New Roman" w:hAnsi="Times New Roman" w:cs="Times New Roman"/>
          <w:sz w:val="24"/>
          <w:szCs w:val="24"/>
        </w:rPr>
        <w:t xml:space="preserve">vaju </w:t>
      </w:r>
      <w:r w:rsidR="008C6145">
        <w:rPr>
          <w:rFonts w:ascii="Times New Roman" w:eastAsia="Times New Roman" w:hAnsi="Times New Roman" w:cs="Times New Roman"/>
          <w:sz w:val="24"/>
          <w:szCs w:val="24"/>
        </w:rPr>
        <w:t>jedinice lokalne i/ili područne (regionalne) samouprave</w:t>
      </w:r>
    </w:p>
    <w:p w14:paraId="460F0DD9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DA" w14:textId="77777777" w:rsidR="001651D9" w:rsidRDefault="001651D9" w:rsidP="0016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651D9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III.</w:t>
      </w:r>
    </w:p>
    <w:p w14:paraId="460F0DDB" w14:textId="77777777" w:rsidR="005019AB" w:rsidRPr="001651D9" w:rsidRDefault="005019AB" w:rsidP="0016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460F0DDC" w14:textId="6ADED9BF" w:rsidR="008F0C4A" w:rsidRDefault="001651D9" w:rsidP="0016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 xml:space="preserve"> Fond za zaštitu ok</w:t>
      </w:r>
      <w:r w:rsidR="005A5961">
        <w:rPr>
          <w:rFonts w:ascii="Times New Roman" w:eastAsia="SimSun" w:hAnsi="Times New Roman" w:cs="Times New Roman"/>
          <w:sz w:val="24"/>
          <w:szCs w:val="24"/>
          <w:lang w:eastAsia="hr-HR"/>
        </w:rPr>
        <w:t>oliša i energetsku učinkovitost</w:t>
      </w:r>
      <w:r w:rsidRPr="001651D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5D358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će u skladu s važećim zakonskim odredbama donijeti odgovarajuće akte radi </w:t>
      </w:r>
      <w:r w:rsidR="003121F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realizacije </w:t>
      </w:r>
      <w:r w:rsidR="008F0C4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aktivnosti vezanih </w:t>
      </w:r>
      <w:r w:rsidR="00B445E8">
        <w:rPr>
          <w:rFonts w:ascii="Times New Roman" w:eastAsia="SimSun" w:hAnsi="Times New Roman" w:cs="Times New Roman"/>
          <w:sz w:val="24"/>
          <w:szCs w:val="24"/>
          <w:lang w:eastAsia="hr-HR"/>
        </w:rPr>
        <w:t>uz</w:t>
      </w:r>
      <w:r w:rsidR="008F0C4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izgradnju i opremanje centara za gospodarenje otpadom</w:t>
      </w:r>
      <w:r w:rsidR="003121F6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460F0DDD" w14:textId="77777777" w:rsidR="001651D9" w:rsidRPr="001651D9" w:rsidRDefault="001651D9" w:rsidP="0016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60F0DDE" w14:textId="77777777" w:rsidR="001651D9" w:rsidRDefault="00EB7825" w:rsidP="0016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EB7825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I</w:t>
      </w:r>
      <w:r w:rsidR="001651D9" w:rsidRPr="00EB7825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V.</w:t>
      </w:r>
    </w:p>
    <w:p w14:paraId="460F0DDF" w14:textId="77777777" w:rsidR="005019AB" w:rsidRPr="00EB7825" w:rsidRDefault="005019AB" w:rsidP="0016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14:paraId="460F0DE0" w14:textId="77777777" w:rsidR="001651D9" w:rsidRPr="001651D9" w:rsidRDefault="001651D9" w:rsidP="0016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>Ova Odluka stupa na snagu danom donošenja.</w:t>
      </w:r>
    </w:p>
    <w:p w14:paraId="460F0DE1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E2" w14:textId="77777777" w:rsidR="001651D9" w:rsidRPr="001651D9" w:rsidRDefault="001651D9" w:rsidP="001651D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E3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E4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Klasa: 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60F0DE5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Urbroj</w:t>
      </w:r>
      <w:proofErr w:type="spellEnd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60F0DE6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E7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Zagreb, 2019.</w:t>
      </w:r>
    </w:p>
    <w:p w14:paraId="460F0DE8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206181D" w14:textId="77777777" w:rsidR="00DC6C00" w:rsidRDefault="00DC6C00" w:rsidP="00DC6C00">
      <w:pPr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6119">
        <w:rPr>
          <w:rFonts w:ascii="Times New Roman" w:eastAsia="SimSun" w:hAnsi="Times New Roman" w:cs="Times New Roman"/>
          <w:sz w:val="24"/>
          <w:szCs w:val="24"/>
          <w:lang w:eastAsia="zh-CN"/>
        </w:rPr>
        <w:t>PREDSJEDNIK</w:t>
      </w:r>
    </w:p>
    <w:p w14:paraId="5ED7D671" w14:textId="77777777" w:rsidR="00DC6C00" w:rsidRPr="000E6119" w:rsidRDefault="00DC6C00" w:rsidP="00DC6C00">
      <w:pPr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EC" w14:textId="15F2CBC5" w:rsidR="00AD44A9" w:rsidRPr="00DC6C00" w:rsidRDefault="00DC6C00" w:rsidP="00DC6C00">
      <w:pPr>
        <w:spacing w:after="0" w:line="240" w:lineRule="auto"/>
        <w:ind w:left="5664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0E61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mr. </w:t>
      </w:r>
      <w:proofErr w:type="spellStart"/>
      <w:r w:rsidRPr="000E6119">
        <w:rPr>
          <w:rFonts w:ascii="Times New Roman" w:eastAsia="SimSun" w:hAnsi="Times New Roman" w:cs="Times New Roman"/>
          <w:sz w:val="24"/>
          <w:szCs w:val="24"/>
          <w:lang w:eastAsia="zh-CN"/>
        </w:rPr>
        <w:t>sc</w:t>
      </w:r>
      <w:proofErr w:type="spellEnd"/>
      <w:r w:rsidRPr="000E6119">
        <w:rPr>
          <w:rFonts w:ascii="Times New Roman" w:eastAsia="SimSun" w:hAnsi="Times New Roman" w:cs="Times New Roman"/>
          <w:sz w:val="24"/>
          <w:szCs w:val="24"/>
          <w:lang w:eastAsia="zh-CN"/>
        </w:rPr>
        <w:t>. Andrej Plenković</w:t>
      </w:r>
    </w:p>
    <w:p w14:paraId="460F0DED" w14:textId="77777777" w:rsidR="001651D9" w:rsidRPr="001651D9" w:rsidRDefault="001651D9" w:rsidP="001651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OBRAZLOŽENJE</w:t>
      </w:r>
    </w:p>
    <w:p w14:paraId="460F0DEE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EF" w14:textId="0C2447E6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Republika Hrvatska je u siječnju 2017. godine donijela Plan gospo</w:t>
      </w:r>
      <w:r w:rsidR="00927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darenja otpadom za razdoblje 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2017. do 2022. godine (Narodne novine, broj 3/17, u daljnjem tekstu Plan). Plan sadrži niz mjera za ispunjavanje obveza koje RH mora ispuniti sukladno EU direktivama i Ugovoru o pristupanju, od kojih su prioritetne sljedeće obveze: uspostava sustava odvojenog prikupljanja korisnog otpada, zabrana odlaganja otpada na neusklađena odlagališta u 2018. godini, stopa od 50% recikliranja u 2020. godini, maksimalna količina odloženog biorazgradivog otpada od 264.661 t u 2020. godini. </w:t>
      </w:r>
    </w:p>
    <w:p w14:paraId="460F0DF0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F1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Kako bi se ispunile obveze koje se odnose na zabranu odlaganja otpad na neusklađena odlagališta te dostigao cilj maksimalne količine odloženog biorazgradivog otpada na odlagališta potrebno je u što kraćem roku izgraditi preostale centre za gospodarenje otpadom (Biljane Donje, </w:t>
      </w:r>
      <w:proofErr w:type="spellStart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Bikarac</w:t>
      </w:r>
      <w:proofErr w:type="spellEnd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Lećevica</w:t>
      </w:r>
      <w:proofErr w:type="spellEnd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Lučino</w:t>
      </w:r>
      <w:proofErr w:type="spellEnd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razdolje</w:t>
      </w:r>
      <w:proofErr w:type="spellEnd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Babina gora, </w:t>
      </w:r>
      <w:proofErr w:type="spellStart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Piškornica</w:t>
      </w:r>
      <w:proofErr w:type="spellEnd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Orlovnjak</w:t>
      </w:r>
      <w:proofErr w:type="spellEnd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Šagulje</w:t>
      </w:r>
      <w:proofErr w:type="spellEnd"/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Zagreb), a sve sukladno Planu. </w:t>
      </w:r>
    </w:p>
    <w:p w14:paraId="460F0DF2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F3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Strategija sufinanciranja izgradnje i nabave opreme za centre za gospodarenje otpadom se oslanja na sredstva Operativnog programa Konkurentnost i kohezija 2014. – 2020., te je za svaki projekt potrebno izraditi Studiju izvedivosti i analizu troškova i koristi. Studija izvedivosti i Analiza troškova i koristi trebaju biti izrađene u skladu s Uredbom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ribarstvo, Vodiču Europske unije za analizu troškova i koristi investicijskih projekata i Pravilnika o prihvatljivosti izdataka (Narodne novine 115/2018). Da bi isto bilo moguće između ostalog potrebno je jasno i nedvojbeno definirati omjere sufinanciranja iz pojedinih javnih izvora, a što se predlaže ovom Odlukom.</w:t>
      </w:r>
    </w:p>
    <w:p w14:paraId="460F0DF4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F5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skladu s raspoloživom sredstvima Europskih strukturnih i investicijskih fondova (ESIF) i Fonda za zaštitu okoliša i energetsku učinkovitost (FZOEU), te u skladu s mogućnostima jedinica </w:t>
      </w:r>
      <w:r w:rsidR="00EB7825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regionalne</w:t>
      </w:r>
      <w:r w:rsidR="00EB78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lokalne  samouprave (; omjeri sufinanciranja izgradnje i opremanja su kako slijedi: 90% sredstava osigurat će se iz ESIF-a i FZOEU, 10% sredstava osigurat će </w:t>
      </w:r>
      <w:r w:rsidR="008C6145" w:rsidRPr="008C6145">
        <w:rPr>
          <w:rFonts w:ascii="Times New Roman" w:eastAsia="SimSun" w:hAnsi="Times New Roman" w:cs="Times New Roman"/>
          <w:sz w:val="24"/>
          <w:szCs w:val="24"/>
          <w:lang w:eastAsia="zh-CN"/>
        </w:rPr>
        <w:t>jedinice lokalne i/ili područne (regionalne) samouprave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60F0DF6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Sredstva ESIF-a se nalaze na razdjelu Ministarstva zaštite okoliša i energetike, a ta sredstva, u skladu s analizom troškova i koristi, pokrivaju od 75 do 80% potrebnih sredstava za izgradnju i opremanje centara za gospodarenje otpadom, 15 do 20% sredstava osigurava FZOEU iz izvora koje su FZOEU-u na raspolaganju od prodaje emisijskih jedinica i ostalih izvora. Dodatna sredstva koja nisu bila predviđena u financijskim projekcijama FZOEU za 2020. i 2021. godinu, osigurat će se raspodjelom viškova sredstava od prodaje emisijskih jedinica, viškovi sredstava su rezultat povećanja cijene emisijskih jedinica na tržištu.</w:t>
      </w:r>
    </w:p>
    <w:p w14:paraId="460F0DF7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F8" w14:textId="77777777" w:rsidR="00F529E4" w:rsidRPr="001651D9" w:rsidRDefault="00F529E4" w:rsidP="00F529E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Donošenjem ove Odluke o </w:t>
      </w:r>
      <w:r>
        <w:rPr>
          <w:rFonts w:ascii="Times New Roman" w:hAnsi="Times New Roman" w:cs="Times New Roman"/>
          <w:bCs/>
          <w:sz w:val="24"/>
          <w:szCs w:val="24"/>
        </w:rPr>
        <w:t>koordinaciji aktivnosti vezanih na izgradnju i opremanje centara za gospodarenje otpadom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 dodatno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su razrađene uloge u aktivnostima koje su nužne za 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izgradnju i opremanje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centara za gospodarenje otpadom,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čime će se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osigurati brža provedba i praćenje Plana na lokalnoj, regionalnoj i nacionalnoj razini, te omogućiti bolj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iskorištenost EU sredstava osiguranih za provođenje mjera za gospodarenje otpadom.</w:t>
      </w:r>
    </w:p>
    <w:p w14:paraId="460F0DF9" w14:textId="77777777" w:rsidR="005115A0" w:rsidRDefault="006655D6" w:rsidP="00EB7825">
      <w:pPr>
        <w:spacing w:after="0" w:line="240" w:lineRule="auto"/>
        <w:jc w:val="both"/>
      </w:pPr>
    </w:p>
    <w:sectPr w:rsidR="005115A0" w:rsidSect="008A7B8E"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3BB92" w14:textId="77777777" w:rsidR="006655D6" w:rsidRDefault="006655D6">
      <w:pPr>
        <w:spacing w:after="0" w:line="240" w:lineRule="auto"/>
      </w:pPr>
      <w:r>
        <w:separator/>
      </w:r>
    </w:p>
  </w:endnote>
  <w:endnote w:type="continuationSeparator" w:id="0">
    <w:p w14:paraId="72255F9F" w14:textId="77777777" w:rsidR="006655D6" w:rsidRDefault="0066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0E00" w14:textId="77777777" w:rsidR="007478C0" w:rsidRDefault="006655D6">
    <w:pPr>
      <w:pStyle w:val="Footer"/>
      <w:jc w:val="right"/>
    </w:pPr>
  </w:p>
  <w:p w14:paraId="460F0E01" w14:textId="77777777" w:rsidR="007478C0" w:rsidRDefault="00665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848A" w14:textId="77777777" w:rsidR="006655D6" w:rsidRDefault="006655D6">
      <w:pPr>
        <w:spacing w:after="0" w:line="240" w:lineRule="auto"/>
      </w:pPr>
      <w:r>
        <w:separator/>
      </w:r>
    </w:p>
  </w:footnote>
  <w:footnote w:type="continuationSeparator" w:id="0">
    <w:p w14:paraId="0DC60806" w14:textId="77777777" w:rsidR="006655D6" w:rsidRDefault="0066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F0D95"/>
    <w:multiLevelType w:val="hybridMultilevel"/>
    <w:tmpl w:val="9934EB68"/>
    <w:lvl w:ilvl="0" w:tplc="06FA0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B5783"/>
    <w:multiLevelType w:val="hybridMultilevel"/>
    <w:tmpl w:val="31ACDDD0"/>
    <w:lvl w:ilvl="0" w:tplc="21CE21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A1419"/>
    <w:multiLevelType w:val="hybridMultilevel"/>
    <w:tmpl w:val="939A0374"/>
    <w:lvl w:ilvl="0" w:tplc="B25C1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009F"/>
    <w:multiLevelType w:val="hybridMultilevel"/>
    <w:tmpl w:val="609A64B4"/>
    <w:lvl w:ilvl="0" w:tplc="B25C1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4E"/>
    <w:rsid w:val="00010A56"/>
    <w:rsid w:val="00050265"/>
    <w:rsid w:val="000A5540"/>
    <w:rsid w:val="001336AF"/>
    <w:rsid w:val="001651D9"/>
    <w:rsid w:val="001D0B31"/>
    <w:rsid w:val="001E3416"/>
    <w:rsid w:val="002640F2"/>
    <w:rsid w:val="002642EC"/>
    <w:rsid w:val="002A2B06"/>
    <w:rsid w:val="002E3CEB"/>
    <w:rsid w:val="003121F6"/>
    <w:rsid w:val="0031276B"/>
    <w:rsid w:val="00312988"/>
    <w:rsid w:val="0034616A"/>
    <w:rsid w:val="00383A8B"/>
    <w:rsid w:val="003A2997"/>
    <w:rsid w:val="003B700E"/>
    <w:rsid w:val="00413F8F"/>
    <w:rsid w:val="0047784F"/>
    <w:rsid w:val="004A5D46"/>
    <w:rsid w:val="004C58D1"/>
    <w:rsid w:val="005019AB"/>
    <w:rsid w:val="00514013"/>
    <w:rsid w:val="005A2B0D"/>
    <w:rsid w:val="005A5961"/>
    <w:rsid w:val="005D3584"/>
    <w:rsid w:val="005F384E"/>
    <w:rsid w:val="00613F26"/>
    <w:rsid w:val="0065574D"/>
    <w:rsid w:val="006655D6"/>
    <w:rsid w:val="00696E31"/>
    <w:rsid w:val="006D17AD"/>
    <w:rsid w:val="006F7B99"/>
    <w:rsid w:val="00733633"/>
    <w:rsid w:val="00743338"/>
    <w:rsid w:val="00835BA0"/>
    <w:rsid w:val="00874092"/>
    <w:rsid w:val="00894B78"/>
    <w:rsid w:val="008C6145"/>
    <w:rsid w:val="008F0C4A"/>
    <w:rsid w:val="00903B45"/>
    <w:rsid w:val="00927403"/>
    <w:rsid w:val="00935D6A"/>
    <w:rsid w:val="0097476C"/>
    <w:rsid w:val="009F1404"/>
    <w:rsid w:val="00A0034A"/>
    <w:rsid w:val="00A02949"/>
    <w:rsid w:val="00A32F9F"/>
    <w:rsid w:val="00A611AF"/>
    <w:rsid w:val="00A66A8A"/>
    <w:rsid w:val="00A91497"/>
    <w:rsid w:val="00AD44A9"/>
    <w:rsid w:val="00B445E8"/>
    <w:rsid w:val="00B84441"/>
    <w:rsid w:val="00BC7370"/>
    <w:rsid w:val="00C0419D"/>
    <w:rsid w:val="00C36DE3"/>
    <w:rsid w:val="00C4076B"/>
    <w:rsid w:val="00C914AE"/>
    <w:rsid w:val="00CC4999"/>
    <w:rsid w:val="00CD3751"/>
    <w:rsid w:val="00D03013"/>
    <w:rsid w:val="00D31C72"/>
    <w:rsid w:val="00D77932"/>
    <w:rsid w:val="00DC6C00"/>
    <w:rsid w:val="00E67669"/>
    <w:rsid w:val="00E72E92"/>
    <w:rsid w:val="00E81F60"/>
    <w:rsid w:val="00E90160"/>
    <w:rsid w:val="00EB7825"/>
    <w:rsid w:val="00EE2D3C"/>
    <w:rsid w:val="00EF4EC2"/>
    <w:rsid w:val="00F529E4"/>
    <w:rsid w:val="00F759F4"/>
    <w:rsid w:val="00F9403B"/>
    <w:rsid w:val="00FA1608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0DA6"/>
  <w15:docId w15:val="{9093C7DE-7D20-4433-BF18-CDB76FE7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C58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C58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D1"/>
  </w:style>
  <w:style w:type="paragraph" w:customStyle="1" w:styleId="Default">
    <w:name w:val="Default"/>
    <w:rsid w:val="004C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40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2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7756E-8698-4EAE-A4F4-319AD6FF92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7480B9-8E10-474F-AD46-D7CE34F38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7D7FE-A23A-424B-AC85-B92BD914C6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DB37DB-D864-4B37-88D0-5CD5E85AE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Palinić Galović</dc:creator>
  <cp:lastModifiedBy>Vlatka Šelimber</cp:lastModifiedBy>
  <cp:revision>2</cp:revision>
  <cp:lastPrinted>2019-05-02T12:29:00Z</cp:lastPrinted>
  <dcterms:created xsi:type="dcterms:W3CDTF">2019-05-09T14:46:00Z</dcterms:created>
  <dcterms:modified xsi:type="dcterms:W3CDTF">2019-05-09T14:46:00Z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