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7580E" w14:textId="77777777" w:rsidR="00A108C0" w:rsidRDefault="00A108C0" w:rsidP="001C19D2">
      <w:pPr>
        <w:pStyle w:val="ListParagraph"/>
        <w:spacing w:after="0" w:line="240" w:lineRule="auto"/>
        <w:jc w:val="right"/>
        <w:rPr>
          <w:rFonts w:ascii="Times New Roman" w:hAnsi="Times New Roman"/>
          <w:sz w:val="24"/>
          <w:szCs w:val="24"/>
        </w:rPr>
      </w:pPr>
      <w:bookmarkStart w:id="0" w:name="_GoBack"/>
      <w:bookmarkEnd w:id="0"/>
    </w:p>
    <w:p w14:paraId="58FB8497" w14:textId="77777777" w:rsidR="00A108C0" w:rsidRPr="00A108C0" w:rsidRDefault="00A108C0" w:rsidP="00A108C0">
      <w:pPr>
        <w:spacing w:after="200" w:line="276" w:lineRule="auto"/>
        <w:jc w:val="center"/>
        <w:rPr>
          <w:rFonts w:ascii="Calibri" w:eastAsia="Calibri" w:hAnsi="Calibri" w:cs="Times New Roman"/>
          <w:color w:val="auto"/>
          <w:sz w:val="22"/>
          <w:szCs w:val="22"/>
          <w:lang w:eastAsia="en-US"/>
        </w:rPr>
      </w:pPr>
      <w:r w:rsidRPr="00A108C0">
        <w:rPr>
          <w:rFonts w:ascii="Calibri" w:eastAsia="Calibri" w:hAnsi="Calibri" w:cs="Times New Roman"/>
          <w:noProof/>
          <w:color w:val="auto"/>
          <w:sz w:val="22"/>
          <w:szCs w:val="22"/>
        </w:rPr>
        <w:drawing>
          <wp:inline distT="0" distB="0" distL="0" distR="0" wp14:anchorId="7095191C" wp14:editId="22F14D98">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441A8579" w14:textId="77777777" w:rsidR="00A108C0" w:rsidRPr="00A108C0" w:rsidRDefault="00A108C0" w:rsidP="00A108C0">
      <w:pPr>
        <w:spacing w:before="60" w:after="1680" w:line="276" w:lineRule="auto"/>
        <w:jc w:val="center"/>
        <w:rPr>
          <w:rFonts w:ascii="Times New Roman" w:eastAsia="Calibri" w:hAnsi="Times New Roman" w:cs="Times New Roman"/>
          <w:color w:val="auto"/>
          <w:sz w:val="28"/>
          <w:szCs w:val="22"/>
          <w:lang w:eastAsia="en-US"/>
        </w:rPr>
      </w:pPr>
      <w:r w:rsidRPr="00A108C0">
        <w:rPr>
          <w:rFonts w:ascii="Times New Roman" w:eastAsia="Calibri" w:hAnsi="Times New Roman" w:cs="Times New Roman"/>
          <w:color w:val="auto"/>
          <w:sz w:val="28"/>
          <w:szCs w:val="22"/>
          <w:lang w:eastAsia="en-US"/>
        </w:rPr>
        <w:t>VLADA REPUBLIKE HRVATSKE</w:t>
      </w:r>
    </w:p>
    <w:p w14:paraId="487F4D05" w14:textId="77777777" w:rsidR="00A108C0" w:rsidRPr="00A108C0" w:rsidRDefault="00A108C0" w:rsidP="00A108C0">
      <w:pPr>
        <w:spacing w:after="200" w:line="276" w:lineRule="auto"/>
        <w:jc w:val="both"/>
        <w:rPr>
          <w:rFonts w:ascii="Times New Roman" w:eastAsia="Calibri" w:hAnsi="Times New Roman" w:cs="Times New Roman"/>
          <w:color w:val="auto"/>
          <w:lang w:eastAsia="en-US"/>
        </w:rPr>
      </w:pPr>
    </w:p>
    <w:p w14:paraId="56BA9F64" w14:textId="613926ED" w:rsidR="00A108C0" w:rsidRPr="00A108C0" w:rsidRDefault="00A108C0" w:rsidP="00A108C0">
      <w:pPr>
        <w:spacing w:after="200" w:line="276" w:lineRule="auto"/>
        <w:jc w:val="right"/>
        <w:rPr>
          <w:rFonts w:ascii="Times New Roman" w:eastAsia="Calibri" w:hAnsi="Times New Roman" w:cs="Times New Roman"/>
          <w:color w:val="auto"/>
          <w:lang w:eastAsia="en-US"/>
        </w:rPr>
      </w:pPr>
      <w:r w:rsidRPr="00A108C0">
        <w:rPr>
          <w:rFonts w:ascii="Times New Roman" w:eastAsia="Calibri" w:hAnsi="Times New Roman" w:cs="Times New Roman"/>
          <w:color w:val="auto"/>
          <w:lang w:eastAsia="en-US"/>
        </w:rPr>
        <w:t xml:space="preserve">Zagreb, </w:t>
      </w:r>
      <w:r>
        <w:rPr>
          <w:rFonts w:ascii="Times New Roman" w:eastAsia="Calibri" w:hAnsi="Times New Roman" w:cs="Times New Roman"/>
          <w:color w:val="auto"/>
          <w:lang w:eastAsia="en-US"/>
        </w:rPr>
        <w:t>3</w:t>
      </w:r>
      <w:r w:rsidRPr="00A108C0">
        <w:rPr>
          <w:rFonts w:ascii="Times New Roman" w:eastAsia="Calibri" w:hAnsi="Times New Roman" w:cs="Times New Roman"/>
          <w:color w:val="auto"/>
          <w:lang w:eastAsia="en-US"/>
        </w:rPr>
        <w:t>0. svibnja 2019.</w:t>
      </w:r>
    </w:p>
    <w:p w14:paraId="5081B2B8" w14:textId="77777777" w:rsidR="00A108C0" w:rsidRPr="00A108C0" w:rsidRDefault="00A108C0" w:rsidP="00A108C0">
      <w:pPr>
        <w:spacing w:after="200" w:line="276" w:lineRule="auto"/>
        <w:jc w:val="right"/>
        <w:rPr>
          <w:rFonts w:ascii="Times New Roman" w:eastAsia="Calibri" w:hAnsi="Times New Roman" w:cs="Times New Roman"/>
          <w:color w:val="auto"/>
          <w:lang w:eastAsia="en-US"/>
        </w:rPr>
      </w:pPr>
    </w:p>
    <w:p w14:paraId="1AB20C32" w14:textId="77777777" w:rsidR="00A108C0" w:rsidRPr="00A108C0" w:rsidRDefault="00A108C0" w:rsidP="00A108C0">
      <w:pPr>
        <w:spacing w:after="200" w:line="276" w:lineRule="auto"/>
        <w:jc w:val="right"/>
        <w:rPr>
          <w:rFonts w:ascii="Times New Roman" w:eastAsia="Calibri" w:hAnsi="Times New Roman" w:cs="Times New Roman"/>
          <w:color w:val="auto"/>
          <w:lang w:eastAsia="en-US"/>
        </w:rPr>
      </w:pPr>
    </w:p>
    <w:p w14:paraId="3B8A9B5A" w14:textId="77777777" w:rsidR="00A108C0" w:rsidRPr="00A108C0" w:rsidRDefault="00A108C0" w:rsidP="00A108C0">
      <w:pPr>
        <w:spacing w:after="200" w:line="276" w:lineRule="auto"/>
        <w:jc w:val="right"/>
        <w:rPr>
          <w:rFonts w:ascii="Times New Roman" w:eastAsia="Calibri" w:hAnsi="Times New Roman" w:cs="Times New Roman"/>
          <w:color w:val="auto"/>
          <w:lang w:eastAsia="en-US"/>
        </w:rPr>
      </w:pPr>
    </w:p>
    <w:p w14:paraId="4F76A695" w14:textId="77777777" w:rsidR="00A108C0" w:rsidRPr="00A108C0" w:rsidRDefault="00A108C0" w:rsidP="00A108C0">
      <w:pPr>
        <w:spacing w:after="200" w:line="276" w:lineRule="auto"/>
        <w:jc w:val="both"/>
        <w:rPr>
          <w:rFonts w:ascii="Times New Roman" w:eastAsia="Calibri" w:hAnsi="Times New Roman" w:cs="Times New Roman"/>
          <w:color w:val="auto"/>
          <w:lang w:eastAsia="en-US"/>
        </w:rPr>
      </w:pPr>
      <w:r w:rsidRPr="00A108C0">
        <w:rPr>
          <w:rFonts w:ascii="Times New Roman" w:eastAsia="Calibri" w:hAnsi="Times New Roman" w:cs="Times New Roman"/>
          <w:color w:val="auto"/>
          <w:lang w:eastAsia="en-US"/>
        </w:rPr>
        <w:t>__________________________________________________________________________</w:t>
      </w:r>
    </w:p>
    <w:tbl>
      <w:tblPr>
        <w:tblW w:w="0" w:type="auto"/>
        <w:tblLook w:val="04A0" w:firstRow="1" w:lastRow="0" w:firstColumn="1" w:lastColumn="0" w:noHBand="0" w:noVBand="1"/>
      </w:tblPr>
      <w:tblGrid>
        <w:gridCol w:w="1949"/>
        <w:gridCol w:w="7077"/>
      </w:tblGrid>
      <w:tr w:rsidR="00A108C0" w:rsidRPr="00A108C0" w14:paraId="1EE8E21E" w14:textId="77777777" w:rsidTr="00A108C0">
        <w:tc>
          <w:tcPr>
            <w:tcW w:w="1951" w:type="dxa"/>
            <w:hideMark/>
          </w:tcPr>
          <w:p w14:paraId="15E188A2" w14:textId="77777777" w:rsidR="00A108C0" w:rsidRPr="00A108C0" w:rsidRDefault="00A108C0" w:rsidP="00A108C0">
            <w:pPr>
              <w:spacing w:line="360" w:lineRule="auto"/>
              <w:jc w:val="right"/>
              <w:rPr>
                <w:rFonts w:ascii="Times New Roman" w:hAnsi="Times New Roman" w:cs="Times New Roman"/>
                <w:color w:val="auto"/>
              </w:rPr>
            </w:pPr>
            <w:r w:rsidRPr="00A108C0">
              <w:rPr>
                <w:rFonts w:ascii="Times New Roman" w:hAnsi="Times New Roman" w:cs="Times New Roman"/>
                <w:color w:val="auto"/>
              </w:rPr>
              <w:t xml:space="preserve"> </w:t>
            </w:r>
            <w:r w:rsidRPr="00A108C0">
              <w:rPr>
                <w:rFonts w:ascii="Times New Roman" w:hAnsi="Times New Roman" w:cs="Times New Roman"/>
                <w:b/>
                <w:smallCaps/>
                <w:color w:val="auto"/>
              </w:rPr>
              <w:t>Predlagatelj</w:t>
            </w:r>
            <w:r w:rsidRPr="00A108C0">
              <w:rPr>
                <w:rFonts w:ascii="Times New Roman" w:hAnsi="Times New Roman" w:cs="Times New Roman"/>
                <w:b/>
                <w:color w:val="auto"/>
              </w:rPr>
              <w:t>:</w:t>
            </w:r>
          </w:p>
        </w:tc>
        <w:tc>
          <w:tcPr>
            <w:tcW w:w="7229" w:type="dxa"/>
            <w:hideMark/>
          </w:tcPr>
          <w:p w14:paraId="084374EA" w14:textId="77777777" w:rsidR="00A108C0" w:rsidRPr="00A108C0" w:rsidRDefault="00A108C0" w:rsidP="00A108C0">
            <w:pPr>
              <w:spacing w:line="360" w:lineRule="auto"/>
              <w:rPr>
                <w:rFonts w:ascii="Times New Roman" w:hAnsi="Times New Roman" w:cs="Times New Roman"/>
                <w:color w:val="auto"/>
              </w:rPr>
            </w:pPr>
            <w:r w:rsidRPr="00A108C0">
              <w:rPr>
                <w:rFonts w:ascii="Times New Roman" w:hAnsi="Times New Roman" w:cs="Times New Roman"/>
                <w:color w:val="auto"/>
              </w:rPr>
              <w:t>Ministarstvo financija</w:t>
            </w:r>
          </w:p>
        </w:tc>
      </w:tr>
    </w:tbl>
    <w:p w14:paraId="673759B6" w14:textId="77777777" w:rsidR="00A108C0" w:rsidRPr="00A108C0" w:rsidRDefault="00A108C0" w:rsidP="00A108C0">
      <w:pPr>
        <w:spacing w:after="200" w:line="276" w:lineRule="auto"/>
        <w:jc w:val="both"/>
        <w:rPr>
          <w:rFonts w:ascii="Times New Roman" w:eastAsia="Calibri" w:hAnsi="Times New Roman" w:cs="Times New Roman"/>
          <w:color w:val="auto"/>
          <w:lang w:eastAsia="en-US"/>
        </w:rPr>
      </w:pPr>
      <w:r w:rsidRPr="00A108C0">
        <w:rPr>
          <w:rFonts w:ascii="Times New Roman" w:eastAsia="Calibri" w:hAnsi="Times New Roman" w:cs="Times New Roman"/>
          <w:color w:val="auto"/>
          <w:lang w:eastAsia="en-US"/>
        </w:rPr>
        <w:t>__________________________________________________________________________</w:t>
      </w:r>
    </w:p>
    <w:tbl>
      <w:tblPr>
        <w:tblW w:w="0" w:type="auto"/>
        <w:tblLook w:val="04A0" w:firstRow="1" w:lastRow="0" w:firstColumn="1" w:lastColumn="0" w:noHBand="0" w:noVBand="1"/>
      </w:tblPr>
      <w:tblGrid>
        <w:gridCol w:w="1934"/>
        <w:gridCol w:w="7092"/>
      </w:tblGrid>
      <w:tr w:rsidR="00A108C0" w:rsidRPr="00A108C0" w14:paraId="4C1C7D91" w14:textId="77777777" w:rsidTr="00A108C0">
        <w:tc>
          <w:tcPr>
            <w:tcW w:w="1951" w:type="dxa"/>
            <w:hideMark/>
          </w:tcPr>
          <w:p w14:paraId="51797987" w14:textId="77777777" w:rsidR="00A108C0" w:rsidRPr="00A108C0" w:rsidRDefault="00A108C0" w:rsidP="00A108C0">
            <w:pPr>
              <w:spacing w:line="360" w:lineRule="auto"/>
              <w:jc w:val="right"/>
              <w:rPr>
                <w:rFonts w:ascii="Times New Roman" w:hAnsi="Times New Roman" w:cs="Times New Roman"/>
                <w:color w:val="auto"/>
              </w:rPr>
            </w:pPr>
            <w:r w:rsidRPr="00A108C0">
              <w:rPr>
                <w:rFonts w:ascii="Times New Roman" w:hAnsi="Times New Roman" w:cs="Times New Roman"/>
                <w:b/>
                <w:smallCaps/>
                <w:color w:val="auto"/>
              </w:rPr>
              <w:t>Predmet</w:t>
            </w:r>
            <w:r w:rsidRPr="00A108C0">
              <w:rPr>
                <w:rFonts w:ascii="Times New Roman" w:hAnsi="Times New Roman" w:cs="Times New Roman"/>
                <w:b/>
                <w:color w:val="auto"/>
              </w:rPr>
              <w:t>:</w:t>
            </w:r>
          </w:p>
        </w:tc>
        <w:tc>
          <w:tcPr>
            <w:tcW w:w="7229" w:type="dxa"/>
            <w:hideMark/>
          </w:tcPr>
          <w:p w14:paraId="3C3804CA" w14:textId="78A08BF0" w:rsidR="00A108C0" w:rsidRPr="00A108C0" w:rsidRDefault="00A108C0" w:rsidP="008A3B07">
            <w:pPr>
              <w:jc w:val="both"/>
              <w:rPr>
                <w:rFonts w:ascii="Times New Roman" w:hAnsi="Times New Roman" w:cs="Times New Roman"/>
                <w:color w:val="auto"/>
              </w:rPr>
            </w:pPr>
            <w:r w:rsidRPr="00A108C0">
              <w:rPr>
                <w:rFonts w:ascii="Times New Roman" w:hAnsi="Times New Roman" w:cs="Times New Roman"/>
                <w:color w:val="auto"/>
              </w:rPr>
              <w:t xml:space="preserve">Prijedlog odluke </w:t>
            </w:r>
            <w:r w:rsidR="008A3B07" w:rsidRPr="008A3B07">
              <w:rPr>
                <w:rFonts w:ascii="Times New Roman" w:hAnsi="Times New Roman" w:cs="Times New Roman"/>
                <w:color w:val="auto"/>
              </w:rPr>
              <w:t>o davanju suglasnosti Ministarstvu zdravstva, Kliničkom bolničkom centru Rijeka, za preuzimanje obveza na teret sredstava državnog proračuna Republike Hrvatske za razdoblje od 2020. do 2033. godine, za sklapanje ugovora o energetskom učinku - pružanje energetske usluge (ušteda vode) u svrhu poboljšanja učinkovitosti postojećeg vodoopskrbnog sustava pitke hladne vode na skupu zgrada KBC Rijeka</w:t>
            </w:r>
          </w:p>
        </w:tc>
      </w:tr>
    </w:tbl>
    <w:p w14:paraId="7C0A08C0" w14:textId="77777777" w:rsidR="00A108C0" w:rsidRPr="00A108C0" w:rsidRDefault="00A108C0" w:rsidP="00A108C0">
      <w:pPr>
        <w:spacing w:after="200" w:line="276" w:lineRule="auto"/>
        <w:jc w:val="both"/>
        <w:rPr>
          <w:rFonts w:ascii="Times New Roman" w:eastAsia="Calibri" w:hAnsi="Times New Roman" w:cs="Times New Roman"/>
          <w:color w:val="auto"/>
          <w:lang w:eastAsia="en-US"/>
        </w:rPr>
      </w:pPr>
      <w:r w:rsidRPr="00A108C0">
        <w:rPr>
          <w:rFonts w:ascii="Times New Roman" w:eastAsia="Calibri" w:hAnsi="Times New Roman" w:cs="Times New Roman"/>
          <w:color w:val="auto"/>
          <w:lang w:eastAsia="en-US"/>
        </w:rPr>
        <w:t>__________________________________________________________________________</w:t>
      </w:r>
    </w:p>
    <w:p w14:paraId="27FEAF3A" w14:textId="77777777" w:rsidR="00A108C0" w:rsidRPr="00A108C0" w:rsidRDefault="00A108C0" w:rsidP="00A108C0">
      <w:pPr>
        <w:spacing w:after="200" w:line="276" w:lineRule="auto"/>
        <w:jc w:val="both"/>
        <w:rPr>
          <w:rFonts w:ascii="Times New Roman" w:eastAsia="Calibri" w:hAnsi="Times New Roman" w:cs="Times New Roman"/>
          <w:color w:val="auto"/>
          <w:lang w:eastAsia="en-US"/>
        </w:rPr>
      </w:pPr>
    </w:p>
    <w:p w14:paraId="2FD9CC48" w14:textId="77777777" w:rsidR="00A108C0" w:rsidRDefault="00A108C0" w:rsidP="001C19D2">
      <w:pPr>
        <w:pStyle w:val="ListParagraph"/>
        <w:spacing w:after="0" w:line="240" w:lineRule="auto"/>
        <w:jc w:val="right"/>
        <w:rPr>
          <w:rFonts w:ascii="Times New Roman" w:hAnsi="Times New Roman"/>
          <w:sz w:val="24"/>
          <w:szCs w:val="24"/>
        </w:rPr>
      </w:pPr>
    </w:p>
    <w:p w14:paraId="517EACAA" w14:textId="77777777" w:rsidR="00A108C0" w:rsidRDefault="00A108C0" w:rsidP="001C19D2">
      <w:pPr>
        <w:pStyle w:val="ListParagraph"/>
        <w:spacing w:after="0" w:line="240" w:lineRule="auto"/>
        <w:jc w:val="right"/>
        <w:rPr>
          <w:rFonts w:ascii="Times New Roman" w:hAnsi="Times New Roman"/>
          <w:sz w:val="24"/>
          <w:szCs w:val="24"/>
        </w:rPr>
      </w:pPr>
    </w:p>
    <w:p w14:paraId="03B2CCAE" w14:textId="77777777" w:rsidR="00A108C0" w:rsidRDefault="00A108C0" w:rsidP="001C19D2">
      <w:pPr>
        <w:pStyle w:val="ListParagraph"/>
        <w:spacing w:after="0" w:line="240" w:lineRule="auto"/>
        <w:jc w:val="right"/>
        <w:rPr>
          <w:rFonts w:ascii="Times New Roman" w:hAnsi="Times New Roman"/>
          <w:sz w:val="24"/>
          <w:szCs w:val="24"/>
        </w:rPr>
      </w:pPr>
    </w:p>
    <w:p w14:paraId="0FCD0AB1" w14:textId="77777777" w:rsidR="00A108C0" w:rsidRDefault="00A108C0" w:rsidP="001C19D2">
      <w:pPr>
        <w:pStyle w:val="ListParagraph"/>
        <w:spacing w:after="0" w:line="240" w:lineRule="auto"/>
        <w:jc w:val="right"/>
        <w:rPr>
          <w:rFonts w:ascii="Times New Roman" w:hAnsi="Times New Roman"/>
          <w:sz w:val="24"/>
          <w:szCs w:val="24"/>
        </w:rPr>
      </w:pPr>
    </w:p>
    <w:p w14:paraId="7D62D74B" w14:textId="77777777" w:rsidR="00A108C0" w:rsidRDefault="00A108C0" w:rsidP="001C19D2">
      <w:pPr>
        <w:pStyle w:val="ListParagraph"/>
        <w:spacing w:after="0" w:line="240" w:lineRule="auto"/>
        <w:jc w:val="right"/>
        <w:rPr>
          <w:rFonts w:ascii="Times New Roman" w:hAnsi="Times New Roman"/>
          <w:sz w:val="24"/>
          <w:szCs w:val="24"/>
        </w:rPr>
      </w:pPr>
    </w:p>
    <w:p w14:paraId="3291B1E1" w14:textId="77777777" w:rsidR="008A3B07" w:rsidRDefault="008A3B07" w:rsidP="001C19D2">
      <w:pPr>
        <w:pStyle w:val="ListParagraph"/>
        <w:spacing w:after="0" w:line="240" w:lineRule="auto"/>
        <w:jc w:val="right"/>
        <w:rPr>
          <w:rFonts w:ascii="Times New Roman" w:hAnsi="Times New Roman"/>
          <w:sz w:val="24"/>
          <w:szCs w:val="24"/>
        </w:rPr>
      </w:pPr>
    </w:p>
    <w:p w14:paraId="1A61E3E6" w14:textId="77777777" w:rsidR="008A3B07" w:rsidRDefault="008A3B07" w:rsidP="001C19D2">
      <w:pPr>
        <w:pStyle w:val="ListParagraph"/>
        <w:spacing w:after="0" w:line="240" w:lineRule="auto"/>
        <w:jc w:val="right"/>
        <w:rPr>
          <w:rFonts w:ascii="Times New Roman" w:hAnsi="Times New Roman"/>
          <w:sz w:val="24"/>
          <w:szCs w:val="24"/>
        </w:rPr>
      </w:pPr>
    </w:p>
    <w:p w14:paraId="3870BC42" w14:textId="77777777" w:rsidR="008A3B07" w:rsidRDefault="008A3B07" w:rsidP="001C19D2">
      <w:pPr>
        <w:pStyle w:val="ListParagraph"/>
        <w:spacing w:after="0" w:line="240" w:lineRule="auto"/>
        <w:jc w:val="right"/>
        <w:rPr>
          <w:rFonts w:ascii="Times New Roman" w:hAnsi="Times New Roman"/>
          <w:sz w:val="24"/>
          <w:szCs w:val="24"/>
        </w:rPr>
      </w:pPr>
    </w:p>
    <w:p w14:paraId="57F2F150" w14:textId="77777777" w:rsidR="008A3B07" w:rsidRDefault="008A3B07" w:rsidP="001C19D2">
      <w:pPr>
        <w:pStyle w:val="ListParagraph"/>
        <w:spacing w:after="0" w:line="240" w:lineRule="auto"/>
        <w:jc w:val="right"/>
        <w:rPr>
          <w:rFonts w:ascii="Times New Roman" w:hAnsi="Times New Roman"/>
          <w:sz w:val="24"/>
          <w:szCs w:val="24"/>
        </w:rPr>
      </w:pPr>
    </w:p>
    <w:p w14:paraId="53EA5F44" w14:textId="77777777" w:rsidR="00A108C0" w:rsidRDefault="00A108C0" w:rsidP="001C19D2">
      <w:pPr>
        <w:pStyle w:val="ListParagraph"/>
        <w:spacing w:after="0" w:line="240" w:lineRule="auto"/>
        <w:jc w:val="right"/>
        <w:rPr>
          <w:rFonts w:ascii="Times New Roman" w:hAnsi="Times New Roman"/>
          <w:sz w:val="24"/>
          <w:szCs w:val="24"/>
        </w:rPr>
      </w:pPr>
    </w:p>
    <w:p w14:paraId="53B8213F" w14:textId="77777777" w:rsidR="00A108C0" w:rsidRPr="00A108C0" w:rsidRDefault="00A108C0" w:rsidP="00A108C0">
      <w:pPr>
        <w:rPr>
          <w:rFonts w:ascii="Times New Roman" w:hAnsi="Times New Roman" w:cs="Times New Roman"/>
          <w:color w:val="auto"/>
        </w:rPr>
      </w:pPr>
    </w:p>
    <w:p w14:paraId="59E05FED" w14:textId="77777777" w:rsidR="00A108C0" w:rsidRPr="00A108C0" w:rsidRDefault="00A108C0" w:rsidP="00A108C0">
      <w:pPr>
        <w:pBdr>
          <w:top w:val="single" w:sz="4" w:space="1" w:color="404040"/>
        </w:pBdr>
        <w:tabs>
          <w:tab w:val="center" w:pos="4536"/>
          <w:tab w:val="right" w:pos="9072"/>
        </w:tabs>
        <w:jc w:val="center"/>
        <w:rPr>
          <w:rFonts w:ascii="Times New Roman" w:hAnsi="Times New Roman" w:cs="Times New Roman"/>
          <w:color w:val="404040"/>
          <w:spacing w:val="20"/>
          <w:sz w:val="20"/>
        </w:rPr>
      </w:pPr>
      <w:r w:rsidRPr="00A108C0">
        <w:rPr>
          <w:rFonts w:ascii="Times New Roman" w:hAnsi="Times New Roman" w:cs="Times New Roman"/>
          <w:color w:val="404040"/>
          <w:spacing w:val="20"/>
          <w:sz w:val="20"/>
        </w:rPr>
        <w:t xml:space="preserve">      Banski dvori | Trg Sv. Marka 2  | 10000 Zagreb | tel. 01 4569 222 | vlada.gov.hr</w:t>
      </w:r>
      <w:r w:rsidRPr="00A108C0">
        <w:rPr>
          <w:rFonts w:ascii="Times New Roman" w:hAnsi="Times New Roman" w:cs="Times New Roman"/>
          <w:color w:val="auto"/>
        </w:rPr>
        <w:tab/>
      </w:r>
    </w:p>
    <w:p w14:paraId="02B964FB" w14:textId="48718BEA" w:rsidR="001C19D2" w:rsidRPr="00A108C0" w:rsidRDefault="001C19D2" w:rsidP="00A108C0">
      <w:pPr>
        <w:pStyle w:val="ListParagraph"/>
        <w:spacing w:after="0" w:line="240" w:lineRule="auto"/>
        <w:jc w:val="right"/>
        <w:rPr>
          <w:rFonts w:ascii="Times New Roman" w:hAnsi="Times New Roman"/>
          <w:b/>
          <w:sz w:val="24"/>
          <w:szCs w:val="24"/>
        </w:rPr>
      </w:pPr>
      <w:r w:rsidRPr="00A108C0">
        <w:rPr>
          <w:rFonts w:ascii="Times New Roman" w:hAnsi="Times New Roman"/>
          <w:b/>
          <w:sz w:val="24"/>
          <w:szCs w:val="24"/>
        </w:rPr>
        <w:lastRenderedPageBreak/>
        <w:t>P</w:t>
      </w:r>
      <w:r w:rsidR="00A108C0" w:rsidRPr="00A108C0">
        <w:rPr>
          <w:rFonts w:ascii="Times New Roman" w:hAnsi="Times New Roman"/>
          <w:b/>
          <w:sz w:val="24"/>
          <w:szCs w:val="24"/>
        </w:rPr>
        <w:t>rijedlog</w:t>
      </w:r>
    </w:p>
    <w:p w14:paraId="1D63A2CA" w14:textId="77777777" w:rsidR="001C19D2" w:rsidRDefault="001C19D2" w:rsidP="00A108C0">
      <w:pPr>
        <w:rPr>
          <w:rFonts w:ascii="Times New Roman" w:hAnsi="Times New Roman" w:cs="Times New Roman"/>
        </w:rPr>
      </w:pPr>
    </w:p>
    <w:p w14:paraId="47117516" w14:textId="77777777" w:rsidR="00A108C0" w:rsidRDefault="00A108C0" w:rsidP="00A108C0">
      <w:pPr>
        <w:rPr>
          <w:rFonts w:ascii="Times New Roman" w:hAnsi="Times New Roman" w:cs="Times New Roman"/>
        </w:rPr>
      </w:pPr>
    </w:p>
    <w:p w14:paraId="03C5A81C" w14:textId="77777777" w:rsidR="00A108C0" w:rsidRDefault="00A108C0" w:rsidP="00A108C0">
      <w:pPr>
        <w:rPr>
          <w:rFonts w:ascii="Times New Roman" w:hAnsi="Times New Roman" w:cs="Times New Roman"/>
        </w:rPr>
      </w:pPr>
    </w:p>
    <w:p w14:paraId="09003936" w14:textId="77777777" w:rsidR="00A108C0" w:rsidRPr="003377F5" w:rsidRDefault="00A108C0" w:rsidP="00A108C0">
      <w:pPr>
        <w:rPr>
          <w:rFonts w:ascii="Times New Roman" w:hAnsi="Times New Roman" w:cs="Times New Roman"/>
        </w:rPr>
      </w:pPr>
    </w:p>
    <w:p w14:paraId="1268DC4E" w14:textId="1A604261" w:rsidR="001C19D2" w:rsidRPr="007A1E44" w:rsidRDefault="00A108C0" w:rsidP="00A108C0">
      <w:pPr>
        <w:widowControl w:val="0"/>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sidR="001C19D2" w:rsidRPr="007A1E44">
        <w:rPr>
          <w:rFonts w:ascii="Times New Roman" w:hAnsi="Times New Roman"/>
          <w:spacing w:val="-3"/>
        </w:rPr>
        <w:t>Na temelju članka 31. stavka 2. Zakona o Vladi Republike Hrvatske (Nar</w:t>
      </w:r>
      <w:r w:rsidR="001C19D2">
        <w:rPr>
          <w:rFonts w:ascii="Times New Roman" w:hAnsi="Times New Roman"/>
          <w:spacing w:val="-3"/>
        </w:rPr>
        <w:t xml:space="preserve">odne novine, br. 150/11, 119/14, </w:t>
      </w:r>
      <w:r w:rsidR="001C19D2" w:rsidRPr="007A1E44">
        <w:rPr>
          <w:rFonts w:ascii="Times New Roman" w:hAnsi="Times New Roman"/>
          <w:spacing w:val="-3"/>
        </w:rPr>
        <w:t>93/16</w:t>
      </w:r>
      <w:r w:rsidR="001C19D2">
        <w:rPr>
          <w:rFonts w:ascii="Times New Roman" w:hAnsi="Times New Roman"/>
          <w:spacing w:val="-3"/>
        </w:rPr>
        <w:t xml:space="preserve"> i 116/18</w:t>
      </w:r>
      <w:r w:rsidR="001C19D2" w:rsidRPr="007A1E44">
        <w:rPr>
          <w:rFonts w:ascii="Times New Roman" w:hAnsi="Times New Roman"/>
          <w:spacing w:val="-3"/>
        </w:rPr>
        <w:t>), i članka 44. stavka 2. Zakona o proračunu (Narodne novine, br. 87/08, 136/12</w:t>
      </w:r>
      <w:r w:rsidR="008A3B07">
        <w:rPr>
          <w:rFonts w:ascii="Times New Roman" w:hAnsi="Times New Roman"/>
          <w:spacing w:val="-3"/>
        </w:rPr>
        <w:t xml:space="preserve"> i</w:t>
      </w:r>
      <w:r w:rsidR="001C19D2" w:rsidRPr="007A1E44">
        <w:rPr>
          <w:rFonts w:ascii="Times New Roman" w:hAnsi="Times New Roman"/>
          <w:spacing w:val="-3"/>
        </w:rPr>
        <w:t xml:space="preserve"> 15/15), Vlada Republike Hrvatske </w:t>
      </w:r>
      <w:r w:rsidR="008A3B07">
        <w:rPr>
          <w:rFonts w:ascii="Times New Roman" w:hAnsi="Times New Roman"/>
          <w:spacing w:val="-3"/>
        </w:rPr>
        <w:t xml:space="preserve">je </w:t>
      </w:r>
      <w:r w:rsidR="001C19D2" w:rsidRPr="007A1E44">
        <w:rPr>
          <w:rFonts w:ascii="Times New Roman" w:hAnsi="Times New Roman"/>
          <w:spacing w:val="-3"/>
        </w:rPr>
        <w:t>na sjednici održanoj ___________________ donijela je</w:t>
      </w:r>
    </w:p>
    <w:p w14:paraId="00B2C09D" w14:textId="77777777" w:rsidR="00C04B7C" w:rsidRDefault="00C04B7C" w:rsidP="00A108C0">
      <w:pPr>
        <w:pStyle w:val="Heading4"/>
        <w:rPr>
          <w:rFonts w:ascii="Times New Roman" w:hAnsi="Times New Roman" w:cs="Times New Roman"/>
        </w:rPr>
      </w:pPr>
    </w:p>
    <w:p w14:paraId="6493FB1C" w14:textId="77777777" w:rsidR="00C04B7C" w:rsidRDefault="00C04B7C" w:rsidP="00A108C0">
      <w:pPr>
        <w:pStyle w:val="Heading4"/>
        <w:rPr>
          <w:rFonts w:ascii="Times New Roman" w:hAnsi="Times New Roman" w:cs="Times New Roman"/>
        </w:rPr>
      </w:pPr>
    </w:p>
    <w:p w14:paraId="5BD85A4D" w14:textId="77777777" w:rsidR="001C19D2" w:rsidRDefault="001C19D2" w:rsidP="00A108C0">
      <w:pPr>
        <w:pStyle w:val="Heading4"/>
        <w:rPr>
          <w:rFonts w:ascii="Times New Roman" w:hAnsi="Times New Roman" w:cs="Times New Roman"/>
        </w:rPr>
      </w:pPr>
      <w:r w:rsidRPr="007A1E44">
        <w:rPr>
          <w:rFonts w:ascii="Times New Roman" w:hAnsi="Times New Roman" w:cs="Times New Roman"/>
        </w:rPr>
        <w:t>O D L U K U</w:t>
      </w:r>
    </w:p>
    <w:p w14:paraId="689F82DD" w14:textId="77777777" w:rsidR="00A108C0" w:rsidRPr="00A108C0" w:rsidRDefault="00A108C0" w:rsidP="00A108C0"/>
    <w:p w14:paraId="160D1E22" w14:textId="382A915F" w:rsidR="001C19D2" w:rsidRPr="007A1E44" w:rsidRDefault="008A3B07" w:rsidP="00A108C0">
      <w:pPr>
        <w:jc w:val="center"/>
        <w:rPr>
          <w:rFonts w:ascii="Times New Roman" w:hAnsi="Times New Roman"/>
          <w:b/>
          <w:bCs/>
        </w:rPr>
      </w:pPr>
      <w:r w:rsidRPr="008A3B07">
        <w:rPr>
          <w:rFonts w:ascii="Times New Roman" w:hAnsi="Times New Roman"/>
          <w:b/>
        </w:rPr>
        <w:t>o davanju suglasnosti Ministarstvu zdravstva, Kliničkom bolničkom centru Rijeka, za preuzimanje obveza na teret sredstava državnog proračuna Republike Hrvatske za razdoblje od 2020. do 2033. godine, za sklapanje ugovora o energetskom učinku - pružanje energetske usluge (ušteda vode) u svrhu poboljšanja učinkovitosti postojećeg vodoopskrbnog sustava pitke hladne vode na skupu zgrada KBC Rijeka</w:t>
      </w:r>
      <w:r w:rsidR="0005364F">
        <w:rPr>
          <w:rFonts w:ascii="Times New Roman" w:hAnsi="Times New Roman"/>
          <w:b/>
        </w:rPr>
        <w:t xml:space="preserve"> </w:t>
      </w:r>
    </w:p>
    <w:p w14:paraId="0732D625" w14:textId="77777777" w:rsidR="00C04B7C" w:rsidRDefault="00C04B7C" w:rsidP="00A108C0">
      <w:pPr>
        <w:jc w:val="center"/>
        <w:rPr>
          <w:rFonts w:ascii="Times New Roman" w:hAnsi="Times New Roman"/>
          <w:b/>
          <w:bCs/>
        </w:rPr>
      </w:pPr>
    </w:p>
    <w:p w14:paraId="3D2DB001" w14:textId="77777777" w:rsidR="00A108C0" w:rsidRDefault="00A108C0" w:rsidP="00A108C0">
      <w:pPr>
        <w:jc w:val="center"/>
        <w:rPr>
          <w:rFonts w:ascii="Times New Roman" w:hAnsi="Times New Roman"/>
          <w:b/>
          <w:bCs/>
        </w:rPr>
      </w:pPr>
    </w:p>
    <w:p w14:paraId="1049AFE2" w14:textId="77777777" w:rsidR="001C19D2" w:rsidRDefault="001C19D2" w:rsidP="00A108C0">
      <w:pPr>
        <w:jc w:val="center"/>
        <w:rPr>
          <w:rFonts w:ascii="Times New Roman" w:hAnsi="Times New Roman"/>
          <w:b/>
          <w:bCs/>
        </w:rPr>
      </w:pPr>
      <w:r w:rsidRPr="007A1E44">
        <w:rPr>
          <w:rFonts w:ascii="Times New Roman" w:hAnsi="Times New Roman"/>
          <w:b/>
          <w:bCs/>
        </w:rPr>
        <w:t>I.</w:t>
      </w:r>
    </w:p>
    <w:p w14:paraId="79DF4FA9" w14:textId="77777777" w:rsidR="008A3B07" w:rsidRPr="007A1E44" w:rsidRDefault="008A3B07" w:rsidP="00A108C0">
      <w:pPr>
        <w:jc w:val="center"/>
        <w:rPr>
          <w:rFonts w:ascii="Times New Roman" w:hAnsi="Times New Roman"/>
          <w:b/>
          <w:bCs/>
        </w:rPr>
      </w:pPr>
    </w:p>
    <w:p w14:paraId="75ED270C" w14:textId="015900C4" w:rsidR="001C19D2" w:rsidRDefault="001C19D2" w:rsidP="00A108C0">
      <w:pPr>
        <w:pStyle w:val="BodyText"/>
        <w:spacing w:after="0"/>
        <w:ind w:firstLine="1416"/>
        <w:jc w:val="both"/>
        <w:rPr>
          <w:rFonts w:ascii="Times New Roman" w:hAnsi="Times New Roman"/>
        </w:rPr>
      </w:pPr>
      <w:r w:rsidRPr="00562FAB">
        <w:rPr>
          <w:rFonts w:ascii="Times New Roman" w:hAnsi="Times New Roman"/>
        </w:rPr>
        <w:t>Daje se suglasnost Ministarstvu</w:t>
      </w:r>
      <w:r w:rsidR="00A769D7">
        <w:rPr>
          <w:rFonts w:ascii="Times New Roman" w:hAnsi="Times New Roman"/>
        </w:rPr>
        <w:t xml:space="preserve"> </w:t>
      </w:r>
      <w:r w:rsidR="00A769D7" w:rsidRPr="00A769D7">
        <w:rPr>
          <w:rFonts w:ascii="Times New Roman" w:hAnsi="Times New Roman"/>
        </w:rPr>
        <w:t>zdravstva, Kliničkom bolničkom centru Rijeka</w:t>
      </w:r>
      <w:r w:rsidRPr="00562FAB">
        <w:rPr>
          <w:rFonts w:ascii="Times New Roman" w:hAnsi="Times New Roman"/>
        </w:rPr>
        <w:t xml:space="preserve"> za preuzimanje obveza na teret sredstava državnog proračuna Republike Hrvatske </w:t>
      </w:r>
      <w:r w:rsidR="008F2EE6" w:rsidRPr="008F2EE6">
        <w:rPr>
          <w:rFonts w:ascii="Times New Roman" w:hAnsi="Times New Roman"/>
        </w:rPr>
        <w:t>za razdoblje od 20</w:t>
      </w:r>
      <w:r w:rsidR="008F2EE6">
        <w:rPr>
          <w:rFonts w:ascii="Times New Roman" w:hAnsi="Times New Roman"/>
        </w:rPr>
        <w:t>20</w:t>
      </w:r>
      <w:r w:rsidR="008F2EE6" w:rsidRPr="008F2EE6">
        <w:rPr>
          <w:rFonts w:ascii="Times New Roman" w:hAnsi="Times New Roman"/>
        </w:rPr>
        <w:t>. do 2033. godine</w:t>
      </w:r>
      <w:r w:rsidR="008A3B07">
        <w:rPr>
          <w:rFonts w:ascii="Times New Roman" w:hAnsi="Times New Roman"/>
        </w:rPr>
        <w:t>,</w:t>
      </w:r>
      <w:r w:rsidR="002F5E2A">
        <w:rPr>
          <w:rFonts w:ascii="Times New Roman" w:hAnsi="Times New Roman"/>
        </w:rPr>
        <w:t xml:space="preserve"> u</w:t>
      </w:r>
      <w:r w:rsidR="00D22F9F" w:rsidRPr="00D22F9F">
        <w:t xml:space="preserve"> </w:t>
      </w:r>
      <w:r w:rsidR="00D22F9F" w:rsidRPr="00D22F9F">
        <w:rPr>
          <w:rFonts w:ascii="Times New Roman" w:hAnsi="Times New Roman"/>
        </w:rPr>
        <w:t>ukupnom iznosu od 50.297.520,00 k</w:t>
      </w:r>
      <w:r w:rsidR="00A108C0">
        <w:rPr>
          <w:rFonts w:ascii="Times New Roman" w:hAnsi="Times New Roman"/>
        </w:rPr>
        <w:t>u</w:t>
      </w:r>
      <w:r w:rsidR="00D22F9F" w:rsidRPr="00D22F9F">
        <w:rPr>
          <w:rFonts w:ascii="Times New Roman" w:hAnsi="Times New Roman"/>
        </w:rPr>
        <w:t>n</w:t>
      </w:r>
      <w:r w:rsidR="00A108C0">
        <w:rPr>
          <w:rFonts w:ascii="Times New Roman" w:hAnsi="Times New Roman"/>
        </w:rPr>
        <w:t>a</w:t>
      </w:r>
      <w:r w:rsidR="00D22F9F" w:rsidRPr="00D22F9F">
        <w:rPr>
          <w:rFonts w:ascii="Times New Roman" w:hAnsi="Times New Roman"/>
        </w:rPr>
        <w:t xml:space="preserve"> i to s godišnjim</w:t>
      </w:r>
      <w:r w:rsidR="00D22F9F">
        <w:rPr>
          <w:rFonts w:ascii="Times New Roman" w:hAnsi="Times New Roman"/>
        </w:rPr>
        <w:t xml:space="preserve"> iznosom od 3.592.680,00 k</w:t>
      </w:r>
      <w:r w:rsidR="00A108C0">
        <w:rPr>
          <w:rFonts w:ascii="Times New Roman" w:hAnsi="Times New Roman"/>
        </w:rPr>
        <w:t>u</w:t>
      </w:r>
      <w:r w:rsidR="00D22F9F">
        <w:rPr>
          <w:rFonts w:ascii="Times New Roman" w:hAnsi="Times New Roman"/>
        </w:rPr>
        <w:t>n</w:t>
      </w:r>
      <w:r w:rsidR="00A108C0">
        <w:rPr>
          <w:rFonts w:ascii="Times New Roman" w:hAnsi="Times New Roman"/>
        </w:rPr>
        <w:t>a</w:t>
      </w:r>
      <w:r w:rsidR="008F2EE6" w:rsidRPr="008F2EE6">
        <w:rPr>
          <w:rFonts w:ascii="Times New Roman" w:hAnsi="Times New Roman"/>
        </w:rPr>
        <w:t xml:space="preserve"> za sklapanje </w:t>
      </w:r>
      <w:r w:rsidR="002F5E2A">
        <w:rPr>
          <w:rFonts w:ascii="Times New Roman" w:hAnsi="Times New Roman"/>
        </w:rPr>
        <w:t>u</w:t>
      </w:r>
      <w:r w:rsidR="008F2EE6" w:rsidRPr="008F2EE6">
        <w:rPr>
          <w:rFonts w:ascii="Times New Roman" w:hAnsi="Times New Roman"/>
        </w:rPr>
        <w:t xml:space="preserve">govora o </w:t>
      </w:r>
      <w:r w:rsidR="002F5E2A">
        <w:rPr>
          <w:rFonts w:ascii="Times New Roman" w:hAnsi="Times New Roman"/>
        </w:rPr>
        <w:t xml:space="preserve">energetskom učinku - </w:t>
      </w:r>
      <w:r w:rsidR="008F2EE6" w:rsidRPr="008F2EE6">
        <w:rPr>
          <w:rFonts w:ascii="Times New Roman" w:hAnsi="Times New Roman"/>
        </w:rPr>
        <w:t>pružanju energetske usluge (ušteda vode) u svrhu poboljšanja učinkovitosti postojećeg vodoopskrbnog sustava pitke hladne vode na skupu zgrada KBC Rijeka</w:t>
      </w:r>
      <w:r w:rsidR="008F2EE6">
        <w:rPr>
          <w:rFonts w:ascii="Times New Roman" w:hAnsi="Times New Roman"/>
        </w:rPr>
        <w:t>, lokalitet Rijeka, Krešimirova 42</w:t>
      </w:r>
      <w:r w:rsidR="008A3B07">
        <w:rPr>
          <w:rFonts w:ascii="Times New Roman" w:hAnsi="Times New Roman"/>
        </w:rPr>
        <w:t>,</w:t>
      </w:r>
      <w:r w:rsidR="008F2EE6">
        <w:rPr>
          <w:rFonts w:ascii="Times New Roman" w:hAnsi="Times New Roman"/>
        </w:rPr>
        <w:t xml:space="preserve"> između </w:t>
      </w:r>
      <w:r w:rsidR="00AD4821">
        <w:rPr>
          <w:rFonts w:ascii="Times New Roman" w:hAnsi="Times New Roman"/>
        </w:rPr>
        <w:t xml:space="preserve">Kliničkog bolničkog centra Rijeka, </w:t>
      </w:r>
      <w:r w:rsidR="008A3B07">
        <w:rPr>
          <w:rFonts w:ascii="Times New Roman" w:hAnsi="Times New Roman"/>
        </w:rPr>
        <w:t xml:space="preserve">društva </w:t>
      </w:r>
      <w:r w:rsidR="00AD4821">
        <w:rPr>
          <w:rFonts w:ascii="Times New Roman" w:hAnsi="Times New Roman"/>
        </w:rPr>
        <w:t>Rudan d.o.o.</w:t>
      </w:r>
      <w:r w:rsidR="008A3B07">
        <w:rPr>
          <w:rFonts w:ascii="Times New Roman" w:hAnsi="Times New Roman"/>
        </w:rPr>
        <w:t>, Žminj</w:t>
      </w:r>
      <w:r w:rsidR="00AD4821">
        <w:rPr>
          <w:rFonts w:ascii="Times New Roman" w:hAnsi="Times New Roman"/>
        </w:rPr>
        <w:t xml:space="preserve"> i Agencije za pravni promet i posredovanje nekretninama</w:t>
      </w:r>
      <w:r w:rsidR="00D22F9F">
        <w:rPr>
          <w:rFonts w:ascii="Times New Roman" w:hAnsi="Times New Roman"/>
        </w:rPr>
        <w:t>.</w:t>
      </w:r>
      <w:r w:rsidRPr="00562FAB">
        <w:rPr>
          <w:rFonts w:ascii="Times New Roman" w:hAnsi="Times New Roman"/>
        </w:rPr>
        <w:t xml:space="preserve"> </w:t>
      </w:r>
    </w:p>
    <w:p w14:paraId="1CC5DE99" w14:textId="77777777" w:rsidR="00A108C0" w:rsidRDefault="00A108C0" w:rsidP="00A108C0">
      <w:pPr>
        <w:pStyle w:val="BodyText"/>
        <w:spacing w:after="0"/>
        <w:ind w:firstLine="1416"/>
        <w:jc w:val="both"/>
        <w:rPr>
          <w:rFonts w:ascii="Times New Roman" w:hAnsi="Times New Roman"/>
        </w:rPr>
      </w:pPr>
    </w:p>
    <w:p w14:paraId="0E0624E0" w14:textId="1F929A8D" w:rsidR="00D22F9F" w:rsidRDefault="00D22F9F" w:rsidP="00A108C0">
      <w:pPr>
        <w:jc w:val="center"/>
        <w:rPr>
          <w:rFonts w:ascii="Times New Roman" w:hAnsi="Times New Roman"/>
          <w:b/>
          <w:bCs/>
        </w:rPr>
      </w:pPr>
      <w:r w:rsidRPr="00C04B7C">
        <w:rPr>
          <w:rFonts w:ascii="Times New Roman" w:hAnsi="Times New Roman"/>
          <w:b/>
          <w:bCs/>
        </w:rPr>
        <w:t>I</w:t>
      </w:r>
      <w:r>
        <w:rPr>
          <w:rFonts w:ascii="Times New Roman" w:hAnsi="Times New Roman"/>
          <w:b/>
          <w:bCs/>
        </w:rPr>
        <w:t>I</w:t>
      </w:r>
      <w:r w:rsidRPr="00C04B7C">
        <w:rPr>
          <w:rFonts w:ascii="Times New Roman" w:hAnsi="Times New Roman"/>
          <w:b/>
          <w:bCs/>
        </w:rPr>
        <w:t>.</w:t>
      </w:r>
    </w:p>
    <w:p w14:paraId="5273F94D" w14:textId="77777777" w:rsidR="00C5323A" w:rsidRPr="00C04B7C" w:rsidRDefault="00C5323A" w:rsidP="00A108C0">
      <w:pPr>
        <w:jc w:val="center"/>
        <w:rPr>
          <w:rFonts w:ascii="Times New Roman" w:hAnsi="Times New Roman"/>
          <w:b/>
          <w:bCs/>
        </w:rPr>
      </w:pPr>
    </w:p>
    <w:p w14:paraId="43491489" w14:textId="28294B69" w:rsidR="00D22F9F" w:rsidRPr="007A1E44" w:rsidRDefault="00D22F9F" w:rsidP="00A108C0">
      <w:pPr>
        <w:ind w:firstLine="1416"/>
        <w:jc w:val="both"/>
        <w:rPr>
          <w:rFonts w:ascii="Times New Roman" w:hAnsi="Times New Roman"/>
        </w:rPr>
      </w:pPr>
      <w:r>
        <w:rPr>
          <w:rFonts w:ascii="Times New Roman" w:hAnsi="Times New Roman"/>
        </w:rPr>
        <w:t xml:space="preserve">Sredstva za podmirenje obveze iz točke I. ove Odluke osiguravaju se u državnom proračunu Republike Hrvatske, u razdjelu Ministarstva zdravstva, na pozicijama </w:t>
      </w:r>
      <w:r w:rsidR="00C5323A">
        <w:rPr>
          <w:rFonts w:ascii="Times New Roman" w:hAnsi="Times New Roman"/>
        </w:rPr>
        <w:t>Kliničkog bolničkog centra Rijeka, na aktivnosti A882001 Administracija i upravljanje – ostali izvori financiranja</w:t>
      </w:r>
      <w:r w:rsidR="0040003E">
        <w:rPr>
          <w:rFonts w:ascii="Times New Roman" w:hAnsi="Times New Roman"/>
        </w:rPr>
        <w:t>,</w:t>
      </w:r>
      <w:r w:rsidR="00B04978">
        <w:rPr>
          <w:rFonts w:ascii="Times New Roman" w:hAnsi="Times New Roman"/>
        </w:rPr>
        <w:t xml:space="preserve"> izvor financiranja 43 Ostali prihodi za posebne namjene</w:t>
      </w:r>
      <w:r w:rsidR="00C5323A">
        <w:rPr>
          <w:rFonts w:ascii="Times New Roman" w:hAnsi="Times New Roman"/>
        </w:rPr>
        <w:t>.</w:t>
      </w:r>
    </w:p>
    <w:p w14:paraId="6A2DFA6D" w14:textId="77777777" w:rsidR="00C04B7C" w:rsidRDefault="00C04B7C" w:rsidP="00A108C0">
      <w:pPr>
        <w:jc w:val="center"/>
        <w:rPr>
          <w:rFonts w:ascii="Times New Roman" w:hAnsi="Times New Roman"/>
          <w:b/>
          <w:bCs/>
        </w:rPr>
      </w:pPr>
    </w:p>
    <w:p w14:paraId="25FFEF2C" w14:textId="2190D782" w:rsidR="001C19D2" w:rsidRPr="00C04B7C" w:rsidRDefault="001C19D2" w:rsidP="00A108C0">
      <w:pPr>
        <w:jc w:val="center"/>
        <w:rPr>
          <w:rFonts w:ascii="Times New Roman" w:hAnsi="Times New Roman"/>
          <w:b/>
          <w:bCs/>
        </w:rPr>
      </w:pPr>
      <w:r w:rsidRPr="00C04B7C">
        <w:rPr>
          <w:rFonts w:ascii="Times New Roman" w:hAnsi="Times New Roman"/>
          <w:b/>
          <w:bCs/>
        </w:rPr>
        <w:t>I</w:t>
      </w:r>
      <w:r w:rsidR="00D22F9F">
        <w:rPr>
          <w:rFonts w:ascii="Times New Roman" w:hAnsi="Times New Roman"/>
          <w:b/>
          <w:bCs/>
        </w:rPr>
        <w:t>I</w:t>
      </w:r>
      <w:r w:rsidRPr="00C04B7C">
        <w:rPr>
          <w:rFonts w:ascii="Times New Roman" w:hAnsi="Times New Roman"/>
          <w:b/>
          <w:bCs/>
        </w:rPr>
        <w:t>I.</w:t>
      </w:r>
    </w:p>
    <w:p w14:paraId="66872F8B" w14:textId="77777777" w:rsidR="001C19D2" w:rsidRPr="00FB38FC" w:rsidRDefault="001C19D2" w:rsidP="00A108C0">
      <w:pPr>
        <w:pStyle w:val="BodyText"/>
        <w:spacing w:after="0"/>
        <w:rPr>
          <w:rFonts w:ascii="Times New Roman" w:hAnsi="Times New Roman"/>
        </w:rPr>
      </w:pPr>
    </w:p>
    <w:p w14:paraId="165FD0CF" w14:textId="266B7C27" w:rsidR="001C19D2" w:rsidRPr="007A1E44" w:rsidRDefault="001C19D2" w:rsidP="00A108C0">
      <w:pPr>
        <w:ind w:left="708" w:firstLine="708"/>
        <w:jc w:val="both"/>
        <w:rPr>
          <w:rFonts w:ascii="Times New Roman" w:hAnsi="Times New Roman"/>
        </w:rPr>
      </w:pPr>
      <w:r w:rsidRPr="007A1E44">
        <w:rPr>
          <w:rFonts w:ascii="Times New Roman" w:hAnsi="Times New Roman"/>
        </w:rPr>
        <w:t>Ova Odluka stupa na snagu danom donošenja.</w:t>
      </w:r>
    </w:p>
    <w:p w14:paraId="509A00C9" w14:textId="69B4DF2F" w:rsidR="001C19D2" w:rsidRDefault="000E61C5" w:rsidP="00A108C0">
      <w:pPr>
        <w:pStyle w:val="BodyText"/>
        <w:spacing w:after="0"/>
        <w:jc w:val="both"/>
        <w:rPr>
          <w:rFonts w:ascii="Times New Roman" w:hAnsi="Times New Roman"/>
          <w:b/>
        </w:rPr>
      </w:pPr>
      <w:r>
        <w:rPr>
          <w:rFonts w:ascii="Times New Roman" w:hAnsi="Times New Roman"/>
          <w:b/>
        </w:rPr>
        <w:t xml:space="preserve"> </w:t>
      </w:r>
    </w:p>
    <w:p w14:paraId="13E7B92D" w14:textId="77777777" w:rsidR="00A108C0" w:rsidRPr="007E6338" w:rsidRDefault="00A108C0" w:rsidP="00A108C0">
      <w:pPr>
        <w:pStyle w:val="BodyText"/>
        <w:spacing w:after="0"/>
        <w:jc w:val="both"/>
        <w:rPr>
          <w:rFonts w:ascii="Times New Roman" w:hAnsi="Times New Roman" w:cs="Times New Roman"/>
        </w:rPr>
      </w:pPr>
    </w:p>
    <w:p w14:paraId="3F1D0752" w14:textId="77777777" w:rsidR="001C19D2" w:rsidRPr="007E6338" w:rsidRDefault="001C19D2" w:rsidP="00A108C0">
      <w:pPr>
        <w:jc w:val="both"/>
        <w:rPr>
          <w:rFonts w:ascii="Times New Roman" w:hAnsi="Times New Roman" w:cs="Times New Roman"/>
        </w:rPr>
      </w:pPr>
      <w:r w:rsidRPr="007E6338">
        <w:rPr>
          <w:rFonts w:ascii="Times New Roman" w:hAnsi="Times New Roman" w:cs="Times New Roman"/>
        </w:rPr>
        <w:t>Klasa:</w:t>
      </w:r>
    </w:p>
    <w:p w14:paraId="57AEA8A2" w14:textId="77777777" w:rsidR="001C19D2" w:rsidRPr="007E6338" w:rsidRDefault="001C19D2" w:rsidP="00A108C0">
      <w:pPr>
        <w:jc w:val="both"/>
        <w:rPr>
          <w:rFonts w:ascii="Times New Roman" w:hAnsi="Times New Roman" w:cs="Times New Roman"/>
        </w:rPr>
      </w:pPr>
      <w:r w:rsidRPr="007E6338">
        <w:rPr>
          <w:rFonts w:ascii="Times New Roman" w:hAnsi="Times New Roman" w:cs="Times New Roman"/>
        </w:rPr>
        <w:t>Urbroj:</w:t>
      </w:r>
    </w:p>
    <w:p w14:paraId="62883281" w14:textId="77777777" w:rsidR="001C19D2" w:rsidRPr="007E6338" w:rsidRDefault="001C19D2" w:rsidP="00A108C0">
      <w:pPr>
        <w:jc w:val="both"/>
        <w:rPr>
          <w:rFonts w:ascii="Times New Roman" w:hAnsi="Times New Roman" w:cs="Times New Roman"/>
        </w:rPr>
      </w:pPr>
      <w:r w:rsidRPr="007E6338">
        <w:rPr>
          <w:rFonts w:ascii="Times New Roman" w:hAnsi="Times New Roman" w:cs="Times New Roman"/>
        </w:rPr>
        <w:t>Zagreb, ____________</w:t>
      </w:r>
    </w:p>
    <w:p w14:paraId="38F0B97C" w14:textId="77777777" w:rsidR="001C19D2" w:rsidRPr="007E6338" w:rsidRDefault="001C19D2" w:rsidP="00A108C0">
      <w:pPr>
        <w:ind w:left="5664" w:firstLine="708"/>
        <w:jc w:val="both"/>
        <w:rPr>
          <w:rFonts w:ascii="Times New Roman" w:hAnsi="Times New Roman" w:cs="Times New Roman"/>
        </w:rPr>
      </w:pPr>
    </w:p>
    <w:p w14:paraId="06088FA9" w14:textId="77777777" w:rsidR="001C19D2" w:rsidRPr="007E6338" w:rsidRDefault="001C19D2" w:rsidP="00A108C0">
      <w:pPr>
        <w:ind w:left="5664" w:firstLine="708"/>
        <w:jc w:val="both"/>
        <w:rPr>
          <w:rFonts w:ascii="Times New Roman" w:hAnsi="Times New Roman" w:cs="Times New Roman"/>
        </w:rPr>
      </w:pPr>
      <w:r w:rsidRPr="007E6338">
        <w:rPr>
          <w:rFonts w:ascii="Times New Roman" w:hAnsi="Times New Roman" w:cs="Times New Roman"/>
        </w:rPr>
        <w:t>PREDSJEDNIK</w:t>
      </w:r>
    </w:p>
    <w:p w14:paraId="117BF00F" w14:textId="77777777" w:rsidR="001C19D2" w:rsidRPr="007E6338" w:rsidRDefault="001C19D2" w:rsidP="00A108C0">
      <w:pPr>
        <w:jc w:val="both"/>
        <w:rPr>
          <w:rFonts w:ascii="Times New Roman" w:hAnsi="Times New Roman" w:cs="Times New Roman"/>
        </w:rPr>
      </w:pPr>
    </w:p>
    <w:p w14:paraId="3F8F4A65" w14:textId="08A4A0EE" w:rsidR="001C19D2" w:rsidRDefault="001C19D2" w:rsidP="00A108C0">
      <w:pPr>
        <w:ind w:left="4956" w:firstLine="708"/>
        <w:jc w:val="both"/>
        <w:rPr>
          <w:rFonts w:ascii="Times New Roman" w:hAnsi="Times New Roman" w:cs="Times New Roman"/>
        </w:rPr>
      </w:pPr>
      <w:r w:rsidRPr="007E6338">
        <w:rPr>
          <w:rFonts w:ascii="Times New Roman" w:hAnsi="Times New Roman" w:cs="Times New Roman"/>
        </w:rPr>
        <w:t xml:space="preserve">    mr. sc. Andrej Plenković</w:t>
      </w:r>
    </w:p>
    <w:p w14:paraId="61DF25C7" w14:textId="77777777" w:rsidR="00A108C0" w:rsidRDefault="00A108C0" w:rsidP="00A108C0">
      <w:pPr>
        <w:ind w:left="4956" w:firstLine="708"/>
        <w:jc w:val="both"/>
        <w:rPr>
          <w:rFonts w:ascii="Times New Roman" w:hAnsi="Times New Roman" w:cs="Times New Roman"/>
        </w:rPr>
      </w:pPr>
    </w:p>
    <w:p w14:paraId="6DF94AF4" w14:textId="77777777" w:rsidR="00A108C0" w:rsidRDefault="00A108C0" w:rsidP="00A108C0">
      <w:pPr>
        <w:ind w:left="4956" w:firstLine="708"/>
        <w:jc w:val="both"/>
        <w:rPr>
          <w:rFonts w:ascii="Times New Roman" w:hAnsi="Times New Roman" w:cs="Times New Roman"/>
        </w:rPr>
      </w:pPr>
    </w:p>
    <w:p w14:paraId="2BA2AFCA" w14:textId="77777777" w:rsidR="00A108C0" w:rsidRDefault="00A108C0" w:rsidP="00A108C0">
      <w:pPr>
        <w:jc w:val="center"/>
        <w:rPr>
          <w:rFonts w:ascii="Times New Roman" w:hAnsi="Times New Roman"/>
          <w:b/>
        </w:rPr>
      </w:pPr>
      <w:r>
        <w:rPr>
          <w:rFonts w:ascii="Times New Roman" w:hAnsi="Times New Roman"/>
          <w:b/>
        </w:rPr>
        <w:t>O B R A Z L O Ž E NJ E</w:t>
      </w:r>
    </w:p>
    <w:p w14:paraId="1B3EA3EA" w14:textId="77777777" w:rsidR="00A108C0" w:rsidRDefault="00A108C0" w:rsidP="00A108C0">
      <w:pPr>
        <w:jc w:val="center"/>
        <w:rPr>
          <w:rFonts w:ascii="Times New Roman" w:hAnsi="Times New Roman"/>
          <w:b/>
        </w:rPr>
      </w:pPr>
    </w:p>
    <w:p w14:paraId="4D22FF14" w14:textId="77777777" w:rsidR="00A108C0" w:rsidRDefault="00A108C0" w:rsidP="00A108C0">
      <w:pPr>
        <w:jc w:val="center"/>
        <w:rPr>
          <w:rFonts w:ascii="Times New Roman" w:hAnsi="Times New Roman"/>
          <w:b/>
        </w:rPr>
      </w:pPr>
      <w:r>
        <w:rPr>
          <w:rFonts w:ascii="Times New Roman" w:hAnsi="Times New Roman"/>
          <w:b/>
        </w:rPr>
        <w:t>o davanju suglasnosti Ministarstvu zdravstva, Kliničkom bolničkom centru Rijeka za preuzimanje obveza na teret sredstava državnog proračuna za razdoblje od 2020. do 2033. godine, za sklapanje ugovora o energetskom učinku - pružanju energetske usluge (ušteda vode) u svrhu poboljšanja učinkovitosti postojećeg vodoopskrbnog sustava pitke hladne vode na skupu zgrada KBC Rijeka, lokalitet Rijeka, Krešimirova 42</w:t>
      </w:r>
    </w:p>
    <w:p w14:paraId="52A08F83" w14:textId="77777777" w:rsidR="00A108C0" w:rsidRDefault="00A108C0" w:rsidP="00A108C0">
      <w:pPr>
        <w:jc w:val="center"/>
        <w:rPr>
          <w:rFonts w:ascii="Times New Roman" w:hAnsi="Times New Roman"/>
          <w:b/>
        </w:rPr>
      </w:pPr>
    </w:p>
    <w:p w14:paraId="74AE67FB" w14:textId="77777777" w:rsidR="00A108C0" w:rsidRDefault="00A108C0" w:rsidP="00A108C0">
      <w:pPr>
        <w:jc w:val="center"/>
        <w:rPr>
          <w:rFonts w:ascii="Times New Roman" w:hAnsi="Times New Roman"/>
          <w:b/>
        </w:rPr>
      </w:pPr>
    </w:p>
    <w:p w14:paraId="38BAE4A5" w14:textId="7E1BB670" w:rsidR="00A108C0" w:rsidRDefault="00A108C0" w:rsidP="00A108C0">
      <w:pPr>
        <w:jc w:val="both"/>
        <w:rPr>
          <w:rFonts w:ascii="Times New Roman" w:hAnsi="Times New Roman" w:cs="Times New Roman"/>
        </w:rPr>
      </w:pPr>
      <w:r>
        <w:rPr>
          <w:rFonts w:ascii="Times New Roman" w:hAnsi="Times New Roman" w:cs="Times New Roman"/>
        </w:rPr>
        <w:t>Agencija za pravni promet i posredovanje nekretninama provela je postupak javne nabave za pružanje energetske usluge (ušteda vode) u svrhu poboljšanja postojećeg vodoopskrbnog sustava pitke vode na skupu zgrada KBC Rijeka, lokalitet Rijeka, Krešimirova 42.</w:t>
      </w:r>
      <w:r w:rsidR="008A3B07">
        <w:rPr>
          <w:rFonts w:ascii="Times New Roman" w:hAnsi="Times New Roman" w:cs="Times New Roman"/>
        </w:rPr>
        <w:t xml:space="preserve"> </w:t>
      </w:r>
      <w:r>
        <w:rPr>
          <w:rFonts w:ascii="Times New Roman" w:hAnsi="Times New Roman" w:cs="Times New Roman"/>
        </w:rPr>
        <w:t>Odluka o odabiru donesena je 7. siječnja 2019. kojom je odabrana ponuda ponuditelja Rudan d.o.o., Žminj u iznosu od 40.238.016,00 kn bez PDV-a, odnosno 50.297.520,00 kn s PDV-om.</w:t>
      </w:r>
    </w:p>
    <w:p w14:paraId="74E2624F" w14:textId="77777777" w:rsidR="00A108C0" w:rsidRDefault="00A108C0" w:rsidP="00A108C0">
      <w:pPr>
        <w:jc w:val="both"/>
        <w:rPr>
          <w:rFonts w:ascii="Times New Roman" w:hAnsi="Times New Roman" w:cs="Times New Roman"/>
        </w:rPr>
      </w:pPr>
    </w:p>
    <w:p w14:paraId="2BE25EC5" w14:textId="77777777" w:rsidR="00A108C0" w:rsidRDefault="00A108C0" w:rsidP="00A108C0">
      <w:pPr>
        <w:jc w:val="both"/>
        <w:rPr>
          <w:rFonts w:ascii="Times New Roman" w:hAnsi="Times New Roman" w:cs="Times New Roman"/>
        </w:rPr>
      </w:pPr>
      <w:r>
        <w:rPr>
          <w:rFonts w:ascii="Times New Roman" w:hAnsi="Times New Roman" w:cs="Times New Roman"/>
        </w:rPr>
        <w:t xml:space="preserve">Sukladno dostavljenim podacima Ministarstva zdravstva, KBC-a Rijeka u 2018. godini potrošnja vode iznosila je 617.815,50 m3, odnosno za potrošnju se izdvojilo 8.024.149,00 kn. Temeljem Nacrta ugovora buduća godišnja potrošnja vode iznosila bi 137.815,50 m3 za što će se trebati izdvajati 1.791.013,00 kn godišnje, a godišnja ušteda iznosila bi 480.000,00 m3, odnosno 6.233.136,00 kn. Dakle, dosadašnji trošak vode iznosio je 8.024.149,00 kn, a sada se procjenjuje na iznos od 1.791.013,00 kn. Međutim, temeljem Nacrta ugovora pružatelju energetske usluge pripada naknada u iznosu od 3.592.680,00 kn godišnje. Uzevši u obzir očekivani trošak potrošnje vode u iznosu od 1.791.013 kn i navedenu naknadu u iznosu od 3.592.680,00 kn na godišnjoj razini ostvarit će se ušteda od 2.640.456,00 kn. </w:t>
      </w:r>
    </w:p>
    <w:p w14:paraId="265A7EF7" w14:textId="77777777" w:rsidR="00A108C0" w:rsidRDefault="00A108C0" w:rsidP="00A108C0">
      <w:pPr>
        <w:jc w:val="both"/>
        <w:rPr>
          <w:rFonts w:ascii="Times New Roman" w:hAnsi="Times New Roman" w:cs="Times New Roman"/>
          <w:highlight w:val="yellow"/>
        </w:rPr>
      </w:pPr>
    </w:p>
    <w:p w14:paraId="78C58392" w14:textId="77777777" w:rsidR="00A108C0" w:rsidRDefault="00A108C0" w:rsidP="00A108C0">
      <w:pPr>
        <w:jc w:val="both"/>
        <w:rPr>
          <w:rFonts w:ascii="Times New Roman" w:hAnsi="Times New Roman"/>
        </w:rPr>
      </w:pPr>
      <w:r>
        <w:rPr>
          <w:rFonts w:ascii="Times New Roman" w:hAnsi="Times New Roman"/>
        </w:rPr>
        <w:t xml:space="preserve">Sredstva za podmirenje obveze osigurana su u Državnom proračunu Republike Hrvatske za 2019. godinu i projekcijama za 2020. i 2021. godinu, u razdjelu Ministarstva zdravstva, na pozicijama Kliničkog bolničkog centra Rijeka, aktivnosti A882001 Administracija i upravljanje – ostali izvori financiranja na izvoru financiranja 43 Ostali prihodi za posebne namjene. </w:t>
      </w:r>
    </w:p>
    <w:p w14:paraId="4C5580EF" w14:textId="77777777" w:rsidR="00A108C0" w:rsidRDefault="00A108C0" w:rsidP="00A108C0">
      <w:pPr>
        <w:jc w:val="both"/>
        <w:rPr>
          <w:rFonts w:ascii="Times New Roman" w:hAnsi="Times New Roman" w:cs="Times New Roman"/>
          <w:highlight w:val="yellow"/>
        </w:rPr>
      </w:pPr>
    </w:p>
    <w:p w14:paraId="07402546" w14:textId="77777777" w:rsidR="00A108C0" w:rsidRDefault="00A108C0" w:rsidP="00A108C0">
      <w:pPr>
        <w:jc w:val="both"/>
        <w:rPr>
          <w:rFonts w:ascii="Times New Roman" w:hAnsi="Times New Roman" w:cs="Times New Roman"/>
          <w:highlight w:val="yellow"/>
        </w:rPr>
      </w:pPr>
      <w:r>
        <w:rPr>
          <w:rFonts w:ascii="Times New Roman" w:hAnsi="Times New Roman" w:cs="Times New Roman"/>
        </w:rPr>
        <w:t>Slijedom navedenog, Ministarstvo zdravstva, Klinički bolnički centar Rijeka traži suglasnost za preuzimanje obveza na teret sredstava državnog proračuna Republike Hrvatske za razdoblje od 2020. do 2033. godine u ukupnom iznosu od 50.297.520,00 kn i to s godišnjim iznosom od 3.592.680,00 kn za sklapanje ugovora o energetskom učinku - pružanju energetske usluge (ušteda vode) u svrhu poboljšanja učinkovitosti postojećeg vodoopskrbnog sustava pitke hladne vode na skupu zgrada KBC Rijeka, lokalitet Rijeka, Krešimirova 42.</w:t>
      </w:r>
    </w:p>
    <w:p w14:paraId="42E296BE" w14:textId="77777777" w:rsidR="00A108C0" w:rsidRDefault="00A108C0" w:rsidP="00A108C0">
      <w:pPr>
        <w:jc w:val="both"/>
        <w:rPr>
          <w:rFonts w:ascii="Times New Roman" w:hAnsi="Times New Roman" w:cs="Times New Roman"/>
          <w:highlight w:val="yellow"/>
        </w:rPr>
      </w:pPr>
    </w:p>
    <w:p w14:paraId="09BDC63A" w14:textId="77777777" w:rsidR="00A108C0" w:rsidRDefault="00A108C0" w:rsidP="00A108C0">
      <w:pPr>
        <w:jc w:val="both"/>
        <w:rPr>
          <w:rFonts w:ascii="Times New Roman" w:hAnsi="Times New Roman" w:cs="Times New Roman"/>
        </w:rPr>
      </w:pPr>
      <w:r>
        <w:rPr>
          <w:rFonts w:ascii="Times New Roman" w:hAnsi="Times New Roman"/>
        </w:rPr>
        <w:t xml:space="preserve">Sukladno odredbi članka 44., stavka 2. Zakona o proračunu, ministar financija predlaže Vladi Republike Hrvatske da Ministarstvu zdravstva, Kliničkom bolničkom centru Rijeka dade suglasnost za preuzimanje obveza na teret sredstava državnog proračuna Republike Hrvatske za razdoblje od 2020. do 2033. godine u ukupnom iznosu od 50.297.520,00 kn i to s godišnjim iznosom od 3.592.680,00 kn za sklapanje ugovora o energetskom učinku - pružanju energetske usluge (ušteda vode) u svrhu poboljšanja učinkovitosti postojećeg vodoopskrbnog sustava pitke hladne vode na skupu zgrada KBC Rijeka, lokalitet Rijeka, Krešimirova 42. </w:t>
      </w:r>
    </w:p>
    <w:p w14:paraId="48B92C7F" w14:textId="77777777" w:rsidR="00A108C0" w:rsidRDefault="00A108C0" w:rsidP="00A108C0">
      <w:pPr>
        <w:ind w:left="4956" w:firstLine="708"/>
        <w:jc w:val="both"/>
        <w:rPr>
          <w:rFonts w:ascii="Times New Roman" w:hAnsi="Times New Roman"/>
          <w:b/>
        </w:rPr>
      </w:pPr>
    </w:p>
    <w:sectPr w:rsidR="00A108C0" w:rsidSect="009378FD">
      <w:type w:val="continuous"/>
      <w:pgSz w:w="11906" w:h="16838" w:code="9"/>
      <w:pgMar w:top="1440" w:right="1440" w:bottom="1440" w:left="1440" w:header="709" w:footer="709" w:gutter="0"/>
      <w:paperSrc w:first="1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816F0"/>
    <w:multiLevelType w:val="hybridMultilevel"/>
    <w:tmpl w:val="4E66F05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4AC05D4"/>
    <w:multiLevelType w:val="hybridMultilevel"/>
    <w:tmpl w:val="9790FA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B73"/>
    <w:rsid w:val="0005364F"/>
    <w:rsid w:val="0008764C"/>
    <w:rsid w:val="000E61C5"/>
    <w:rsid w:val="00163E94"/>
    <w:rsid w:val="001859FC"/>
    <w:rsid w:val="001C19D2"/>
    <w:rsid w:val="002C25C7"/>
    <w:rsid w:val="002F5A3E"/>
    <w:rsid w:val="002F5E2A"/>
    <w:rsid w:val="0040003E"/>
    <w:rsid w:val="005C5F6A"/>
    <w:rsid w:val="006F359D"/>
    <w:rsid w:val="00831E79"/>
    <w:rsid w:val="008A3B07"/>
    <w:rsid w:val="008F2EE6"/>
    <w:rsid w:val="00A108C0"/>
    <w:rsid w:val="00A769D7"/>
    <w:rsid w:val="00AD4821"/>
    <w:rsid w:val="00B04978"/>
    <w:rsid w:val="00B670DC"/>
    <w:rsid w:val="00B74191"/>
    <w:rsid w:val="00BD30D0"/>
    <w:rsid w:val="00C04B7C"/>
    <w:rsid w:val="00C5323A"/>
    <w:rsid w:val="00D22F9F"/>
    <w:rsid w:val="00D50B73"/>
    <w:rsid w:val="00E1623D"/>
    <w:rsid w:val="00EB7DDC"/>
    <w:rsid w:val="00F862CB"/>
    <w:rsid w:val="00FE223F"/>
    <w:rsid w:val="00FF7AEE"/>
  </w:rsids>
  <m:mathPr>
    <m:mathFont m:val="Cambria Math"/>
    <m:brkBin m:val="before"/>
    <m:brkBinSub m:val="--"/>
    <m:smallFrac m:val="0"/>
    <m:dispDef/>
    <m:lMargin m:val="0"/>
    <m:rMargin m:val="0"/>
    <m:defJc m:val="centerGroup"/>
    <m:wrapRight/>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1D4DA0"/>
  <w15:docId w15:val="{D060D63C-1F9B-404C-93F8-399280D5A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color w:val="000000"/>
      <w:sz w:val="24"/>
      <w:szCs w:val="24"/>
    </w:rPr>
  </w:style>
  <w:style w:type="paragraph" w:styleId="Heading4">
    <w:name w:val="heading 4"/>
    <w:basedOn w:val="Normal"/>
    <w:next w:val="Normal"/>
    <w:link w:val="Heading4Char"/>
    <w:semiHidden/>
    <w:unhideWhenUsed/>
    <w:qFormat/>
    <w:rsid w:val="001C19D2"/>
    <w:pPr>
      <w:keepNext/>
      <w:jc w:val="center"/>
      <w:outlineLvl w:val="3"/>
    </w:pPr>
    <w:rPr>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B64B8"/>
    <w:rPr>
      <w:color w:val="808080"/>
    </w:rPr>
  </w:style>
  <w:style w:type="paragraph" w:styleId="BalloonText">
    <w:name w:val="Balloon Text"/>
    <w:basedOn w:val="Normal"/>
    <w:link w:val="BalloonTextChar"/>
    <w:rsid w:val="00AE5017"/>
    <w:rPr>
      <w:rFonts w:ascii="Segoe UI" w:hAnsi="Segoe UI" w:cs="Segoe UI"/>
      <w:sz w:val="18"/>
      <w:szCs w:val="18"/>
    </w:rPr>
  </w:style>
  <w:style w:type="character" w:customStyle="1" w:styleId="BalloonTextChar">
    <w:name w:val="Balloon Text Char"/>
    <w:link w:val="BalloonText"/>
    <w:rsid w:val="00AE5017"/>
    <w:rPr>
      <w:rFonts w:ascii="Segoe UI" w:hAnsi="Segoe UI" w:cs="Segoe UI"/>
      <w:sz w:val="18"/>
      <w:szCs w:val="18"/>
    </w:rPr>
  </w:style>
  <w:style w:type="paragraph" w:styleId="Header">
    <w:name w:val="header"/>
    <w:basedOn w:val="Normal"/>
    <w:link w:val="HeaderChar"/>
    <w:rsid w:val="00B247AC"/>
    <w:pPr>
      <w:tabs>
        <w:tab w:val="center" w:pos="4513"/>
        <w:tab w:val="right" w:pos="9026"/>
      </w:tabs>
    </w:pPr>
  </w:style>
  <w:style w:type="character" w:customStyle="1" w:styleId="HeaderChar">
    <w:name w:val="Header Char"/>
    <w:link w:val="Header"/>
    <w:rsid w:val="00B247AC"/>
    <w:rPr>
      <w:rFonts w:ascii="Arial" w:hAnsi="Arial" w:cs="Arial"/>
      <w:color w:val="000000"/>
      <w:sz w:val="24"/>
      <w:szCs w:val="24"/>
    </w:rPr>
  </w:style>
  <w:style w:type="paragraph" w:styleId="Footer">
    <w:name w:val="footer"/>
    <w:basedOn w:val="Normal"/>
    <w:link w:val="FooterChar"/>
    <w:rsid w:val="00B247AC"/>
    <w:pPr>
      <w:tabs>
        <w:tab w:val="center" w:pos="4513"/>
        <w:tab w:val="right" w:pos="9026"/>
      </w:tabs>
    </w:pPr>
  </w:style>
  <w:style w:type="character" w:customStyle="1" w:styleId="FooterChar">
    <w:name w:val="Footer Char"/>
    <w:link w:val="Footer"/>
    <w:rsid w:val="00B247AC"/>
    <w:rPr>
      <w:rFonts w:ascii="Arial" w:hAnsi="Arial" w:cs="Arial"/>
      <w:color w:val="000000"/>
      <w:sz w:val="24"/>
      <w:szCs w:val="24"/>
    </w:rPr>
  </w:style>
  <w:style w:type="paragraph" w:styleId="BodyTextIndent2">
    <w:name w:val="Body Text Indent 2"/>
    <w:aliases w:val="  uvlaka 2,uvlaka 2"/>
    <w:basedOn w:val="Normal"/>
    <w:link w:val="BodyTextIndent2Char"/>
    <w:rsid w:val="00D50B73"/>
    <w:pPr>
      <w:ind w:firstLine="1418"/>
      <w:jc w:val="both"/>
    </w:pPr>
    <w:rPr>
      <w:rFonts w:cs="Times New Roman"/>
      <w:color w:val="auto"/>
      <w:szCs w:val="20"/>
    </w:rPr>
  </w:style>
  <w:style w:type="character" w:customStyle="1" w:styleId="BodyTextIndent2Char">
    <w:name w:val="Body Text Indent 2 Char"/>
    <w:aliases w:val="  uvlaka 2 Char,uvlaka 2 Char"/>
    <w:link w:val="BodyTextIndent2"/>
    <w:rsid w:val="00D50B73"/>
    <w:rPr>
      <w:rFonts w:ascii="Arial" w:hAnsi="Arial"/>
      <w:sz w:val="24"/>
    </w:rPr>
  </w:style>
  <w:style w:type="paragraph" w:styleId="BodyText">
    <w:name w:val="Body Text"/>
    <w:basedOn w:val="Normal"/>
    <w:link w:val="BodyTextChar"/>
    <w:rsid w:val="001C19D2"/>
    <w:pPr>
      <w:spacing w:after="120"/>
    </w:pPr>
  </w:style>
  <w:style w:type="character" w:customStyle="1" w:styleId="BodyTextChar">
    <w:name w:val="Body Text Char"/>
    <w:link w:val="BodyText"/>
    <w:rsid w:val="001C19D2"/>
    <w:rPr>
      <w:rFonts w:ascii="Arial" w:hAnsi="Arial" w:cs="Arial"/>
      <w:color w:val="000000"/>
      <w:sz w:val="24"/>
      <w:szCs w:val="24"/>
    </w:rPr>
  </w:style>
  <w:style w:type="character" w:customStyle="1" w:styleId="Heading4Char">
    <w:name w:val="Heading 4 Char"/>
    <w:link w:val="Heading4"/>
    <w:semiHidden/>
    <w:rsid w:val="001C19D2"/>
    <w:rPr>
      <w:rFonts w:ascii="Arial" w:hAnsi="Arial" w:cs="Arial"/>
      <w:b/>
      <w:bCs/>
      <w:sz w:val="24"/>
      <w:szCs w:val="24"/>
    </w:rPr>
  </w:style>
  <w:style w:type="paragraph" w:styleId="ListParagraph">
    <w:name w:val="List Paragraph"/>
    <w:basedOn w:val="Normal"/>
    <w:uiPriority w:val="34"/>
    <w:qFormat/>
    <w:rsid w:val="001C19D2"/>
    <w:pPr>
      <w:spacing w:after="200" w:line="276" w:lineRule="auto"/>
      <w:ind w:left="720"/>
      <w:contextualSpacing/>
    </w:pPr>
    <w:rPr>
      <w:rFonts w:ascii="Calibri" w:eastAsia="Calibri" w:hAnsi="Calibri" w:cs="Times New Roman"/>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93402">
      <w:bodyDiv w:val="1"/>
      <w:marLeft w:val="0"/>
      <w:marRight w:val="0"/>
      <w:marTop w:val="0"/>
      <w:marBottom w:val="0"/>
      <w:divBdr>
        <w:top w:val="none" w:sz="0" w:space="0" w:color="auto"/>
        <w:left w:val="none" w:sz="0" w:space="0" w:color="auto"/>
        <w:bottom w:val="none" w:sz="0" w:space="0" w:color="auto"/>
        <w:right w:val="none" w:sz="0" w:space="0" w:color="auto"/>
      </w:divBdr>
    </w:div>
    <w:div w:id="1619683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80246-464B-459B-9DC2-3D681FF9A778}">
  <ds:schemaRefs>
    <ds:schemaRef ds:uri="http://schemas.microsoft.com/sharepoint/events"/>
  </ds:schemaRefs>
</ds:datastoreItem>
</file>

<file path=customXml/itemProps2.xml><?xml version="1.0" encoding="utf-8"?>
<ds:datastoreItem xmlns:ds="http://schemas.openxmlformats.org/officeDocument/2006/customXml" ds:itemID="{591D2FE1-EC72-426E-9EAB-D9431A25C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F4689A-E267-4369-9249-0F94883DDCBC}">
  <ds:schemaRefs>
    <ds:schemaRef ds:uri="http://schemas.microsoft.com/sharepoint/v3/contenttype/forms"/>
  </ds:schemaRefs>
</ds:datastoreItem>
</file>

<file path=customXml/itemProps4.xml><?xml version="1.0" encoding="utf-8"?>
<ds:datastoreItem xmlns:ds="http://schemas.openxmlformats.org/officeDocument/2006/customXml" ds:itemID="{59FBE862-12A2-4816-9A4D-B1CBC485E1F7}">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BDE2FF22-0947-421B-99F4-33F9C7151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4978</Characters>
  <Application>Microsoft Office Word</Application>
  <DocSecurity>0</DocSecurity>
  <Lines>41</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Predlozak</vt:lpstr>
      <vt:lpstr>Predlozak</vt:lpstr>
    </vt:vector>
  </TitlesOfParts>
  <Company>RH-TDU</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creator>Silvija Radoš</dc:creator>
  <cp:lastModifiedBy>Vlatka Šelimber</cp:lastModifiedBy>
  <cp:revision>2</cp:revision>
  <cp:lastPrinted>2019-04-08T11:57:00Z</cp:lastPrinted>
  <dcterms:created xsi:type="dcterms:W3CDTF">2019-05-29T16:12:00Z</dcterms:created>
  <dcterms:modified xsi:type="dcterms:W3CDTF">2019-05-29T16:12:00Z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