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BC84A" w14:textId="77777777" w:rsidR="00CD3EFA" w:rsidRPr="00C208B8" w:rsidRDefault="008F0DD4" w:rsidP="0023763F">
      <w:pPr>
        <w:jc w:val="center"/>
      </w:pPr>
      <w:bookmarkStart w:id="0" w:name="_GoBack"/>
      <w:bookmarkEnd w:id="0"/>
      <w:r>
        <w:rPr>
          <w:noProof/>
        </w:rPr>
        <w:drawing>
          <wp:inline distT="0" distB="0" distL="0" distR="0" wp14:anchorId="126BC914" wp14:editId="126BC91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126BC84B" w14:textId="77777777" w:rsidR="00CD3EFA" w:rsidRPr="0023763F" w:rsidRDefault="003A2F05" w:rsidP="0023763F">
      <w:pPr>
        <w:spacing w:before="60" w:after="1680"/>
        <w:jc w:val="center"/>
        <w:rPr>
          <w:sz w:val="28"/>
        </w:rPr>
      </w:pPr>
      <w:r w:rsidRPr="0023763F">
        <w:rPr>
          <w:sz w:val="28"/>
        </w:rPr>
        <w:t>VLADA REPUBLIKE HRVATSKE</w:t>
      </w:r>
    </w:p>
    <w:p w14:paraId="126BC84C" w14:textId="77777777" w:rsidR="00CD3EFA" w:rsidRDefault="00CD3EFA"/>
    <w:p w14:paraId="126BC84D" w14:textId="1C8CBE32" w:rsidR="00C337A4" w:rsidRPr="003A2F05" w:rsidRDefault="00C337A4" w:rsidP="0023763F">
      <w:pPr>
        <w:spacing w:after="2400"/>
        <w:jc w:val="right"/>
      </w:pPr>
      <w:r w:rsidRPr="003A2F05">
        <w:t xml:space="preserve">Zagreb, </w:t>
      </w:r>
      <w:r w:rsidR="003A4595">
        <w:t>4</w:t>
      </w:r>
      <w:r w:rsidRPr="003A2F05">
        <w:t xml:space="preserve">. </w:t>
      </w:r>
      <w:r w:rsidR="003A4595">
        <w:t>travnj</w:t>
      </w:r>
      <w:r w:rsidR="00CF453A">
        <w:t>a</w:t>
      </w:r>
      <w:r w:rsidRPr="003A2F05">
        <w:t xml:space="preserve"> 201</w:t>
      </w:r>
      <w:r w:rsidR="002179F8" w:rsidRPr="003A2F05">
        <w:t>9</w:t>
      </w:r>
      <w:r w:rsidRPr="003A2F05">
        <w:t>.</w:t>
      </w:r>
    </w:p>
    <w:p w14:paraId="126BC84E" w14:textId="77777777" w:rsidR="000350D9" w:rsidRPr="002179F8" w:rsidRDefault="000350D9" w:rsidP="000350D9">
      <w:pPr>
        <w:spacing w:line="360" w:lineRule="auto"/>
      </w:pPr>
      <w:r w:rsidRPr="002179F8">
        <w:t>__________________________________________________________________________</w:t>
      </w:r>
    </w:p>
    <w:p w14:paraId="126BC84F" w14:textId="77777777" w:rsidR="000350D9" w:rsidRDefault="000350D9" w:rsidP="000350D9">
      <w:pPr>
        <w:tabs>
          <w:tab w:val="right" w:pos="1701"/>
          <w:tab w:val="left" w:pos="1843"/>
        </w:tabs>
        <w:spacing w:line="360" w:lineRule="auto"/>
        <w:ind w:left="1843" w:hanging="1843"/>
        <w:rPr>
          <w:b/>
          <w:smallCaps/>
        </w:rPr>
        <w:sectPr w:rsidR="000350D9" w:rsidSect="00A362AB">
          <w:footerReference w:type="first" r:id="rId13"/>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126BC852" w14:textId="77777777" w:rsidTr="000350D9">
        <w:tc>
          <w:tcPr>
            <w:tcW w:w="1951" w:type="dxa"/>
          </w:tcPr>
          <w:p w14:paraId="126BC850"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126BC851" w14:textId="77777777" w:rsidR="000350D9" w:rsidRDefault="00AC3D44" w:rsidP="00AC3D44">
            <w:pPr>
              <w:spacing w:line="360" w:lineRule="auto"/>
            </w:pPr>
            <w:r>
              <w:t>Ministarstvo mora, prometa i infrastrukture</w:t>
            </w:r>
          </w:p>
        </w:tc>
      </w:tr>
    </w:tbl>
    <w:p w14:paraId="126BC853" w14:textId="77777777" w:rsidR="000350D9" w:rsidRPr="002179F8" w:rsidRDefault="000350D9" w:rsidP="000350D9">
      <w:pPr>
        <w:spacing w:line="360" w:lineRule="auto"/>
      </w:pPr>
      <w:r w:rsidRPr="002179F8">
        <w:t>__________________________________________________________________________</w:t>
      </w:r>
    </w:p>
    <w:p w14:paraId="126BC854"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126BC857" w14:textId="77777777" w:rsidTr="000350D9">
        <w:tc>
          <w:tcPr>
            <w:tcW w:w="1951" w:type="dxa"/>
          </w:tcPr>
          <w:p w14:paraId="126BC855" w14:textId="77777777" w:rsidR="000350D9" w:rsidRDefault="000350D9" w:rsidP="000350D9">
            <w:pPr>
              <w:spacing w:line="360" w:lineRule="auto"/>
              <w:jc w:val="right"/>
            </w:pPr>
            <w:r>
              <w:rPr>
                <w:b/>
                <w:smallCaps/>
              </w:rPr>
              <w:t>Predmet</w:t>
            </w:r>
            <w:r w:rsidRPr="002179F8">
              <w:rPr>
                <w:b/>
              </w:rPr>
              <w:t>:</w:t>
            </w:r>
          </w:p>
        </w:tc>
        <w:tc>
          <w:tcPr>
            <w:tcW w:w="7229" w:type="dxa"/>
          </w:tcPr>
          <w:p w14:paraId="126BC856" w14:textId="2F838B86" w:rsidR="000350D9" w:rsidRDefault="00124497" w:rsidP="000350D9">
            <w:pPr>
              <w:spacing w:line="360" w:lineRule="auto"/>
            </w:pPr>
            <w:r w:rsidRPr="00124497">
              <w:t>Prije</w:t>
            </w:r>
            <w:r w:rsidR="00B25DBD">
              <w:t>dlog odluke o izmjenama i dopunama</w:t>
            </w:r>
            <w:r w:rsidRPr="00124497">
              <w:t xml:space="preserve"> Odluke o koncesiji u svrhu gospodarskog korištenja pomorskog dobra radi obavljanja djelatnosti uzgoja bijele ribe uz Dugi otok, između rtova Žman i Gubac</w:t>
            </w:r>
          </w:p>
        </w:tc>
      </w:tr>
    </w:tbl>
    <w:p w14:paraId="126BC858"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126BC859" w14:textId="77777777" w:rsidR="00CE78D1" w:rsidRDefault="00CE78D1" w:rsidP="008F0DD4"/>
    <w:p w14:paraId="126BC85A" w14:textId="77777777" w:rsidR="00CE78D1" w:rsidRPr="00CE78D1" w:rsidRDefault="00CE78D1" w:rsidP="00CE78D1"/>
    <w:p w14:paraId="126BC85B" w14:textId="77777777" w:rsidR="00CE78D1" w:rsidRPr="00CE78D1" w:rsidRDefault="00CE78D1" w:rsidP="00CE78D1"/>
    <w:p w14:paraId="126BC85C" w14:textId="77777777" w:rsidR="00CE78D1" w:rsidRPr="00CE78D1" w:rsidRDefault="00CE78D1" w:rsidP="00CE78D1"/>
    <w:p w14:paraId="126BC85D" w14:textId="77777777" w:rsidR="00CE78D1" w:rsidRPr="00CE78D1" w:rsidRDefault="00CE78D1" w:rsidP="00CE78D1"/>
    <w:p w14:paraId="126BC85E" w14:textId="77777777" w:rsidR="00CE78D1" w:rsidRPr="00CE78D1" w:rsidRDefault="00CE78D1" w:rsidP="00CE78D1"/>
    <w:p w14:paraId="126BC85F" w14:textId="77777777" w:rsidR="00CE78D1" w:rsidRPr="00CE78D1" w:rsidRDefault="00CE78D1" w:rsidP="00CE78D1"/>
    <w:p w14:paraId="126BC860" w14:textId="77777777" w:rsidR="00CE78D1" w:rsidRPr="00CE78D1" w:rsidRDefault="00CE78D1" w:rsidP="00CE78D1"/>
    <w:p w14:paraId="126BC861" w14:textId="77777777" w:rsidR="00CE78D1" w:rsidRPr="00CE78D1" w:rsidRDefault="00CE78D1" w:rsidP="00CE78D1"/>
    <w:p w14:paraId="126BC862" w14:textId="77777777" w:rsidR="00CE78D1" w:rsidRPr="00CE78D1" w:rsidRDefault="00CE78D1" w:rsidP="00CE78D1"/>
    <w:p w14:paraId="126BC863" w14:textId="77777777" w:rsidR="00CE78D1" w:rsidRDefault="00CE78D1" w:rsidP="00CE78D1"/>
    <w:p w14:paraId="126BC864" w14:textId="77777777" w:rsidR="00A362AB" w:rsidRDefault="00A362AB" w:rsidP="00CE78D1"/>
    <w:p w14:paraId="126BC865" w14:textId="77777777" w:rsidR="00A362AB" w:rsidRDefault="00A362AB" w:rsidP="00CE78D1"/>
    <w:p w14:paraId="126BC866" w14:textId="77777777" w:rsidR="00A362AB" w:rsidRDefault="00A362AB" w:rsidP="00CE78D1"/>
    <w:p w14:paraId="126BC867" w14:textId="77777777" w:rsidR="00A362AB" w:rsidRDefault="00A362AB" w:rsidP="00CE78D1"/>
    <w:p w14:paraId="126BC868" w14:textId="77777777" w:rsidR="00A362AB" w:rsidRDefault="00A362AB" w:rsidP="00CE78D1"/>
    <w:p w14:paraId="126BC869" w14:textId="77777777" w:rsidR="00A362AB" w:rsidRDefault="00A362AB" w:rsidP="00CE78D1"/>
    <w:p w14:paraId="126BC86A" w14:textId="77777777" w:rsidR="00A362AB" w:rsidRPr="00CE78D1" w:rsidRDefault="00A362AB" w:rsidP="00CE78D1"/>
    <w:p w14:paraId="126BC86B" w14:textId="77777777" w:rsidR="00CE78D1" w:rsidRPr="00CE78D1" w:rsidRDefault="00CE78D1" w:rsidP="00CE78D1"/>
    <w:p w14:paraId="126BC86C" w14:textId="77777777" w:rsidR="00124497" w:rsidRPr="00124497" w:rsidRDefault="00124497" w:rsidP="00124497">
      <w:pPr>
        <w:jc w:val="right"/>
        <w:rPr>
          <w:b/>
        </w:rPr>
      </w:pPr>
      <w:r w:rsidRPr="00124497">
        <w:rPr>
          <w:b/>
        </w:rPr>
        <w:lastRenderedPageBreak/>
        <w:t>Prijedlog</w:t>
      </w:r>
    </w:p>
    <w:p w14:paraId="126BC86D" w14:textId="77777777" w:rsidR="00124497" w:rsidRDefault="00124497" w:rsidP="00124497">
      <w:pPr>
        <w:jc w:val="both"/>
      </w:pPr>
    </w:p>
    <w:p w14:paraId="126BC86E" w14:textId="77777777" w:rsidR="00124497" w:rsidRDefault="00124497" w:rsidP="00124497">
      <w:pPr>
        <w:jc w:val="both"/>
      </w:pPr>
    </w:p>
    <w:p w14:paraId="126BC86F" w14:textId="77777777" w:rsidR="00124497" w:rsidRDefault="00124497" w:rsidP="00124497">
      <w:pPr>
        <w:jc w:val="both"/>
      </w:pPr>
    </w:p>
    <w:p w14:paraId="126BC870" w14:textId="77777777" w:rsidR="00124497" w:rsidRDefault="00124497" w:rsidP="00124497">
      <w:pPr>
        <w:jc w:val="both"/>
      </w:pPr>
    </w:p>
    <w:p w14:paraId="126BC871" w14:textId="77777777" w:rsidR="00315859" w:rsidRPr="00124497" w:rsidRDefault="00315859" w:rsidP="00124497">
      <w:pPr>
        <w:ind w:firstLine="1416"/>
        <w:jc w:val="both"/>
      </w:pPr>
      <w:r w:rsidRPr="00124497">
        <w:t>Na temelju članka 17. stavka 1. i članka 20. stavka 3. Zakona o pomorskom dobru i morskim lukama (Narodne novine, br. 158/03, 100/04, 141/06, 38/09, 123/11</w:t>
      </w:r>
      <w:r w:rsidR="00124497">
        <w:t xml:space="preserve"> </w:t>
      </w:r>
      <w:r w:rsidR="00124497" w:rsidRPr="00124497">
        <w:t>– Odluka Ustavnog suda Republike Hrvatske</w:t>
      </w:r>
      <w:r w:rsidRPr="00124497">
        <w:t xml:space="preserve"> i 56/16)</w:t>
      </w:r>
      <w:r w:rsidR="00124497">
        <w:t>,</w:t>
      </w:r>
      <w:r w:rsidRPr="00124497">
        <w:t xml:space="preserve"> te članka 36. stavka 1. Zakona o koncesijama (Narodne novine, br. 69/17), a u vezi sa člankom 6. Uredbe o određivanju građevina, drugih zahvata u prostoru i površina državnog i područnog (regionalnog) značaja (Narodne novine, br. 37/14 i 154/14)</w:t>
      </w:r>
      <w:r w:rsidR="00124497">
        <w:t>,</w:t>
      </w:r>
      <w:r w:rsidRPr="00124497">
        <w:t xml:space="preserve"> Vlada Republike Hrvatske je na sjednici održanoj ___________ 2019. godine donijela</w:t>
      </w:r>
    </w:p>
    <w:p w14:paraId="126BC872" w14:textId="77777777" w:rsidR="00315859" w:rsidRPr="00124497" w:rsidRDefault="00315859" w:rsidP="00124497">
      <w:pPr>
        <w:jc w:val="center"/>
        <w:rPr>
          <w:b/>
          <w:bCs/>
        </w:rPr>
      </w:pPr>
    </w:p>
    <w:p w14:paraId="126BC873" w14:textId="77777777" w:rsidR="00AF63E0" w:rsidRPr="00124497" w:rsidRDefault="00AF63E0" w:rsidP="00124497">
      <w:pPr>
        <w:jc w:val="center"/>
        <w:rPr>
          <w:b/>
          <w:bCs/>
        </w:rPr>
      </w:pPr>
    </w:p>
    <w:p w14:paraId="126BC874" w14:textId="77777777" w:rsidR="00315859" w:rsidRDefault="00315859" w:rsidP="00124497">
      <w:pPr>
        <w:tabs>
          <w:tab w:val="left" w:pos="2460"/>
          <w:tab w:val="center" w:pos="4536"/>
        </w:tabs>
        <w:ind w:right="-142" w:hanging="142"/>
        <w:jc w:val="center"/>
        <w:rPr>
          <w:b/>
        </w:rPr>
      </w:pPr>
      <w:r w:rsidRPr="00124497">
        <w:rPr>
          <w:b/>
        </w:rPr>
        <w:t>O</w:t>
      </w:r>
      <w:r w:rsidR="00124497">
        <w:rPr>
          <w:b/>
        </w:rPr>
        <w:t xml:space="preserve"> </w:t>
      </w:r>
      <w:r w:rsidRPr="00124497">
        <w:rPr>
          <w:b/>
        </w:rPr>
        <w:t>D</w:t>
      </w:r>
      <w:r w:rsidR="00124497">
        <w:rPr>
          <w:b/>
        </w:rPr>
        <w:t xml:space="preserve"> </w:t>
      </w:r>
      <w:r w:rsidRPr="00124497">
        <w:rPr>
          <w:b/>
        </w:rPr>
        <w:t>L</w:t>
      </w:r>
      <w:r w:rsidR="00124497">
        <w:rPr>
          <w:b/>
        </w:rPr>
        <w:t xml:space="preserve"> </w:t>
      </w:r>
      <w:r w:rsidRPr="00124497">
        <w:rPr>
          <w:b/>
        </w:rPr>
        <w:t>U</w:t>
      </w:r>
      <w:r w:rsidR="00124497">
        <w:rPr>
          <w:b/>
        </w:rPr>
        <w:t xml:space="preserve"> </w:t>
      </w:r>
      <w:r w:rsidRPr="00124497">
        <w:rPr>
          <w:b/>
        </w:rPr>
        <w:t>K</w:t>
      </w:r>
      <w:r w:rsidR="00124497">
        <w:rPr>
          <w:b/>
        </w:rPr>
        <w:t xml:space="preserve"> </w:t>
      </w:r>
      <w:r w:rsidRPr="00124497">
        <w:rPr>
          <w:b/>
        </w:rPr>
        <w:t>U</w:t>
      </w:r>
    </w:p>
    <w:p w14:paraId="126BC875" w14:textId="77777777" w:rsidR="00124497" w:rsidRPr="00124497" w:rsidRDefault="00124497" w:rsidP="00124497">
      <w:pPr>
        <w:tabs>
          <w:tab w:val="left" w:pos="2460"/>
          <w:tab w:val="center" w:pos="4536"/>
        </w:tabs>
        <w:ind w:right="-142" w:hanging="142"/>
        <w:jc w:val="center"/>
        <w:rPr>
          <w:b/>
        </w:rPr>
      </w:pPr>
    </w:p>
    <w:p w14:paraId="126BC876" w14:textId="3BCEE1D3" w:rsidR="00124497" w:rsidRDefault="00B25DBD" w:rsidP="00124497">
      <w:pPr>
        <w:tabs>
          <w:tab w:val="left" w:pos="2460"/>
          <w:tab w:val="center" w:pos="4536"/>
        </w:tabs>
        <w:ind w:right="-142" w:hanging="142"/>
        <w:jc w:val="center"/>
        <w:rPr>
          <w:b/>
        </w:rPr>
      </w:pPr>
      <w:r>
        <w:rPr>
          <w:b/>
        </w:rPr>
        <w:t>o izmjenama i dopunama</w:t>
      </w:r>
      <w:r w:rsidR="00124497" w:rsidRPr="00124497">
        <w:rPr>
          <w:b/>
        </w:rPr>
        <w:t xml:space="preserve"> Odluke o koncesiji u svrhu gospodarskog korištenja </w:t>
      </w:r>
    </w:p>
    <w:p w14:paraId="126BC877" w14:textId="77777777" w:rsidR="00124497" w:rsidRDefault="00124497" w:rsidP="00124497">
      <w:pPr>
        <w:tabs>
          <w:tab w:val="left" w:pos="2460"/>
          <w:tab w:val="center" w:pos="4536"/>
        </w:tabs>
        <w:ind w:right="-142" w:hanging="142"/>
        <w:jc w:val="center"/>
        <w:rPr>
          <w:b/>
        </w:rPr>
      </w:pPr>
      <w:r w:rsidRPr="00124497">
        <w:rPr>
          <w:b/>
        </w:rPr>
        <w:t xml:space="preserve">pomorskog dobra radi obavljanja djelatnosti uzgoja bijele ribe </w:t>
      </w:r>
    </w:p>
    <w:p w14:paraId="126BC878" w14:textId="77777777" w:rsidR="00315859" w:rsidRPr="00124497" w:rsidRDefault="00124497" w:rsidP="00124497">
      <w:pPr>
        <w:tabs>
          <w:tab w:val="left" w:pos="2460"/>
          <w:tab w:val="center" w:pos="4536"/>
        </w:tabs>
        <w:ind w:right="-142" w:hanging="142"/>
        <w:jc w:val="center"/>
        <w:rPr>
          <w:b/>
        </w:rPr>
      </w:pPr>
      <w:r w:rsidRPr="00124497">
        <w:rPr>
          <w:b/>
        </w:rPr>
        <w:t>uz Dugi otok, između rtova Žman i Gubac</w:t>
      </w:r>
    </w:p>
    <w:p w14:paraId="126BC879" w14:textId="77777777" w:rsidR="00315859" w:rsidRPr="00124497" w:rsidRDefault="00315859" w:rsidP="00124497">
      <w:pPr>
        <w:tabs>
          <w:tab w:val="left" w:pos="2460"/>
          <w:tab w:val="center" w:pos="4536"/>
        </w:tabs>
        <w:ind w:right="-142" w:hanging="142"/>
        <w:jc w:val="center"/>
        <w:rPr>
          <w:b/>
          <w:bCs/>
        </w:rPr>
      </w:pPr>
    </w:p>
    <w:p w14:paraId="126BC87A" w14:textId="77777777" w:rsidR="00AF63E0" w:rsidRPr="00124497" w:rsidRDefault="00AF63E0" w:rsidP="00124497">
      <w:pPr>
        <w:tabs>
          <w:tab w:val="left" w:pos="2460"/>
          <w:tab w:val="center" w:pos="4536"/>
        </w:tabs>
        <w:ind w:right="-142" w:hanging="142"/>
        <w:jc w:val="center"/>
        <w:rPr>
          <w:b/>
          <w:bCs/>
        </w:rPr>
      </w:pPr>
    </w:p>
    <w:p w14:paraId="126BC87B" w14:textId="77777777" w:rsidR="00315859" w:rsidRPr="00124497" w:rsidRDefault="00315859" w:rsidP="00124497">
      <w:pPr>
        <w:jc w:val="center"/>
        <w:rPr>
          <w:b/>
        </w:rPr>
      </w:pPr>
      <w:r w:rsidRPr="00124497">
        <w:rPr>
          <w:b/>
        </w:rPr>
        <w:t>I.</w:t>
      </w:r>
    </w:p>
    <w:p w14:paraId="126BC87C" w14:textId="77777777" w:rsidR="00315859" w:rsidRPr="00124497" w:rsidRDefault="00315859" w:rsidP="00124497">
      <w:pPr>
        <w:jc w:val="center"/>
      </w:pPr>
    </w:p>
    <w:p w14:paraId="126BC87D" w14:textId="0FC1151B" w:rsidR="00315859" w:rsidRPr="00124497" w:rsidRDefault="00315859" w:rsidP="00124497">
      <w:pPr>
        <w:ind w:firstLine="1416"/>
        <w:jc w:val="both"/>
        <w:rPr>
          <w:rFonts w:eastAsiaTheme="minorHAnsi"/>
          <w:lang w:eastAsia="en-US"/>
        </w:rPr>
      </w:pPr>
      <w:r w:rsidRPr="00124497">
        <w:t>U Odluci o koncesiji u svrhu gospodarskog korištenja pomorskog dobra radi obavljanja djelatnosti uzgoja bijele ribe uz Dugi otok, između rtova Žman i Gubac (Narodne novine, broj 79/16)</w:t>
      </w:r>
      <w:r w:rsidR="00124497">
        <w:t>,</w:t>
      </w:r>
      <w:r w:rsidRPr="00124497">
        <w:t xml:space="preserve"> u točki</w:t>
      </w:r>
      <w:r w:rsidRPr="00124497">
        <w:rPr>
          <w:bCs/>
        </w:rPr>
        <w:t xml:space="preserve"> II.</w:t>
      </w:r>
      <w:r w:rsidRPr="00124497">
        <w:rPr>
          <w:rFonts w:eastAsiaTheme="minorHAnsi"/>
          <w:lang w:eastAsia="en-US"/>
        </w:rPr>
        <w:t xml:space="preserve"> tablica se mijenja i glasi:</w:t>
      </w:r>
    </w:p>
    <w:p w14:paraId="126BC87E" w14:textId="77777777" w:rsidR="00315859" w:rsidRPr="00124497" w:rsidRDefault="00315859" w:rsidP="00124497">
      <w:pPr>
        <w:autoSpaceDE w:val="0"/>
        <w:autoSpaceDN w:val="0"/>
        <w:adjustRightInd w:val="0"/>
        <w:jc w:val="both"/>
        <w:rPr>
          <w:bCs/>
        </w:rPr>
      </w:pPr>
    </w:p>
    <w:tbl>
      <w:tblPr>
        <w:tblStyle w:val="Reetkatablice2"/>
        <w:tblpPr w:leftFromText="180" w:rightFromText="180" w:vertAnchor="text" w:horzAnchor="page" w:tblpXSpec="center" w:tblpY="189"/>
        <w:tblOverlap w:val="never"/>
        <w:tblW w:w="0" w:type="auto"/>
        <w:tblLook w:val="04A0" w:firstRow="1" w:lastRow="0" w:firstColumn="1" w:lastColumn="0" w:noHBand="0" w:noVBand="1"/>
      </w:tblPr>
      <w:tblGrid>
        <w:gridCol w:w="1276"/>
        <w:gridCol w:w="1843"/>
        <w:gridCol w:w="1843"/>
      </w:tblGrid>
      <w:tr w:rsidR="00315859" w:rsidRPr="00124497" w14:paraId="126BC880" w14:textId="77777777" w:rsidTr="00B77285">
        <w:trPr>
          <w:trHeight w:val="397"/>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14:paraId="126BC87F" w14:textId="77777777" w:rsidR="00315859" w:rsidRPr="00124497" w:rsidRDefault="00315859" w:rsidP="00124497">
            <w:pPr>
              <w:jc w:val="center"/>
              <w:rPr>
                <w:rFonts w:ascii="Times New Roman" w:eastAsiaTheme="minorHAnsi" w:hAnsi="Times New Roman"/>
                <w:bCs/>
                <w:lang w:eastAsia="en-US"/>
              </w:rPr>
            </w:pPr>
            <w:r w:rsidRPr="00124497">
              <w:rPr>
                <w:rFonts w:ascii="Times New Roman" w:eastAsiaTheme="minorHAnsi" w:hAnsi="Times New Roman"/>
                <w:bCs/>
                <w:lang w:eastAsia="en-US"/>
              </w:rPr>
              <w:t xml:space="preserve">POLJE </w:t>
            </w:r>
          </w:p>
        </w:tc>
      </w:tr>
      <w:tr w:rsidR="00315859" w:rsidRPr="00124497" w14:paraId="126BC884" w14:textId="77777777" w:rsidTr="00B77285">
        <w:trPr>
          <w:trHeight w:val="397"/>
        </w:trPr>
        <w:tc>
          <w:tcPr>
            <w:tcW w:w="1276" w:type="dxa"/>
            <w:tcBorders>
              <w:top w:val="single" w:sz="4" w:space="0" w:color="auto"/>
              <w:left w:val="single" w:sz="4" w:space="0" w:color="auto"/>
              <w:bottom w:val="single" w:sz="4" w:space="0" w:color="auto"/>
              <w:right w:val="single" w:sz="4" w:space="0" w:color="auto"/>
            </w:tcBorders>
            <w:vAlign w:val="center"/>
            <w:hideMark/>
          </w:tcPr>
          <w:p w14:paraId="126BC881" w14:textId="77777777" w:rsidR="00315859" w:rsidRPr="00124497" w:rsidRDefault="00315859" w:rsidP="00124497">
            <w:pPr>
              <w:jc w:val="center"/>
              <w:rPr>
                <w:rFonts w:ascii="Times New Roman" w:eastAsiaTheme="minorHAnsi" w:hAnsi="Times New Roman"/>
                <w:bCs/>
                <w:lang w:eastAsia="en-US"/>
              </w:rPr>
            </w:pPr>
            <w:r w:rsidRPr="00124497">
              <w:rPr>
                <w:rFonts w:ascii="Times New Roman" w:eastAsiaTheme="minorHAnsi" w:hAnsi="Times New Roman"/>
                <w:bCs/>
                <w:lang w:eastAsia="en-US"/>
              </w:rPr>
              <w:t>točka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6BC882" w14:textId="77777777" w:rsidR="00315859" w:rsidRPr="00124497" w:rsidRDefault="00315859" w:rsidP="00124497">
            <w:pPr>
              <w:jc w:val="center"/>
              <w:rPr>
                <w:rFonts w:ascii="Times New Roman" w:eastAsiaTheme="minorHAnsi" w:hAnsi="Times New Roman"/>
                <w:bCs/>
                <w:lang w:eastAsia="en-US"/>
              </w:rPr>
            </w:pPr>
            <w:r w:rsidRPr="00124497">
              <w:rPr>
                <w:rFonts w:ascii="Times New Roman" w:eastAsiaTheme="minorHAnsi" w:hAnsi="Times New Roman"/>
                <w:bCs/>
                <w:lang w:eastAsia="en-US"/>
              </w:rPr>
              <w:t>E (Y)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6BC883" w14:textId="77777777" w:rsidR="00315859" w:rsidRPr="00124497" w:rsidRDefault="00315859" w:rsidP="00124497">
            <w:pPr>
              <w:jc w:val="center"/>
              <w:rPr>
                <w:rFonts w:ascii="Times New Roman" w:eastAsiaTheme="minorHAnsi" w:hAnsi="Times New Roman"/>
                <w:bCs/>
                <w:lang w:eastAsia="en-US"/>
              </w:rPr>
            </w:pPr>
            <w:r w:rsidRPr="00124497">
              <w:rPr>
                <w:rFonts w:ascii="Times New Roman" w:eastAsiaTheme="minorHAnsi" w:hAnsi="Times New Roman"/>
                <w:bCs/>
                <w:lang w:eastAsia="en-US"/>
              </w:rPr>
              <w:t>N (X)</w:t>
            </w:r>
          </w:p>
        </w:tc>
      </w:tr>
      <w:tr w:rsidR="00315859" w:rsidRPr="00124497" w14:paraId="126BC888" w14:textId="77777777" w:rsidTr="00B77285">
        <w:trPr>
          <w:trHeight w:val="397"/>
        </w:trPr>
        <w:tc>
          <w:tcPr>
            <w:tcW w:w="1276" w:type="dxa"/>
            <w:tcBorders>
              <w:top w:val="single" w:sz="4" w:space="0" w:color="auto"/>
              <w:left w:val="single" w:sz="4" w:space="0" w:color="auto"/>
              <w:bottom w:val="single" w:sz="4" w:space="0" w:color="auto"/>
              <w:right w:val="single" w:sz="4" w:space="0" w:color="auto"/>
            </w:tcBorders>
            <w:vAlign w:val="center"/>
            <w:hideMark/>
          </w:tcPr>
          <w:p w14:paraId="126BC885" w14:textId="77777777" w:rsidR="00315859" w:rsidRPr="00124497" w:rsidRDefault="00315859" w:rsidP="00124497">
            <w:pPr>
              <w:jc w:val="center"/>
              <w:rPr>
                <w:rFonts w:ascii="Times New Roman" w:eastAsiaTheme="minorHAnsi" w:hAnsi="Times New Roman"/>
                <w:bCs/>
                <w:lang w:eastAsia="en-US"/>
              </w:rPr>
            </w:pPr>
            <w:r w:rsidRPr="00124497">
              <w:rPr>
                <w:rFonts w:ascii="Times New Roman" w:eastAsiaTheme="minorHAnsi" w:hAnsi="Times New Roman"/>
                <w:bCs/>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6BC886" w14:textId="77777777" w:rsidR="00315859" w:rsidRPr="00124497" w:rsidRDefault="00315859" w:rsidP="00124497">
            <w:pPr>
              <w:jc w:val="center"/>
              <w:rPr>
                <w:rFonts w:ascii="Times New Roman" w:eastAsiaTheme="minorHAnsi" w:hAnsi="Times New Roman"/>
                <w:bCs/>
                <w:lang w:eastAsia="en-US"/>
              </w:rPr>
            </w:pPr>
            <w:r w:rsidRPr="00124497">
              <w:rPr>
                <w:rFonts w:ascii="Times New Roman" w:eastAsiaTheme="minorHAnsi" w:hAnsi="Times New Roman"/>
                <w:bCs/>
                <w:lang w:eastAsia="en-US"/>
              </w:rPr>
              <w:t>388 284.69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6BC887" w14:textId="77777777" w:rsidR="00315859" w:rsidRPr="00124497" w:rsidRDefault="00315859" w:rsidP="00124497">
            <w:pPr>
              <w:jc w:val="center"/>
              <w:rPr>
                <w:rFonts w:ascii="Times New Roman" w:eastAsiaTheme="minorHAnsi" w:hAnsi="Times New Roman"/>
                <w:bCs/>
                <w:lang w:eastAsia="en-US"/>
              </w:rPr>
            </w:pPr>
            <w:r w:rsidRPr="00124497">
              <w:rPr>
                <w:rFonts w:ascii="Times New Roman" w:eastAsiaTheme="minorHAnsi" w:hAnsi="Times New Roman"/>
                <w:bCs/>
                <w:lang w:eastAsia="en-US"/>
              </w:rPr>
              <w:t>4 873 453.27</w:t>
            </w:r>
          </w:p>
        </w:tc>
      </w:tr>
      <w:tr w:rsidR="00315859" w:rsidRPr="00124497" w14:paraId="126BC88C" w14:textId="77777777" w:rsidTr="00B77285">
        <w:trPr>
          <w:trHeight w:val="397"/>
        </w:trPr>
        <w:tc>
          <w:tcPr>
            <w:tcW w:w="1276" w:type="dxa"/>
            <w:tcBorders>
              <w:top w:val="single" w:sz="4" w:space="0" w:color="auto"/>
              <w:left w:val="single" w:sz="4" w:space="0" w:color="auto"/>
              <w:bottom w:val="single" w:sz="4" w:space="0" w:color="auto"/>
              <w:right w:val="single" w:sz="4" w:space="0" w:color="auto"/>
            </w:tcBorders>
            <w:vAlign w:val="center"/>
            <w:hideMark/>
          </w:tcPr>
          <w:p w14:paraId="126BC889" w14:textId="77777777" w:rsidR="00315859" w:rsidRPr="00124497" w:rsidRDefault="00315859" w:rsidP="00124497">
            <w:pPr>
              <w:jc w:val="center"/>
              <w:rPr>
                <w:rFonts w:ascii="Times New Roman" w:eastAsiaTheme="minorHAnsi" w:hAnsi="Times New Roman"/>
                <w:bCs/>
                <w:lang w:eastAsia="en-US"/>
              </w:rPr>
            </w:pPr>
            <w:r w:rsidRPr="00124497">
              <w:rPr>
                <w:rFonts w:ascii="Times New Roman" w:eastAsiaTheme="minorHAnsi" w:hAnsi="Times New Roman"/>
                <w:bCs/>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6BC88A" w14:textId="77777777" w:rsidR="00315859" w:rsidRPr="00124497" w:rsidRDefault="00315859" w:rsidP="00124497">
            <w:pPr>
              <w:jc w:val="center"/>
              <w:rPr>
                <w:rFonts w:ascii="Times New Roman" w:eastAsiaTheme="minorHAnsi" w:hAnsi="Times New Roman"/>
                <w:bCs/>
                <w:lang w:eastAsia="en-US"/>
              </w:rPr>
            </w:pPr>
            <w:r w:rsidRPr="00124497">
              <w:rPr>
                <w:rFonts w:ascii="Times New Roman" w:eastAsiaTheme="minorHAnsi" w:hAnsi="Times New Roman"/>
                <w:bCs/>
                <w:lang w:eastAsia="en-US"/>
              </w:rPr>
              <w:t>388 822.59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6BC88B" w14:textId="77777777" w:rsidR="00315859" w:rsidRPr="00124497" w:rsidRDefault="00315859" w:rsidP="00124497">
            <w:pPr>
              <w:jc w:val="center"/>
              <w:rPr>
                <w:rFonts w:ascii="Times New Roman" w:eastAsiaTheme="minorHAnsi" w:hAnsi="Times New Roman"/>
                <w:bCs/>
                <w:lang w:eastAsia="en-US"/>
              </w:rPr>
            </w:pPr>
            <w:r w:rsidRPr="00124497">
              <w:rPr>
                <w:rFonts w:ascii="Times New Roman" w:eastAsiaTheme="minorHAnsi" w:hAnsi="Times New Roman"/>
                <w:bCs/>
                <w:lang w:eastAsia="en-US"/>
              </w:rPr>
              <w:t>4 873 144.94</w:t>
            </w:r>
          </w:p>
        </w:tc>
      </w:tr>
      <w:tr w:rsidR="00315859" w:rsidRPr="00124497" w14:paraId="126BC890" w14:textId="77777777" w:rsidTr="00B77285">
        <w:trPr>
          <w:trHeight w:val="397"/>
        </w:trPr>
        <w:tc>
          <w:tcPr>
            <w:tcW w:w="1276" w:type="dxa"/>
            <w:tcBorders>
              <w:top w:val="single" w:sz="4" w:space="0" w:color="auto"/>
              <w:left w:val="single" w:sz="4" w:space="0" w:color="auto"/>
              <w:bottom w:val="single" w:sz="4" w:space="0" w:color="auto"/>
              <w:right w:val="single" w:sz="4" w:space="0" w:color="auto"/>
            </w:tcBorders>
            <w:vAlign w:val="center"/>
            <w:hideMark/>
          </w:tcPr>
          <w:p w14:paraId="126BC88D" w14:textId="77777777" w:rsidR="00315859" w:rsidRPr="00124497" w:rsidRDefault="00315859" w:rsidP="00124497">
            <w:pPr>
              <w:jc w:val="center"/>
              <w:rPr>
                <w:rFonts w:ascii="Times New Roman" w:eastAsiaTheme="minorHAnsi" w:hAnsi="Times New Roman"/>
                <w:bCs/>
                <w:lang w:eastAsia="en-US"/>
              </w:rPr>
            </w:pPr>
            <w:r w:rsidRPr="00124497">
              <w:rPr>
                <w:rFonts w:ascii="Times New Roman" w:eastAsiaTheme="minorHAnsi" w:hAnsi="Times New Roman"/>
                <w:bCs/>
                <w:lang w:eastAsia="en-US"/>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6BC88E" w14:textId="77777777" w:rsidR="00315859" w:rsidRPr="00124497" w:rsidRDefault="00315859" w:rsidP="00124497">
            <w:pPr>
              <w:jc w:val="center"/>
              <w:rPr>
                <w:rFonts w:ascii="Times New Roman" w:eastAsiaTheme="minorHAnsi" w:hAnsi="Times New Roman"/>
                <w:bCs/>
                <w:lang w:eastAsia="en-US"/>
              </w:rPr>
            </w:pPr>
            <w:r w:rsidRPr="00124497">
              <w:rPr>
                <w:rFonts w:ascii="Times New Roman" w:eastAsiaTheme="minorHAnsi" w:hAnsi="Times New Roman"/>
                <w:bCs/>
                <w:lang w:eastAsia="en-US"/>
              </w:rPr>
              <w:t>389 343.13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6BC88F" w14:textId="77777777" w:rsidR="00315859" w:rsidRPr="00124497" w:rsidRDefault="00315859" w:rsidP="00124497">
            <w:pPr>
              <w:jc w:val="center"/>
              <w:rPr>
                <w:rFonts w:ascii="Times New Roman" w:eastAsiaTheme="minorHAnsi" w:hAnsi="Times New Roman"/>
                <w:bCs/>
                <w:lang w:eastAsia="en-US"/>
              </w:rPr>
            </w:pPr>
            <w:r w:rsidRPr="00124497">
              <w:rPr>
                <w:rFonts w:ascii="Times New Roman" w:eastAsiaTheme="minorHAnsi" w:hAnsi="Times New Roman"/>
                <w:bCs/>
                <w:lang w:eastAsia="en-US"/>
              </w:rPr>
              <w:t>4 872 846.56</w:t>
            </w:r>
          </w:p>
        </w:tc>
      </w:tr>
      <w:tr w:rsidR="00315859" w:rsidRPr="00124497" w14:paraId="126BC894" w14:textId="77777777" w:rsidTr="00B77285">
        <w:trPr>
          <w:trHeight w:val="397"/>
        </w:trPr>
        <w:tc>
          <w:tcPr>
            <w:tcW w:w="1276" w:type="dxa"/>
            <w:tcBorders>
              <w:top w:val="single" w:sz="4" w:space="0" w:color="auto"/>
              <w:left w:val="single" w:sz="4" w:space="0" w:color="auto"/>
              <w:bottom w:val="single" w:sz="4" w:space="0" w:color="auto"/>
              <w:right w:val="single" w:sz="4" w:space="0" w:color="auto"/>
            </w:tcBorders>
            <w:vAlign w:val="center"/>
            <w:hideMark/>
          </w:tcPr>
          <w:p w14:paraId="126BC891" w14:textId="77777777" w:rsidR="00315859" w:rsidRPr="00124497" w:rsidRDefault="00315859" w:rsidP="00124497">
            <w:pPr>
              <w:jc w:val="center"/>
              <w:rPr>
                <w:rFonts w:ascii="Times New Roman" w:eastAsiaTheme="minorHAnsi" w:hAnsi="Times New Roman"/>
                <w:bCs/>
                <w:lang w:eastAsia="en-US"/>
              </w:rPr>
            </w:pPr>
            <w:r w:rsidRPr="00124497">
              <w:rPr>
                <w:rFonts w:ascii="Times New Roman" w:eastAsiaTheme="minorHAnsi" w:hAnsi="Times New Roman"/>
                <w:bCs/>
                <w:lang w:eastAsia="en-U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6BC892" w14:textId="77777777" w:rsidR="00315859" w:rsidRPr="00124497" w:rsidRDefault="00315859" w:rsidP="00124497">
            <w:pPr>
              <w:jc w:val="center"/>
              <w:rPr>
                <w:rFonts w:ascii="Times New Roman" w:eastAsiaTheme="minorHAnsi" w:hAnsi="Times New Roman"/>
                <w:bCs/>
                <w:lang w:eastAsia="en-US"/>
              </w:rPr>
            </w:pPr>
            <w:r w:rsidRPr="00124497">
              <w:rPr>
                <w:rFonts w:ascii="Times New Roman" w:eastAsiaTheme="minorHAnsi" w:hAnsi="Times New Roman"/>
                <w:bCs/>
                <w:lang w:eastAsia="en-US"/>
              </w:rPr>
              <w:t>389 124.32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6BC893" w14:textId="77777777" w:rsidR="00315859" w:rsidRPr="00124497" w:rsidRDefault="00315859" w:rsidP="00124497">
            <w:pPr>
              <w:jc w:val="center"/>
              <w:rPr>
                <w:rFonts w:ascii="Times New Roman" w:eastAsiaTheme="minorHAnsi" w:hAnsi="Times New Roman"/>
                <w:bCs/>
                <w:lang w:eastAsia="en-US"/>
              </w:rPr>
            </w:pPr>
            <w:r w:rsidRPr="00124497">
              <w:rPr>
                <w:rFonts w:ascii="Times New Roman" w:eastAsiaTheme="minorHAnsi" w:hAnsi="Times New Roman"/>
                <w:bCs/>
                <w:lang w:eastAsia="en-US"/>
              </w:rPr>
              <w:t>4 872 464.82</w:t>
            </w:r>
          </w:p>
        </w:tc>
      </w:tr>
      <w:tr w:rsidR="00315859" w:rsidRPr="00124497" w14:paraId="126BC898" w14:textId="77777777" w:rsidTr="00B77285">
        <w:trPr>
          <w:trHeight w:val="397"/>
        </w:trPr>
        <w:tc>
          <w:tcPr>
            <w:tcW w:w="1276" w:type="dxa"/>
            <w:tcBorders>
              <w:top w:val="single" w:sz="4" w:space="0" w:color="auto"/>
              <w:left w:val="single" w:sz="4" w:space="0" w:color="auto"/>
              <w:bottom w:val="single" w:sz="4" w:space="0" w:color="auto"/>
              <w:right w:val="single" w:sz="4" w:space="0" w:color="auto"/>
            </w:tcBorders>
            <w:vAlign w:val="center"/>
            <w:hideMark/>
          </w:tcPr>
          <w:p w14:paraId="126BC895" w14:textId="77777777" w:rsidR="00315859" w:rsidRPr="00124497" w:rsidRDefault="00315859" w:rsidP="00124497">
            <w:pPr>
              <w:jc w:val="center"/>
              <w:rPr>
                <w:rFonts w:ascii="Times New Roman" w:eastAsiaTheme="minorHAnsi" w:hAnsi="Times New Roman"/>
                <w:bCs/>
                <w:lang w:eastAsia="en-US"/>
              </w:rPr>
            </w:pPr>
            <w:r w:rsidRPr="00124497">
              <w:rPr>
                <w:rFonts w:ascii="Times New Roman" w:eastAsiaTheme="minorHAnsi" w:hAnsi="Times New Roman"/>
                <w:bCs/>
                <w:lang w:eastAsia="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6BC896" w14:textId="77777777" w:rsidR="00315859" w:rsidRPr="00124497" w:rsidRDefault="00315859" w:rsidP="00124497">
            <w:pPr>
              <w:jc w:val="center"/>
              <w:rPr>
                <w:rFonts w:ascii="Times New Roman" w:eastAsiaTheme="minorHAnsi" w:hAnsi="Times New Roman"/>
                <w:bCs/>
                <w:lang w:eastAsia="en-US"/>
              </w:rPr>
            </w:pPr>
            <w:r w:rsidRPr="00124497">
              <w:rPr>
                <w:rFonts w:ascii="Times New Roman" w:eastAsiaTheme="minorHAnsi" w:hAnsi="Times New Roman"/>
                <w:bCs/>
                <w:lang w:eastAsia="en-US"/>
              </w:rPr>
              <w:t>388 603.77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6BC897" w14:textId="77777777" w:rsidR="00315859" w:rsidRPr="00124497" w:rsidRDefault="00315859" w:rsidP="00124497">
            <w:pPr>
              <w:jc w:val="center"/>
              <w:rPr>
                <w:rFonts w:ascii="Times New Roman" w:eastAsiaTheme="minorHAnsi" w:hAnsi="Times New Roman"/>
                <w:bCs/>
                <w:lang w:eastAsia="en-US"/>
              </w:rPr>
            </w:pPr>
            <w:r w:rsidRPr="00124497">
              <w:rPr>
                <w:rFonts w:ascii="Times New Roman" w:eastAsiaTheme="minorHAnsi" w:hAnsi="Times New Roman"/>
                <w:bCs/>
                <w:lang w:eastAsia="en-US"/>
              </w:rPr>
              <w:t>4 872 763.21</w:t>
            </w:r>
          </w:p>
        </w:tc>
      </w:tr>
      <w:tr w:rsidR="00315859" w:rsidRPr="00124497" w14:paraId="126BC89C" w14:textId="77777777" w:rsidTr="00B77285">
        <w:trPr>
          <w:trHeight w:val="397"/>
        </w:trPr>
        <w:tc>
          <w:tcPr>
            <w:tcW w:w="1276" w:type="dxa"/>
            <w:tcBorders>
              <w:top w:val="single" w:sz="4" w:space="0" w:color="auto"/>
              <w:left w:val="single" w:sz="4" w:space="0" w:color="auto"/>
              <w:bottom w:val="single" w:sz="4" w:space="0" w:color="auto"/>
              <w:right w:val="single" w:sz="4" w:space="0" w:color="auto"/>
            </w:tcBorders>
            <w:vAlign w:val="center"/>
            <w:hideMark/>
          </w:tcPr>
          <w:p w14:paraId="126BC899" w14:textId="77777777" w:rsidR="00315859" w:rsidRPr="00124497" w:rsidRDefault="00315859" w:rsidP="00124497">
            <w:pPr>
              <w:jc w:val="center"/>
              <w:rPr>
                <w:rFonts w:ascii="Times New Roman" w:eastAsiaTheme="minorHAnsi" w:hAnsi="Times New Roman"/>
                <w:bCs/>
                <w:lang w:eastAsia="en-US"/>
              </w:rPr>
            </w:pPr>
            <w:r w:rsidRPr="00124497">
              <w:rPr>
                <w:rFonts w:ascii="Times New Roman" w:eastAsiaTheme="minorHAnsi" w:hAnsi="Times New Roman"/>
                <w:bCs/>
                <w:lang w:eastAsia="en-US"/>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6BC89A" w14:textId="77777777" w:rsidR="00315859" w:rsidRPr="00124497" w:rsidRDefault="00315859" w:rsidP="00124497">
            <w:pPr>
              <w:jc w:val="center"/>
              <w:rPr>
                <w:rFonts w:ascii="Times New Roman" w:eastAsiaTheme="minorHAnsi" w:hAnsi="Times New Roman"/>
                <w:bCs/>
                <w:lang w:eastAsia="en-US"/>
              </w:rPr>
            </w:pPr>
            <w:r w:rsidRPr="00124497">
              <w:rPr>
                <w:rFonts w:ascii="Times New Roman" w:eastAsiaTheme="minorHAnsi" w:hAnsi="Times New Roman"/>
                <w:bCs/>
                <w:lang w:eastAsia="en-US"/>
              </w:rPr>
              <w:t>388 065.88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6BC89B" w14:textId="77777777" w:rsidR="00315859" w:rsidRPr="00124497" w:rsidRDefault="00315859" w:rsidP="00124497">
            <w:pPr>
              <w:jc w:val="center"/>
              <w:rPr>
                <w:rFonts w:ascii="Times New Roman" w:eastAsiaTheme="minorHAnsi" w:hAnsi="Times New Roman"/>
                <w:bCs/>
                <w:lang w:eastAsia="en-US"/>
              </w:rPr>
            </w:pPr>
            <w:r w:rsidRPr="00124497">
              <w:rPr>
                <w:rFonts w:ascii="Times New Roman" w:eastAsiaTheme="minorHAnsi" w:hAnsi="Times New Roman"/>
                <w:bCs/>
                <w:lang w:eastAsia="en-US"/>
              </w:rPr>
              <w:t>4 873 071.54</w:t>
            </w:r>
          </w:p>
        </w:tc>
      </w:tr>
    </w:tbl>
    <w:p w14:paraId="126BC89D" w14:textId="77777777" w:rsidR="00315859" w:rsidRPr="00124497" w:rsidRDefault="00315859" w:rsidP="00124497">
      <w:pPr>
        <w:jc w:val="both"/>
      </w:pPr>
      <w:r w:rsidRPr="00124497">
        <w:br w:type="textWrapping" w:clear="all"/>
      </w:r>
    </w:p>
    <w:p w14:paraId="126BC89E" w14:textId="77777777" w:rsidR="00315859" w:rsidRPr="00124497" w:rsidRDefault="00315859" w:rsidP="00124497">
      <w:pPr>
        <w:jc w:val="center"/>
        <w:rPr>
          <w:b/>
        </w:rPr>
      </w:pPr>
      <w:r w:rsidRPr="00124497">
        <w:rPr>
          <w:b/>
        </w:rPr>
        <w:t>II.</w:t>
      </w:r>
    </w:p>
    <w:p w14:paraId="126BC89F" w14:textId="77777777" w:rsidR="00315859" w:rsidRPr="00124497" w:rsidRDefault="00315859" w:rsidP="00124497">
      <w:pPr>
        <w:jc w:val="center"/>
      </w:pPr>
    </w:p>
    <w:p w14:paraId="126BC8A0" w14:textId="77777777" w:rsidR="00315859" w:rsidRPr="00124497" w:rsidRDefault="00315859" w:rsidP="00124497">
      <w:pPr>
        <w:ind w:left="708" w:firstLine="708"/>
        <w:jc w:val="both"/>
      </w:pPr>
      <w:r w:rsidRPr="00124497">
        <w:t xml:space="preserve">Točka III. </w:t>
      </w:r>
      <w:r w:rsidRPr="00124497">
        <w:rPr>
          <w:rFonts w:eastAsiaTheme="minorHAnsi"/>
          <w:lang w:eastAsia="en-US"/>
        </w:rPr>
        <w:t>mijenja se i glasi</w:t>
      </w:r>
      <w:r w:rsidRPr="00124497">
        <w:t>:</w:t>
      </w:r>
    </w:p>
    <w:p w14:paraId="126BC8A1" w14:textId="77777777" w:rsidR="00315859" w:rsidRPr="00124497" w:rsidRDefault="00315859" w:rsidP="00124497">
      <w:pPr>
        <w:jc w:val="both"/>
      </w:pPr>
    </w:p>
    <w:p w14:paraId="126BC8A2" w14:textId="75D44304" w:rsidR="00315859" w:rsidRPr="00124497" w:rsidRDefault="00315859" w:rsidP="00124497">
      <w:pPr>
        <w:jc w:val="both"/>
      </w:pPr>
      <w:r w:rsidRPr="00124497">
        <w:t>„Površina pomorskog dobra, morskog akvatorija, koje se daje u konce</w:t>
      </w:r>
      <w:r w:rsidR="00FD0EAF">
        <w:t>siju ukupno iznosi 536.800</w:t>
      </w:r>
      <w:r w:rsidR="00124497">
        <w:t xml:space="preserve"> m</w:t>
      </w:r>
      <w:r w:rsidR="00124497">
        <w:rPr>
          <w:vertAlign w:val="superscript"/>
        </w:rPr>
        <w:t>2</w:t>
      </w:r>
      <w:r w:rsidRPr="00124497">
        <w:t xml:space="preserve">, a sve kako je prikazano na grafičkoj podlozi – topografskoj karti s ucrtanom granicom koncesije, izrađenoj 23. studenoga 2016. godine, po društvu Firma Cive d.o.o. iz Zadra, koja čini Prilog </w:t>
      </w:r>
      <w:r w:rsidR="00301692">
        <w:t>1</w:t>
      </w:r>
      <w:r w:rsidRPr="00124497">
        <w:t>. ove Odluke i ne objavljuje se u Narodnim novinama“.“</w:t>
      </w:r>
    </w:p>
    <w:p w14:paraId="126BC8A3" w14:textId="77777777" w:rsidR="00315859" w:rsidRDefault="00315859" w:rsidP="00124497">
      <w:pPr>
        <w:jc w:val="both"/>
      </w:pPr>
    </w:p>
    <w:p w14:paraId="126BC8A4" w14:textId="77777777" w:rsidR="00124497" w:rsidRPr="00124497" w:rsidRDefault="00124497" w:rsidP="00124497">
      <w:pPr>
        <w:jc w:val="both"/>
      </w:pPr>
    </w:p>
    <w:p w14:paraId="126BC8A5" w14:textId="77777777" w:rsidR="00315859" w:rsidRPr="00124497" w:rsidRDefault="00315859" w:rsidP="00124497">
      <w:pPr>
        <w:jc w:val="center"/>
        <w:rPr>
          <w:b/>
        </w:rPr>
      </w:pPr>
      <w:r w:rsidRPr="00124497">
        <w:rPr>
          <w:b/>
        </w:rPr>
        <w:lastRenderedPageBreak/>
        <w:t>III.</w:t>
      </w:r>
    </w:p>
    <w:p w14:paraId="126BC8A6" w14:textId="77777777" w:rsidR="00315859" w:rsidRPr="00124497" w:rsidRDefault="00315859" w:rsidP="00124497">
      <w:pPr>
        <w:jc w:val="center"/>
      </w:pPr>
    </w:p>
    <w:p w14:paraId="126BC8A7" w14:textId="18DB187B" w:rsidR="00315859" w:rsidRPr="00124497" w:rsidRDefault="00315859" w:rsidP="00124497">
      <w:pPr>
        <w:ind w:left="708" w:firstLine="708"/>
        <w:jc w:val="both"/>
        <w:rPr>
          <w:rFonts w:eastAsiaTheme="minorHAnsi"/>
          <w:lang w:eastAsia="en-US"/>
        </w:rPr>
      </w:pPr>
      <w:r w:rsidRPr="00124497">
        <w:t>U točki</w:t>
      </w:r>
      <w:r w:rsidRPr="00124497">
        <w:rPr>
          <w:bCs/>
        </w:rPr>
        <w:t xml:space="preserve"> V. u</w:t>
      </w:r>
      <w:r w:rsidRPr="00124497">
        <w:rPr>
          <w:rFonts w:eastAsiaTheme="minorHAnsi"/>
          <w:lang w:eastAsia="en-US"/>
        </w:rPr>
        <w:t xml:space="preserve"> stavku 2. broj: „700“ zamjenjuje se brojem: „3000“.</w:t>
      </w:r>
    </w:p>
    <w:p w14:paraId="126BC8A8" w14:textId="77777777" w:rsidR="00315859" w:rsidRPr="00124497" w:rsidRDefault="00315859" w:rsidP="00124497">
      <w:pPr>
        <w:jc w:val="both"/>
      </w:pPr>
    </w:p>
    <w:p w14:paraId="126BC8A9" w14:textId="77777777" w:rsidR="00315859" w:rsidRPr="00124497" w:rsidRDefault="00315859" w:rsidP="00124497">
      <w:pPr>
        <w:ind w:left="708" w:firstLine="708"/>
        <w:jc w:val="both"/>
        <w:rPr>
          <w:rFonts w:eastAsiaTheme="minorHAnsi"/>
          <w:lang w:eastAsia="en-US"/>
        </w:rPr>
      </w:pPr>
      <w:r w:rsidRPr="00124497">
        <w:t>Stavak</w:t>
      </w:r>
      <w:r w:rsidRPr="00124497">
        <w:rPr>
          <w:bCs/>
        </w:rPr>
        <w:t xml:space="preserve"> 3. </w:t>
      </w:r>
      <w:r w:rsidRPr="00124497">
        <w:rPr>
          <w:rFonts w:eastAsiaTheme="minorHAnsi"/>
          <w:lang w:eastAsia="en-US"/>
        </w:rPr>
        <w:t>mijenja se i glasi:</w:t>
      </w:r>
    </w:p>
    <w:p w14:paraId="126BC8AA" w14:textId="77777777" w:rsidR="00315859" w:rsidRPr="00124497" w:rsidRDefault="00315859" w:rsidP="00124497">
      <w:pPr>
        <w:jc w:val="both"/>
        <w:rPr>
          <w:rFonts w:eastAsiaTheme="minorHAnsi"/>
          <w:lang w:eastAsia="en-US"/>
        </w:rPr>
      </w:pPr>
    </w:p>
    <w:p w14:paraId="126BC8AB" w14:textId="77777777" w:rsidR="00315859" w:rsidRDefault="00315859" w:rsidP="00124497">
      <w:pPr>
        <w:jc w:val="both"/>
        <w:rPr>
          <w:bCs/>
        </w:rPr>
      </w:pPr>
      <w:r w:rsidRPr="00124497">
        <w:rPr>
          <w:bCs/>
        </w:rPr>
        <w:t>„Ovlaštenik koncesije dužan je gospodarski koristiti pomorsko dobro iz točke II. ove Odluke sukladno lokacijskoj dozvoli klase: UP/I-350-05/15-01/000049, urbroja: 2198/1-11/8-15-0004, od 28. prosinca 2015. godine</w:t>
      </w:r>
      <w:r w:rsidR="00124497">
        <w:rPr>
          <w:bCs/>
        </w:rPr>
        <w:t xml:space="preserve"> i</w:t>
      </w:r>
      <w:r w:rsidRPr="00124497">
        <w:rPr>
          <w:bCs/>
        </w:rPr>
        <w:t xml:space="preserve"> klase: UP/I-350-05/16-01/000006, urbroja: 2198/1-11/8-16-0002, od 9. veljače 2016. godine</w:t>
      </w:r>
      <w:r w:rsidR="00124497">
        <w:rPr>
          <w:bCs/>
        </w:rPr>
        <w:t>, izdane od Upravnog odijela za provedbu dokumenata prostornog uređenja i gradnje Zadarske županije, te</w:t>
      </w:r>
      <w:r w:rsidRPr="00124497">
        <w:rPr>
          <w:bCs/>
        </w:rPr>
        <w:t xml:space="preserve"> </w:t>
      </w:r>
      <w:r w:rsidRPr="00124497">
        <w:rPr>
          <w:rFonts w:eastAsiaTheme="minorHAnsi"/>
          <w:lang w:eastAsia="en-US"/>
        </w:rPr>
        <w:t>klase: UP/l-350-05/18-01/000020, urbroja: 2198/1-07/11-18-0010, od 23. travnja 2018. godine,</w:t>
      </w:r>
      <w:r w:rsidR="00124497">
        <w:rPr>
          <w:bCs/>
        </w:rPr>
        <w:t xml:space="preserve"> izdane</w:t>
      </w:r>
      <w:r w:rsidRPr="00124497">
        <w:rPr>
          <w:bCs/>
        </w:rPr>
        <w:t xml:space="preserve"> od Upravnog odjela za </w:t>
      </w:r>
      <w:r w:rsidR="00124497">
        <w:rPr>
          <w:bCs/>
        </w:rPr>
        <w:t>prostorno uređenje, zaštitu okoliša i komunalne poslove Zadarske županije, koja čini</w:t>
      </w:r>
      <w:r w:rsidRPr="00124497">
        <w:rPr>
          <w:bCs/>
        </w:rPr>
        <w:t xml:space="preserve"> Prilog 2. ove Odluke i ne objavljuju se u Narodnim novinama.“</w:t>
      </w:r>
      <w:r w:rsidR="00124497">
        <w:rPr>
          <w:bCs/>
        </w:rPr>
        <w:t>.</w:t>
      </w:r>
    </w:p>
    <w:p w14:paraId="126BC8AC" w14:textId="77777777" w:rsidR="00124497" w:rsidRPr="00124497" w:rsidRDefault="00124497" w:rsidP="00124497">
      <w:pPr>
        <w:jc w:val="both"/>
        <w:rPr>
          <w:rFonts w:eastAsiaTheme="minorHAnsi"/>
          <w:lang w:eastAsia="en-US"/>
        </w:rPr>
      </w:pPr>
    </w:p>
    <w:p w14:paraId="126BC8AD" w14:textId="77777777" w:rsidR="00315859" w:rsidRDefault="00315859" w:rsidP="00124497">
      <w:pPr>
        <w:ind w:left="708" w:firstLine="708"/>
        <w:jc w:val="both"/>
        <w:rPr>
          <w:rFonts w:eastAsiaTheme="minorHAnsi"/>
          <w:lang w:eastAsia="en-US"/>
        </w:rPr>
      </w:pPr>
      <w:r w:rsidRPr="00124497">
        <w:rPr>
          <w:rFonts w:eastAsiaTheme="minorHAnsi"/>
          <w:lang w:eastAsia="en-US"/>
        </w:rPr>
        <w:t xml:space="preserve">Iza stavka 3. dodaje se </w:t>
      </w:r>
      <w:r w:rsidR="00CF453A">
        <w:rPr>
          <w:rFonts w:eastAsiaTheme="minorHAnsi"/>
          <w:lang w:eastAsia="en-US"/>
        </w:rPr>
        <w:t xml:space="preserve">novi </w:t>
      </w:r>
      <w:r w:rsidRPr="00124497">
        <w:rPr>
          <w:rFonts w:eastAsiaTheme="minorHAnsi"/>
          <w:lang w:eastAsia="en-US"/>
        </w:rPr>
        <w:t>stavak 4. koji glasi:</w:t>
      </w:r>
    </w:p>
    <w:p w14:paraId="126BC8AE" w14:textId="77777777" w:rsidR="00124497" w:rsidRPr="00124497" w:rsidRDefault="00124497" w:rsidP="00124497">
      <w:pPr>
        <w:jc w:val="both"/>
        <w:rPr>
          <w:rFonts w:eastAsiaTheme="minorHAnsi"/>
          <w:lang w:eastAsia="en-US"/>
        </w:rPr>
      </w:pPr>
    </w:p>
    <w:p w14:paraId="126BC8AF" w14:textId="77777777" w:rsidR="00315859" w:rsidRPr="00124497" w:rsidRDefault="00315859" w:rsidP="00124497">
      <w:pPr>
        <w:jc w:val="both"/>
        <w:rPr>
          <w:rFonts w:eastAsiaTheme="minorHAnsi"/>
          <w:lang w:eastAsia="en-US"/>
        </w:rPr>
      </w:pPr>
      <w:r w:rsidRPr="00124497">
        <w:rPr>
          <w:rFonts w:eastAsiaTheme="minorHAnsi"/>
          <w:lang w:eastAsia="en-US"/>
        </w:rPr>
        <w:t>„ Davatelj koncesije ne preuzima odgovornost za eventualne pravne posljedice poništenja l</w:t>
      </w:r>
      <w:r w:rsidR="00124497">
        <w:rPr>
          <w:rFonts w:eastAsiaTheme="minorHAnsi"/>
          <w:lang w:eastAsia="en-US"/>
        </w:rPr>
        <w:t>okacijske dozvole iz stavka 3. o</w:t>
      </w:r>
      <w:r w:rsidRPr="00124497">
        <w:rPr>
          <w:rFonts w:eastAsiaTheme="minorHAnsi"/>
          <w:lang w:eastAsia="en-US"/>
        </w:rPr>
        <w:t>ve točke“</w:t>
      </w:r>
    </w:p>
    <w:p w14:paraId="126BC8B0" w14:textId="77777777" w:rsidR="00315859" w:rsidRPr="00124497" w:rsidRDefault="00315859" w:rsidP="00124497">
      <w:pPr>
        <w:jc w:val="both"/>
        <w:rPr>
          <w:rFonts w:eastAsiaTheme="minorHAnsi"/>
          <w:color w:val="FF0000"/>
          <w:lang w:eastAsia="en-US"/>
        </w:rPr>
      </w:pPr>
    </w:p>
    <w:p w14:paraId="126BC8B1" w14:textId="77777777" w:rsidR="00315859" w:rsidRPr="00124497" w:rsidRDefault="00315859" w:rsidP="00124497">
      <w:pPr>
        <w:jc w:val="center"/>
        <w:rPr>
          <w:b/>
        </w:rPr>
      </w:pPr>
      <w:r w:rsidRPr="00124497">
        <w:rPr>
          <w:b/>
        </w:rPr>
        <w:t>IV.</w:t>
      </w:r>
    </w:p>
    <w:p w14:paraId="126BC8B2" w14:textId="77777777" w:rsidR="00315859" w:rsidRPr="00124497" w:rsidRDefault="00315859" w:rsidP="00124497">
      <w:pPr>
        <w:jc w:val="both"/>
        <w:rPr>
          <w:bCs/>
        </w:rPr>
      </w:pPr>
    </w:p>
    <w:p w14:paraId="126BC8B3" w14:textId="77777777" w:rsidR="00315859" w:rsidRPr="00124497" w:rsidRDefault="00315859" w:rsidP="00883E01">
      <w:pPr>
        <w:ind w:left="708" w:firstLine="708"/>
        <w:jc w:val="both"/>
        <w:rPr>
          <w:bCs/>
        </w:rPr>
      </w:pPr>
      <w:r w:rsidRPr="00124497">
        <w:t>U točki</w:t>
      </w:r>
      <w:r w:rsidRPr="00124497">
        <w:rPr>
          <w:bCs/>
        </w:rPr>
        <w:t xml:space="preserve"> VII. stavak 2. mijenja se i glasi:</w:t>
      </w:r>
    </w:p>
    <w:p w14:paraId="126BC8B4" w14:textId="77777777" w:rsidR="00315859" w:rsidRPr="00124497" w:rsidRDefault="00315859" w:rsidP="00124497">
      <w:pPr>
        <w:jc w:val="both"/>
        <w:rPr>
          <w:bCs/>
        </w:rPr>
      </w:pPr>
    </w:p>
    <w:p w14:paraId="126BC8B5" w14:textId="77777777" w:rsidR="00315859" w:rsidRPr="00124497" w:rsidRDefault="00315859" w:rsidP="00124497">
      <w:pPr>
        <w:jc w:val="both"/>
        <w:rPr>
          <w:bCs/>
        </w:rPr>
      </w:pPr>
      <w:r w:rsidRPr="00124497">
        <w:rPr>
          <w:bCs/>
        </w:rPr>
        <w:t xml:space="preserve">„Godišnja </w:t>
      </w:r>
      <w:r w:rsidR="00124497">
        <w:rPr>
          <w:bCs/>
        </w:rPr>
        <w:t xml:space="preserve">koncesijska </w:t>
      </w:r>
      <w:r w:rsidRPr="00124497">
        <w:rPr>
          <w:bCs/>
        </w:rPr>
        <w:t>naknada koju Ovlaštenik koncesije plaća za korištenje pomorskog dobra sastoji se od stalnog i promjenjivog dijela naknade, s tim da:</w:t>
      </w:r>
    </w:p>
    <w:p w14:paraId="126BC8B6" w14:textId="77777777" w:rsidR="00315859" w:rsidRPr="00124497" w:rsidRDefault="00315859" w:rsidP="00124497">
      <w:pPr>
        <w:jc w:val="both"/>
        <w:rPr>
          <w:bCs/>
        </w:rPr>
      </w:pPr>
    </w:p>
    <w:p w14:paraId="126BC8B7" w14:textId="56727CDA" w:rsidR="00315859" w:rsidRDefault="00315859" w:rsidP="00124497">
      <w:pPr>
        <w:pStyle w:val="ListParagraph"/>
        <w:numPr>
          <w:ilvl w:val="0"/>
          <w:numId w:val="7"/>
        </w:numPr>
        <w:ind w:left="426" w:hanging="426"/>
        <w:jc w:val="both"/>
        <w:rPr>
          <w:bCs/>
        </w:rPr>
      </w:pPr>
      <w:r w:rsidRPr="00124497">
        <w:rPr>
          <w:bCs/>
        </w:rPr>
        <w:t xml:space="preserve">U razdoblju od dana sklapanja </w:t>
      </w:r>
      <w:r w:rsidR="00124497">
        <w:rPr>
          <w:bCs/>
        </w:rPr>
        <w:t>U</w:t>
      </w:r>
      <w:r w:rsidRPr="00124497">
        <w:rPr>
          <w:bCs/>
        </w:rPr>
        <w:t xml:space="preserve">govora o koncesiji iz točke VIII. ove Odluke do 1. </w:t>
      </w:r>
      <w:r w:rsidR="00FD0EAF">
        <w:rPr>
          <w:bCs/>
        </w:rPr>
        <w:t>lip</w:t>
      </w:r>
      <w:r w:rsidR="00301692">
        <w:rPr>
          <w:bCs/>
        </w:rPr>
        <w:t>nja</w:t>
      </w:r>
      <w:r w:rsidRPr="00124497">
        <w:rPr>
          <w:bCs/>
        </w:rPr>
        <w:t xml:space="preserve"> 2019. godine:</w:t>
      </w:r>
    </w:p>
    <w:p w14:paraId="126BC8B8" w14:textId="77777777" w:rsidR="00124497" w:rsidRPr="00124497" w:rsidRDefault="00124497" w:rsidP="00124497">
      <w:pPr>
        <w:pStyle w:val="ListParagraph"/>
        <w:ind w:left="426"/>
        <w:jc w:val="both"/>
        <w:rPr>
          <w:bCs/>
        </w:rPr>
      </w:pPr>
    </w:p>
    <w:p w14:paraId="126BC8B9" w14:textId="77777777" w:rsidR="00315859" w:rsidRPr="00124497" w:rsidRDefault="00315859" w:rsidP="00124497">
      <w:pPr>
        <w:numPr>
          <w:ilvl w:val="0"/>
          <w:numId w:val="2"/>
        </w:numPr>
        <w:contextualSpacing/>
        <w:jc w:val="both"/>
        <w:rPr>
          <w:bCs/>
        </w:rPr>
      </w:pPr>
      <w:r w:rsidRPr="00124497">
        <w:rPr>
          <w:bCs/>
        </w:rPr>
        <w:t>stalni dio iznosi 0,50 kuna po m</w:t>
      </w:r>
      <w:r w:rsidRPr="00124497">
        <w:rPr>
          <w:bCs/>
          <w:vertAlign w:val="superscript"/>
        </w:rPr>
        <w:t>2</w:t>
      </w:r>
      <w:r w:rsidRPr="00124497">
        <w:rPr>
          <w:bCs/>
        </w:rPr>
        <w:t> zauzete ukupne površine pomorskog dobra godišnje, odnosno 120.000,00 kuna godišnje, plativo u jednom obroku</w:t>
      </w:r>
    </w:p>
    <w:p w14:paraId="126BC8BA" w14:textId="77777777" w:rsidR="00315859" w:rsidRPr="00124497" w:rsidRDefault="00315859" w:rsidP="00124497">
      <w:pPr>
        <w:numPr>
          <w:ilvl w:val="0"/>
          <w:numId w:val="2"/>
        </w:numPr>
        <w:contextualSpacing/>
        <w:jc w:val="both"/>
        <w:rPr>
          <w:bCs/>
        </w:rPr>
      </w:pPr>
      <w:r w:rsidRPr="00124497">
        <w:rPr>
          <w:bCs/>
        </w:rPr>
        <w:t>promjenjivi dio iznosi 0,30% od ukupnog godišnjeg prihoda ostvarenog na koncesioniranom pomorskom dobru.</w:t>
      </w:r>
    </w:p>
    <w:p w14:paraId="126BC8BB" w14:textId="77777777" w:rsidR="00315859" w:rsidRPr="00124497" w:rsidRDefault="00315859" w:rsidP="00124497">
      <w:pPr>
        <w:jc w:val="both"/>
        <w:rPr>
          <w:bCs/>
        </w:rPr>
      </w:pPr>
    </w:p>
    <w:p w14:paraId="126BC8BC" w14:textId="2C2FB44C" w:rsidR="00315859" w:rsidRDefault="00315859" w:rsidP="00124497">
      <w:pPr>
        <w:pStyle w:val="ListParagraph"/>
        <w:numPr>
          <w:ilvl w:val="0"/>
          <w:numId w:val="7"/>
        </w:numPr>
        <w:ind w:left="426" w:hanging="426"/>
        <w:jc w:val="both"/>
        <w:rPr>
          <w:bCs/>
        </w:rPr>
      </w:pPr>
      <w:r w:rsidRPr="00124497">
        <w:rPr>
          <w:bCs/>
        </w:rPr>
        <w:t>U razdoblju od</w:t>
      </w:r>
      <w:r w:rsidR="00FD0EAF">
        <w:rPr>
          <w:bCs/>
        </w:rPr>
        <w:t xml:space="preserve"> 1. lip</w:t>
      </w:r>
      <w:r w:rsidR="00301692">
        <w:rPr>
          <w:bCs/>
        </w:rPr>
        <w:t>nj</w:t>
      </w:r>
      <w:r w:rsidRPr="00124497">
        <w:rPr>
          <w:bCs/>
        </w:rPr>
        <w:t xml:space="preserve">a 2019. godine do </w:t>
      </w:r>
      <w:r w:rsidR="00FD0EAF">
        <w:rPr>
          <w:bCs/>
        </w:rPr>
        <w:t>3</w:t>
      </w:r>
      <w:r w:rsidRPr="00124497">
        <w:rPr>
          <w:bCs/>
        </w:rPr>
        <w:t xml:space="preserve">1. </w:t>
      </w:r>
      <w:r w:rsidR="00FD0EAF">
        <w:rPr>
          <w:bCs/>
        </w:rPr>
        <w:t>prosinc</w:t>
      </w:r>
      <w:r w:rsidRPr="00124497">
        <w:rPr>
          <w:bCs/>
        </w:rPr>
        <w:t>a 202</w:t>
      </w:r>
      <w:r w:rsidR="00FD0EAF">
        <w:rPr>
          <w:bCs/>
        </w:rPr>
        <w:t>3</w:t>
      </w:r>
      <w:r w:rsidRPr="00124497">
        <w:rPr>
          <w:bCs/>
        </w:rPr>
        <w:t>. godine:</w:t>
      </w:r>
    </w:p>
    <w:p w14:paraId="126BC8BD" w14:textId="77777777" w:rsidR="00124497" w:rsidRPr="00124497" w:rsidRDefault="00124497" w:rsidP="00124497">
      <w:pPr>
        <w:pStyle w:val="ListParagraph"/>
        <w:jc w:val="both"/>
        <w:rPr>
          <w:bCs/>
        </w:rPr>
      </w:pPr>
    </w:p>
    <w:p w14:paraId="126BC8BE" w14:textId="77777777" w:rsidR="00315859" w:rsidRPr="00124497" w:rsidRDefault="00315859" w:rsidP="00124497">
      <w:pPr>
        <w:numPr>
          <w:ilvl w:val="0"/>
          <w:numId w:val="3"/>
        </w:numPr>
        <w:contextualSpacing/>
        <w:jc w:val="both"/>
        <w:rPr>
          <w:bCs/>
        </w:rPr>
      </w:pPr>
      <w:r w:rsidRPr="00124497">
        <w:rPr>
          <w:bCs/>
        </w:rPr>
        <w:t>stalni dio iznosi 0,90 kuna po m</w:t>
      </w:r>
      <w:r w:rsidR="00124497">
        <w:rPr>
          <w:bCs/>
          <w:vertAlign w:val="superscript"/>
        </w:rPr>
        <w:t>2</w:t>
      </w:r>
      <w:r w:rsidRPr="00124497">
        <w:rPr>
          <w:bCs/>
        </w:rPr>
        <w:t xml:space="preserve"> zauzete ukupne površine pomorskog dobra godišnje</w:t>
      </w:r>
      <w:r w:rsidR="00883E01">
        <w:rPr>
          <w:bCs/>
        </w:rPr>
        <w:t>,</w:t>
      </w:r>
      <w:r w:rsidRPr="00124497">
        <w:rPr>
          <w:bCs/>
        </w:rPr>
        <w:t xml:space="preserve"> plativ</w:t>
      </w:r>
      <w:r w:rsidR="00883E01">
        <w:rPr>
          <w:bCs/>
        </w:rPr>
        <w:t>o u jednom obroku</w:t>
      </w:r>
    </w:p>
    <w:p w14:paraId="126BC8BF" w14:textId="77777777" w:rsidR="00315859" w:rsidRPr="00124497" w:rsidRDefault="00315859" w:rsidP="00124497">
      <w:pPr>
        <w:numPr>
          <w:ilvl w:val="0"/>
          <w:numId w:val="3"/>
        </w:numPr>
        <w:contextualSpacing/>
        <w:jc w:val="both"/>
        <w:rPr>
          <w:bCs/>
        </w:rPr>
      </w:pPr>
      <w:r w:rsidRPr="00124497">
        <w:rPr>
          <w:bCs/>
        </w:rPr>
        <w:t>promjenjivi dio naknade iznosi 0,35 % od ukupnog godišnjeg prihoda ostvarenog na koncesioniranom pomorskom dobru</w:t>
      </w:r>
    </w:p>
    <w:p w14:paraId="126BC8C0" w14:textId="77777777" w:rsidR="00315859" w:rsidRPr="00124497" w:rsidRDefault="00315859" w:rsidP="00124497">
      <w:pPr>
        <w:ind w:left="360"/>
        <w:jc w:val="both"/>
        <w:rPr>
          <w:bCs/>
        </w:rPr>
      </w:pPr>
    </w:p>
    <w:p w14:paraId="126BC8C1" w14:textId="31A7DBBA" w:rsidR="00315859" w:rsidRPr="00883E01" w:rsidRDefault="00315859" w:rsidP="00883E01">
      <w:pPr>
        <w:pStyle w:val="ListParagraph"/>
        <w:numPr>
          <w:ilvl w:val="0"/>
          <w:numId w:val="7"/>
        </w:numPr>
        <w:ind w:left="426" w:hanging="426"/>
        <w:jc w:val="both"/>
        <w:rPr>
          <w:bCs/>
        </w:rPr>
      </w:pPr>
      <w:r w:rsidRPr="00883E01">
        <w:rPr>
          <w:bCs/>
        </w:rPr>
        <w:t xml:space="preserve">U razdoblju od 1. siječnja 2024. godine do </w:t>
      </w:r>
      <w:r w:rsidR="00FD0EAF">
        <w:rPr>
          <w:bCs/>
        </w:rPr>
        <w:t>3</w:t>
      </w:r>
      <w:r w:rsidRPr="00883E01">
        <w:rPr>
          <w:bCs/>
        </w:rPr>
        <w:t xml:space="preserve">1. </w:t>
      </w:r>
      <w:r w:rsidR="00FD0EAF">
        <w:rPr>
          <w:bCs/>
        </w:rPr>
        <w:t>prosinc</w:t>
      </w:r>
      <w:r w:rsidRPr="00883E01">
        <w:rPr>
          <w:bCs/>
        </w:rPr>
        <w:t>a 202</w:t>
      </w:r>
      <w:r w:rsidR="00FD0EAF">
        <w:rPr>
          <w:bCs/>
        </w:rPr>
        <w:t>8</w:t>
      </w:r>
      <w:r w:rsidRPr="00883E01">
        <w:rPr>
          <w:bCs/>
        </w:rPr>
        <w:t>. godine:</w:t>
      </w:r>
    </w:p>
    <w:p w14:paraId="126BC8C2" w14:textId="77777777" w:rsidR="00883E01" w:rsidRPr="00124497" w:rsidRDefault="00883E01" w:rsidP="00124497">
      <w:pPr>
        <w:jc w:val="both"/>
        <w:rPr>
          <w:bCs/>
        </w:rPr>
      </w:pPr>
    </w:p>
    <w:p w14:paraId="126BC8C3" w14:textId="77777777" w:rsidR="00315859" w:rsidRPr="00124497" w:rsidRDefault="00315859" w:rsidP="00124497">
      <w:pPr>
        <w:numPr>
          <w:ilvl w:val="0"/>
          <w:numId w:val="4"/>
        </w:numPr>
        <w:contextualSpacing/>
        <w:jc w:val="both"/>
        <w:rPr>
          <w:bCs/>
        </w:rPr>
      </w:pPr>
      <w:r w:rsidRPr="00124497">
        <w:rPr>
          <w:bCs/>
        </w:rPr>
        <w:t>stalni dio iznosi 0,90 kuna po m</w:t>
      </w:r>
      <w:r w:rsidR="00883E01">
        <w:rPr>
          <w:bCs/>
          <w:vertAlign w:val="superscript"/>
        </w:rPr>
        <w:t>2</w:t>
      </w:r>
      <w:r w:rsidRPr="00124497">
        <w:rPr>
          <w:bCs/>
        </w:rPr>
        <w:t xml:space="preserve"> zauzete ukupne površine pomorskog dobra g</w:t>
      </w:r>
      <w:r w:rsidR="00883E01">
        <w:rPr>
          <w:bCs/>
        </w:rPr>
        <w:t>odišnje, plativo u jednom obroku</w:t>
      </w:r>
    </w:p>
    <w:p w14:paraId="126BC8C4" w14:textId="77777777" w:rsidR="00315859" w:rsidRPr="00124497" w:rsidRDefault="00315859" w:rsidP="00124497">
      <w:pPr>
        <w:numPr>
          <w:ilvl w:val="0"/>
          <w:numId w:val="4"/>
        </w:numPr>
        <w:contextualSpacing/>
        <w:jc w:val="both"/>
        <w:rPr>
          <w:bCs/>
        </w:rPr>
      </w:pPr>
      <w:r w:rsidRPr="00124497">
        <w:rPr>
          <w:bCs/>
        </w:rPr>
        <w:t>promjenjivi dio naknade iznosi 0,40 % od ukupnog godišnjeg prihoda ostvarenog na koncesioniranom pomorskom dobru</w:t>
      </w:r>
    </w:p>
    <w:p w14:paraId="126BC8C5" w14:textId="77777777" w:rsidR="00315859" w:rsidRDefault="00315859" w:rsidP="00124497">
      <w:pPr>
        <w:ind w:left="720"/>
        <w:contextualSpacing/>
        <w:jc w:val="both"/>
        <w:rPr>
          <w:bCs/>
        </w:rPr>
      </w:pPr>
    </w:p>
    <w:p w14:paraId="126BC8C6" w14:textId="77777777" w:rsidR="00883E01" w:rsidRPr="00124497" w:rsidRDefault="00883E01" w:rsidP="00124497">
      <w:pPr>
        <w:ind w:left="720"/>
        <w:contextualSpacing/>
        <w:jc w:val="both"/>
        <w:rPr>
          <w:bCs/>
        </w:rPr>
      </w:pPr>
    </w:p>
    <w:p w14:paraId="126BC8C7" w14:textId="734CEB33" w:rsidR="00315859" w:rsidRDefault="00315859" w:rsidP="00883E01">
      <w:pPr>
        <w:pStyle w:val="ListParagraph"/>
        <w:numPr>
          <w:ilvl w:val="0"/>
          <w:numId w:val="7"/>
        </w:numPr>
        <w:ind w:left="426" w:hanging="426"/>
        <w:jc w:val="both"/>
        <w:rPr>
          <w:bCs/>
        </w:rPr>
      </w:pPr>
      <w:r w:rsidRPr="00883E01">
        <w:rPr>
          <w:bCs/>
        </w:rPr>
        <w:lastRenderedPageBreak/>
        <w:t xml:space="preserve">U razdoblju od 1. siječnja 2029. godine do </w:t>
      </w:r>
      <w:r w:rsidR="00FD0EAF">
        <w:rPr>
          <w:bCs/>
        </w:rPr>
        <w:t>3</w:t>
      </w:r>
      <w:r w:rsidRPr="00883E01">
        <w:rPr>
          <w:bCs/>
        </w:rPr>
        <w:t xml:space="preserve">1. </w:t>
      </w:r>
      <w:r w:rsidR="00FD0EAF">
        <w:rPr>
          <w:bCs/>
        </w:rPr>
        <w:t>prosinc</w:t>
      </w:r>
      <w:r w:rsidRPr="00883E01">
        <w:rPr>
          <w:bCs/>
        </w:rPr>
        <w:t>a 203</w:t>
      </w:r>
      <w:r w:rsidR="00FD0EAF">
        <w:rPr>
          <w:bCs/>
        </w:rPr>
        <w:t>3</w:t>
      </w:r>
      <w:r w:rsidRPr="00883E01">
        <w:rPr>
          <w:bCs/>
        </w:rPr>
        <w:t>. godine</w:t>
      </w:r>
    </w:p>
    <w:p w14:paraId="126BC8C8" w14:textId="77777777" w:rsidR="00883E01" w:rsidRPr="00883E01" w:rsidRDefault="00883E01" w:rsidP="00883E01">
      <w:pPr>
        <w:pStyle w:val="ListParagraph"/>
        <w:ind w:left="426"/>
        <w:jc w:val="both"/>
        <w:rPr>
          <w:bCs/>
        </w:rPr>
      </w:pPr>
    </w:p>
    <w:p w14:paraId="126BC8C9" w14:textId="77777777" w:rsidR="00315859" w:rsidRPr="00124497" w:rsidRDefault="00315859" w:rsidP="00124497">
      <w:pPr>
        <w:numPr>
          <w:ilvl w:val="0"/>
          <w:numId w:val="5"/>
        </w:numPr>
        <w:contextualSpacing/>
        <w:jc w:val="both"/>
        <w:rPr>
          <w:bCs/>
        </w:rPr>
      </w:pPr>
      <w:r w:rsidRPr="00124497">
        <w:rPr>
          <w:bCs/>
        </w:rPr>
        <w:t>stalni dio izno</w:t>
      </w:r>
      <w:r w:rsidR="00883E01">
        <w:rPr>
          <w:bCs/>
        </w:rPr>
        <w:t>si 0,90 kuna po m</w:t>
      </w:r>
      <w:r w:rsidR="00883E01">
        <w:rPr>
          <w:bCs/>
          <w:vertAlign w:val="superscript"/>
        </w:rPr>
        <w:t>2</w:t>
      </w:r>
      <w:r w:rsidRPr="00124497">
        <w:rPr>
          <w:bCs/>
        </w:rPr>
        <w:t xml:space="preserve"> zauzete ukupne površine pomorskog dobra g</w:t>
      </w:r>
      <w:r w:rsidR="00883E01">
        <w:rPr>
          <w:bCs/>
        </w:rPr>
        <w:t>odišnje, plativo u jednom obroku</w:t>
      </w:r>
    </w:p>
    <w:p w14:paraId="126BC8CA" w14:textId="77777777" w:rsidR="00315859" w:rsidRPr="00124497" w:rsidRDefault="00315859" w:rsidP="00124497">
      <w:pPr>
        <w:numPr>
          <w:ilvl w:val="0"/>
          <w:numId w:val="5"/>
        </w:numPr>
        <w:contextualSpacing/>
        <w:jc w:val="both"/>
        <w:rPr>
          <w:bCs/>
        </w:rPr>
      </w:pPr>
      <w:r w:rsidRPr="00124497">
        <w:rPr>
          <w:bCs/>
        </w:rPr>
        <w:t>promjenjivi dio naknade iznosi 0,45 % od ukupnog godišnjeg prihoda ostvarenog na koncesioniranom pomorskom dobru</w:t>
      </w:r>
    </w:p>
    <w:p w14:paraId="126BC8CB" w14:textId="77777777" w:rsidR="00315859" w:rsidRPr="00124497" w:rsidRDefault="00315859" w:rsidP="00124497">
      <w:pPr>
        <w:jc w:val="both"/>
        <w:rPr>
          <w:bCs/>
        </w:rPr>
      </w:pPr>
    </w:p>
    <w:p w14:paraId="126BC8CC" w14:textId="4AE482DA" w:rsidR="00315859" w:rsidRDefault="00315859" w:rsidP="00883E01">
      <w:pPr>
        <w:pStyle w:val="ListParagraph"/>
        <w:numPr>
          <w:ilvl w:val="0"/>
          <w:numId w:val="7"/>
        </w:numPr>
        <w:ind w:left="426" w:hanging="426"/>
        <w:jc w:val="both"/>
        <w:rPr>
          <w:bCs/>
        </w:rPr>
      </w:pPr>
      <w:r w:rsidRPr="00883E01">
        <w:rPr>
          <w:bCs/>
        </w:rPr>
        <w:t xml:space="preserve">U razdoblju od 1. siječnja 2034. godine do dana isteka </w:t>
      </w:r>
      <w:r w:rsidR="00301692">
        <w:rPr>
          <w:bCs/>
        </w:rPr>
        <w:t>U</w:t>
      </w:r>
      <w:r w:rsidRPr="00883E01">
        <w:rPr>
          <w:bCs/>
        </w:rPr>
        <w:t>govora o koncesiji iz točke VIII. ove Odluke</w:t>
      </w:r>
    </w:p>
    <w:p w14:paraId="126BC8CD" w14:textId="77777777" w:rsidR="00883E01" w:rsidRPr="00883E01" w:rsidRDefault="00883E01" w:rsidP="00883E01">
      <w:pPr>
        <w:pStyle w:val="ListParagraph"/>
        <w:ind w:left="426"/>
        <w:jc w:val="both"/>
        <w:rPr>
          <w:bCs/>
        </w:rPr>
      </w:pPr>
    </w:p>
    <w:p w14:paraId="126BC8CE" w14:textId="77777777" w:rsidR="00315859" w:rsidRPr="00124497" w:rsidRDefault="00315859" w:rsidP="00124497">
      <w:pPr>
        <w:numPr>
          <w:ilvl w:val="0"/>
          <w:numId w:val="6"/>
        </w:numPr>
        <w:contextualSpacing/>
        <w:jc w:val="both"/>
        <w:rPr>
          <w:bCs/>
        </w:rPr>
      </w:pPr>
      <w:r w:rsidRPr="00124497">
        <w:rPr>
          <w:bCs/>
        </w:rPr>
        <w:t>s</w:t>
      </w:r>
      <w:r w:rsidR="00883E01">
        <w:rPr>
          <w:bCs/>
        </w:rPr>
        <w:t>talni dio iznosi 0,90 kuna po m</w:t>
      </w:r>
      <w:r w:rsidR="00883E01">
        <w:rPr>
          <w:bCs/>
          <w:vertAlign w:val="superscript"/>
        </w:rPr>
        <w:t>2</w:t>
      </w:r>
      <w:r w:rsidRPr="00124497">
        <w:rPr>
          <w:bCs/>
        </w:rPr>
        <w:t xml:space="preserve"> zauzete ukupne površine pomorskog dobra g</w:t>
      </w:r>
      <w:r w:rsidR="00883E01">
        <w:rPr>
          <w:bCs/>
        </w:rPr>
        <w:t>odišnje plativo u jednom obroku</w:t>
      </w:r>
    </w:p>
    <w:p w14:paraId="126BC8CF" w14:textId="77777777" w:rsidR="00315859" w:rsidRPr="00124497" w:rsidRDefault="00315859" w:rsidP="00124497">
      <w:pPr>
        <w:numPr>
          <w:ilvl w:val="0"/>
          <w:numId w:val="6"/>
        </w:numPr>
        <w:contextualSpacing/>
        <w:jc w:val="both"/>
        <w:rPr>
          <w:bCs/>
        </w:rPr>
      </w:pPr>
      <w:r w:rsidRPr="00124497">
        <w:rPr>
          <w:bCs/>
        </w:rPr>
        <w:t>promjenjivi dio naknade iznosi 0,50 % od ukupnog godišnjeg prihoda ostvarenog na koncesioniranom pomorskom dobru.“</w:t>
      </w:r>
      <w:r w:rsidR="00883E01">
        <w:rPr>
          <w:bCs/>
        </w:rPr>
        <w:t>.</w:t>
      </w:r>
    </w:p>
    <w:p w14:paraId="126BC8D0" w14:textId="77777777" w:rsidR="00AF63E0" w:rsidRPr="00124497" w:rsidRDefault="00AF63E0" w:rsidP="00124497">
      <w:pPr>
        <w:jc w:val="both"/>
        <w:rPr>
          <w:bCs/>
        </w:rPr>
      </w:pPr>
    </w:p>
    <w:p w14:paraId="126BC8D1" w14:textId="77777777" w:rsidR="00AF63E0" w:rsidRPr="00124497" w:rsidRDefault="00AF63E0" w:rsidP="00124497">
      <w:pPr>
        <w:jc w:val="both"/>
        <w:rPr>
          <w:bCs/>
        </w:rPr>
      </w:pPr>
    </w:p>
    <w:p w14:paraId="126BC8D2" w14:textId="77777777" w:rsidR="00315859" w:rsidRPr="00124497" w:rsidRDefault="00315859" w:rsidP="00883E01">
      <w:pPr>
        <w:ind w:left="708" w:firstLine="708"/>
        <w:jc w:val="both"/>
        <w:rPr>
          <w:bCs/>
        </w:rPr>
      </w:pPr>
      <w:r w:rsidRPr="00124497">
        <w:rPr>
          <w:bCs/>
        </w:rPr>
        <w:t>Iza stavka 4. dodaju se stavci 5. i 6. koji glase:</w:t>
      </w:r>
    </w:p>
    <w:p w14:paraId="126BC8D3" w14:textId="77777777" w:rsidR="00315859" w:rsidRPr="00124497" w:rsidRDefault="00315859" w:rsidP="00124497">
      <w:pPr>
        <w:jc w:val="both"/>
        <w:rPr>
          <w:bCs/>
        </w:rPr>
      </w:pPr>
    </w:p>
    <w:p w14:paraId="126BC8D4" w14:textId="77777777" w:rsidR="00315859" w:rsidRPr="00124497" w:rsidRDefault="00315859" w:rsidP="00124497">
      <w:pPr>
        <w:jc w:val="both"/>
        <w:textAlignment w:val="baseline"/>
        <w:rPr>
          <w:color w:val="231F20"/>
        </w:rPr>
      </w:pPr>
      <w:r w:rsidRPr="00124497">
        <w:rPr>
          <w:bCs/>
        </w:rPr>
        <w:t>„</w:t>
      </w:r>
      <w:r w:rsidRPr="00124497">
        <w:rPr>
          <w:color w:val="231F20"/>
        </w:rPr>
        <w:t>Stalni dio koncesijske naknade usklađivat će se svake tri godine na dan 1. siječnja četvrte godine i primjenjivati od 1. siječnja iste godine. Naknada će se usklađivati prema formuli:</w:t>
      </w:r>
    </w:p>
    <w:p w14:paraId="126BC8D5" w14:textId="77777777" w:rsidR="00CF453A" w:rsidRPr="00A3260E" w:rsidRDefault="00CF453A" w:rsidP="00CF453A">
      <w:pPr>
        <w:spacing w:before="100" w:beforeAutospacing="1" w:after="225"/>
        <w:jc w:val="both"/>
      </w:pPr>
      <m:oMathPara>
        <m:oMathParaPr>
          <m:jc m:val="center"/>
        </m:oMathParaPr>
        <m:oMath>
          <m:r>
            <w:rPr>
              <w:rFonts w:ascii="Cambria Math" w:hAnsi="Cambria Math"/>
            </w:rPr>
            <m:t>K</m:t>
          </m:r>
          <m:r>
            <m:rPr>
              <m:sty m:val="p"/>
            </m:rPr>
            <w:rPr>
              <w:rFonts w:ascii="Cambria Math" w:hAnsi="Cambria Math"/>
            </w:rPr>
            <m:t>=</m:t>
          </m:r>
          <m:d>
            <m:dPr>
              <m:begChr m:val="["/>
              <m:endChr m:val="]"/>
              <m:ctrlPr>
                <w:rPr>
                  <w:rFonts w:ascii="Cambria Math" w:hAnsi="Cambria Math"/>
                </w:rPr>
              </m:ctrlPr>
            </m:dPr>
            <m:e>
              <m:d>
                <m:dPr>
                  <m:ctrlPr>
                    <w:rPr>
                      <w:rFonts w:ascii="Cambria Math" w:hAnsi="Cambria Math"/>
                      <w:i/>
                    </w:rPr>
                  </m:ctrlPr>
                </m:dPr>
                <m:e>
                  <m:r>
                    <m:rPr>
                      <m:sty m:val="p"/>
                    </m:rPr>
                    <w:rPr>
                      <w:rFonts w:ascii="Cambria Math" w:hAnsi="Cambria Math"/>
                    </w:rPr>
                    <m:t>1+</m:t>
                  </m:r>
                  <m:f>
                    <m:fPr>
                      <m:ctrlPr>
                        <w:rPr>
                          <w:rFonts w:ascii="Cambria Math" w:hAnsi="Cambria Math"/>
                        </w:rPr>
                      </m:ctrlPr>
                    </m:fPr>
                    <m:num>
                      <m:f>
                        <m:fPr>
                          <m:ctrlPr>
                            <w:rPr>
                              <w:rFonts w:ascii="Cambria Math" w:hAnsi="Cambria Math"/>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num>
                        <m:den>
                          <m:r>
                            <w:rPr>
                              <w:rFonts w:ascii="Cambria Math" w:hAnsi="Cambria Math"/>
                            </w:rPr>
                            <m:t>2</m:t>
                          </m:r>
                        </m:den>
                      </m:f>
                    </m:num>
                    <m:den>
                      <m:r>
                        <m:rPr>
                          <m:sty m:val="p"/>
                        </m:rPr>
                        <w:rPr>
                          <w:rFonts w:ascii="Cambria Math" w:hAnsi="Cambria Math"/>
                        </w:rPr>
                        <m:t>100</m:t>
                      </m:r>
                    </m:den>
                  </m:f>
                </m:e>
              </m:d>
              <m:r>
                <w:rPr>
                  <w:rFonts w:ascii="Cambria Math" w:hAnsi="Cambria Math"/>
                </w:rPr>
                <m:t>x</m:t>
              </m:r>
              <m:d>
                <m:dPr>
                  <m:ctrlPr>
                    <w:rPr>
                      <w:rFonts w:ascii="Cambria Math" w:hAnsi="Cambria Math"/>
                      <w:i/>
                    </w:rPr>
                  </m:ctrlPr>
                </m:dPr>
                <m:e>
                  <m:r>
                    <m:rPr>
                      <m:sty m:val="p"/>
                    </m:rPr>
                    <w:rPr>
                      <w:rFonts w:ascii="Cambria Math" w:hAnsi="Cambria Math"/>
                    </w:rPr>
                    <m:t>1+</m:t>
                  </m:r>
                  <m:f>
                    <m:fPr>
                      <m:ctrlPr>
                        <w:rPr>
                          <w:rFonts w:ascii="Cambria Math" w:hAnsi="Cambria Math"/>
                        </w:rPr>
                      </m:ctrlPr>
                    </m:fPr>
                    <m:num>
                      <m:f>
                        <m:fPr>
                          <m:ctrlPr>
                            <w:rPr>
                              <w:rFonts w:ascii="Cambria Math" w:hAnsi="Cambria Math"/>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num>
                        <m:den>
                          <m:r>
                            <w:rPr>
                              <w:rFonts w:ascii="Cambria Math" w:hAnsi="Cambria Math"/>
                            </w:rPr>
                            <m:t>2</m:t>
                          </m:r>
                        </m:den>
                      </m:f>
                    </m:num>
                    <m:den>
                      <m:r>
                        <m:rPr>
                          <m:sty m:val="p"/>
                        </m:rPr>
                        <w:rPr>
                          <w:rFonts w:ascii="Cambria Math" w:hAnsi="Cambria Math"/>
                        </w:rPr>
                        <m:t>100</m:t>
                      </m:r>
                    </m:den>
                  </m:f>
                </m:e>
              </m:d>
              <m:r>
                <w:rPr>
                  <w:rFonts w:ascii="Cambria Math" w:hAnsi="Cambria Math"/>
                </w:rPr>
                <m:t>x</m:t>
              </m:r>
              <m:d>
                <m:dPr>
                  <m:ctrlPr>
                    <w:rPr>
                      <w:rFonts w:ascii="Cambria Math" w:hAnsi="Cambria Math"/>
                      <w:i/>
                    </w:rPr>
                  </m:ctrlPr>
                </m:dPr>
                <m:e>
                  <m:r>
                    <m:rPr>
                      <m:sty m:val="p"/>
                    </m:rPr>
                    <w:rPr>
                      <w:rFonts w:ascii="Cambria Math" w:hAnsi="Cambria Math"/>
                    </w:rPr>
                    <m:t>1+</m:t>
                  </m:r>
                  <m:f>
                    <m:fPr>
                      <m:ctrlPr>
                        <w:rPr>
                          <w:rFonts w:ascii="Cambria Math" w:hAnsi="Cambria Math"/>
                        </w:rPr>
                      </m:ctrlPr>
                    </m:fPr>
                    <m:num>
                      <m:f>
                        <m:fPr>
                          <m:ctrlPr>
                            <w:rPr>
                              <w:rFonts w:ascii="Cambria Math" w:hAnsi="Cambria Math"/>
                            </w:rPr>
                          </m:ctrlPr>
                        </m:fPr>
                        <m:num>
                          <m:sSub>
                            <m:sSubPr>
                              <m:ctrlPr>
                                <w:rPr>
                                  <w:rFonts w:ascii="Cambria Math" w:hAnsi="Cambria Math"/>
                                  <w:i/>
                                </w:rPr>
                              </m:ctrlPr>
                            </m:sSubPr>
                            <m:e>
                              <m:r>
                                <w:rPr>
                                  <w:rFonts w:ascii="Cambria Math" w:hAnsi="Cambria Math"/>
                                </w:rPr>
                                <m:t>P</m:t>
                              </m:r>
                            </m:e>
                            <m:sub>
                              <m:r>
                                <w:rPr>
                                  <w:rFonts w:ascii="Cambria Math" w:hAnsi="Cambria Math"/>
                                </w:rPr>
                                <m:t>3</m:t>
                              </m:r>
                            </m:sub>
                          </m:sSub>
                        </m:num>
                        <m:den>
                          <m:r>
                            <w:rPr>
                              <w:rFonts w:ascii="Cambria Math" w:hAnsi="Cambria Math"/>
                            </w:rPr>
                            <m:t>2</m:t>
                          </m:r>
                        </m:den>
                      </m:f>
                    </m:num>
                    <m:den>
                      <m:r>
                        <m:rPr>
                          <m:sty m:val="p"/>
                        </m:rPr>
                        <w:rPr>
                          <w:rFonts w:ascii="Cambria Math" w:hAnsi="Cambria Math"/>
                        </w:rPr>
                        <m:t>100</m:t>
                      </m:r>
                    </m:den>
                  </m:f>
                </m:e>
              </m:d>
            </m:e>
          </m:d>
        </m:oMath>
      </m:oMathPara>
    </w:p>
    <w:p w14:paraId="126BC8D6" w14:textId="77777777" w:rsidR="00315859" w:rsidRPr="00124497" w:rsidRDefault="00315859" w:rsidP="00124497">
      <w:pPr>
        <w:ind w:firstLine="408"/>
        <w:textAlignment w:val="baseline"/>
        <w:rPr>
          <w:color w:val="231F20"/>
        </w:rPr>
      </w:pPr>
    </w:p>
    <w:p w14:paraId="126BC8D7" w14:textId="77777777" w:rsidR="00315859" w:rsidRPr="00124497" w:rsidRDefault="00315859" w:rsidP="00124497">
      <w:pPr>
        <w:ind w:firstLine="408"/>
        <w:jc w:val="both"/>
        <w:textAlignment w:val="baseline"/>
        <w:rPr>
          <w:color w:val="231F20"/>
        </w:rPr>
      </w:pPr>
      <w:r w:rsidRPr="00124497">
        <w:rPr>
          <w:color w:val="231F20"/>
        </w:rPr>
        <w:t>K = faktor za usklađivanje stalnog i promjenjivog dijela koncesijske naknade za svaki trogodišnji period koji slijedi nakon zaključenja ugovora o koncesiji</w:t>
      </w:r>
    </w:p>
    <w:p w14:paraId="126BC8D8" w14:textId="77777777" w:rsidR="00315859" w:rsidRPr="00124497" w:rsidRDefault="00315859" w:rsidP="00124497">
      <w:pPr>
        <w:ind w:firstLine="408"/>
        <w:jc w:val="both"/>
        <w:textAlignment w:val="baseline"/>
        <w:rPr>
          <w:color w:val="231F20"/>
        </w:rPr>
      </w:pPr>
      <w:r w:rsidRPr="00124497">
        <w:rPr>
          <w:color w:val="231F20"/>
        </w:rPr>
        <w:t>p</w:t>
      </w:r>
      <w:r w:rsidRPr="00124497">
        <w:rPr>
          <w:color w:val="231F20"/>
          <w:vertAlign w:val="subscript"/>
        </w:rPr>
        <w:t>1</w:t>
      </w:r>
      <w:r w:rsidRPr="00124497">
        <w:rPr>
          <w:color w:val="231F20"/>
        </w:rPr>
        <w:t> = stopa inflacije prve godine trogodišnjeg perioda</w:t>
      </w:r>
    </w:p>
    <w:p w14:paraId="126BC8D9" w14:textId="77777777" w:rsidR="00315859" w:rsidRPr="00124497" w:rsidRDefault="00315859" w:rsidP="00124497">
      <w:pPr>
        <w:ind w:firstLine="408"/>
        <w:jc w:val="both"/>
        <w:textAlignment w:val="baseline"/>
        <w:rPr>
          <w:color w:val="231F20"/>
        </w:rPr>
      </w:pPr>
      <w:r w:rsidRPr="00124497">
        <w:rPr>
          <w:color w:val="231F20"/>
        </w:rPr>
        <w:t>p</w:t>
      </w:r>
      <w:r w:rsidRPr="00124497">
        <w:rPr>
          <w:color w:val="231F20"/>
          <w:vertAlign w:val="subscript"/>
        </w:rPr>
        <w:t>2</w:t>
      </w:r>
      <w:r w:rsidRPr="00124497">
        <w:rPr>
          <w:color w:val="231F20"/>
        </w:rPr>
        <w:t> = stopa inflacije druge godine trogodišnjeg perioda</w:t>
      </w:r>
    </w:p>
    <w:p w14:paraId="126BC8DA" w14:textId="77777777" w:rsidR="00315859" w:rsidRPr="00124497" w:rsidRDefault="00315859" w:rsidP="00124497">
      <w:pPr>
        <w:ind w:firstLine="408"/>
        <w:jc w:val="both"/>
        <w:textAlignment w:val="baseline"/>
        <w:rPr>
          <w:color w:val="231F20"/>
        </w:rPr>
      </w:pPr>
      <w:r w:rsidRPr="00124497">
        <w:rPr>
          <w:color w:val="231F20"/>
        </w:rPr>
        <w:t>p</w:t>
      </w:r>
      <w:r w:rsidRPr="00124497">
        <w:rPr>
          <w:color w:val="231F20"/>
          <w:vertAlign w:val="subscript"/>
        </w:rPr>
        <w:t>3</w:t>
      </w:r>
      <w:r w:rsidRPr="00124497">
        <w:rPr>
          <w:color w:val="231F20"/>
        </w:rPr>
        <w:t> = stopa inflacije treće godine trogodišnjeg perioda</w:t>
      </w:r>
      <w:r w:rsidR="00883E01">
        <w:rPr>
          <w:color w:val="231F20"/>
        </w:rPr>
        <w:t>.</w:t>
      </w:r>
    </w:p>
    <w:p w14:paraId="126BC8DB" w14:textId="77777777" w:rsidR="00315859" w:rsidRPr="00124497" w:rsidRDefault="00315859" w:rsidP="00124497">
      <w:pPr>
        <w:ind w:firstLine="408"/>
        <w:jc w:val="both"/>
        <w:textAlignment w:val="baseline"/>
        <w:rPr>
          <w:color w:val="231F20"/>
        </w:rPr>
      </w:pPr>
    </w:p>
    <w:p w14:paraId="126BC8DC" w14:textId="77777777" w:rsidR="00315859" w:rsidRPr="00124497" w:rsidRDefault="00315859" w:rsidP="00124497">
      <w:pPr>
        <w:jc w:val="both"/>
        <w:textAlignment w:val="baseline"/>
        <w:rPr>
          <w:color w:val="231F20"/>
        </w:rPr>
      </w:pPr>
      <w:r w:rsidRPr="00124497">
        <w:rPr>
          <w:color w:val="231F20"/>
        </w:rPr>
        <w:t>Neovisno o usklađivanju cijena vezano za inflatorna kretanja, a u slučaju da se za vrijeme trajanja koncesijskog ugovora promijeni srednji tečaj Hrvatske narodne banke za kunu u odnosu na euro i to za +/-3%, mijenja se i iznos stalnog dijela koncesijske naknade sukladno promjeni tečaja.“</w:t>
      </w:r>
      <w:r w:rsidR="00883E01">
        <w:rPr>
          <w:color w:val="231F20"/>
        </w:rPr>
        <w:t>.</w:t>
      </w:r>
    </w:p>
    <w:p w14:paraId="126BC8DD" w14:textId="77777777" w:rsidR="00315859" w:rsidRPr="00124497" w:rsidRDefault="00315859" w:rsidP="00124497">
      <w:pPr>
        <w:jc w:val="center"/>
      </w:pPr>
    </w:p>
    <w:p w14:paraId="126BC8DE" w14:textId="77777777" w:rsidR="00315859" w:rsidRPr="00124497" w:rsidRDefault="00315859" w:rsidP="00124497">
      <w:pPr>
        <w:jc w:val="center"/>
        <w:rPr>
          <w:b/>
        </w:rPr>
      </w:pPr>
      <w:r w:rsidRPr="00124497">
        <w:rPr>
          <w:b/>
        </w:rPr>
        <w:t>V.</w:t>
      </w:r>
    </w:p>
    <w:p w14:paraId="126BC8DF" w14:textId="77777777" w:rsidR="00315859" w:rsidRPr="00124497" w:rsidRDefault="00315859" w:rsidP="00124497">
      <w:pPr>
        <w:tabs>
          <w:tab w:val="left" w:pos="142"/>
        </w:tabs>
        <w:autoSpaceDE w:val="0"/>
        <w:autoSpaceDN w:val="0"/>
        <w:adjustRightInd w:val="0"/>
        <w:jc w:val="both"/>
      </w:pPr>
    </w:p>
    <w:p w14:paraId="126BC8E0" w14:textId="4CEE9287" w:rsidR="00315859" w:rsidRPr="00124497" w:rsidRDefault="00883E01" w:rsidP="00883E01">
      <w:pPr>
        <w:tabs>
          <w:tab w:val="left" w:pos="142"/>
          <w:tab w:val="left" w:pos="1418"/>
        </w:tabs>
        <w:autoSpaceDE w:val="0"/>
        <w:autoSpaceDN w:val="0"/>
        <w:adjustRightInd w:val="0"/>
        <w:jc w:val="both"/>
      </w:pPr>
      <w:r>
        <w:tab/>
      </w:r>
      <w:r>
        <w:tab/>
      </w:r>
      <w:r w:rsidR="00315859" w:rsidRPr="00124497">
        <w:t xml:space="preserve">Zadužuje se </w:t>
      </w:r>
      <w:r>
        <w:t>O</w:t>
      </w:r>
      <w:r w:rsidR="00315859" w:rsidRPr="00124497">
        <w:t>vlaštenik koncesije</w:t>
      </w:r>
      <w:r>
        <w:t>,</w:t>
      </w:r>
      <w:r w:rsidR="00315859" w:rsidRPr="00124497">
        <w:rPr>
          <w:bCs/>
        </w:rPr>
        <w:t xml:space="preserve"> na pomorskom dobru iz točke II. ove Odluke uložiti ukupno </w:t>
      </w:r>
      <w:r w:rsidR="00315859" w:rsidRPr="00124497">
        <w:rPr>
          <w:rFonts w:eastAsiaTheme="minorHAnsi"/>
          <w:lang w:eastAsia="en-US"/>
        </w:rPr>
        <w:t xml:space="preserve">63.689.119,00 </w:t>
      </w:r>
      <w:r w:rsidR="00315859" w:rsidRPr="00124497">
        <w:t>kuna kroz čitavo vrijeme trajanja koncesije, od čega se iznos od 600.000,00 kuna odnosi na zaštitu okoliša, sve u skladu s rokovima i na način utvrđen u Studiji gospodarske opravdanosti gospodarskog korištenja pomorskog dobra radi obavljanja djelatnosti uzgoja bijele morske ribe uz Dugi otok, između rtova Žman i Gubac</w:t>
      </w:r>
      <w:r>
        <w:t xml:space="preserve"> </w:t>
      </w:r>
      <w:r w:rsidR="00315859" w:rsidRPr="00124497">
        <w:t>-</w:t>
      </w:r>
      <w:r>
        <w:t xml:space="preserve"> </w:t>
      </w:r>
      <w:r w:rsidR="00315859" w:rsidRPr="00124497">
        <w:t>povećanje kapaciteta do 3000t/god</w:t>
      </w:r>
      <w:r w:rsidR="00315859" w:rsidRPr="00124497">
        <w:rPr>
          <w:rFonts w:eastAsiaTheme="minorHAnsi"/>
          <w:lang w:eastAsia="en-US"/>
        </w:rPr>
        <w:t>, izrađenoj u svibnju 2018. godine,</w:t>
      </w:r>
      <w:r w:rsidR="00301692">
        <w:t xml:space="preserve"> koja čini P</w:t>
      </w:r>
      <w:r w:rsidR="00315859" w:rsidRPr="00124497">
        <w:t>rilog</w:t>
      </w:r>
      <w:r w:rsidR="00301692">
        <w:t xml:space="preserve"> 3.</w:t>
      </w:r>
      <w:r w:rsidR="00315859" w:rsidRPr="00124497">
        <w:t xml:space="preserve"> ovoj Odluci, a ne objavljuje se u Narodnim novinama.</w:t>
      </w:r>
    </w:p>
    <w:p w14:paraId="126BC8E1" w14:textId="77777777" w:rsidR="00315859" w:rsidRDefault="00315859" w:rsidP="00124497">
      <w:pPr>
        <w:tabs>
          <w:tab w:val="left" w:pos="142"/>
        </w:tabs>
        <w:autoSpaceDE w:val="0"/>
        <w:autoSpaceDN w:val="0"/>
        <w:adjustRightInd w:val="0"/>
        <w:jc w:val="both"/>
      </w:pPr>
    </w:p>
    <w:p w14:paraId="126BC8E2" w14:textId="77777777" w:rsidR="00CF453A" w:rsidRDefault="00CF453A" w:rsidP="00124497">
      <w:pPr>
        <w:tabs>
          <w:tab w:val="left" w:pos="142"/>
        </w:tabs>
        <w:autoSpaceDE w:val="0"/>
        <w:autoSpaceDN w:val="0"/>
        <w:adjustRightInd w:val="0"/>
        <w:jc w:val="both"/>
      </w:pPr>
    </w:p>
    <w:p w14:paraId="126BC8E3" w14:textId="77777777" w:rsidR="00CF453A" w:rsidRDefault="00CF453A" w:rsidP="00124497">
      <w:pPr>
        <w:tabs>
          <w:tab w:val="left" w:pos="142"/>
        </w:tabs>
        <w:autoSpaceDE w:val="0"/>
        <w:autoSpaceDN w:val="0"/>
        <w:adjustRightInd w:val="0"/>
        <w:jc w:val="both"/>
      </w:pPr>
    </w:p>
    <w:p w14:paraId="126BC8E4" w14:textId="77777777" w:rsidR="00CF453A" w:rsidRPr="00124497" w:rsidRDefault="00CF453A" w:rsidP="00124497">
      <w:pPr>
        <w:tabs>
          <w:tab w:val="left" w:pos="142"/>
        </w:tabs>
        <w:autoSpaceDE w:val="0"/>
        <w:autoSpaceDN w:val="0"/>
        <w:adjustRightInd w:val="0"/>
        <w:jc w:val="both"/>
      </w:pPr>
    </w:p>
    <w:p w14:paraId="126BC8E5" w14:textId="77777777" w:rsidR="00315859" w:rsidRPr="00124497" w:rsidRDefault="00315859" w:rsidP="00124497">
      <w:pPr>
        <w:jc w:val="center"/>
        <w:rPr>
          <w:b/>
        </w:rPr>
      </w:pPr>
      <w:r w:rsidRPr="00124497">
        <w:rPr>
          <w:b/>
        </w:rPr>
        <w:lastRenderedPageBreak/>
        <w:t>VI.</w:t>
      </w:r>
    </w:p>
    <w:p w14:paraId="126BC8E6" w14:textId="77777777" w:rsidR="00315859" w:rsidRPr="00124497" w:rsidRDefault="00315859" w:rsidP="00124497">
      <w:pPr>
        <w:jc w:val="center"/>
      </w:pPr>
    </w:p>
    <w:p w14:paraId="126BC8E7" w14:textId="68E7E8AE" w:rsidR="00315859" w:rsidRPr="00124497" w:rsidRDefault="00315859" w:rsidP="00883E01">
      <w:pPr>
        <w:ind w:firstLine="1416"/>
        <w:jc w:val="both"/>
      </w:pPr>
      <w:r w:rsidRPr="00124497">
        <w:t>Zadužuje se ovlaštenik koncesije da</w:t>
      </w:r>
      <w:r w:rsidR="00883E01">
        <w:t>,</w:t>
      </w:r>
      <w:r w:rsidRPr="00124497">
        <w:t xml:space="preserve"> u roku </w:t>
      </w:r>
      <w:r w:rsidR="00301692">
        <w:t>60</w:t>
      </w:r>
      <w:r w:rsidRPr="00124497">
        <w:t xml:space="preserve"> dana od dana objave ove Odluke u Narodnim novinama</w:t>
      </w:r>
      <w:r w:rsidR="00883E01">
        <w:t>,</w:t>
      </w:r>
      <w:r w:rsidR="00301692">
        <w:t xml:space="preserve"> Davatelju koncesije dostavi</w:t>
      </w:r>
      <w:r w:rsidRPr="00124497">
        <w:t xml:space="preserve"> garanciju banke radi dobrog izvršenja posla u korist Republike Hrvatske – Ministarstva mora, prometa i infrastrukture</w:t>
      </w:r>
      <w:r w:rsidR="00883E01">
        <w:t>,</w:t>
      </w:r>
      <w:r w:rsidRPr="00124497">
        <w:t xml:space="preserve"> na iznos od </w:t>
      </w:r>
      <w:r w:rsidRPr="00124497">
        <w:rPr>
          <w:rFonts w:eastAsiaTheme="minorHAnsi"/>
          <w:lang w:eastAsia="en-US"/>
        </w:rPr>
        <w:t xml:space="preserve">1.167.548,25 </w:t>
      </w:r>
      <w:r w:rsidRPr="00124497">
        <w:t>kuna, a što je 5</w:t>
      </w:r>
      <w:r w:rsidR="00FD0EAF">
        <w:t xml:space="preserve"> </w:t>
      </w:r>
      <w:r w:rsidRPr="00124497">
        <w:t>% od vrijednosti investicijskog ulaganja u osnovna sredstva, koje iznosi 23</w:t>
      </w:r>
      <w:r w:rsidRPr="00124497">
        <w:rPr>
          <w:rFonts w:eastAsiaTheme="minorHAnsi"/>
          <w:lang w:eastAsia="en-US"/>
        </w:rPr>
        <w:t xml:space="preserve">.350.965,00 </w:t>
      </w:r>
      <w:r w:rsidRPr="00124497">
        <w:t>kuna, s rokom važenja garancije do šest mjeseci od završetka planiranog investicijskog ciklusa, a koja garancija je bezuvjetna, bez prigovora i naplativa na prvi poziv.</w:t>
      </w:r>
    </w:p>
    <w:p w14:paraId="126BC8E8" w14:textId="77777777" w:rsidR="00315859" w:rsidRPr="00124497" w:rsidRDefault="00315859" w:rsidP="00124497">
      <w:pPr>
        <w:jc w:val="both"/>
        <w:rPr>
          <w:rFonts w:eastAsiaTheme="minorHAnsi"/>
          <w:lang w:eastAsia="en-US"/>
        </w:rPr>
      </w:pPr>
    </w:p>
    <w:p w14:paraId="126BC8E9" w14:textId="2D191D6D" w:rsidR="00315859" w:rsidRPr="00124497" w:rsidRDefault="00315859" w:rsidP="00883E01">
      <w:pPr>
        <w:ind w:firstLine="1416"/>
        <w:jc w:val="both"/>
        <w:rPr>
          <w:lang w:eastAsia="en-US"/>
        </w:rPr>
      </w:pPr>
      <w:r w:rsidRPr="00124497">
        <w:rPr>
          <w:rFonts w:eastAsiaTheme="minorHAnsi"/>
          <w:lang w:eastAsia="en-US"/>
        </w:rPr>
        <w:t>Zadužuje se ovlaštenik koncesije da</w:t>
      </w:r>
      <w:r w:rsidR="00883E01">
        <w:rPr>
          <w:rFonts w:eastAsiaTheme="minorHAnsi"/>
          <w:lang w:eastAsia="en-US"/>
        </w:rPr>
        <w:t>,</w:t>
      </w:r>
      <w:r w:rsidRPr="00124497">
        <w:rPr>
          <w:rFonts w:eastAsiaTheme="minorHAnsi"/>
          <w:lang w:eastAsia="en-US"/>
        </w:rPr>
        <w:t xml:space="preserve"> u roku </w:t>
      </w:r>
      <w:r w:rsidR="00301692">
        <w:rPr>
          <w:rFonts w:eastAsiaTheme="minorHAnsi"/>
          <w:lang w:eastAsia="en-US"/>
        </w:rPr>
        <w:t>6</w:t>
      </w:r>
      <w:r w:rsidRPr="00124497">
        <w:rPr>
          <w:lang w:eastAsia="en-US"/>
        </w:rPr>
        <w:t>0 dana od dana objave ove Odluke u Narodnim novinama</w:t>
      </w:r>
      <w:r w:rsidR="00883E01">
        <w:rPr>
          <w:lang w:eastAsia="en-US"/>
        </w:rPr>
        <w:t>,</w:t>
      </w:r>
      <w:r w:rsidRPr="00124497">
        <w:rPr>
          <w:lang w:eastAsia="en-US"/>
        </w:rPr>
        <w:t xml:space="preserve"> Davatelju koncesije dostavi ovjerene zadužnice na iznos od 966.240,00 kuna, kao instrumente osiguranja naplate naknade za koncesiju</w:t>
      </w:r>
      <w:r w:rsidR="00883E01">
        <w:rPr>
          <w:lang w:eastAsia="en-US"/>
        </w:rPr>
        <w:t>,</w:t>
      </w:r>
      <w:r w:rsidRPr="00124497">
        <w:rPr>
          <w:lang w:eastAsia="en-US"/>
        </w:rPr>
        <w:t xml:space="preserve"> te za naknadu štete koja može nastati zbog neispunjenja obveza iz ugovora.</w:t>
      </w:r>
    </w:p>
    <w:p w14:paraId="126BC8EA" w14:textId="77777777" w:rsidR="00315859" w:rsidRPr="00124497" w:rsidRDefault="00315859" w:rsidP="00124497">
      <w:pPr>
        <w:jc w:val="both"/>
        <w:rPr>
          <w:lang w:eastAsia="en-US"/>
        </w:rPr>
      </w:pPr>
    </w:p>
    <w:p w14:paraId="126BC8EB" w14:textId="77777777" w:rsidR="00315859" w:rsidRPr="00124497" w:rsidRDefault="00315859" w:rsidP="00883E01">
      <w:pPr>
        <w:ind w:firstLine="1416"/>
        <w:jc w:val="both"/>
        <w:rPr>
          <w:rFonts w:eastAsiaTheme="minorHAnsi"/>
          <w:lang w:eastAsia="en-US"/>
        </w:rPr>
      </w:pPr>
      <w:r w:rsidRPr="00124497">
        <w:rPr>
          <w:rFonts w:eastAsiaTheme="minorHAnsi"/>
          <w:lang w:eastAsia="en-US"/>
        </w:rPr>
        <w:t xml:space="preserve">Ako ovlaštenik koncesije ne </w:t>
      </w:r>
      <w:r w:rsidRPr="00124497">
        <w:rPr>
          <w:lang w:eastAsia="en-US"/>
        </w:rPr>
        <w:t>dostavi garanciju banke i ovjerene zadužnice, g</w:t>
      </w:r>
      <w:r w:rsidRPr="00124497">
        <w:rPr>
          <w:rFonts w:eastAsiaTheme="minorHAnsi"/>
          <w:lang w:eastAsia="en-US"/>
        </w:rPr>
        <w:t>ubi sva prava određena ovom</w:t>
      </w:r>
      <w:r w:rsidR="00883E01">
        <w:rPr>
          <w:rFonts w:eastAsiaTheme="minorHAnsi"/>
          <w:lang w:eastAsia="en-US"/>
        </w:rPr>
        <w:t xml:space="preserve"> Odlukom te se neće zaključiti d</w:t>
      </w:r>
      <w:r w:rsidRPr="00124497">
        <w:rPr>
          <w:rFonts w:eastAsiaTheme="minorHAnsi"/>
          <w:lang w:eastAsia="en-US"/>
        </w:rPr>
        <w:t>odatak br. 1. Ugovoru o koncesiji iz točke VII. ove Odluke.</w:t>
      </w:r>
    </w:p>
    <w:p w14:paraId="126BC8EC" w14:textId="77777777" w:rsidR="00315859" w:rsidRPr="00124497" w:rsidRDefault="00315859" w:rsidP="00124497">
      <w:pPr>
        <w:jc w:val="both"/>
        <w:rPr>
          <w:rFonts w:eastAsiaTheme="minorHAnsi"/>
          <w:lang w:eastAsia="en-US"/>
        </w:rPr>
      </w:pPr>
    </w:p>
    <w:p w14:paraId="126BC8ED" w14:textId="77777777" w:rsidR="00315859" w:rsidRPr="00124497" w:rsidRDefault="00315859" w:rsidP="00124497">
      <w:pPr>
        <w:jc w:val="center"/>
        <w:rPr>
          <w:b/>
        </w:rPr>
      </w:pPr>
      <w:r w:rsidRPr="00124497">
        <w:rPr>
          <w:b/>
        </w:rPr>
        <w:t>VII.</w:t>
      </w:r>
    </w:p>
    <w:p w14:paraId="126BC8EE" w14:textId="77777777" w:rsidR="00315859" w:rsidRPr="00124497" w:rsidRDefault="00315859" w:rsidP="00124497">
      <w:pPr>
        <w:jc w:val="center"/>
      </w:pPr>
    </w:p>
    <w:p w14:paraId="126BC8EF" w14:textId="4068C1AD" w:rsidR="00315859" w:rsidRPr="00124497" w:rsidRDefault="00315859" w:rsidP="00883E01">
      <w:pPr>
        <w:ind w:firstLine="1416"/>
        <w:jc w:val="both"/>
      </w:pPr>
      <w:r w:rsidRPr="00124497">
        <w:rPr>
          <w:rFonts w:eastAsiaTheme="minorHAnsi"/>
          <w:lang w:eastAsia="en-US"/>
        </w:rPr>
        <w:t>Na temelju ove Odluke ovlašćuje se ministar mora, prom</w:t>
      </w:r>
      <w:r w:rsidR="00883E01">
        <w:rPr>
          <w:rFonts w:eastAsiaTheme="minorHAnsi"/>
          <w:lang w:eastAsia="en-US"/>
        </w:rPr>
        <w:t>eta i infrastrukture da sklopi d</w:t>
      </w:r>
      <w:r w:rsidRPr="00124497">
        <w:rPr>
          <w:rFonts w:eastAsiaTheme="minorHAnsi"/>
          <w:lang w:eastAsia="en-US"/>
        </w:rPr>
        <w:t>odatak br.</w:t>
      </w:r>
      <w:r w:rsidR="00301692">
        <w:rPr>
          <w:rFonts w:eastAsiaTheme="minorHAnsi"/>
          <w:lang w:eastAsia="en-US"/>
        </w:rPr>
        <w:t xml:space="preserve"> 1. Ugovoru o koncesiji u roku 6</w:t>
      </w:r>
      <w:r w:rsidRPr="00124497">
        <w:rPr>
          <w:rFonts w:eastAsiaTheme="minorHAnsi"/>
          <w:lang w:eastAsia="en-US"/>
        </w:rPr>
        <w:t>0 dana od dana objave ove Odluke u Narodnim novinama.</w:t>
      </w:r>
    </w:p>
    <w:p w14:paraId="126BC8F0" w14:textId="77777777" w:rsidR="00AF63E0" w:rsidRPr="00124497" w:rsidRDefault="00AF63E0" w:rsidP="00124497">
      <w:pPr>
        <w:jc w:val="center"/>
      </w:pPr>
    </w:p>
    <w:p w14:paraId="126BC8F1" w14:textId="77777777" w:rsidR="00315859" w:rsidRPr="00124497" w:rsidRDefault="00315859" w:rsidP="00124497">
      <w:pPr>
        <w:jc w:val="center"/>
        <w:rPr>
          <w:b/>
        </w:rPr>
      </w:pPr>
      <w:r w:rsidRPr="00124497">
        <w:rPr>
          <w:b/>
        </w:rPr>
        <w:t>VIII.</w:t>
      </w:r>
    </w:p>
    <w:p w14:paraId="126BC8F2" w14:textId="77777777" w:rsidR="00315859" w:rsidRPr="00124497" w:rsidRDefault="00315859" w:rsidP="00124497">
      <w:pPr>
        <w:jc w:val="center"/>
      </w:pPr>
    </w:p>
    <w:p w14:paraId="126BC8F3" w14:textId="77777777" w:rsidR="00315859" w:rsidRPr="00124497" w:rsidRDefault="00315859" w:rsidP="00883E01">
      <w:pPr>
        <w:ind w:firstLine="1416"/>
        <w:jc w:val="both"/>
      </w:pPr>
      <w:r w:rsidRPr="00124497">
        <w:t>Ova Odluka stupa na snagu danom donošenja, a objavit će se u Narodnim novinama.</w:t>
      </w:r>
    </w:p>
    <w:p w14:paraId="126BC8F4" w14:textId="77777777" w:rsidR="00315859" w:rsidRDefault="00315859" w:rsidP="00124497">
      <w:pPr>
        <w:jc w:val="both"/>
      </w:pPr>
    </w:p>
    <w:p w14:paraId="126BC8F5" w14:textId="77777777" w:rsidR="00883E01" w:rsidRDefault="00883E01" w:rsidP="00124497">
      <w:pPr>
        <w:jc w:val="both"/>
      </w:pPr>
    </w:p>
    <w:p w14:paraId="126BC8F6" w14:textId="77777777" w:rsidR="00883E01" w:rsidRDefault="00883E01" w:rsidP="00124497">
      <w:pPr>
        <w:jc w:val="both"/>
      </w:pPr>
    </w:p>
    <w:p w14:paraId="126BC8F7" w14:textId="77777777" w:rsidR="00883E01" w:rsidRDefault="00883E01" w:rsidP="00124497">
      <w:pPr>
        <w:jc w:val="both"/>
      </w:pPr>
    </w:p>
    <w:p w14:paraId="126BC8F8" w14:textId="77777777" w:rsidR="00883E01" w:rsidRPr="00124497" w:rsidRDefault="00883E01" w:rsidP="00124497">
      <w:pPr>
        <w:jc w:val="both"/>
      </w:pPr>
    </w:p>
    <w:p w14:paraId="126BC8F9" w14:textId="77777777" w:rsidR="00315859" w:rsidRPr="00124497" w:rsidRDefault="00315859" w:rsidP="00124497">
      <w:pPr>
        <w:jc w:val="both"/>
      </w:pPr>
      <w:r w:rsidRPr="00124497">
        <w:t xml:space="preserve">Klasa: </w:t>
      </w:r>
    </w:p>
    <w:p w14:paraId="126BC8FA" w14:textId="77777777" w:rsidR="00315859" w:rsidRDefault="00315859" w:rsidP="00124497">
      <w:pPr>
        <w:jc w:val="both"/>
      </w:pPr>
      <w:r w:rsidRPr="00124497">
        <w:t xml:space="preserve">Urbroj: </w:t>
      </w:r>
    </w:p>
    <w:p w14:paraId="126BC8FB" w14:textId="77777777" w:rsidR="00883E01" w:rsidRDefault="00883E01" w:rsidP="00124497">
      <w:pPr>
        <w:jc w:val="both"/>
      </w:pPr>
    </w:p>
    <w:p w14:paraId="126BC8FC" w14:textId="77777777" w:rsidR="00883E01" w:rsidRPr="00124497" w:rsidRDefault="00883E01" w:rsidP="00124497">
      <w:pPr>
        <w:jc w:val="both"/>
      </w:pPr>
    </w:p>
    <w:p w14:paraId="126BC8FD" w14:textId="77777777" w:rsidR="00315859" w:rsidRPr="00124497" w:rsidRDefault="00315859" w:rsidP="00124497">
      <w:pPr>
        <w:jc w:val="both"/>
      </w:pPr>
      <w:r w:rsidRPr="00124497">
        <w:t xml:space="preserve">Zagreb, </w:t>
      </w:r>
    </w:p>
    <w:p w14:paraId="126BC8FE" w14:textId="77777777" w:rsidR="00883E01" w:rsidRDefault="00883E01" w:rsidP="00124497">
      <w:pPr>
        <w:ind w:left="5529"/>
        <w:jc w:val="center"/>
      </w:pPr>
    </w:p>
    <w:p w14:paraId="126BC8FF" w14:textId="77777777" w:rsidR="00883E01" w:rsidRDefault="00883E01" w:rsidP="00124497">
      <w:pPr>
        <w:ind w:left="5529"/>
        <w:jc w:val="center"/>
      </w:pPr>
    </w:p>
    <w:p w14:paraId="126BC900" w14:textId="77777777" w:rsidR="00315859" w:rsidRPr="00883E01" w:rsidRDefault="00315859" w:rsidP="00124497">
      <w:pPr>
        <w:ind w:left="5529"/>
        <w:jc w:val="center"/>
      </w:pPr>
      <w:r w:rsidRPr="00883E01">
        <w:t>Predsjednik</w:t>
      </w:r>
    </w:p>
    <w:p w14:paraId="126BC901" w14:textId="77777777" w:rsidR="00883E01" w:rsidRPr="00883E01" w:rsidRDefault="00883E01" w:rsidP="00124497">
      <w:pPr>
        <w:ind w:left="5529"/>
        <w:jc w:val="center"/>
      </w:pPr>
    </w:p>
    <w:p w14:paraId="126BC902" w14:textId="77777777" w:rsidR="00883E01" w:rsidRPr="00883E01" w:rsidRDefault="00883E01" w:rsidP="00124497">
      <w:pPr>
        <w:ind w:left="5529"/>
        <w:jc w:val="center"/>
      </w:pPr>
    </w:p>
    <w:p w14:paraId="126BC903" w14:textId="77777777" w:rsidR="00315859" w:rsidRPr="00124497" w:rsidRDefault="00315859" w:rsidP="00124497">
      <w:pPr>
        <w:ind w:firstLine="5529"/>
        <w:jc w:val="center"/>
        <w:rPr>
          <w:rFonts w:eastAsiaTheme="minorHAnsi"/>
          <w:b/>
          <w:bCs/>
          <w:lang w:eastAsia="en-US"/>
        </w:rPr>
      </w:pPr>
      <w:r w:rsidRPr="00883E01">
        <w:rPr>
          <w:rFonts w:eastAsiaTheme="minorHAnsi"/>
          <w:lang w:eastAsia="en-US"/>
        </w:rPr>
        <w:t>mr. sc. Andrej Plenković</w:t>
      </w:r>
      <w:r w:rsidRPr="00124497">
        <w:rPr>
          <w:b/>
          <w:bCs/>
        </w:rPr>
        <w:t xml:space="preserve"> </w:t>
      </w:r>
      <w:r w:rsidRPr="00124497">
        <w:rPr>
          <w:b/>
          <w:bCs/>
        </w:rPr>
        <w:br w:type="page"/>
      </w:r>
      <w:r w:rsidRPr="00124497">
        <w:rPr>
          <w:rFonts w:eastAsiaTheme="minorHAnsi"/>
          <w:b/>
          <w:bCs/>
          <w:lang w:eastAsia="en-US"/>
        </w:rPr>
        <w:lastRenderedPageBreak/>
        <w:t>OBRAZLOŽENJE</w:t>
      </w:r>
    </w:p>
    <w:p w14:paraId="126BC904" w14:textId="77777777" w:rsidR="00315859" w:rsidRPr="00124497" w:rsidRDefault="00315859" w:rsidP="00124497">
      <w:pPr>
        <w:widowControl w:val="0"/>
        <w:jc w:val="center"/>
        <w:rPr>
          <w:rFonts w:eastAsiaTheme="minorHAnsi"/>
          <w:b/>
          <w:bCs/>
          <w:lang w:eastAsia="en-US"/>
        </w:rPr>
      </w:pPr>
    </w:p>
    <w:p w14:paraId="126BC905" w14:textId="77777777" w:rsidR="00315859" w:rsidRPr="00124497" w:rsidRDefault="00315859" w:rsidP="00124497">
      <w:pPr>
        <w:widowControl w:val="0"/>
        <w:jc w:val="center"/>
        <w:rPr>
          <w:rFonts w:eastAsiaTheme="minorHAnsi"/>
          <w:b/>
          <w:bCs/>
          <w:lang w:eastAsia="en-US"/>
        </w:rPr>
      </w:pPr>
    </w:p>
    <w:p w14:paraId="126BC906" w14:textId="77777777" w:rsidR="00315859" w:rsidRPr="00124497" w:rsidRDefault="00315859" w:rsidP="00124497">
      <w:pPr>
        <w:widowControl w:val="0"/>
        <w:autoSpaceDE w:val="0"/>
        <w:autoSpaceDN w:val="0"/>
        <w:adjustRightInd w:val="0"/>
        <w:ind w:firstLine="993"/>
        <w:jc w:val="both"/>
        <w:rPr>
          <w:rFonts w:eastAsiaTheme="minorHAnsi"/>
          <w:lang w:eastAsia="en-US"/>
        </w:rPr>
      </w:pPr>
      <w:r w:rsidRPr="00124497">
        <w:rPr>
          <w:rFonts w:eastAsiaTheme="minorHAnsi"/>
          <w:bCs/>
          <w:lang w:eastAsia="en-US"/>
        </w:rPr>
        <w:t xml:space="preserve">Vlada Republike Hrvatske Odlukom </w:t>
      </w:r>
      <w:r w:rsidRPr="00124497">
        <w:rPr>
          <w:rFonts w:eastAsiaTheme="minorHAnsi"/>
          <w:lang w:eastAsia="en-US"/>
        </w:rPr>
        <w:t xml:space="preserve">o koncesiji u svrhu gospodarskog korištenja pomorskog dobra radi obavljanja djelatnosti uzgoja bijele ribe uz Dugi otok, između rtova Žman i Gubac („Narodne novine“, broj </w:t>
      </w:r>
      <w:r w:rsidRPr="00124497">
        <w:t>79/16</w:t>
      </w:r>
      <w:r w:rsidRPr="00124497">
        <w:rPr>
          <w:rFonts w:eastAsiaTheme="minorHAnsi"/>
          <w:lang w:eastAsia="en-US"/>
        </w:rPr>
        <w:t xml:space="preserve">) </w:t>
      </w:r>
      <w:r w:rsidRPr="00124497">
        <w:rPr>
          <w:rFonts w:eastAsiaTheme="minorHAnsi"/>
          <w:bCs/>
          <w:lang w:eastAsia="en-US"/>
        </w:rPr>
        <w:t xml:space="preserve">dodijelila je koncesiju za gospodarsko korištenje pomorskog dobra </w:t>
      </w:r>
      <w:r w:rsidRPr="00124497">
        <w:rPr>
          <w:rFonts w:eastAsiaTheme="minorHAnsi"/>
          <w:lang w:eastAsia="en-US"/>
        </w:rPr>
        <w:t>trgovačkom društvu Cromaris d.d., iz Zadra, Gaženička cesta 4/b, slijedom čega je 09. rujna 2016. godine sklopljen Ugovor o koncesiji.</w:t>
      </w:r>
    </w:p>
    <w:p w14:paraId="126BC907" w14:textId="77777777" w:rsidR="00315859" w:rsidRPr="00124497" w:rsidRDefault="00315859" w:rsidP="00124497">
      <w:pPr>
        <w:widowControl w:val="0"/>
        <w:autoSpaceDE w:val="0"/>
        <w:autoSpaceDN w:val="0"/>
        <w:adjustRightInd w:val="0"/>
        <w:ind w:firstLine="708"/>
        <w:jc w:val="both"/>
        <w:rPr>
          <w:rFonts w:eastAsiaTheme="minorHAnsi"/>
          <w:lang w:eastAsia="en-US"/>
        </w:rPr>
      </w:pPr>
    </w:p>
    <w:p w14:paraId="126BC908" w14:textId="77777777" w:rsidR="00315859" w:rsidRPr="00124497" w:rsidRDefault="00315859" w:rsidP="00124497">
      <w:pPr>
        <w:widowControl w:val="0"/>
        <w:autoSpaceDE w:val="0"/>
        <w:autoSpaceDN w:val="0"/>
        <w:adjustRightInd w:val="0"/>
        <w:ind w:firstLine="993"/>
        <w:jc w:val="both"/>
        <w:rPr>
          <w:rFonts w:eastAsiaTheme="minorHAnsi"/>
          <w:lang w:eastAsia="en-US"/>
        </w:rPr>
      </w:pPr>
      <w:r w:rsidRPr="00124497">
        <w:rPr>
          <w:rFonts w:eastAsiaTheme="minorHAnsi"/>
          <w:lang w:eastAsia="en-US"/>
        </w:rPr>
        <w:t>Temeljem Odluke i Ugovora u svrhu gospodarskog korištenja pomorskog dobra radi obavljanja djelatnosti uzgoja bijele ribe uz Dugi otok, između rtova Žman i Gubac, u koncesiju je dano pomorsko dobro ukupne površine 240.000,00 m2, na razdoblje od 30 godine, a dozvoljena godišnja količina uzgoja iznosi 700 tona bijele ribe. Ovlaštenik koncesije je ispunio dosadašnje obaveze predviđene Ugovorom o koncesiji te na koncesioniranom pomorskom dobru izvršio investicije, postavio uzgajalište i pokrenuo proizvodnju, a sa osnove koncesijske naknade do sada je uplatio 277.500,00 kao fiksni dio te 66.510,81 kao varijabilni dio naknade.</w:t>
      </w:r>
    </w:p>
    <w:p w14:paraId="126BC909" w14:textId="77777777" w:rsidR="00315859" w:rsidRPr="00124497" w:rsidRDefault="00315859" w:rsidP="00124497">
      <w:pPr>
        <w:widowControl w:val="0"/>
        <w:autoSpaceDE w:val="0"/>
        <w:autoSpaceDN w:val="0"/>
        <w:adjustRightInd w:val="0"/>
        <w:ind w:firstLine="993"/>
        <w:jc w:val="both"/>
        <w:rPr>
          <w:rFonts w:eastAsiaTheme="minorHAnsi"/>
          <w:lang w:eastAsia="en-US"/>
        </w:rPr>
      </w:pPr>
    </w:p>
    <w:p w14:paraId="126BC90A" w14:textId="77777777" w:rsidR="00315859" w:rsidRPr="00124497" w:rsidRDefault="00315859" w:rsidP="00124497">
      <w:pPr>
        <w:widowControl w:val="0"/>
        <w:autoSpaceDE w:val="0"/>
        <w:autoSpaceDN w:val="0"/>
        <w:adjustRightInd w:val="0"/>
        <w:ind w:firstLine="993"/>
        <w:jc w:val="both"/>
        <w:rPr>
          <w:rFonts w:eastAsiaTheme="minorHAnsi"/>
          <w:lang w:eastAsia="en-US"/>
        </w:rPr>
      </w:pPr>
      <w:r w:rsidRPr="00124497">
        <w:rPr>
          <w:rFonts w:eastAsiaTheme="minorHAnsi"/>
          <w:lang w:eastAsia="en-US"/>
        </w:rPr>
        <w:t xml:space="preserve">Sastavni dio osnovne Odluke i Ugovora čini Lokacijska dozvola Upravnog odjela za provedbu dokumenata prostornog uređenja i gradnje Zadarske županije klasa: UP/I-350-05/15-01/000049, urbroja: 2198/1-11/8-15-0004, od 28. prosinca 2015. godine i I. izmjena i dopuna lokacijske dozvole klase: UP/I-350-05/16-01/000006, urbroja: 2198/1-11/8-16-0002, od 9. veljače 2016. godine. </w:t>
      </w:r>
    </w:p>
    <w:p w14:paraId="126BC90B" w14:textId="77777777" w:rsidR="00315859" w:rsidRPr="00124497" w:rsidRDefault="00315859" w:rsidP="00124497">
      <w:pPr>
        <w:widowControl w:val="0"/>
        <w:autoSpaceDE w:val="0"/>
        <w:autoSpaceDN w:val="0"/>
        <w:adjustRightInd w:val="0"/>
        <w:ind w:firstLine="993"/>
        <w:jc w:val="both"/>
        <w:rPr>
          <w:rFonts w:eastAsiaTheme="minorHAnsi"/>
          <w:lang w:eastAsia="en-US"/>
        </w:rPr>
      </w:pPr>
    </w:p>
    <w:p w14:paraId="126BC90C" w14:textId="77777777" w:rsidR="00315859" w:rsidRPr="00124497" w:rsidRDefault="00315859" w:rsidP="00124497">
      <w:pPr>
        <w:ind w:firstLine="993"/>
        <w:jc w:val="both"/>
        <w:rPr>
          <w:rFonts w:eastAsiaTheme="minorHAnsi"/>
          <w:lang w:eastAsia="en-US"/>
        </w:rPr>
      </w:pPr>
      <w:r w:rsidRPr="00124497">
        <w:rPr>
          <w:rFonts w:eastAsiaTheme="minorHAnsi"/>
          <w:lang w:eastAsia="en-US"/>
        </w:rPr>
        <w:t xml:space="preserve">Trgovačko društvo Cromaris d.d. obratilo se ovom Ministarstvu sa zahtjevom za izmjenama Odluke o koncesiji sukladno provedbenom dokumentu prostornog uređenja: II. izmjeni i dopuni lokacijske dozvole, klasa: UP/l-350-05/18-01/000020, urbroj: 2198/1-07/11-18-0010, od 23. travnja 2018. godine, izdanoj od Zadarske županije, Upravnog odjela za provedbu dokumenata prostornog uređenja i gradnje. Spomenutom dozvolom predviđeno je proširenje površine pomorskog dobra obuhvaćenog koncesijom na </w:t>
      </w:r>
      <w:r w:rsidRPr="00124497">
        <w:t>536.800,00 m2, kao i</w:t>
      </w:r>
      <w:r w:rsidRPr="00124497">
        <w:rPr>
          <w:rFonts w:eastAsiaTheme="minorHAnsi"/>
          <w:lang w:eastAsia="en-US"/>
        </w:rPr>
        <w:t xml:space="preserve"> povećanje godišnje proizvodnje bijele ribe na 3000 tona godišnje.</w:t>
      </w:r>
    </w:p>
    <w:p w14:paraId="126BC90D" w14:textId="77777777" w:rsidR="00315859" w:rsidRPr="00124497" w:rsidRDefault="00315859" w:rsidP="00124497">
      <w:pPr>
        <w:ind w:firstLine="708"/>
        <w:jc w:val="both"/>
        <w:rPr>
          <w:rFonts w:eastAsiaTheme="minorHAnsi"/>
          <w:lang w:eastAsia="en-US"/>
        </w:rPr>
      </w:pPr>
    </w:p>
    <w:p w14:paraId="126BC90E" w14:textId="77777777" w:rsidR="00315859" w:rsidRPr="00124497" w:rsidRDefault="00315859" w:rsidP="00124497">
      <w:pPr>
        <w:widowControl w:val="0"/>
        <w:autoSpaceDE w:val="0"/>
        <w:autoSpaceDN w:val="0"/>
        <w:adjustRightInd w:val="0"/>
        <w:ind w:firstLine="993"/>
        <w:jc w:val="both"/>
        <w:rPr>
          <w:rFonts w:eastAsiaTheme="minorHAnsi"/>
          <w:lang w:eastAsia="en-US"/>
        </w:rPr>
      </w:pPr>
      <w:r w:rsidRPr="00124497">
        <w:rPr>
          <w:rFonts w:eastAsiaTheme="minorHAnsi"/>
          <w:lang w:eastAsia="en-US"/>
        </w:rPr>
        <w:t>Lokacijska dozvola predstavlja akt provedbe dokumenata prostornog uređenja temeljem kojeg se provodi zahvat u prostoru. Budući da u materijalno pravnom smislu izmjene i dopune lokacijske dozvole čine pravno jedinstvo sa važećom lokacijskom dozvolom potrebno je Odlukom i Ugovorom obuhvatiti i II. izmjene i dopune lokacijske dozvole. Člankom 20. stavkom 8. Zakona o pomorskom dobru i morskim lukama određeno je da promjenom dokumenata prostornog uređenja ovlaštenik koncesije može zatražiti promjenu namjene koncesije u kojem slučaju davatelj koncesije može odlučiti o izmjeni odluke o koncesiji te utvrditi nove uvjete, opseg i obuhvat korištenja pomorskog dobra.</w:t>
      </w:r>
    </w:p>
    <w:p w14:paraId="126BC90F" w14:textId="77777777" w:rsidR="00315859" w:rsidRPr="00124497" w:rsidRDefault="00315859" w:rsidP="00124497">
      <w:pPr>
        <w:widowControl w:val="0"/>
        <w:autoSpaceDE w:val="0"/>
        <w:autoSpaceDN w:val="0"/>
        <w:adjustRightInd w:val="0"/>
        <w:ind w:firstLine="993"/>
        <w:jc w:val="both"/>
        <w:rPr>
          <w:rFonts w:eastAsiaTheme="minorHAnsi"/>
          <w:lang w:eastAsia="en-US"/>
        </w:rPr>
      </w:pPr>
    </w:p>
    <w:p w14:paraId="126BC910" w14:textId="77777777" w:rsidR="00315859" w:rsidRPr="00124497" w:rsidRDefault="00E5457B" w:rsidP="00124497">
      <w:pPr>
        <w:widowControl w:val="0"/>
        <w:autoSpaceDE w:val="0"/>
        <w:autoSpaceDN w:val="0"/>
        <w:adjustRightInd w:val="0"/>
        <w:ind w:firstLine="993"/>
        <w:jc w:val="both"/>
        <w:rPr>
          <w:rFonts w:eastAsiaTheme="minorHAnsi"/>
          <w:lang w:eastAsia="en-US"/>
        </w:rPr>
      </w:pPr>
      <w:r w:rsidRPr="00124497">
        <w:rPr>
          <w:rFonts w:eastAsiaTheme="minorHAnsi"/>
          <w:lang w:eastAsia="en-US"/>
        </w:rPr>
        <w:t>Nadalje</w:t>
      </w:r>
      <w:r w:rsidR="00315859" w:rsidRPr="00124497">
        <w:rPr>
          <w:rFonts w:eastAsiaTheme="minorHAnsi"/>
          <w:lang w:eastAsia="en-US"/>
        </w:rPr>
        <w:t xml:space="preserve">, Prijedlogom odluke stalni dio koncesijske naknade uvećan je s 0,50 kn na 0,90 kn po m2 zauzete površine pomorskog dobra, a promjenjivi dio uvećan je s 0,30% na 0,35% od ukupnog godišnjeg prihoda koncesionara ostvarenog na koncesioniranom području u prvih 5 godina, s tim da se postotak od ukupnog godišnjeg prihoda koncesionara povećava svakih 5 godina za 0,05%. Prema važećoj Odluci o koncesiji ovlaštenik koncesije po osnovi stalnog dijela koncesijske naknade godišnje uplaćuje 120.000,00 kn (0,50 kn po m2zauzete površine pomorskog dobra), a s osnove promjenjivog dijela koncesijske naknade u tekućoj godini uplatio je 66.510,81 kn (0,30% od ukupnog godišnjeg prihoda koncesionara). S obzirom da se Prijedlogom odluke povećava površina koncesioniranog područja i visina </w:t>
      </w:r>
      <w:r w:rsidR="00315859" w:rsidRPr="00124497">
        <w:rPr>
          <w:rFonts w:eastAsiaTheme="minorHAnsi"/>
          <w:lang w:eastAsia="en-US"/>
        </w:rPr>
        <w:lastRenderedPageBreak/>
        <w:t>koncesijske naknade procjenjuje se da će prihod po osnovi stalnog dijela koncesijske naknade iznositi 483.120,00 kn godišnje (0,90 kn po m2 zauzete površine pomorskog dobra). Procjenjuje se da će prihod po osnovi promjenjivog dijela koncesijske naknade u prvim godinama iznositi godišnje 77.595,94 kn, a da će do dodatnog povećanja prihoda s naslova promjenjivog dijela koncesijske naknade doći stavljanjem u funkciju proširenog dijela uzgajališta, odnosno 2021. godine. Ovlaštenik koncesije u 2017. godini uprihodovao je 22.170.270,00 kn za uzgojenu količinu od 700 tona, iz čega proizlazi da je prihod po toni 31.671,81 kn. Stavljanjem u funkciju proširenog dijela pomorskog dobra i povećanjem uzgoja na 3000 tona godišnje predlagatelj procjenjuje da će prihodi iznositi cca 95.015.442,86 kn, a promjenjivi dio koncesijske naknade će iznositi na godišnjoj razini 332.554,05 kn, što je povećanje od 254.958,10 kn. Iznos će se povećavati u narednim godinama u skladu s povećanjem postotka koji se primjenjuje za izračun promjenjivog dijela koncesijske naknade u odnosu na ukupni ostvareni godišnji prihod koncesionara na koncesioniranom području.</w:t>
      </w:r>
    </w:p>
    <w:p w14:paraId="126BC911" w14:textId="77777777" w:rsidR="00315859" w:rsidRPr="00124497" w:rsidRDefault="00315859" w:rsidP="00124497">
      <w:pPr>
        <w:widowControl w:val="0"/>
        <w:autoSpaceDE w:val="0"/>
        <w:autoSpaceDN w:val="0"/>
        <w:adjustRightInd w:val="0"/>
        <w:ind w:firstLine="993"/>
        <w:jc w:val="both"/>
        <w:rPr>
          <w:rFonts w:eastAsiaTheme="minorHAnsi"/>
          <w:lang w:eastAsia="en-US"/>
        </w:rPr>
      </w:pPr>
    </w:p>
    <w:p w14:paraId="126BC912" w14:textId="77777777" w:rsidR="00315859" w:rsidRPr="00124497" w:rsidRDefault="00315859" w:rsidP="00124497">
      <w:pPr>
        <w:ind w:firstLine="993"/>
        <w:jc w:val="both"/>
      </w:pPr>
      <w:r w:rsidRPr="00124497">
        <w:t>Kao instrument osiguranja naplate naknade za koncesiju te za naknadu štete koja može nastati zbog neispunjenja obveza iz ugovora, ovlaštenik koncesije zadužen je Davatelju koncesije dostaviti ovjerene zadužnice u iznosu od 966.240,00kuna, koje zajedno sa već dostavljenim zadužnicama predstavljaju iznos od dvije godišnje naknade za stalni dio koncesijske naknade.</w:t>
      </w:r>
    </w:p>
    <w:p w14:paraId="126BC913" w14:textId="77777777" w:rsidR="008F0DD4" w:rsidRPr="00124497" w:rsidRDefault="008F0DD4" w:rsidP="00124497">
      <w:pPr>
        <w:jc w:val="both"/>
        <w:textAlignment w:val="baseline"/>
      </w:pPr>
    </w:p>
    <w:sectPr w:rsidR="008F0DD4" w:rsidRPr="00124497" w:rsidSect="00124497">
      <w:type w:val="continuous"/>
      <w:pgSz w:w="11906" w:h="16838"/>
      <w:pgMar w:top="1417"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201D4" w14:textId="77777777" w:rsidR="00DD794F" w:rsidRDefault="00DD794F" w:rsidP="0011560A">
      <w:r>
        <w:separator/>
      </w:r>
    </w:p>
  </w:endnote>
  <w:endnote w:type="continuationSeparator" w:id="0">
    <w:p w14:paraId="2548A2B7" w14:textId="77777777" w:rsidR="00DD794F" w:rsidRDefault="00DD794F"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BC91A" w14:textId="77777777" w:rsidR="00A362AB" w:rsidRPr="00CE78D1" w:rsidRDefault="00A362AB" w:rsidP="00A362AB">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126BC91B" w14:textId="77777777" w:rsidR="00A362AB" w:rsidRDefault="00A36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7CF83" w14:textId="77777777" w:rsidR="00DD794F" w:rsidRDefault="00DD794F" w:rsidP="0011560A">
      <w:r>
        <w:separator/>
      </w:r>
    </w:p>
  </w:footnote>
  <w:footnote w:type="continuationSeparator" w:id="0">
    <w:p w14:paraId="437737E1" w14:textId="77777777" w:rsidR="00DD794F" w:rsidRDefault="00DD794F"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3B23"/>
    <w:multiLevelType w:val="hybridMultilevel"/>
    <w:tmpl w:val="616A7A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A83423"/>
    <w:multiLevelType w:val="hybridMultilevel"/>
    <w:tmpl w:val="DAA46E5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D09679B"/>
    <w:multiLevelType w:val="hybridMultilevel"/>
    <w:tmpl w:val="EC52C5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31A2FD2"/>
    <w:multiLevelType w:val="hybridMultilevel"/>
    <w:tmpl w:val="DAA46E5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C60EA8"/>
    <w:multiLevelType w:val="hybridMultilevel"/>
    <w:tmpl w:val="D428A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489585D"/>
    <w:multiLevelType w:val="hybridMultilevel"/>
    <w:tmpl w:val="DAA46E5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C26C47"/>
    <w:multiLevelType w:val="hybridMultilevel"/>
    <w:tmpl w:val="DAA46E5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D1A50"/>
    <w:rsid w:val="001015C6"/>
    <w:rsid w:val="00110E6C"/>
    <w:rsid w:val="0011560A"/>
    <w:rsid w:val="00124497"/>
    <w:rsid w:val="00135F1A"/>
    <w:rsid w:val="00146B79"/>
    <w:rsid w:val="00147DE9"/>
    <w:rsid w:val="00170226"/>
    <w:rsid w:val="001741AA"/>
    <w:rsid w:val="001917B2"/>
    <w:rsid w:val="001A13E7"/>
    <w:rsid w:val="001B7A97"/>
    <w:rsid w:val="001E7218"/>
    <w:rsid w:val="002179F8"/>
    <w:rsid w:val="00220956"/>
    <w:rsid w:val="0023763F"/>
    <w:rsid w:val="0028608D"/>
    <w:rsid w:val="0029163B"/>
    <w:rsid w:val="002A1D77"/>
    <w:rsid w:val="002B107A"/>
    <w:rsid w:val="002D1256"/>
    <w:rsid w:val="002D67B8"/>
    <w:rsid w:val="002D6C51"/>
    <w:rsid w:val="002D7C91"/>
    <w:rsid w:val="00301692"/>
    <w:rsid w:val="003033E4"/>
    <w:rsid w:val="00304232"/>
    <w:rsid w:val="00315859"/>
    <w:rsid w:val="00323C77"/>
    <w:rsid w:val="00336EE7"/>
    <w:rsid w:val="0034351C"/>
    <w:rsid w:val="00381F04"/>
    <w:rsid w:val="0038426B"/>
    <w:rsid w:val="003929F5"/>
    <w:rsid w:val="003A2F05"/>
    <w:rsid w:val="003A4595"/>
    <w:rsid w:val="003C09D8"/>
    <w:rsid w:val="003D47D1"/>
    <w:rsid w:val="003F5623"/>
    <w:rsid w:val="004039BD"/>
    <w:rsid w:val="00440D6D"/>
    <w:rsid w:val="00442367"/>
    <w:rsid w:val="00461188"/>
    <w:rsid w:val="004A776B"/>
    <w:rsid w:val="004C1375"/>
    <w:rsid w:val="004C5354"/>
    <w:rsid w:val="004E1300"/>
    <w:rsid w:val="004E4E34"/>
    <w:rsid w:val="0050368A"/>
    <w:rsid w:val="00504248"/>
    <w:rsid w:val="005146D6"/>
    <w:rsid w:val="00535E09"/>
    <w:rsid w:val="00562C8C"/>
    <w:rsid w:val="0056365A"/>
    <w:rsid w:val="00571F6C"/>
    <w:rsid w:val="005861F2"/>
    <w:rsid w:val="005906BB"/>
    <w:rsid w:val="005C3A4C"/>
    <w:rsid w:val="005E4026"/>
    <w:rsid w:val="005E7CAB"/>
    <w:rsid w:val="005F4727"/>
    <w:rsid w:val="00633454"/>
    <w:rsid w:val="00652604"/>
    <w:rsid w:val="0066110E"/>
    <w:rsid w:val="00675B44"/>
    <w:rsid w:val="0068013E"/>
    <w:rsid w:val="0068772B"/>
    <w:rsid w:val="00693A4D"/>
    <w:rsid w:val="00694D87"/>
    <w:rsid w:val="006B7800"/>
    <w:rsid w:val="006C0CC3"/>
    <w:rsid w:val="006E14A9"/>
    <w:rsid w:val="006E611E"/>
    <w:rsid w:val="007000E8"/>
    <w:rsid w:val="007010C7"/>
    <w:rsid w:val="00720C48"/>
    <w:rsid w:val="00726165"/>
    <w:rsid w:val="00731AC4"/>
    <w:rsid w:val="007638D8"/>
    <w:rsid w:val="00777CAA"/>
    <w:rsid w:val="0078648A"/>
    <w:rsid w:val="007A1768"/>
    <w:rsid w:val="007A1881"/>
    <w:rsid w:val="007E3965"/>
    <w:rsid w:val="008137B5"/>
    <w:rsid w:val="00827075"/>
    <w:rsid w:val="00833808"/>
    <w:rsid w:val="008353A1"/>
    <w:rsid w:val="008365FD"/>
    <w:rsid w:val="00860AAD"/>
    <w:rsid w:val="00881BBB"/>
    <w:rsid w:val="00883E01"/>
    <w:rsid w:val="0089283D"/>
    <w:rsid w:val="008C0768"/>
    <w:rsid w:val="008C1D0A"/>
    <w:rsid w:val="008D1E25"/>
    <w:rsid w:val="008F0DD4"/>
    <w:rsid w:val="009014DF"/>
    <w:rsid w:val="0090200F"/>
    <w:rsid w:val="009047E4"/>
    <w:rsid w:val="009126B3"/>
    <w:rsid w:val="009152C4"/>
    <w:rsid w:val="00944027"/>
    <w:rsid w:val="0095079B"/>
    <w:rsid w:val="00953BA1"/>
    <w:rsid w:val="00954D08"/>
    <w:rsid w:val="00977B12"/>
    <w:rsid w:val="009930CA"/>
    <w:rsid w:val="009C33E1"/>
    <w:rsid w:val="009C6D84"/>
    <w:rsid w:val="009C7815"/>
    <w:rsid w:val="00A15F08"/>
    <w:rsid w:val="00A175E9"/>
    <w:rsid w:val="00A21819"/>
    <w:rsid w:val="00A362AB"/>
    <w:rsid w:val="00A45CF4"/>
    <w:rsid w:val="00A52A71"/>
    <w:rsid w:val="00A573DC"/>
    <w:rsid w:val="00A6339A"/>
    <w:rsid w:val="00A725A4"/>
    <w:rsid w:val="00A83290"/>
    <w:rsid w:val="00A94A2B"/>
    <w:rsid w:val="00AC3D44"/>
    <w:rsid w:val="00AD2F06"/>
    <w:rsid w:val="00AD4D7C"/>
    <w:rsid w:val="00AE59DF"/>
    <w:rsid w:val="00AF63E0"/>
    <w:rsid w:val="00B25DBD"/>
    <w:rsid w:val="00B373B9"/>
    <w:rsid w:val="00B42E00"/>
    <w:rsid w:val="00B462AB"/>
    <w:rsid w:val="00B57187"/>
    <w:rsid w:val="00B706F8"/>
    <w:rsid w:val="00B87D49"/>
    <w:rsid w:val="00B908C2"/>
    <w:rsid w:val="00BA28CD"/>
    <w:rsid w:val="00BA70A4"/>
    <w:rsid w:val="00BA72BF"/>
    <w:rsid w:val="00C337A4"/>
    <w:rsid w:val="00C44327"/>
    <w:rsid w:val="00C7728A"/>
    <w:rsid w:val="00C969CC"/>
    <w:rsid w:val="00CA4F84"/>
    <w:rsid w:val="00CD1639"/>
    <w:rsid w:val="00CD3EFA"/>
    <w:rsid w:val="00CE3D00"/>
    <w:rsid w:val="00CE78D1"/>
    <w:rsid w:val="00CF453A"/>
    <w:rsid w:val="00CF7BB4"/>
    <w:rsid w:val="00CF7EEC"/>
    <w:rsid w:val="00D07290"/>
    <w:rsid w:val="00D1127C"/>
    <w:rsid w:val="00D14240"/>
    <w:rsid w:val="00D1614C"/>
    <w:rsid w:val="00D62C4D"/>
    <w:rsid w:val="00D8016C"/>
    <w:rsid w:val="00D827D8"/>
    <w:rsid w:val="00D92A3D"/>
    <w:rsid w:val="00DB0A6B"/>
    <w:rsid w:val="00DB28EB"/>
    <w:rsid w:val="00DB6366"/>
    <w:rsid w:val="00DD794F"/>
    <w:rsid w:val="00E25569"/>
    <w:rsid w:val="00E5457B"/>
    <w:rsid w:val="00E601A2"/>
    <w:rsid w:val="00E77198"/>
    <w:rsid w:val="00E83E23"/>
    <w:rsid w:val="00EA3AD1"/>
    <w:rsid w:val="00EB1248"/>
    <w:rsid w:val="00EC08EF"/>
    <w:rsid w:val="00ED236E"/>
    <w:rsid w:val="00EE03CA"/>
    <w:rsid w:val="00EE7199"/>
    <w:rsid w:val="00F3220D"/>
    <w:rsid w:val="00F56672"/>
    <w:rsid w:val="00F764AD"/>
    <w:rsid w:val="00F95A2D"/>
    <w:rsid w:val="00F978E2"/>
    <w:rsid w:val="00F97BA9"/>
    <w:rsid w:val="00FA4E25"/>
    <w:rsid w:val="00FD0EAF"/>
    <w:rsid w:val="00FD569C"/>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BC84A"/>
  <w15:docId w15:val="{1357F19C-4143-4F3E-B448-C6FD4198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59"/>
    <w:rsid w:val="00315859"/>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9D06-5275-456F-8517-1092BB0B013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EA86FE2-3CC1-4801-B46E-B3BE1F2369CA}">
  <ds:schemaRefs>
    <ds:schemaRef ds:uri="http://schemas.microsoft.com/sharepoint/v3/contenttype/forms"/>
  </ds:schemaRefs>
</ds:datastoreItem>
</file>

<file path=customXml/itemProps3.xml><?xml version="1.0" encoding="utf-8"?>
<ds:datastoreItem xmlns:ds="http://schemas.openxmlformats.org/officeDocument/2006/customXml" ds:itemID="{222520FA-4211-4E47-ABF8-EA049239BD40}">
  <ds:schemaRefs>
    <ds:schemaRef ds:uri="http://schemas.microsoft.com/sharepoint/events"/>
  </ds:schemaRefs>
</ds:datastoreItem>
</file>

<file path=customXml/itemProps4.xml><?xml version="1.0" encoding="utf-8"?>
<ds:datastoreItem xmlns:ds="http://schemas.openxmlformats.org/officeDocument/2006/customXml" ds:itemID="{BD06B2EE-CA9B-4641-A4C3-8AE19C3B7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757B5A-79EA-4FAB-AD3F-9E6A5CBD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1910</Words>
  <Characters>10889</Characters>
  <Application>Microsoft Office Word</Application>
  <DocSecurity>0</DocSecurity>
  <Lines>90</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2019-04-04T07:46:00Z</dcterms:created>
  <dcterms:modified xsi:type="dcterms:W3CDTF">2019-04-04T07:46:00Z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