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B4" w:rsidRPr="005C76B4" w:rsidRDefault="005C76B4" w:rsidP="005C76B4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C76B4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652BDC5" wp14:editId="3F47210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B4" w:rsidRPr="005C76B4" w:rsidRDefault="005C76B4" w:rsidP="005C76B4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5C76B4">
        <w:rPr>
          <w:rFonts w:ascii="Times New Roman" w:eastAsia="Calibri" w:hAnsi="Times New Roman" w:cs="Times New Roman"/>
          <w:sz w:val="28"/>
        </w:rPr>
        <w:t>VLADA REPUBLIKE HRVATSKE</w:t>
      </w:r>
    </w:p>
    <w:p w:rsidR="005C76B4" w:rsidRPr="005C76B4" w:rsidRDefault="005C76B4" w:rsidP="005C76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6B4" w:rsidRPr="005C76B4" w:rsidRDefault="005C76B4" w:rsidP="005C76B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6B4">
        <w:rPr>
          <w:rFonts w:ascii="Times New Roman" w:eastAsia="Calibri" w:hAnsi="Times New Roman" w:cs="Times New Roman"/>
          <w:sz w:val="24"/>
          <w:szCs w:val="24"/>
        </w:rPr>
        <w:t>Zagreb, 1. veljače 2019.</w:t>
      </w:r>
    </w:p>
    <w:p w:rsidR="005C76B4" w:rsidRPr="005C76B4" w:rsidRDefault="005C76B4" w:rsidP="005C76B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76B4" w:rsidRPr="005C76B4" w:rsidRDefault="005C76B4" w:rsidP="005C76B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76B4" w:rsidRPr="005C76B4" w:rsidRDefault="005C76B4" w:rsidP="005C76B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76B4" w:rsidRPr="005C76B4" w:rsidRDefault="005C76B4" w:rsidP="005C76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6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C76B4" w:rsidRPr="005C76B4" w:rsidTr="004A5512">
        <w:tc>
          <w:tcPr>
            <w:tcW w:w="1951" w:type="dxa"/>
          </w:tcPr>
          <w:p w:rsidR="005C76B4" w:rsidRPr="005C76B4" w:rsidRDefault="005C76B4" w:rsidP="005C76B4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6B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C7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C76B4" w:rsidRPr="005C76B4" w:rsidRDefault="005C76B4" w:rsidP="005C76B4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regionalnoga razvoja i fondova Europske unije</w:t>
            </w:r>
          </w:p>
        </w:tc>
      </w:tr>
    </w:tbl>
    <w:p w:rsidR="005C76B4" w:rsidRPr="005C76B4" w:rsidRDefault="005C76B4" w:rsidP="005C76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6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C76B4" w:rsidRPr="005C76B4" w:rsidTr="004A5512">
        <w:tc>
          <w:tcPr>
            <w:tcW w:w="1951" w:type="dxa"/>
          </w:tcPr>
          <w:p w:rsidR="005C76B4" w:rsidRPr="005C76B4" w:rsidRDefault="005C76B4" w:rsidP="005C76B4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B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C7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C76B4" w:rsidRPr="005C76B4" w:rsidRDefault="005C76B4" w:rsidP="005C76B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zaključka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aktivnostima Ministarstva </w:t>
            </w:r>
            <w:r w:rsidRPr="005C76B4">
              <w:rPr>
                <w:rFonts w:ascii="Times New Roman" w:eastAsia="Calibri" w:hAnsi="Times New Roman" w:cs="Times New Roman"/>
                <w:sz w:val="24"/>
                <w:szCs w:val="24"/>
              </w:rPr>
              <w:t>regionalnoga razvoja i fondova Europske unije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cilju razvoja </w:t>
            </w:r>
            <w:r w:rsidRPr="005C76B4">
              <w:rPr>
                <w:rFonts w:ascii="Times New Roman" w:eastAsia="Calibri" w:hAnsi="Times New Roman" w:cs="Times New Roman"/>
                <w:sz w:val="24"/>
                <w:szCs w:val="24"/>
              </w:rPr>
              <w:t>Dubrovačko-neretvanske županije</w:t>
            </w:r>
          </w:p>
        </w:tc>
      </w:tr>
    </w:tbl>
    <w:p w:rsidR="005C76B4" w:rsidRPr="005C76B4" w:rsidRDefault="005C76B4" w:rsidP="005C76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6B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5C76B4" w:rsidRPr="005C76B4" w:rsidRDefault="005C76B4" w:rsidP="005C76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6B4" w:rsidRPr="005C76B4" w:rsidRDefault="005C76B4" w:rsidP="005C76B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6B4" w:rsidRPr="005C76B4" w:rsidRDefault="005C76B4" w:rsidP="005C76B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C76B4" w:rsidRPr="005C76B4" w:rsidRDefault="005C76B4" w:rsidP="005C76B4">
      <w:pPr>
        <w:spacing w:after="200" w:line="276" w:lineRule="auto"/>
        <w:rPr>
          <w:rFonts w:ascii="Calibri" w:eastAsia="Calibri" w:hAnsi="Calibri" w:cs="Times New Roman"/>
        </w:rPr>
      </w:pPr>
    </w:p>
    <w:p w:rsidR="005C76B4" w:rsidRPr="005C76B4" w:rsidRDefault="005C76B4" w:rsidP="005C76B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5C76B4" w:rsidRPr="005C76B4" w:rsidRDefault="005C76B4" w:rsidP="005C76B4">
      <w:pPr>
        <w:spacing w:after="200" w:line="276" w:lineRule="auto"/>
        <w:rPr>
          <w:rFonts w:ascii="Calibri" w:eastAsia="Calibri" w:hAnsi="Calibri" w:cs="Times New Roman"/>
        </w:rPr>
      </w:pPr>
    </w:p>
    <w:p w:rsidR="005C76B4" w:rsidRPr="005C76B4" w:rsidRDefault="005C76B4" w:rsidP="005C76B4">
      <w:pPr>
        <w:spacing w:after="200" w:line="276" w:lineRule="auto"/>
        <w:rPr>
          <w:rFonts w:ascii="Calibri" w:eastAsia="Calibri" w:hAnsi="Calibri" w:cs="Times New Roman"/>
        </w:rPr>
      </w:pPr>
    </w:p>
    <w:p w:rsidR="005C76B4" w:rsidRPr="005C76B4" w:rsidRDefault="005C76B4" w:rsidP="005C76B4">
      <w:pPr>
        <w:spacing w:after="200" w:line="276" w:lineRule="auto"/>
        <w:rPr>
          <w:rFonts w:ascii="Calibri" w:eastAsia="Calibri" w:hAnsi="Calibri" w:cs="Times New Roman"/>
        </w:rPr>
      </w:pPr>
    </w:p>
    <w:p w:rsidR="005C76B4" w:rsidRPr="005C76B4" w:rsidRDefault="005C76B4" w:rsidP="005C76B4">
      <w:pPr>
        <w:spacing w:after="200" w:line="276" w:lineRule="auto"/>
        <w:rPr>
          <w:rFonts w:ascii="Calibri" w:eastAsia="Calibri" w:hAnsi="Calibri" w:cs="Times New Roman"/>
        </w:rPr>
      </w:pPr>
    </w:p>
    <w:p w:rsidR="005C76B4" w:rsidRPr="005C76B4" w:rsidRDefault="005C76B4" w:rsidP="005C76B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5C76B4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5C76B4" w:rsidRDefault="005C76B4" w:rsidP="00855F5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76B4" w:rsidRPr="005C76B4" w:rsidRDefault="005C76B4" w:rsidP="005C76B4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6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5C76B4" w:rsidRDefault="005C76B4" w:rsidP="00855F5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F5F" w:rsidRPr="007165E7" w:rsidRDefault="00855F5F" w:rsidP="00855F5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5E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31. stavka 3. Zakona o Vladi R</w:t>
      </w:r>
      <w:r w:rsidRPr="007165E7">
        <w:rPr>
          <w:rFonts w:ascii="Times New Roman" w:eastAsia="Times New Roman" w:hAnsi="Times New Roman" w:cs="Times New Roman"/>
          <w:sz w:val="24"/>
          <w:szCs w:val="24"/>
          <w:lang w:eastAsia="hr-HR"/>
        </w:rPr>
        <w:t>epublike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(Narodne novine, br. </w:t>
      </w:r>
      <w:r w:rsidRPr="007165E7">
        <w:rPr>
          <w:rFonts w:ascii="Times New Roman" w:eastAsia="Times New Roman" w:hAnsi="Times New Roman" w:cs="Times New Roman"/>
          <w:sz w:val="24"/>
          <w:szCs w:val="24"/>
          <w:lang w:eastAsia="hr-HR"/>
        </w:rPr>
        <w:t>150/11, 119/14</w:t>
      </w:r>
      <w:r w:rsidR="00433E0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16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93/16</w:t>
      </w:r>
      <w:r w:rsidR="0043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Pr="007165E7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1. veljače 2019</w:t>
      </w:r>
      <w:r w:rsidRPr="007165E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:rsidR="00855F5F" w:rsidRPr="007165E7" w:rsidRDefault="00855F5F" w:rsidP="00855F5F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F5F" w:rsidRPr="007165E7" w:rsidRDefault="00971EE9" w:rsidP="00855F5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5F" w:rsidRPr="007165E7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5C7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5F" w:rsidRPr="007165E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5C7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5F" w:rsidRPr="007165E7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5C7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5F" w:rsidRPr="007165E7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5C7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5F" w:rsidRPr="007165E7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5C7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5F" w:rsidRPr="007165E7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5C7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5F" w:rsidRPr="007165E7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="005C7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5F" w:rsidRPr="007165E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5C7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5F" w:rsidRPr="007165E7">
        <w:rPr>
          <w:rFonts w:ascii="Times New Roman" w:eastAsia="Calibri" w:hAnsi="Times New Roman" w:cs="Times New Roman"/>
          <w:b/>
          <w:sz w:val="24"/>
          <w:szCs w:val="24"/>
        </w:rPr>
        <w:t>K</w:t>
      </w:r>
    </w:p>
    <w:p w:rsidR="00855F5F" w:rsidRDefault="00855F5F" w:rsidP="00855F5F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5F" w:rsidRPr="00855F5F" w:rsidRDefault="00855F5F" w:rsidP="00855F5F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5F" w:rsidRPr="00855F5F" w:rsidRDefault="00855F5F" w:rsidP="00855F5F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55F5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Vlada Republike Hrvatske, u cilju razvoja depriviranih područja Dubrovačko-neretvanske županije, podržava aktivnosti iz nadležnosti </w:t>
      </w:r>
      <w:r w:rsidRPr="00855F5F">
        <w:rPr>
          <w:rFonts w:ascii="Times New Roman" w:hAnsi="Times New Roman" w:cs="Times New Roman"/>
          <w:sz w:val="24"/>
          <w:szCs w:val="24"/>
        </w:rPr>
        <w:t>Ministarstva regionalnoga razvoja i fondova Europske unije te</w:t>
      </w:r>
      <w:r w:rsidRPr="00855F5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855F5F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855F5F">
        <w:rPr>
          <w:rFonts w:ascii="Times New Roman" w:hAnsi="Times New Roman" w:cs="Times New Roman"/>
          <w:sz w:val="24"/>
          <w:szCs w:val="24"/>
        </w:rPr>
        <w:t xml:space="preserve">Odluku o području za koje će se izraditi intervencijski plan" za područje gradova Metkovića i Opuzena te općina Kula </w:t>
      </w:r>
      <w:proofErr w:type="spellStart"/>
      <w:r w:rsidRPr="00855F5F">
        <w:rPr>
          <w:rFonts w:ascii="Times New Roman" w:hAnsi="Times New Roman" w:cs="Times New Roman"/>
          <w:sz w:val="24"/>
          <w:szCs w:val="24"/>
        </w:rPr>
        <w:t>Norinska</w:t>
      </w:r>
      <w:proofErr w:type="spellEnd"/>
      <w:r w:rsidRPr="00855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F5F">
        <w:rPr>
          <w:rFonts w:ascii="Times New Roman" w:hAnsi="Times New Roman" w:cs="Times New Roman"/>
          <w:sz w:val="24"/>
          <w:szCs w:val="24"/>
        </w:rPr>
        <w:t>Po</w:t>
      </w:r>
      <w:r w:rsidR="008500F6">
        <w:rPr>
          <w:rFonts w:ascii="Times New Roman" w:hAnsi="Times New Roman" w:cs="Times New Roman"/>
          <w:sz w:val="24"/>
          <w:szCs w:val="24"/>
        </w:rPr>
        <w:t>j</w:t>
      </w:r>
      <w:r w:rsidRPr="00855F5F">
        <w:rPr>
          <w:rFonts w:ascii="Times New Roman" w:hAnsi="Times New Roman" w:cs="Times New Roman"/>
          <w:sz w:val="24"/>
          <w:szCs w:val="24"/>
        </w:rPr>
        <w:t>ezerje</w:t>
      </w:r>
      <w:proofErr w:type="spellEnd"/>
      <w:r w:rsidRPr="00855F5F">
        <w:rPr>
          <w:rFonts w:ascii="Times New Roman" w:hAnsi="Times New Roman" w:cs="Times New Roman"/>
          <w:sz w:val="24"/>
          <w:szCs w:val="24"/>
        </w:rPr>
        <w:t xml:space="preserve">, Slivno i </w:t>
      </w:r>
      <w:proofErr w:type="spellStart"/>
      <w:r w:rsidRPr="00855F5F">
        <w:rPr>
          <w:rFonts w:ascii="Times New Roman" w:hAnsi="Times New Roman" w:cs="Times New Roman"/>
          <w:sz w:val="24"/>
          <w:szCs w:val="24"/>
        </w:rPr>
        <w:t>Zažablje</w:t>
      </w:r>
      <w:proofErr w:type="spellEnd"/>
      <w:r w:rsidRPr="00855F5F">
        <w:rPr>
          <w:rFonts w:ascii="Times New Roman" w:hAnsi="Times New Roman" w:cs="Times New Roman"/>
          <w:sz w:val="24"/>
          <w:szCs w:val="24"/>
        </w:rPr>
        <w:t>.</w:t>
      </w:r>
    </w:p>
    <w:p w:rsidR="00855F5F" w:rsidRPr="00855F5F" w:rsidRDefault="00855F5F" w:rsidP="00855F5F">
      <w:pPr>
        <w:numPr>
          <w:ilvl w:val="0"/>
          <w:numId w:val="1"/>
        </w:numPr>
        <w:spacing w:before="360" w:after="12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F5F">
        <w:rPr>
          <w:rFonts w:ascii="Times New Roman" w:eastAsia="Calibri" w:hAnsi="Times New Roman" w:cs="Times New Roman"/>
          <w:sz w:val="24"/>
          <w:szCs w:val="24"/>
        </w:rPr>
        <w:t>Vlada Republike Hrvatske podržava "Odluku kojom</w:t>
      </w:r>
      <w:r w:rsidRPr="00855F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5F5F">
        <w:rPr>
          <w:rFonts w:ascii="Times New Roman" w:eastAsia="Calibri" w:hAnsi="Times New Roman" w:cs="Times New Roman"/>
          <w:sz w:val="24"/>
          <w:szCs w:val="24"/>
        </w:rPr>
        <w:t>se</w:t>
      </w:r>
      <w:r w:rsidRPr="00855F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5F5F">
        <w:rPr>
          <w:rFonts w:ascii="Times New Roman" w:eastAsia="Calibri" w:hAnsi="Times New Roman" w:cs="Times New Roman"/>
          <w:sz w:val="24"/>
          <w:szCs w:val="24"/>
        </w:rPr>
        <w:t>grad Dubrovnik s okolnim područjem utvrđuje područjem za moguće proširenje provedbe mehanizma integriranih teritorijalnih ulaganja</w:t>
      </w:r>
      <w:r w:rsidRPr="00855F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5F5F">
        <w:rPr>
          <w:rFonts w:ascii="Times New Roman" w:eastAsia="Calibri" w:hAnsi="Times New Roman" w:cs="Times New Roman"/>
          <w:sz w:val="24"/>
          <w:szCs w:val="24"/>
        </w:rPr>
        <w:t>u financijskom razdoblju 2021.-2027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55F5F">
        <w:rPr>
          <w:rFonts w:ascii="Times New Roman" w:eastAsia="Calibri" w:hAnsi="Times New Roman" w:cs="Times New Roman"/>
          <w:sz w:val="24"/>
          <w:szCs w:val="24"/>
        </w:rPr>
        <w:t xml:space="preserve"> ".</w:t>
      </w:r>
    </w:p>
    <w:p w:rsidR="00855F5F" w:rsidRPr="00855F5F" w:rsidRDefault="00855F5F" w:rsidP="00855F5F">
      <w:pPr>
        <w:numPr>
          <w:ilvl w:val="0"/>
          <w:numId w:val="1"/>
        </w:numPr>
        <w:spacing w:before="360" w:after="12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F5F">
        <w:rPr>
          <w:rFonts w:ascii="Times New Roman" w:eastAsia="Calibri" w:hAnsi="Times New Roman" w:cs="Times New Roman"/>
          <w:sz w:val="24"/>
          <w:szCs w:val="24"/>
        </w:rPr>
        <w:t>Zadužuje se Ministarstvo regionalnoga razvoja i fondova Europske unije da u cilju provedbe aktivnosti teritorijalno u</w:t>
      </w:r>
      <w:r>
        <w:rPr>
          <w:rFonts w:ascii="Times New Roman" w:eastAsia="Calibri" w:hAnsi="Times New Roman" w:cs="Times New Roman"/>
          <w:sz w:val="24"/>
          <w:szCs w:val="24"/>
        </w:rPr>
        <w:t>smjerenih na područje Dubrovačko-neretvanske</w:t>
      </w:r>
      <w:r w:rsidRPr="00855F5F">
        <w:rPr>
          <w:rFonts w:ascii="Times New Roman" w:eastAsia="Calibri" w:hAnsi="Times New Roman" w:cs="Times New Roman"/>
          <w:sz w:val="24"/>
          <w:szCs w:val="24"/>
        </w:rPr>
        <w:t xml:space="preserve"> županije koordinira druga državna tijela i ustanove.</w:t>
      </w:r>
    </w:p>
    <w:p w:rsidR="00855F5F" w:rsidRDefault="00855F5F" w:rsidP="00855F5F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5F" w:rsidRDefault="00855F5F" w:rsidP="00855F5F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5F" w:rsidRDefault="00855F5F" w:rsidP="00855F5F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5F" w:rsidRPr="007165E7" w:rsidRDefault="00855F5F" w:rsidP="00855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5E7"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855F5F" w:rsidRPr="007165E7" w:rsidRDefault="00855F5F" w:rsidP="00855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65E7">
        <w:rPr>
          <w:rFonts w:ascii="Times New Roman" w:eastAsia="Calibri" w:hAnsi="Times New Roman" w:cs="Times New Roman"/>
          <w:sz w:val="24"/>
          <w:szCs w:val="24"/>
        </w:rPr>
        <w:t>Urbr</w:t>
      </w:r>
      <w:proofErr w:type="spellEnd"/>
      <w:r w:rsidRPr="007165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5F5F" w:rsidRPr="007165E7" w:rsidRDefault="00855F5F" w:rsidP="00855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F5F" w:rsidRPr="007165E7" w:rsidRDefault="00855F5F" w:rsidP="00855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5E7">
        <w:rPr>
          <w:rFonts w:ascii="Times New Roman" w:eastAsia="Calibri" w:hAnsi="Times New Roman" w:cs="Times New Roman"/>
          <w:sz w:val="24"/>
          <w:szCs w:val="24"/>
        </w:rPr>
        <w:t>Zagreb,</w:t>
      </w:r>
    </w:p>
    <w:p w:rsidR="00855F5F" w:rsidRDefault="00855F5F" w:rsidP="00855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F5F" w:rsidRPr="007165E7" w:rsidRDefault="00855F5F" w:rsidP="00855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F5F" w:rsidRDefault="00855F5F" w:rsidP="00855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F5F" w:rsidRPr="007165E7" w:rsidRDefault="00855F5F" w:rsidP="00855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F5F" w:rsidRPr="007165E7" w:rsidRDefault="00855F5F" w:rsidP="00855F5F">
      <w:pPr>
        <w:spacing w:after="0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5E7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855F5F" w:rsidRPr="007165E7" w:rsidRDefault="00855F5F" w:rsidP="00855F5F">
      <w:pPr>
        <w:spacing w:before="240" w:after="0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5E7">
        <w:rPr>
          <w:rFonts w:ascii="Times New Roman" w:eastAsia="Calibri" w:hAnsi="Times New Roman" w:cs="Times New Roman"/>
          <w:b/>
          <w:sz w:val="24"/>
          <w:szCs w:val="24"/>
        </w:rPr>
        <w:t>mr. sc. Andrej Plenković</w:t>
      </w:r>
    </w:p>
    <w:p w:rsidR="00855F5F" w:rsidRDefault="00855F5F" w:rsidP="00855F5F">
      <w:pPr>
        <w:spacing w:after="200" w:line="240" w:lineRule="auto"/>
        <w:ind w:left="2844" w:firstLine="696"/>
        <w:contextualSpacing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5F5F" w:rsidRDefault="00855F5F" w:rsidP="00855F5F">
      <w:pPr>
        <w:spacing w:after="200" w:line="240" w:lineRule="auto"/>
        <w:ind w:left="2844" w:firstLine="696"/>
        <w:contextualSpacing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5F5F" w:rsidRDefault="00855F5F" w:rsidP="00855F5F">
      <w:pPr>
        <w:spacing w:after="200" w:line="240" w:lineRule="auto"/>
        <w:ind w:left="2844" w:firstLine="696"/>
        <w:contextualSpacing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5F5F" w:rsidRDefault="00855F5F" w:rsidP="00855F5F">
      <w:pPr>
        <w:spacing w:after="200" w:line="240" w:lineRule="auto"/>
        <w:ind w:left="2844" w:firstLine="696"/>
        <w:contextualSpacing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5F5F" w:rsidRDefault="00855F5F" w:rsidP="00855F5F">
      <w:pPr>
        <w:spacing w:after="200" w:line="240" w:lineRule="auto"/>
        <w:ind w:left="2844" w:firstLine="696"/>
        <w:contextualSpacing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5F5F" w:rsidRDefault="00855F5F" w:rsidP="00855F5F">
      <w:pPr>
        <w:spacing w:after="200" w:line="240" w:lineRule="auto"/>
        <w:ind w:left="2844" w:firstLine="696"/>
        <w:contextualSpacing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165E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855F5F" w:rsidRPr="004D71E2" w:rsidRDefault="00855F5F" w:rsidP="00855F5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D71E2" w:rsidRDefault="004D71E2" w:rsidP="004D71E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E2">
        <w:rPr>
          <w:rFonts w:ascii="Times New Roman" w:eastAsia="Calibri" w:hAnsi="Times New Roman" w:cs="Times New Roman"/>
          <w:sz w:val="24"/>
          <w:szCs w:val="24"/>
        </w:rPr>
        <w:t xml:space="preserve">Na temelju inicijative Dubrovačko-neretvanske županije Ministarstvo je identificiralo jedinice lokalne samouprave s uočenim socioekonomskim poteškoćama te utvrdilo područje za koje će se izraditi intervencijski plan u svrhu pripremnih aktivnosti za korištenje sredstava Europske unije. Intervencijski plan je strateški i operativni dokument koji obuhvaća mjere i projekte usmjerene na fizičku, gospodarsku i socijalnu regeneraciju područja najviše pogođenih negativnim ekonomskim i demografskim trendovima s ciljem smanjenja socijalne nejednakosti, isključenosti i siromaštva. </w:t>
      </w:r>
    </w:p>
    <w:p w:rsidR="004D71E2" w:rsidRPr="004D71E2" w:rsidRDefault="004D71E2" w:rsidP="004D71E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E2">
        <w:rPr>
          <w:rFonts w:ascii="Times New Roman" w:eastAsia="Calibri" w:hAnsi="Times New Roman" w:cs="Times New Roman"/>
          <w:sz w:val="24"/>
          <w:szCs w:val="24"/>
        </w:rPr>
        <w:t xml:space="preserve">Jedinice lokalne samouprave iz točke </w:t>
      </w:r>
      <w:r w:rsidR="00433E0C">
        <w:rPr>
          <w:rFonts w:ascii="Times New Roman" w:eastAsia="Calibri" w:hAnsi="Times New Roman" w:cs="Times New Roman"/>
          <w:sz w:val="24"/>
          <w:szCs w:val="24"/>
        </w:rPr>
        <w:t>1</w:t>
      </w:r>
      <w:r w:rsidRPr="004D71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3E0C">
        <w:rPr>
          <w:rFonts w:ascii="Times New Roman" w:eastAsia="Calibri" w:hAnsi="Times New Roman" w:cs="Times New Roman"/>
          <w:sz w:val="24"/>
          <w:szCs w:val="24"/>
        </w:rPr>
        <w:t xml:space="preserve">ovog Zaključka </w:t>
      </w:r>
      <w:r w:rsidRPr="004D71E2">
        <w:rPr>
          <w:rFonts w:ascii="Times New Roman" w:eastAsia="Calibri" w:hAnsi="Times New Roman" w:cs="Times New Roman"/>
          <w:sz w:val="24"/>
          <w:szCs w:val="24"/>
        </w:rPr>
        <w:t xml:space="preserve">odabrane su za područje za koje će se izrađivati intervencijski plan jer čine prirodnu geografsku cjelinu, predstavljaju </w:t>
      </w:r>
      <w:proofErr w:type="spellStart"/>
      <w:r w:rsidRPr="004D71E2">
        <w:rPr>
          <w:rFonts w:ascii="Times New Roman" w:eastAsia="Calibri" w:hAnsi="Times New Roman" w:cs="Times New Roman"/>
          <w:sz w:val="24"/>
          <w:szCs w:val="24"/>
        </w:rPr>
        <w:t>najdepriviranije</w:t>
      </w:r>
      <w:proofErr w:type="spellEnd"/>
      <w:r w:rsidRPr="004D71E2">
        <w:rPr>
          <w:rFonts w:ascii="Times New Roman" w:eastAsia="Calibri" w:hAnsi="Times New Roman" w:cs="Times New Roman"/>
          <w:sz w:val="24"/>
          <w:szCs w:val="24"/>
        </w:rPr>
        <w:t xml:space="preserve"> područje Dubrovačko-neretvanske županije te dijele slične razvojne probleme i potrebe.</w:t>
      </w:r>
    </w:p>
    <w:p w:rsidR="00855F5F" w:rsidRPr="004D71E2" w:rsidRDefault="00855F5F" w:rsidP="00855F5F">
      <w:pPr>
        <w:ind w:right="-20"/>
        <w:jc w:val="both"/>
        <w:rPr>
          <w:rFonts w:ascii="Times New Roman" w:eastAsia="Tw Cen MT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Održivi urbani razvoj u Republici Hrvatskoj provodi se putem mehanizma integriranih teritorijalnih ulaganja (u nastavku ITU mehanizam) u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sedam</w:t>
      </w:r>
      <w:r w:rsidRPr="004D71E2">
        <w:rPr>
          <w:rFonts w:ascii="Times New Roman" w:eastAsia="Tw Cen MT" w:hAnsi="Times New Roman" w:cs="Times New Roman"/>
          <w:spacing w:val="4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ajve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ć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ih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u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z w:val="24"/>
          <w:szCs w:val="24"/>
        </w:rPr>
        <w:t>b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 xml:space="preserve">ih 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sr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e</w:t>
      </w:r>
      <w:r w:rsidRPr="004D71E2">
        <w:rPr>
          <w:rFonts w:ascii="Times New Roman" w:eastAsia="Tw Cen MT" w:hAnsi="Times New Roman" w:cs="Times New Roman"/>
          <w:sz w:val="24"/>
          <w:szCs w:val="24"/>
        </w:rPr>
        <w:t>di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š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t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pacing w:val="4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ajv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š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om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k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nc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t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ac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z w:val="24"/>
          <w:szCs w:val="24"/>
        </w:rPr>
        <w:t>jom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z w:val="24"/>
          <w:szCs w:val="24"/>
        </w:rPr>
        <w:t>ta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vn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išt</w:t>
      </w:r>
      <w:r w:rsidRPr="004D71E2">
        <w:rPr>
          <w:rFonts w:ascii="Times New Roman" w:eastAsia="Tw Cen MT" w:hAnsi="Times New Roman" w:cs="Times New Roman"/>
          <w:spacing w:val="-3"/>
          <w:sz w:val="24"/>
          <w:szCs w:val="24"/>
        </w:rPr>
        <w:t>v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4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 xml:space="preserve">i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k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p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ac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z w:val="24"/>
          <w:szCs w:val="24"/>
        </w:rPr>
        <w:t>teti</w:t>
      </w:r>
      <w:r w:rsidRPr="004D71E2">
        <w:rPr>
          <w:rFonts w:ascii="Times New Roman" w:eastAsia="Tw Cen MT" w:hAnsi="Times New Roman" w:cs="Times New Roman"/>
          <w:spacing w:val="-3"/>
          <w:sz w:val="24"/>
          <w:szCs w:val="24"/>
        </w:rPr>
        <w:t>m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 p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v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d</w:t>
      </w:r>
      <w:r w:rsidRPr="004D71E2">
        <w:rPr>
          <w:rFonts w:ascii="Times New Roman" w:eastAsia="Tw Cen MT" w:hAnsi="Times New Roman" w:cs="Times New Roman"/>
          <w:sz w:val="24"/>
          <w:szCs w:val="24"/>
        </w:rPr>
        <w:t>be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p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oje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k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t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te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m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</w:t>
      </w:r>
      <w:r w:rsidRPr="004D71E2">
        <w:rPr>
          <w:rFonts w:ascii="Times New Roman" w:eastAsia="Tw Cen MT" w:hAnsi="Times New Roman" w:cs="Times New Roman"/>
          <w:spacing w:val="-3"/>
          <w:sz w:val="24"/>
          <w:szCs w:val="24"/>
        </w:rPr>
        <w:t>l</w:t>
      </w:r>
      <w:r w:rsidRPr="004D71E2">
        <w:rPr>
          <w:rFonts w:ascii="Times New Roman" w:eastAsia="Tw Cen MT" w:hAnsi="Times New Roman" w:cs="Times New Roman"/>
          <w:sz w:val="24"/>
          <w:szCs w:val="24"/>
        </w:rPr>
        <w:t>je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 xml:space="preserve">ih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v</w:t>
      </w:r>
      <w:r w:rsidRPr="004D71E2">
        <w:rPr>
          <w:rFonts w:ascii="Times New Roman" w:eastAsia="Tw Cen MT" w:hAnsi="Times New Roman" w:cs="Times New Roman"/>
          <w:sz w:val="24"/>
          <w:szCs w:val="24"/>
        </w:rPr>
        <w:t xml:space="preserve">om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m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h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ani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zm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>u i to u četiri</w:t>
      </w:r>
      <w:r w:rsidRPr="004D71E2">
        <w:rPr>
          <w:rFonts w:ascii="Times New Roman" w:eastAsia="Tw Cen MT" w:hAnsi="Times New Roman" w:cs="Times New Roman"/>
          <w:spacing w:val="3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u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z w:val="24"/>
          <w:szCs w:val="24"/>
        </w:rPr>
        <w:t>b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g</w:t>
      </w:r>
      <w:r w:rsidRPr="004D71E2">
        <w:rPr>
          <w:rFonts w:ascii="Times New Roman" w:eastAsia="Tw Cen MT" w:hAnsi="Times New Roman" w:cs="Times New Roman"/>
          <w:sz w:val="24"/>
          <w:szCs w:val="24"/>
        </w:rPr>
        <w:t>lo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m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e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ac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z w:val="24"/>
          <w:szCs w:val="24"/>
        </w:rPr>
        <w:t>je: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Z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ag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eb,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j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k</w:t>
      </w:r>
      <w:r w:rsidRPr="004D71E2">
        <w:rPr>
          <w:rFonts w:ascii="Times New Roman" w:eastAsia="Tw Cen MT" w:hAnsi="Times New Roman" w:cs="Times New Roman"/>
          <w:sz w:val="24"/>
          <w:szCs w:val="24"/>
        </w:rPr>
        <w:t>, Ri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j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k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Split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pacing w:val="3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v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iše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od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1</w:t>
      </w:r>
      <w:r w:rsidRPr="004D71E2">
        <w:rPr>
          <w:rFonts w:ascii="Times New Roman" w:eastAsia="Tw Cen MT" w:hAnsi="Times New Roman" w:cs="Times New Roman"/>
          <w:sz w:val="24"/>
          <w:szCs w:val="24"/>
        </w:rPr>
        <w:t>0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0</w:t>
      </w:r>
      <w:r w:rsidRPr="004D71E2">
        <w:rPr>
          <w:rFonts w:ascii="Times New Roman" w:eastAsia="Tw Cen MT" w:hAnsi="Times New Roman" w:cs="Times New Roman"/>
          <w:sz w:val="24"/>
          <w:szCs w:val="24"/>
        </w:rPr>
        <w:t>.000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z w:val="24"/>
          <w:szCs w:val="24"/>
        </w:rPr>
        <w:t>ta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vn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k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te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tri urbana područja: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Z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z w:val="24"/>
          <w:szCs w:val="24"/>
        </w:rPr>
        <w:t>d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z w:val="24"/>
          <w:szCs w:val="24"/>
        </w:rPr>
        <w:t>,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Slavo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k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B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o</w:t>
      </w:r>
      <w:r w:rsidRPr="004D71E2">
        <w:rPr>
          <w:rFonts w:ascii="Times New Roman" w:eastAsia="Tw Cen MT" w:hAnsi="Times New Roman" w:cs="Times New Roman"/>
          <w:sz w:val="24"/>
          <w:szCs w:val="24"/>
        </w:rPr>
        <w:t>d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P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u</w:t>
      </w:r>
      <w:r w:rsidRPr="004D71E2">
        <w:rPr>
          <w:rFonts w:ascii="Times New Roman" w:eastAsia="Tw Cen MT" w:hAnsi="Times New Roman" w:cs="Times New Roman"/>
          <w:spacing w:val="5"/>
          <w:sz w:val="24"/>
          <w:szCs w:val="24"/>
        </w:rPr>
        <w:t>l</w:t>
      </w:r>
      <w:r w:rsidRPr="004D71E2">
        <w:rPr>
          <w:rFonts w:ascii="Times New Roman" w:eastAsia="Tw Cen MT" w:hAnsi="Times New Roman" w:cs="Times New Roman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pacing w:val="3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v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iše od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>5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0</w:t>
      </w:r>
      <w:r w:rsidRPr="004D71E2">
        <w:rPr>
          <w:rFonts w:ascii="Times New Roman" w:eastAsia="Tw Cen MT" w:hAnsi="Times New Roman" w:cs="Times New Roman"/>
          <w:sz w:val="24"/>
          <w:szCs w:val="24"/>
        </w:rPr>
        <w:t>.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0</w:t>
      </w:r>
      <w:r w:rsidRPr="004D71E2">
        <w:rPr>
          <w:rFonts w:ascii="Times New Roman" w:eastAsia="Tw Cen MT" w:hAnsi="Times New Roman" w:cs="Times New Roman"/>
          <w:sz w:val="24"/>
          <w:szCs w:val="24"/>
        </w:rPr>
        <w:t xml:space="preserve">00 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z w:val="24"/>
          <w:szCs w:val="24"/>
        </w:rPr>
        <w:t>ta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o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vn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k</w:t>
      </w:r>
      <w:r w:rsidRPr="004D71E2">
        <w:rPr>
          <w:rFonts w:ascii="Times New Roman" w:eastAsia="Tw Cen MT" w:hAnsi="Times New Roman" w:cs="Times New Roman"/>
          <w:sz w:val="24"/>
          <w:szCs w:val="24"/>
        </w:rPr>
        <w:t xml:space="preserve">a </w:t>
      </w:r>
      <w:r w:rsidRPr="004D71E2">
        <w:rPr>
          <w:rFonts w:ascii="Times New Roman" w:eastAsia="Tw Cen MT" w:hAnsi="Times New Roman" w:cs="Times New Roman"/>
          <w:spacing w:val="2"/>
          <w:sz w:val="24"/>
          <w:szCs w:val="24"/>
        </w:rPr>
        <w:t xml:space="preserve"> </w:t>
      </w:r>
      <w:r w:rsidRPr="004D71E2">
        <w:rPr>
          <w:rFonts w:ascii="Times New Roman" w:eastAsia="Tw Cen MT" w:hAnsi="Times New Roman" w:cs="Times New Roman"/>
          <w:sz w:val="24"/>
          <w:szCs w:val="24"/>
        </w:rPr>
        <w:t xml:space="preserve">u  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r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edi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š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z w:val="24"/>
          <w:szCs w:val="24"/>
        </w:rPr>
        <w:t>j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z w:val="24"/>
          <w:szCs w:val="24"/>
        </w:rPr>
        <w:t xml:space="preserve">m  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n</w:t>
      </w:r>
      <w:r w:rsidRPr="004D71E2">
        <w:rPr>
          <w:rFonts w:ascii="Times New Roman" w:eastAsia="Tw Cen MT" w:hAnsi="Times New Roman" w:cs="Times New Roman"/>
          <w:spacing w:val="-2"/>
          <w:sz w:val="24"/>
          <w:szCs w:val="24"/>
        </w:rPr>
        <w:t>a</w:t>
      </w:r>
      <w:r w:rsidRPr="004D71E2">
        <w:rPr>
          <w:rFonts w:ascii="Times New Roman" w:eastAsia="Tw Cen MT" w:hAnsi="Times New Roman" w:cs="Times New Roman"/>
          <w:spacing w:val="1"/>
          <w:sz w:val="24"/>
          <w:szCs w:val="24"/>
        </w:rPr>
        <w:t>s</w:t>
      </w:r>
      <w:r w:rsidRPr="004D71E2">
        <w:rPr>
          <w:rFonts w:ascii="Times New Roman" w:eastAsia="Tw Cen MT" w:hAnsi="Times New Roman" w:cs="Times New Roman"/>
          <w:sz w:val="24"/>
          <w:szCs w:val="24"/>
        </w:rPr>
        <w:t>el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j</w:t>
      </w:r>
      <w:r w:rsidRPr="004D71E2">
        <w:rPr>
          <w:rFonts w:ascii="Times New Roman" w:eastAsia="Tw Cen MT" w:hAnsi="Times New Roman" w:cs="Times New Roman"/>
          <w:sz w:val="24"/>
          <w:szCs w:val="24"/>
        </w:rPr>
        <w:t>i</w:t>
      </w:r>
      <w:r w:rsidRPr="004D71E2">
        <w:rPr>
          <w:rFonts w:ascii="Times New Roman" w:eastAsia="Tw Cen MT" w:hAnsi="Times New Roman" w:cs="Times New Roman"/>
          <w:spacing w:val="-1"/>
          <w:sz w:val="24"/>
          <w:szCs w:val="24"/>
        </w:rPr>
        <w:t>m</w:t>
      </w:r>
      <w:r w:rsidRPr="004D71E2">
        <w:rPr>
          <w:rFonts w:ascii="Times New Roman" w:eastAsia="Tw Cen MT" w:hAnsi="Times New Roman" w:cs="Times New Roman"/>
          <w:sz w:val="24"/>
          <w:szCs w:val="24"/>
        </w:rPr>
        <w:t xml:space="preserve">a. </w:t>
      </w:r>
    </w:p>
    <w:p w:rsidR="00E9750B" w:rsidRPr="004D71E2" w:rsidRDefault="00E9750B" w:rsidP="00E9750B">
      <w:pPr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>U financijskom razdoblju 2014.- 2020. ulaganje u održivi urbani razvoj definirano je člankom 7. Uredbe EU br. 1301/2013, pri čemu se minimalno 5 % sredstava iz Europskog fonda za regionalni razvoj (EFRR) dodijeljenih na nacionalnoj razini u okviru cilja „Ulaganje za rast i radna mjesta” dodjeljuje za integrirane mjere za održivi urbani razvoj.</w:t>
      </w:r>
    </w:p>
    <w:p w:rsidR="00E9750B" w:rsidRPr="004D71E2" w:rsidRDefault="00E9750B" w:rsidP="00E9750B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Kohezijska politika za novo financijsko razdoblje </w:t>
      </w:r>
      <w:bookmarkStart w:id="1" w:name="_Hlk534897245"/>
      <w:r w:rsidRPr="004D71E2">
        <w:rPr>
          <w:rFonts w:ascii="Times New Roman" w:hAnsi="Times New Roman" w:cs="Times New Roman"/>
          <w:sz w:val="24"/>
          <w:szCs w:val="24"/>
        </w:rPr>
        <w:t>dodatno podupire teritorijalne razvojne strategije i potiče razvoj gradova i lokalne razine u upravljanju sredstvima</w:t>
      </w:r>
      <w:bookmarkEnd w:id="1"/>
      <w:r w:rsidRPr="004D71E2">
        <w:rPr>
          <w:rFonts w:ascii="Times New Roman" w:hAnsi="Times New Roman" w:cs="Times New Roman"/>
          <w:sz w:val="24"/>
          <w:szCs w:val="24"/>
        </w:rPr>
        <w:t>, a urbana dimenzija kohezijske politike bit će, prema prijedlogu nove regulative, ojačana sa 6 % sredstava iz EFRR-a namijenjenih održivom urbanom razvoju, pa je stoga potrebno već sada krenuti s pripremnim aktivnostima i ispunjavanjem potrebnih preduvjeta za uključivanje Grada Dubrovnika s okolnim područjem u provedbu ITU mehanizma u novom financijskom razdoblju.</w:t>
      </w:r>
    </w:p>
    <w:p w:rsidR="00E9750B" w:rsidRPr="004D71E2" w:rsidRDefault="00E9750B" w:rsidP="00E9750B">
      <w:pPr>
        <w:pStyle w:val="PlainTex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750B" w:rsidRPr="004D71E2" w:rsidRDefault="00E9750B" w:rsidP="00E9750B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71E2">
        <w:rPr>
          <w:rFonts w:ascii="Times New Roman" w:eastAsia="Calibri" w:hAnsi="Times New Roman" w:cs="Times New Roman"/>
          <w:sz w:val="24"/>
          <w:szCs w:val="24"/>
          <w:lang w:eastAsia="en-US"/>
        </w:rPr>
        <w:t>Sukladno odredbama</w:t>
      </w:r>
      <w:r w:rsidRPr="004D7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1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članka 14. Zakona o regionalnom razvoju Republike Hrvatske (Narodne novine 147/14, 123/17), veća urbana područja definirana su kao gradovi koji na razini jedinica lokalne samouprave imaju više od 35.000 stanovnika, a nisu uključeni u urbane aglomeracije. Grad Dubrovnik </w:t>
      </w:r>
      <w:r w:rsidRPr="004D71E2">
        <w:rPr>
          <w:rFonts w:ascii="Times New Roman" w:hAnsi="Times New Roman" w:cs="Times New Roman"/>
          <w:sz w:val="24"/>
          <w:szCs w:val="24"/>
        </w:rPr>
        <w:t xml:space="preserve">s okolnim područjem </w:t>
      </w:r>
      <w:r w:rsidRPr="004D71E2">
        <w:rPr>
          <w:rFonts w:ascii="Times New Roman" w:eastAsia="Calibri" w:hAnsi="Times New Roman" w:cs="Times New Roman"/>
          <w:sz w:val="24"/>
          <w:szCs w:val="24"/>
          <w:lang w:eastAsia="en-US"/>
        </w:rPr>
        <w:t>predstavlja veće urbano područje s obzirom da prema službenom Popisu stanovništva, kućanstva i stanova 2011. u Republici Hrvatskoj objavljenom na stranicama Državnog zavoda za statistiku, Grad Dubrovnik s okolnim područjem ima više od 50.000 stanovnika.</w:t>
      </w:r>
      <w:r w:rsidRPr="004D71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750B" w:rsidRPr="004D71E2" w:rsidRDefault="00E9750B" w:rsidP="00E97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50B" w:rsidRPr="004D71E2" w:rsidRDefault="00E9750B" w:rsidP="00E9750B">
      <w:pPr>
        <w:jc w:val="both"/>
        <w:rPr>
          <w:rFonts w:ascii="Times New Roman" w:hAnsi="Times New Roman" w:cs="Times New Roman"/>
          <w:sz w:val="24"/>
          <w:szCs w:val="24"/>
        </w:rPr>
      </w:pPr>
      <w:r w:rsidRPr="004D71E2">
        <w:rPr>
          <w:rFonts w:ascii="Times New Roman" w:hAnsi="Times New Roman" w:cs="Times New Roman"/>
          <w:sz w:val="24"/>
          <w:szCs w:val="24"/>
        </w:rPr>
        <w:t xml:space="preserve">Svrha donošenja Odluke iz točke 2. ovog Zaključka je provedba pripremnih aktivnosti i ispunjenja preduvjeta za uspostavu novog urbanog područja sukladno važećem Zakonu o regionalnom razvoju  u kojem će se provoditi ITU mehanizam u budućoj financijskoj perspektivi </w:t>
      </w:r>
      <w:r w:rsidRPr="004D71E2">
        <w:rPr>
          <w:rFonts w:ascii="Times New Roman" w:eastAsia="Calibri" w:hAnsi="Times New Roman" w:cs="Times New Roman"/>
          <w:sz w:val="24"/>
          <w:szCs w:val="24"/>
        </w:rPr>
        <w:t>2021.-2027</w:t>
      </w:r>
      <w:r w:rsidRPr="004D71E2">
        <w:rPr>
          <w:rFonts w:ascii="Times New Roman" w:hAnsi="Times New Roman" w:cs="Times New Roman"/>
          <w:sz w:val="24"/>
          <w:szCs w:val="24"/>
        </w:rPr>
        <w:t xml:space="preserve">.  i priprema za novi višegodišnji financijski okvir Europske unije za razdoblje </w:t>
      </w:r>
      <w:r w:rsidRPr="004D71E2">
        <w:rPr>
          <w:rFonts w:ascii="Times New Roman" w:eastAsia="Calibri" w:hAnsi="Times New Roman" w:cs="Times New Roman"/>
          <w:sz w:val="24"/>
          <w:szCs w:val="24"/>
        </w:rPr>
        <w:t>2021.-2027</w:t>
      </w:r>
      <w:r w:rsidRPr="004D71E2">
        <w:rPr>
          <w:rFonts w:ascii="Times New Roman" w:hAnsi="Times New Roman" w:cs="Times New Roman"/>
          <w:sz w:val="24"/>
          <w:szCs w:val="24"/>
        </w:rPr>
        <w:t>.</w:t>
      </w:r>
    </w:p>
    <w:p w:rsidR="00717EBC" w:rsidRPr="004D71E2" w:rsidRDefault="00717EBC">
      <w:pPr>
        <w:rPr>
          <w:rFonts w:ascii="Times New Roman" w:hAnsi="Times New Roman" w:cs="Times New Roman"/>
          <w:sz w:val="24"/>
          <w:szCs w:val="24"/>
        </w:rPr>
      </w:pPr>
    </w:p>
    <w:sectPr w:rsidR="00717EBC" w:rsidRPr="004D71E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094C"/>
    <w:multiLevelType w:val="hybridMultilevel"/>
    <w:tmpl w:val="F51E1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5F"/>
    <w:rsid w:val="002D1DAA"/>
    <w:rsid w:val="00433E0C"/>
    <w:rsid w:val="004D71E2"/>
    <w:rsid w:val="005C76B4"/>
    <w:rsid w:val="00717EBC"/>
    <w:rsid w:val="00795943"/>
    <w:rsid w:val="008500F6"/>
    <w:rsid w:val="00855F5F"/>
    <w:rsid w:val="00971EE9"/>
    <w:rsid w:val="00E9750B"/>
    <w:rsid w:val="00F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2EEE1-66F2-4D26-95A8-AC03A865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5F"/>
    <w:pPr>
      <w:ind w:left="720"/>
      <w:contextualSpacing/>
    </w:pPr>
  </w:style>
  <w:style w:type="paragraph" w:styleId="PlainText">
    <w:name w:val="Plain Text"/>
    <w:basedOn w:val="Normal"/>
    <w:link w:val="PlainTextChar"/>
    <w:rsid w:val="00E975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E9750B"/>
    <w:rPr>
      <w:rFonts w:ascii="Courier New" w:eastAsia="Times New Roman" w:hAnsi="Courier New" w:cs="Courier New"/>
      <w:sz w:val="20"/>
      <w:szCs w:val="20"/>
      <w:lang w:eastAsia="hr-HR"/>
    </w:rPr>
  </w:style>
  <w:style w:type="table" w:customStyle="1" w:styleId="TableGrid1">
    <w:name w:val="Table Grid1"/>
    <w:basedOn w:val="TableNormal"/>
    <w:next w:val="TableGrid"/>
    <w:rsid w:val="005C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5EC8F2-CB74-4118-A66D-B873256FD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6A49A-0E82-46FF-AEA5-462EF59254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B04C46-64C4-4AA3-B621-952948ACD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68BAA2-CF09-4A3E-A6E9-ECBD8CDA0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Krušić</dc:creator>
  <cp:keywords/>
  <dc:description/>
  <cp:lastModifiedBy>Vlatka Šelimber</cp:lastModifiedBy>
  <cp:revision>2</cp:revision>
  <cp:lastPrinted>2019-01-24T12:24:00Z</cp:lastPrinted>
  <dcterms:created xsi:type="dcterms:W3CDTF">2019-01-31T14:11:00Z</dcterms:created>
  <dcterms:modified xsi:type="dcterms:W3CDTF">2019-01-31T14:11:00Z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