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D69B" w14:textId="77777777" w:rsidR="00045393" w:rsidRPr="00045393" w:rsidRDefault="00045393" w:rsidP="00045393">
      <w:pPr>
        <w:widowControl/>
        <w:jc w:val="center"/>
        <w:rPr>
          <w:snapToGrid/>
          <w:szCs w:val="24"/>
          <w:lang w:eastAsia="hr-HR"/>
        </w:rPr>
      </w:pPr>
      <w:bookmarkStart w:id="0" w:name="_GoBack"/>
      <w:bookmarkEnd w:id="0"/>
      <w:r w:rsidRPr="00045393">
        <w:rPr>
          <w:noProof/>
          <w:snapToGrid/>
          <w:szCs w:val="24"/>
          <w:lang w:eastAsia="hr-HR"/>
        </w:rPr>
        <w:drawing>
          <wp:inline distT="0" distB="0" distL="0" distR="0" wp14:anchorId="6C7CD6CD" wp14:editId="6C7CD6C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93">
        <w:rPr>
          <w:snapToGrid/>
          <w:szCs w:val="24"/>
          <w:lang w:eastAsia="hr-HR"/>
        </w:rPr>
        <w:fldChar w:fldCharType="begin"/>
      </w:r>
      <w:r w:rsidRPr="00045393">
        <w:rPr>
          <w:snapToGrid/>
          <w:szCs w:val="24"/>
          <w:lang w:eastAsia="hr-HR"/>
        </w:rPr>
        <w:instrText xml:space="preserve"> INCLUDEPICTURE "http://www.inet.hr/~box/images/grb-rh.gif" \* MERGEFORMATINET </w:instrText>
      </w:r>
      <w:r w:rsidRPr="00045393">
        <w:rPr>
          <w:snapToGrid/>
          <w:szCs w:val="24"/>
          <w:lang w:eastAsia="hr-HR"/>
        </w:rPr>
        <w:fldChar w:fldCharType="end"/>
      </w:r>
    </w:p>
    <w:p w14:paraId="6C7CD69C" w14:textId="77777777" w:rsidR="00045393" w:rsidRPr="00045393" w:rsidRDefault="00045393" w:rsidP="00045393">
      <w:pPr>
        <w:widowControl/>
        <w:spacing w:before="60" w:after="1680"/>
        <w:jc w:val="center"/>
        <w:rPr>
          <w:snapToGrid/>
          <w:sz w:val="28"/>
          <w:szCs w:val="24"/>
          <w:lang w:eastAsia="hr-HR"/>
        </w:rPr>
      </w:pPr>
      <w:r w:rsidRPr="00045393">
        <w:rPr>
          <w:snapToGrid/>
          <w:sz w:val="28"/>
          <w:szCs w:val="24"/>
          <w:lang w:eastAsia="hr-HR"/>
        </w:rPr>
        <w:t>VLADA REPUBLIKE HRVATSKE</w:t>
      </w:r>
    </w:p>
    <w:p w14:paraId="6C7CD69D" w14:textId="77777777" w:rsidR="00045393" w:rsidRPr="00045393" w:rsidRDefault="00045393" w:rsidP="00045393">
      <w:pPr>
        <w:widowControl/>
        <w:rPr>
          <w:snapToGrid/>
          <w:szCs w:val="24"/>
          <w:lang w:eastAsia="hr-HR"/>
        </w:rPr>
      </w:pPr>
    </w:p>
    <w:p w14:paraId="6C7CD69E" w14:textId="3115CF2D" w:rsidR="00045393" w:rsidRPr="00045393" w:rsidRDefault="00D24416" w:rsidP="00045393">
      <w:pPr>
        <w:widowControl/>
        <w:spacing w:after="2400"/>
        <w:jc w:val="right"/>
        <w:rPr>
          <w:snapToGrid/>
          <w:szCs w:val="24"/>
          <w:lang w:eastAsia="hr-HR"/>
        </w:rPr>
      </w:pPr>
      <w:r>
        <w:rPr>
          <w:snapToGrid/>
          <w:szCs w:val="24"/>
          <w:lang w:eastAsia="hr-HR"/>
        </w:rPr>
        <w:t>Zagreb, 7</w:t>
      </w:r>
      <w:r w:rsidR="00045393" w:rsidRPr="00045393">
        <w:rPr>
          <w:snapToGrid/>
          <w:szCs w:val="24"/>
          <w:lang w:eastAsia="hr-HR"/>
        </w:rPr>
        <w:t xml:space="preserve">. </w:t>
      </w:r>
      <w:r>
        <w:rPr>
          <w:snapToGrid/>
          <w:szCs w:val="24"/>
          <w:lang w:eastAsia="hr-HR"/>
        </w:rPr>
        <w:t>veljače</w:t>
      </w:r>
      <w:r w:rsidR="00045393" w:rsidRPr="00045393">
        <w:rPr>
          <w:snapToGrid/>
          <w:szCs w:val="24"/>
          <w:lang w:eastAsia="hr-HR"/>
        </w:rPr>
        <w:t xml:space="preserve"> 2019.</w:t>
      </w:r>
    </w:p>
    <w:p w14:paraId="6C7CD69F" w14:textId="77777777" w:rsidR="00045393" w:rsidRPr="00045393" w:rsidRDefault="00045393" w:rsidP="00045393">
      <w:pPr>
        <w:widowControl/>
        <w:spacing w:line="360" w:lineRule="auto"/>
        <w:rPr>
          <w:snapToGrid/>
          <w:szCs w:val="24"/>
          <w:lang w:eastAsia="hr-HR"/>
        </w:rPr>
      </w:pPr>
      <w:r w:rsidRPr="00045393">
        <w:rPr>
          <w:snapToGrid/>
          <w:szCs w:val="24"/>
          <w:lang w:eastAsia="hr-HR"/>
        </w:rPr>
        <w:t>__________________________________________________________________________</w:t>
      </w:r>
    </w:p>
    <w:p w14:paraId="6C7CD6A0" w14:textId="77777777" w:rsidR="00045393" w:rsidRPr="00045393" w:rsidRDefault="00045393" w:rsidP="0004539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045393" w:rsidRPr="00045393" w:rsidSect="00045393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5393" w:rsidRPr="002A546B" w14:paraId="6C7CD6A3" w14:textId="77777777" w:rsidTr="009653A0">
        <w:tc>
          <w:tcPr>
            <w:tcW w:w="1951" w:type="dxa"/>
          </w:tcPr>
          <w:p w14:paraId="6C7CD6A1" w14:textId="77777777" w:rsidR="00045393" w:rsidRPr="002A546B" w:rsidRDefault="00045393" w:rsidP="00045393">
            <w:pPr>
              <w:widowControl/>
              <w:spacing w:line="360" w:lineRule="auto"/>
              <w:jc w:val="right"/>
              <w:rPr>
                <w:snapToGrid/>
                <w:sz w:val="24"/>
                <w:szCs w:val="24"/>
              </w:rPr>
            </w:pPr>
            <w:r w:rsidRPr="002A546B">
              <w:rPr>
                <w:b/>
                <w:smallCaps/>
                <w:snapToGrid/>
                <w:sz w:val="24"/>
                <w:szCs w:val="24"/>
              </w:rPr>
              <w:t>Predlagatelj</w:t>
            </w:r>
            <w:r w:rsidRPr="002A546B">
              <w:rPr>
                <w:b/>
                <w:snapToGrid/>
                <w:sz w:val="24"/>
                <w:szCs w:val="24"/>
              </w:rPr>
              <w:t>:</w:t>
            </w:r>
            <w:r w:rsidR="002A546B" w:rsidRPr="002A546B">
              <w:rPr>
                <w:b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6C7CD6A2" w14:textId="77777777" w:rsidR="00045393" w:rsidRPr="002A546B" w:rsidRDefault="002A546B" w:rsidP="00045393">
            <w:pPr>
              <w:widowControl/>
              <w:spacing w:line="360" w:lineRule="auto"/>
              <w:rPr>
                <w:snapToGrid/>
                <w:sz w:val="24"/>
                <w:szCs w:val="24"/>
              </w:rPr>
            </w:pPr>
            <w:r w:rsidRPr="002A546B">
              <w:rPr>
                <w:snapToGrid/>
                <w:sz w:val="24"/>
                <w:szCs w:val="24"/>
              </w:rPr>
              <w:t>Ministarstvo financija</w:t>
            </w:r>
          </w:p>
        </w:tc>
      </w:tr>
    </w:tbl>
    <w:p w14:paraId="6C7CD6A4" w14:textId="77777777" w:rsidR="00045393" w:rsidRPr="002A546B" w:rsidRDefault="00045393" w:rsidP="00045393">
      <w:pPr>
        <w:widowControl/>
        <w:spacing w:line="360" w:lineRule="auto"/>
        <w:rPr>
          <w:snapToGrid/>
          <w:szCs w:val="24"/>
          <w:lang w:eastAsia="hr-HR"/>
        </w:rPr>
      </w:pPr>
      <w:r w:rsidRPr="002A546B">
        <w:rPr>
          <w:snapToGrid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45393" w:rsidRPr="002A546B" w14:paraId="6C7CD6A7" w14:textId="77777777" w:rsidTr="002963C1">
        <w:tc>
          <w:tcPr>
            <w:tcW w:w="1951" w:type="dxa"/>
          </w:tcPr>
          <w:p w14:paraId="6C7CD6A5" w14:textId="77777777" w:rsidR="00045393" w:rsidRPr="002A546B" w:rsidRDefault="00045393" w:rsidP="007A1C1A">
            <w:pPr>
              <w:widowControl/>
              <w:tabs>
                <w:tab w:val="left" w:pos="284"/>
              </w:tabs>
              <w:spacing w:line="360" w:lineRule="auto"/>
              <w:jc w:val="right"/>
              <w:rPr>
                <w:snapToGrid/>
                <w:sz w:val="24"/>
                <w:szCs w:val="24"/>
              </w:rPr>
            </w:pPr>
            <w:r w:rsidRPr="002A546B">
              <w:rPr>
                <w:b/>
                <w:smallCaps/>
                <w:snapToGrid/>
                <w:sz w:val="24"/>
                <w:szCs w:val="24"/>
              </w:rPr>
              <w:t>Predmet</w:t>
            </w:r>
            <w:r w:rsidRPr="002A546B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C7CD6A6" w14:textId="3ED194D2" w:rsidR="00045393" w:rsidRPr="002A546B" w:rsidRDefault="008F370A" w:rsidP="008F370A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Verifikacija odgovora na d</w:t>
            </w:r>
            <w:r w:rsidR="002A546B" w:rsidRPr="002A546B">
              <w:rPr>
                <w:spacing w:val="-3"/>
                <w:sz w:val="24"/>
                <w:szCs w:val="24"/>
              </w:rPr>
              <w:t xml:space="preserve">opunsko zastupničko pitanje Ivana Vilibora Sinčića, u vezi </w:t>
            </w:r>
            <w:r w:rsidR="002A546B" w:rsidRPr="002A546B">
              <w:rPr>
                <w:sz w:val="24"/>
                <w:szCs w:val="24"/>
              </w:rPr>
              <w:t>s porijeklom imovine</w:t>
            </w:r>
          </w:p>
        </w:tc>
      </w:tr>
    </w:tbl>
    <w:p w14:paraId="6C7CD6A8" w14:textId="77777777" w:rsidR="00045393" w:rsidRPr="00045393" w:rsidRDefault="00045393" w:rsidP="00045393">
      <w:pPr>
        <w:widowControl/>
        <w:tabs>
          <w:tab w:val="left" w:pos="1843"/>
        </w:tabs>
        <w:spacing w:line="360" w:lineRule="auto"/>
        <w:ind w:left="1843" w:hanging="1843"/>
        <w:rPr>
          <w:snapToGrid/>
          <w:szCs w:val="24"/>
          <w:lang w:eastAsia="hr-HR"/>
        </w:rPr>
      </w:pPr>
      <w:r w:rsidRPr="00045393">
        <w:rPr>
          <w:snapToGrid/>
          <w:szCs w:val="24"/>
          <w:lang w:eastAsia="hr-HR"/>
        </w:rPr>
        <w:t>__________________________________________________________________________</w:t>
      </w:r>
    </w:p>
    <w:p w14:paraId="6C7CD6A9" w14:textId="77777777" w:rsidR="00045393" w:rsidRPr="00045393" w:rsidRDefault="00045393" w:rsidP="0004539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045393" w:rsidRPr="0004539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7CD6AA" w14:textId="77777777" w:rsidR="002A546B" w:rsidRPr="00E24748" w:rsidRDefault="002A546B" w:rsidP="002A546B">
      <w:pPr>
        <w:widowControl/>
        <w:rPr>
          <w:szCs w:val="24"/>
        </w:rPr>
      </w:pPr>
      <w:r w:rsidRPr="00E24748">
        <w:rPr>
          <w:szCs w:val="24"/>
        </w:rPr>
        <w:lastRenderedPageBreak/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i/>
          <w:szCs w:val="24"/>
        </w:rPr>
        <w:tab/>
      </w:r>
      <w:r w:rsidRPr="00E24748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Pr="00E24748">
        <w:rPr>
          <w:szCs w:val="24"/>
        </w:rPr>
        <w:t>PRIJEDLOG</w:t>
      </w:r>
    </w:p>
    <w:p w14:paraId="6C7CD6AB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6C7CD6AC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</w:p>
    <w:p w14:paraId="6C7CD6AD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</w:p>
    <w:p w14:paraId="6C7CD6AE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  <w:r w:rsidRPr="00E24748">
        <w:rPr>
          <w:b/>
          <w:szCs w:val="24"/>
        </w:rPr>
        <w:t>Klasa:</w:t>
      </w:r>
      <w:r w:rsidRPr="00E24748">
        <w:rPr>
          <w:b/>
          <w:szCs w:val="24"/>
        </w:rPr>
        <w:tab/>
      </w:r>
      <w:r w:rsidRPr="00E24748">
        <w:rPr>
          <w:b/>
          <w:szCs w:val="24"/>
        </w:rPr>
        <w:tab/>
      </w:r>
    </w:p>
    <w:p w14:paraId="6C7CD6AF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  <w:r w:rsidRPr="00E24748">
        <w:rPr>
          <w:b/>
          <w:szCs w:val="24"/>
        </w:rPr>
        <w:t>Urbroj:</w:t>
      </w:r>
      <w:r w:rsidRPr="00E24748">
        <w:rPr>
          <w:b/>
          <w:szCs w:val="24"/>
        </w:rPr>
        <w:tab/>
      </w:r>
    </w:p>
    <w:p w14:paraId="6C7CD6B0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</w:p>
    <w:p w14:paraId="6C7CD6B1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b/>
          <w:szCs w:val="24"/>
        </w:rPr>
        <w:t>Zagreb,</w:t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6C7CD6B2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szCs w:val="24"/>
        </w:rPr>
        <w:tab/>
        <w:t xml:space="preserve">                </w:t>
      </w:r>
      <w:r w:rsidRPr="00E24748">
        <w:rPr>
          <w:szCs w:val="24"/>
        </w:rPr>
        <w:tab/>
      </w:r>
    </w:p>
    <w:p w14:paraId="6C7CD6B3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6C7CD6B4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b/>
          <w:szCs w:val="24"/>
        </w:rPr>
        <w:t>PREDSJEDNIKU HRVATSKOGA SABORA</w:t>
      </w:r>
    </w:p>
    <w:p w14:paraId="6C7CD6B5" w14:textId="77777777" w:rsidR="002A546B" w:rsidRPr="00E24748" w:rsidRDefault="002A546B" w:rsidP="002A546B">
      <w:pPr>
        <w:suppressAutoHyphens/>
        <w:jc w:val="both"/>
        <w:rPr>
          <w:szCs w:val="24"/>
        </w:rPr>
      </w:pPr>
    </w:p>
    <w:p w14:paraId="6C7CD6B6" w14:textId="77777777" w:rsidR="002A546B" w:rsidRPr="00E24748" w:rsidRDefault="002A546B" w:rsidP="002A546B">
      <w:pPr>
        <w:suppressAutoHyphens/>
        <w:jc w:val="both"/>
        <w:rPr>
          <w:szCs w:val="24"/>
        </w:rPr>
      </w:pPr>
    </w:p>
    <w:p w14:paraId="6C7CD6B7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6C7CD6B8" w14:textId="77777777" w:rsidR="002A546B" w:rsidRPr="00E24748" w:rsidRDefault="002A546B" w:rsidP="002A546B">
      <w:pPr>
        <w:tabs>
          <w:tab w:val="left" w:pos="-720"/>
        </w:tabs>
        <w:suppressAutoHyphens/>
        <w:ind w:left="1418" w:hanging="1418"/>
        <w:jc w:val="both"/>
      </w:pPr>
      <w:r w:rsidRPr="00E24748">
        <w:rPr>
          <w:szCs w:val="24"/>
        </w:rPr>
        <w:t>Predmet:</w:t>
      </w:r>
      <w:r w:rsidRPr="00E24748">
        <w:rPr>
          <w:szCs w:val="24"/>
        </w:rPr>
        <w:tab/>
        <w:t xml:space="preserve">Dopunsko zastupničko pitanje Ivana Vilibora Sinčića, u vezi </w:t>
      </w:r>
      <w:r w:rsidRPr="00E24748">
        <w:t xml:space="preserve">s porijeklom imovine </w:t>
      </w:r>
      <w:r w:rsidRPr="00E24748">
        <w:rPr>
          <w:b/>
        </w:rPr>
        <w:t>-</w:t>
      </w:r>
      <w:r w:rsidRPr="00E24748">
        <w:t xml:space="preserve"> </w:t>
      </w:r>
      <w:r w:rsidRPr="00E24748">
        <w:rPr>
          <w:szCs w:val="24"/>
        </w:rPr>
        <w:t>odgovor Vlade</w:t>
      </w:r>
    </w:p>
    <w:p w14:paraId="6C7CD6B9" w14:textId="77777777" w:rsidR="002A546B" w:rsidRPr="00E24748" w:rsidRDefault="002A546B" w:rsidP="002A546B">
      <w:pPr>
        <w:tabs>
          <w:tab w:val="left" w:pos="-720"/>
        </w:tabs>
        <w:suppressAutoHyphens/>
        <w:ind w:left="1418" w:hanging="1418"/>
        <w:jc w:val="both"/>
        <w:rPr>
          <w:szCs w:val="24"/>
        </w:rPr>
      </w:pPr>
    </w:p>
    <w:p w14:paraId="6C7CD6BA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6C7CD6BB" w14:textId="77777777" w:rsidR="002A546B" w:rsidRPr="00E24748" w:rsidRDefault="002A546B" w:rsidP="002A546B">
      <w:pPr>
        <w:tabs>
          <w:tab w:val="left" w:pos="-720"/>
        </w:tabs>
        <w:suppressAutoHyphens/>
        <w:jc w:val="both"/>
      </w:pPr>
      <w:r w:rsidRPr="00E24748">
        <w:rPr>
          <w:szCs w:val="24"/>
        </w:rPr>
        <w:tab/>
      </w:r>
      <w:r w:rsidRPr="00E24748">
        <w:rPr>
          <w:szCs w:val="24"/>
        </w:rPr>
        <w:tab/>
        <w:t xml:space="preserve">Zastupnik u Hrvatskome saboru, Ivan Vilibor Sinčić, postavio je, sukladno s člankom 140. Poslovnika Hrvatskoga sabora (Narodne novine, br. 81/13, 113/16, 69/17 i 29/18), dopunsko zastupničko pitanje u vezi </w:t>
      </w:r>
      <w:r w:rsidRPr="00E24748">
        <w:t>s porijeklom imovine.</w:t>
      </w:r>
    </w:p>
    <w:p w14:paraId="6C7CD6BC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6C7CD6BD" w14:textId="77777777" w:rsidR="002963C1" w:rsidRPr="00E24748" w:rsidRDefault="002A546B" w:rsidP="002963C1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  <w:t>Na navedeno zastupničko pitanje Vlada Republike Hrvatske daje sljedeći odgovor:</w:t>
      </w:r>
    </w:p>
    <w:p w14:paraId="6C7CD6BE" w14:textId="77777777" w:rsidR="002963C1" w:rsidRPr="00E24748" w:rsidRDefault="002963C1" w:rsidP="002963C1">
      <w:pPr>
        <w:tabs>
          <w:tab w:val="left" w:pos="-720"/>
        </w:tabs>
        <w:suppressAutoHyphens/>
        <w:jc w:val="both"/>
        <w:rPr>
          <w:szCs w:val="24"/>
        </w:rPr>
      </w:pPr>
    </w:p>
    <w:p w14:paraId="6C7CD6BF" w14:textId="77777777" w:rsidR="002963C1" w:rsidRPr="00E24748" w:rsidRDefault="002963C1" w:rsidP="002963C1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="002A546B" w:rsidRPr="00E24748">
        <w:rPr>
          <w:szCs w:val="24"/>
        </w:rPr>
        <w:t>Porezna uprava je u 2016. godini pokrenula 104 postupka utvrđivanja nesrazmjera između iskazanih primitaka i imovine, a u 2017. godini 73 postupka.</w:t>
      </w:r>
    </w:p>
    <w:p w14:paraId="6C7CD6C0" w14:textId="77777777" w:rsidR="002963C1" w:rsidRPr="00E24748" w:rsidRDefault="002963C1" w:rsidP="002963C1">
      <w:pPr>
        <w:tabs>
          <w:tab w:val="left" w:pos="-720"/>
        </w:tabs>
        <w:suppressAutoHyphens/>
        <w:jc w:val="both"/>
        <w:rPr>
          <w:szCs w:val="24"/>
        </w:rPr>
      </w:pPr>
    </w:p>
    <w:p w14:paraId="6C7CD6C1" w14:textId="36B933D4" w:rsidR="003F5D62" w:rsidRDefault="002963C1" w:rsidP="003F5D62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="002A546B" w:rsidRPr="00E24748">
        <w:rPr>
          <w:szCs w:val="24"/>
        </w:rPr>
        <w:t>Povećanje poreza na dohodak od 50</w:t>
      </w:r>
      <w:r w:rsidR="00FB1BE3">
        <w:rPr>
          <w:szCs w:val="24"/>
        </w:rPr>
        <w:t xml:space="preserve"> </w:t>
      </w:r>
      <w:r w:rsidR="002A546B" w:rsidRPr="00E24748">
        <w:rPr>
          <w:szCs w:val="24"/>
        </w:rPr>
        <w:t>% utvrđeno je u 28 postupaka. Napominjemo da se pove</w:t>
      </w:r>
      <w:r w:rsidR="00716F0D">
        <w:rPr>
          <w:szCs w:val="24"/>
        </w:rPr>
        <w:t>ćanje stope od 50</w:t>
      </w:r>
      <w:r w:rsidR="00FB1BE3">
        <w:rPr>
          <w:szCs w:val="24"/>
        </w:rPr>
        <w:t xml:space="preserve"> </w:t>
      </w:r>
      <w:r w:rsidR="00716F0D">
        <w:rPr>
          <w:szCs w:val="24"/>
        </w:rPr>
        <w:t>% primjenjuje z</w:t>
      </w:r>
      <w:r w:rsidR="002A546B" w:rsidRPr="00E24748">
        <w:rPr>
          <w:szCs w:val="24"/>
        </w:rPr>
        <w:t>a dohodak utvrđen u 2017. godini. Za 2016.</w:t>
      </w:r>
      <w:r w:rsidR="00FB1BE3">
        <w:rPr>
          <w:szCs w:val="24"/>
        </w:rPr>
        <w:t xml:space="preserve"> godinu</w:t>
      </w:r>
      <w:r w:rsidR="002A546B" w:rsidRPr="00E24748">
        <w:rPr>
          <w:szCs w:val="24"/>
        </w:rPr>
        <w:t xml:space="preserve"> i ranije godine primjenjivali su se propisi koji su tada bili na snazi, a koji nisu uključivali odredbe o povećanju poreza na dohodak.</w:t>
      </w:r>
    </w:p>
    <w:p w14:paraId="6C7CD6C2" w14:textId="77777777" w:rsidR="003F5D62" w:rsidRDefault="003F5D62" w:rsidP="003F5D62">
      <w:pPr>
        <w:tabs>
          <w:tab w:val="left" w:pos="-720"/>
        </w:tabs>
        <w:suppressAutoHyphens/>
        <w:jc w:val="both"/>
        <w:rPr>
          <w:szCs w:val="24"/>
        </w:rPr>
      </w:pPr>
    </w:p>
    <w:p w14:paraId="6C7CD6C3" w14:textId="476F1F1C" w:rsidR="003F5D62" w:rsidRDefault="003F5D62" w:rsidP="003F5D62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A546B" w:rsidRPr="00E24748">
        <w:rPr>
          <w:szCs w:val="24"/>
        </w:rPr>
        <w:t>Porezna uprava je ukupno u 2016. i 2017. godini provela 177 postupaka temeljem kojih je utvrđen nesrazmjer između iskazanih primitaka i imovine u vr</w:t>
      </w:r>
      <w:r w:rsidR="00FB1BE3">
        <w:rPr>
          <w:szCs w:val="24"/>
        </w:rPr>
        <w:t>ijednosti od 158.898.277,44 kuna</w:t>
      </w:r>
      <w:r w:rsidR="002A546B" w:rsidRPr="00E24748">
        <w:rPr>
          <w:szCs w:val="24"/>
        </w:rPr>
        <w:t>, što predstavlja osnovicu za utvrđivanje poreznih obveza prema odgovarajućim zakonskim propisima.</w:t>
      </w:r>
    </w:p>
    <w:p w14:paraId="6C7CD6C4" w14:textId="77777777" w:rsidR="003F5D62" w:rsidRDefault="003F5D62" w:rsidP="003F5D62">
      <w:pPr>
        <w:tabs>
          <w:tab w:val="left" w:pos="-720"/>
        </w:tabs>
        <w:suppressAutoHyphens/>
        <w:jc w:val="both"/>
        <w:rPr>
          <w:szCs w:val="24"/>
        </w:rPr>
      </w:pPr>
    </w:p>
    <w:p w14:paraId="6C7CD6C5" w14:textId="77777777" w:rsidR="002A546B" w:rsidRPr="003F5D62" w:rsidRDefault="003F5D62" w:rsidP="003F5D62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A546B" w:rsidRPr="00E24748">
        <w:rPr>
          <w:color w:val="000000"/>
          <w:szCs w:val="24"/>
          <w:lang w:eastAsia="hr-HR"/>
        </w:rPr>
        <w:t>Eventualno potrebna dodatna obrazloženja u vezi s pitanjem zastupnika, dat će dr. sc. Zdravko Marić, ministar financija.</w:t>
      </w:r>
    </w:p>
    <w:p w14:paraId="6C7CD6C6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6C7CD6C7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6C7CD6C8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  <w:t xml:space="preserve">        PREDSJEDNIK</w:t>
      </w:r>
    </w:p>
    <w:p w14:paraId="6C7CD6C9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6C7CD6CA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6C7CD6CB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  <w:t xml:space="preserve">  mr. sc. Andrej Plenković</w:t>
      </w:r>
    </w:p>
    <w:p w14:paraId="6C7CD6CC" w14:textId="77777777" w:rsidR="00D70FE3" w:rsidRPr="00E24748" w:rsidRDefault="00D70FE3" w:rsidP="00F5702D">
      <w:pPr>
        <w:suppressAutoHyphens/>
        <w:jc w:val="both"/>
        <w:rPr>
          <w:b/>
          <w:szCs w:val="24"/>
        </w:rPr>
      </w:pPr>
    </w:p>
    <w:sectPr w:rsidR="00D70FE3" w:rsidRPr="00E24748" w:rsidSect="00FF76B2">
      <w:headerReference w:type="even" r:id="rId13"/>
      <w:headerReference w:type="default" r:id="rId14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ADC7" w14:textId="77777777" w:rsidR="007E2CEA" w:rsidRDefault="007E2CEA">
      <w:r>
        <w:separator/>
      </w:r>
    </w:p>
  </w:endnote>
  <w:endnote w:type="continuationSeparator" w:id="0">
    <w:p w14:paraId="0456F1A5" w14:textId="77777777" w:rsidR="007E2CEA" w:rsidRDefault="007E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D6D3" w14:textId="77777777" w:rsidR="00045393" w:rsidRPr="00CE78D1" w:rsidRDefault="0004539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7A1C1A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5A46" w14:textId="77777777" w:rsidR="007E2CEA" w:rsidRDefault="007E2CEA">
      <w:r>
        <w:separator/>
      </w:r>
    </w:p>
  </w:footnote>
  <w:footnote w:type="continuationSeparator" w:id="0">
    <w:p w14:paraId="3A7A061C" w14:textId="77777777" w:rsidR="007E2CEA" w:rsidRDefault="007E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D6D4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CD6D5" w14:textId="77777777" w:rsidR="005255EB" w:rsidRDefault="007E2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D6D6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C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7CD6D7" w14:textId="77777777" w:rsidR="005255EB" w:rsidRDefault="007E2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45393"/>
    <w:rsid w:val="00083232"/>
    <w:rsid w:val="0009176C"/>
    <w:rsid w:val="00092CE6"/>
    <w:rsid w:val="000A0454"/>
    <w:rsid w:val="000A5107"/>
    <w:rsid w:val="000D7895"/>
    <w:rsid w:val="000D7A93"/>
    <w:rsid w:val="000E5355"/>
    <w:rsid w:val="000E58EE"/>
    <w:rsid w:val="000F4255"/>
    <w:rsid w:val="00111D6B"/>
    <w:rsid w:val="00115EBA"/>
    <w:rsid w:val="001204BF"/>
    <w:rsid w:val="00125A69"/>
    <w:rsid w:val="00152A12"/>
    <w:rsid w:val="00154E45"/>
    <w:rsid w:val="00157E70"/>
    <w:rsid w:val="00160EF0"/>
    <w:rsid w:val="00173CA0"/>
    <w:rsid w:val="00177501"/>
    <w:rsid w:val="00177CA2"/>
    <w:rsid w:val="001A511D"/>
    <w:rsid w:val="001B2790"/>
    <w:rsid w:val="001B3C54"/>
    <w:rsid w:val="001E1240"/>
    <w:rsid w:val="001F4C76"/>
    <w:rsid w:val="00217C55"/>
    <w:rsid w:val="00224F01"/>
    <w:rsid w:val="0022558B"/>
    <w:rsid w:val="00244781"/>
    <w:rsid w:val="00247531"/>
    <w:rsid w:val="0026448A"/>
    <w:rsid w:val="002963C1"/>
    <w:rsid w:val="002A546B"/>
    <w:rsid w:val="002C5290"/>
    <w:rsid w:val="002C609A"/>
    <w:rsid w:val="002D3D2C"/>
    <w:rsid w:val="003976E6"/>
    <w:rsid w:val="003A5183"/>
    <w:rsid w:val="003B6DA4"/>
    <w:rsid w:val="003C2D3E"/>
    <w:rsid w:val="003E2C63"/>
    <w:rsid w:val="003F5D62"/>
    <w:rsid w:val="003F75E1"/>
    <w:rsid w:val="0040143D"/>
    <w:rsid w:val="00406DF9"/>
    <w:rsid w:val="00410E90"/>
    <w:rsid w:val="00415D5D"/>
    <w:rsid w:val="00426E43"/>
    <w:rsid w:val="00442C7F"/>
    <w:rsid w:val="004468CB"/>
    <w:rsid w:val="004701E4"/>
    <w:rsid w:val="004826BF"/>
    <w:rsid w:val="004925F4"/>
    <w:rsid w:val="0049261E"/>
    <w:rsid w:val="00497412"/>
    <w:rsid w:val="004B2A3A"/>
    <w:rsid w:val="004E303B"/>
    <w:rsid w:val="004F338E"/>
    <w:rsid w:val="0050062D"/>
    <w:rsid w:val="0051588E"/>
    <w:rsid w:val="00522C10"/>
    <w:rsid w:val="00546C04"/>
    <w:rsid w:val="0055642C"/>
    <w:rsid w:val="00560BC0"/>
    <w:rsid w:val="00583DAC"/>
    <w:rsid w:val="0059676B"/>
    <w:rsid w:val="005A2F5F"/>
    <w:rsid w:val="005A6436"/>
    <w:rsid w:val="005B7DCF"/>
    <w:rsid w:val="005C2E09"/>
    <w:rsid w:val="005C3649"/>
    <w:rsid w:val="005C589B"/>
    <w:rsid w:val="005D6EF1"/>
    <w:rsid w:val="005F185F"/>
    <w:rsid w:val="005F1EEB"/>
    <w:rsid w:val="00631EDB"/>
    <w:rsid w:val="0063621F"/>
    <w:rsid w:val="00643577"/>
    <w:rsid w:val="00645ED9"/>
    <w:rsid w:val="00653A78"/>
    <w:rsid w:val="006551C6"/>
    <w:rsid w:val="00673C3F"/>
    <w:rsid w:val="006B43B2"/>
    <w:rsid w:val="006D075D"/>
    <w:rsid w:val="006E35AD"/>
    <w:rsid w:val="00702DF6"/>
    <w:rsid w:val="007148B1"/>
    <w:rsid w:val="00716F0D"/>
    <w:rsid w:val="007328A9"/>
    <w:rsid w:val="00757BCE"/>
    <w:rsid w:val="007609C6"/>
    <w:rsid w:val="00762EC4"/>
    <w:rsid w:val="00767596"/>
    <w:rsid w:val="00781ABC"/>
    <w:rsid w:val="00791BF0"/>
    <w:rsid w:val="007A1C1A"/>
    <w:rsid w:val="007A7198"/>
    <w:rsid w:val="007B75F1"/>
    <w:rsid w:val="007C07FF"/>
    <w:rsid w:val="007C17B3"/>
    <w:rsid w:val="007C2772"/>
    <w:rsid w:val="007D5CB9"/>
    <w:rsid w:val="007E2CEA"/>
    <w:rsid w:val="00814417"/>
    <w:rsid w:val="00831C47"/>
    <w:rsid w:val="00845507"/>
    <w:rsid w:val="008742D3"/>
    <w:rsid w:val="008925BA"/>
    <w:rsid w:val="008A7C44"/>
    <w:rsid w:val="008C5E8E"/>
    <w:rsid w:val="008F1604"/>
    <w:rsid w:val="008F370A"/>
    <w:rsid w:val="0090058F"/>
    <w:rsid w:val="00957DE5"/>
    <w:rsid w:val="0097081C"/>
    <w:rsid w:val="00971B0B"/>
    <w:rsid w:val="0097243A"/>
    <w:rsid w:val="00976B31"/>
    <w:rsid w:val="00985310"/>
    <w:rsid w:val="009911D3"/>
    <w:rsid w:val="009C2AD9"/>
    <w:rsid w:val="009E66A4"/>
    <w:rsid w:val="009F12F9"/>
    <w:rsid w:val="009F481D"/>
    <w:rsid w:val="00A01C8C"/>
    <w:rsid w:val="00A16293"/>
    <w:rsid w:val="00A22C33"/>
    <w:rsid w:val="00A23C4C"/>
    <w:rsid w:val="00A43AC4"/>
    <w:rsid w:val="00A52BEA"/>
    <w:rsid w:val="00A72561"/>
    <w:rsid w:val="00A90AB3"/>
    <w:rsid w:val="00B14214"/>
    <w:rsid w:val="00B64540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60BA2"/>
    <w:rsid w:val="00C72F48"/>
    <w:rsid w:val="00C954F3"/>
    <w:rsid w:val="00CA359B"/>
    <w:rsid w:val="00CA3E04"/>
    <w:rsid w:val="00D0531F"/>
    <w:rsid w:val="00D24416"/>
    <w:rsid w:val="00D32892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E02051"/>
    <w:rsid w:val="00E2159A"/>
    <w:rsid w:val="00E24748"/>
    <w:rsid w:val="00E45A6F"/>
    <w:rsid w:val="00E557A5"/>
    <w:rsid w:val="00E5710B"/>
    <w:rsid w:val="00E57349"/>
    <w:rsid w:val="00E77B9F"/>
    <w:rsid w:val="00E81ACF"/>
    <w:rsid w:val="00E903B8"/>
    <w:rsid w:val="00EC1073"/>
    <w:rsid w:val="00EC13FB"/>
    <w:rsid w:val="00EE3F1E"/>
    <w:rsid w:val="00F12FA9"/>
    <w:rsid w:val="00F14AF4"/>
    <w:rsid w:val="00F41BA7"/>
    <w:rsid w:val="00F5702D"/>
    <w:rsid w:val="00F574D0"/>
    <w:rsid w:val="00F900B6"/>
    <w:rsid w:val="00F91D95"/>
    <w:rsid w:val="00FB1BE3"/>
    <w:rsid w:val="00FB5129"/>
    <w:rsid w:val="00FE1C87"/>
    <w:rsid w:val="00FE50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D69B"/>
  <w15:docId w15:val="{87AEB564-52BC-49AE-A4BF-BD5048E1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045393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45393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045393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735D4-AC31-4304-B4FF-7C927B4AB2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5B6466-7069-43C9-ABA9-41BF5BEA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1A81D-7126-4116-BAD6-891E005C71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17F673-8BF5-4232-891D-B00C7353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2019-01-25T07:46:00Z</cp:lastPrinted>
  <dcterms:created xsi:type="dcterms:W3CDTF">2019-02-06T15:46:00Z</dcterms:created>
  <dcterms:modified xsi:type="dcterms:W3CDTF">2019-02-06T15:46:00Z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