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F3605" w14:textId="77777777" w:rsidR="0009138A" w:rsidRPr="0009138A" w:rsidRDefault="0009138A" w:rsidP="0009138A">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09138A">
        <w:rPr>
          <w:rFonts w:ascii="Times New Roman" w:eastAsia="Times New Roman" w:hAnsi="Times New Roman" w:cs="Times New Roman"/>
          <w:noProof/>
          <w:sz w:val="24"/>
          <w:szCs w:val="24"/>
          <w:lang w:eastAsia="hr-HR"/>
        </w:rPr>
        <w:drawing>
          <wp:inline distT="0" distB="0" distL="0" distR="0" wp14:anchorId="6C2F3797" wp14:editId="6C2F3798">
            <wp:extent cx="502942" cy="684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9138A">
        <w:rPr>
          <w:rFonts w:ascii="Times New Roman" w:eastAsia="Times New Roman" w:hAnsi="Times New Roman" w:cs="Times New Roman"/>
          <w:sz w:val="24"/>
          <w:szCs w:val="24"/>
          <w:lang w:eastAsia="hr-HR"/>
        </w:rPr>
        <w:fldChar w:fldCharType="begin"/>
      </w:r>
      <w:r w:rsidRPr="0009138A">
        <w:rPr>
          <w:rFonts w:ascii="Times New Roman" w:eastAsia="Times New Roman" w:hAnsi="Times New Roman" w:cs="Times New Roman"/>
          <w:sz w:val="24"/>
          <w:szCs w:val="24"/>
          <w:lang w:eastAsia="hr-HR"/>
        </w:rPr>
        <w:instrText xml:space="preserve"> INCLUDEPICTURE "http://www.inet.hr/~box/images/grb-rh.gif" \* MERGEFORMATINET </w:instrText>
      </w:r>
      <w:r w:rsidRPr="0009138A">
        <w:rPr>
          <w:rFonts w:ascii="Times New Roman" w:eastAsia="Times New Roman" w:hAnsi="Times New Roman" w:cs="Times New Roman"/>
          <w:sz w:val="24"/>
          <w:szCs w:val="24"/>
          <w:lang w:eastAsia="hr-HR"/>
        </w:rPr>
        <w:fldChar w:fldCharType="end"/>
      </w:r>
    </w:p>
    <w:p w14:paraId="6C2F3606" w14:textId="77777777" w:rsidR="0009138A" w:rsidRPr="0009138A" w:rsidRDefault="0009138A" w:rsidP="0009138A">
      <w:pPr>
        <w:spacing w:before="60" w:after="1680" w:line="240" w:lineRule="auto"/>
        <w:jc w:val="center"/>
        <w:rPr>
          <w:rFonts w:ascii="Times New Roman" w:eastAsia="Times New Roman" w:hAnsi="Times New Roman" w:cs="Times New Roman"/>
          <w:sz w:val="28"/>
          <w:szCs w:val="24"/>
          <w:lang w:eastAsia="hr-HR"/>
        </w:rPr>
      </w:pPr>
      <w:r w:rsidRPr="0009138A">
        <w:rPr>
          <w:rFonts w:ascii="Times New Roman" w:eastAsia="Times New Roman" w:hAnsi="Times New Roman" w:cs="Times New Roman"/>
          <w:sz w:val="28"/>
          <w:szCs w:val="24"/>
          <w:lang w:eastAsia="hr-HR"/>
        </w:rPr>
        <w:t>VLADA REPUBLIKE HRVATSKE</w:t>
      </w:r>
    </w:p>
    <w:p w14:paraId="6C2F3607" w14:textId="77777777" w:rsidR="0009138A" w:rsidRPr="0009138A" w:rsidRDefault="0009138A" w:rsidP="0009138A">
      <w:pPr>
        <w:spacing w:after="0" w:line="240" w:lineRule="auto"/>
        <w:rPr>
          <w:rFonts w:ascii="Times New Roman" w:eastAsia="Times New Roman" w:hAnsi="Times New Roman" w:cs="Times New Roman"/>
          <w:sz w:val="24"/>
          <w:szCs w:val="24"/>
          <w:lang w:eastAsia="hr-HR"/>
        </w:rPr>
      </w:pPr>
    </w:p>
    <w:p w14:paraId="6C2F3608" w14:textId="77777777" w:rsidR="0009138A" w:rsidRPr="0009138A" w:rsidRDefault="00F92CC6" w:rsidP="0009138A">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2</w:t>
      </w:r>
      <w:r w:rsidR="00BB4B61">
        <w:rPr>
          <w:rFonts w:ascii="Times New Roman" w:eastAsia="Times New Roman" w:hAnsi="Times New Roman" w:cs="Times New Roman"/>
          <w:sz w:val="24"/>
          <w:szCs w:val="24"/>
          <w:lang w:eastAsia="hr-HR"/>
        </w:rPr>
        <w:t>1</w:t>
      </w:r>
      <w:r w:rsidR="0009138A" w:rsidRPr="0009138A">
        <w:rPr>
          <w:rFonts w:ascii="Times New Roman" w:eastAsia="Times New Roman" w:hAnsi="Times New Roman" w:cs="Times New Roman"/>
          <w:sz w:val="24"/>
          <w:szCs w:val="24"/>
          <w:lang w:eastAsia="hr-HR"/>
        </w:rPr>
        <w:t>. veljače 2019.</w:t>
      </w:r>
    </w:p>
    <w:p w14:paraId="6C2F3609" w14:textId="77777777" w:rsidR="0009138A" w:rsidRPr="0009138A" w:rsidRDefault="0009138A" w:rsidP="0009138A">
      <w:pPr>
        <w:spacing w:after="0" w:line="360" w:lineRule="auto"/>
        <w:rPr>
          <w:rFonts w:ascii="Times New Roman" w:eastAsia="Times New Roman" w:hAnsi="Times New Roman" w:cs="Times New Roman"/>
          <w:sz w:val="24"/>
          <w:szCs w:val="24"/>
          <w:lang w:eastAsia="hr-HR"/>
        </w:rPr>
      </w:pPr>
      <w:r w:rsidRPr="0009138A">
        <w:rPr>
          <w:rFonts w:ascii="Times New Roman" w:eastAsia="Times New Roman" w:hAnsi="Times New Roman" w:cs="Times New Roman"/>
          <w:sz w:val="24"/>
          <w:szCs w:val="24"/>
          <w:lang w:eastAsia="hr-HR"/>
        </w:rPr>
        <w:t>__________________________________________________________________________</w:t>
      </w:r>
    </w:p>
    <w:p w14:paraId="6C2F360A" w14:textId="77777777" w:rsidR="0009138A" w:rsidRPr="0009138A" w:rsidRDefault="0009138A" w:rsidP="0009138A">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09138A" w:rsidRPr="0009138A" w:rsidSect="0009138A">
          <w:footerReference w:type="default" r:id="rId9"/>
          <w:headerReference w:type="first" r:id="rId10"/>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9138A" w:rsidRPr="0009138A" w14:paraId="6C2F360D" w14:textId="77777777" w:rsidTr="00600921">
        <w:tc>
          <w:tcPr>
            <w:tcW w:w="1951" w:type="dxa"/>
          </w:tcPr>
          <w:p w14:paraId="6C2F360B" w14:textId="77777777" w:rsidR="0009138A" w:rsidRPr="0009138A" w:rsidRDefault="0009138A" w:rsidP="0009138A">
            <w:pPr>
              <w:spacing w:line="360" w:lineRule="auto"/>
              <w:jc w:val="right"/>
              <w:rPr>
                <w:sz w:val="24"/>
                <w:szCs w:val="24"/>
              </w:rPr>
            </w:pPr>
            <w:r w:rsidRPr="0009138A">
              <w:rPr>
                <w:b/>
                <w:smallCaps/>
                <w:sz w:val="24"/>
                <w:szCs w:val="24"/>
              </w:rPr>
              <w:t>Predlagatelj</w:t>
            </w:r>
            <w:r w:rsidRPr="0009138A">
              <w:rPr>
                <w:b/>
                <w:sz w:val="24"/>
                <w:szCs w:val="24"/>
              </w:rPr>
              <w:t>:</w:t>
            </w:r>
          </w:p>
        </w:tc>
        <w:tc>
          <w:tcPr>
            <w:tcW w:w="7229" w:type="dxa"/>
          </w:tcPr>
          <w:p w14:paraId="6C2F360C" w14:textId="77777777" w:rsidR="0009138A" w:rsidRPr="0009138A" w:rsidRDefault="0009138A" w:rsidP="0009138A">
            <w:pPr>
              <w:spacing w:line="360" w:lineRule="auto"/>
              <w:rPr>
                <w:sz w:val="24"/>
                <w:szCs w:val="24"/>
              </w:rPr>
            </w:pPr>
            <w:r w:rsidRPr="0009138A">
              <w:rPr>
                <w:sz w:val="24"/>
                <w:szCs w:val="24"/>
              </w:rPr>
              <w:t>Ministarstvo mora, prometa i infrastrukture</w:t>
            </w:r>
          </w:p>
        </w:tc>
      </w:tr>
    </w:tbl>
    <w:tbl>
      <w:tblPr>
        <w:tblStyle w:val="TableGrid1"/>
        <w:tblpPr w:leftFromText="180" w:rightFromText="180" w:vertAnchor="text" w:horzAnchor="margin" w:tblpY="4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9138A" w:rsidRPr="0009138A" w14:paraId="6C2F3610" w14:textId="77777777" w:rsidTr="0009138A">
        <w:tc>
          <w:tcPr>
            <w:tcW w:w="1951" w:type="dxa"/>
          </w:tcPr>
          <w:p w14:paraId="6C2F360E" w14:textId="77777777" w:rsidR="0009138A" w:rsidRPr="0009138A" w:rsidRDefault="0009138A" w:rsidP="0009138A">
            <w:pPr>
              <w:spacing w:line="360" w:lineRule="auto"/>
              <w:jc w:val="right"/>
              <w:rPr>
                <w:sz w:val="24"/>
                <w:szCs w:val="24"/>
              </w:rPr>
            </w:pPr>
            <w:r w:rsidRPr="0009138A">
              <w:rPr>
                <w:b/>
                <w:smallCaps/>
                <w:sz w:val="24"/>
                <w:szCs w:val="24"/>
              </w:rPr>
              <w:t>Predmet</w:t>
            </w:r>
            <w:r w:rsidRPr="0009138A">
              <w:rPr>
                <w:b/>
                <w:sz w:val="24"/>
                <w:szCs w:val="24"/>
              </w:rPr>
              <w:t>:</w:t>
            </w:r>
          </w:p>
        </w:tc>
        <w:tc>
          <w:tcPr>
            <w:tcW w:w="7229" w:type="dxa"/>
          </w:tcPr>
          <w:p w14:paraId="6C2F360F" w14:textId="77777777" w:rsidR="0009138A" w:rsidRPr="0009138A" w:rsidRDefault="00F92CC6" w:rsidP="0009138A">
            <w:pPr>
              <w:spacing w:line="360" w:lineRule="auto"/>
              <w:rPr>
                <w:sz w:val="24"/>
                <w:szCs w:val="24"/>
              </w:rPr>
            </w:pPr>
            <w:r w:rsidRPr="00F92CC6">
              <w:rPr>
                <w:sz w:val="24"/>
                <w:szCs w:val="24"/>
              </w:rPr>
              <w:t>Prijedlog odluke o davanju koncesije za posebnu upotrebu pomorskog dobra u svrhu izgradnje i korištenja magistralnog plinovoda Zlobin - Omišalj DN 1000/100, na području Grada Kraljevice i Općine Omišalj</w:t>
            </w:r>
          </w:p>
        </w:tc>
      </w:tr>
    </w:tbl>
    <w:p w14:paraId="6C2F3611" w14:textId="77777777" w:rsidR="0009138A" w:rsidRPr="0009138A" w:rsidRDefault="0009138A" w:rsidP="0009138A">
      <w:pPr>
        <w:spacing w:after="0" w:line="360" w:lineRule="auto"/>
        <w:rPr>
          <w:rFonts w:ascii="Times New Roman" w:eastAsia="Times New Roman" w:hAnsi="Times New Roman" w:cs="Times New Roman"/>
          <w:sz w:val="24"/>
          <w:szCs w:val="24"/>
          <w:lang w:eastAsia="hr-HR"/>
        </w:rPr>
      </w:pPr>
      <w:r w:rsidRPr="0009138A">
        <w:rPr>
          <w:rFonts w:ascii="Times New Roman" w:eastAsia="Times New Roman" w:hAnsi="Times New Roman" w:cs="Times New Roman"/>
          <w:sz w:val="24"/>
          <w:szCs w:val="24"/>
          <w:lang w:eastAsia="hr-HR"/>
        </w:rPr>
        <w:t>__________________________________________________________________________</w:t>
      </w:r>
    </w:p>
    <w:p w14:paraId="6C2F3612" w14:textId="77777777" w:rsidR="0009138A" w:rsidRPr="0009138A" w:rsidRDefault="0009138A" w:rsidP="0009138A">
      <w:pPr>
        <w:tabs>
          <w:tab w:val="left" w:pos="1843"/>
        </w:tabs>
        <w:spacing w:after="0" w:line="360" w:lineRule="auto"/>
        <w:ind w:left="1843" w:hanging="1843"/>
        <w:rPr>
          <w:rFonts w:ascii="Times New Roman" w:eastAsia="Times New Roman" w:hAnsi="Times New Roman" w:cs="Times New Roman"/>
          <w:sz w:val="24"/>
          <w:szCs w:val="24"/>
          <w:lang w:eastAsia="hr-HR"/>
        </w:rPr>
      </w:pPr>
      <w:r w:rsidRPr="0009138A">
        <w:rPr>
          <w:rFonts w:ascii="Times New Roman" w:eastAsia="Times New Roman" w:hAnsi="Times New Roman" w:cs="Times New Roman"/>
          <w:sz w:val="24"/>
          <w:szCs w:val="24"/>
          <w:lang w:eastAsia="hr-HR"/>
        </w:rPr>
        <w:t>__________________________________________________________________________</w:t>
      </w:r>
    </w:p>
    <w:p w14:paraId="6C2F3613" w14:textId="77777777" w:rsidR="0009138A" w:rsidRPr="0009138A" w:rsidRDefault="0009138A" w:rsidP="0009138A">
      <w:pPr>
        <w:spacing w:after="0" w:line="240" w:lineRule="auto"/>
        <w:rPr>
          <w:rFonts w:ascii="Times New Roman" w:eastAsia="Times New Roman" w:hAnsi="Times New Roman" w:cs="Times New Roman"/>
          <w:sz w:val="24"/>
          <w:szCs w:val="24"/>
          <w:lang w:eastAsia="hr-HR"/>
        </w:rPr>
      </w:pPr>
    </w:p>
    <w:p w14:paraId="6C2F3614" w14:textId="77777777" w:rsidR="0009138A" w:rsidRPr="0009138A" w:rsidRDefault="0009138A" w:rsidP="0009138A">
      <w:pPr>
        <w:tabs>
          <w:tab w:val="right" w:pos="1701"/>
          <w:tab w:val="left" w:pos="1843"/>
        </w:tabs>
        <w:spacing w:after="0" w:line="360" w:lineRule="auto"/>
        <w:rPr>
          <w:rFonts w:ascii="Times New Roman" w:eastAsia="Times New Roman" w:hAnsi="Times New Roman" w:cs="Times New Roman"/>
          <w:b/>
          <w:smallCaps/>
          <w:sz w:val="24"/>
          <w:szCs w:val="24"/>
          <w:lang w:eastAsia="hr-HR"/>
        </w:rPr>
        <w:sectPr w:rsidR="0009138A" w:rsidRPr="0009138A" w:rsidSect="000350D9">
          <w:type w:val="continuous"/>
          <w:pgSz w:w="11906" w:h="16838"/>
          <w:pgMar w:top="993" w:right="1417" w:bottom="1417" w:left="1417" w:header="709" w:footer="658" w:gutter="0"/>
          <w:cols w:space="708"/>
          <w:docGrid w:linePitch="360"/>
        </w:sectPr>
      </w:pPr>
    </w:p>
    <w:p w14:paraId="6C2F3615" w14:textId="77777777" w:rsidR="00F92CC6" w:rsidRPr="00F92CC6" w:rsidRDefault="00F92CC6" w:rsidP="00F92CC6">
      <w:pPr>
        <w:spacing w:after="0" w:line="240" w:lineRule="auto"/>
        <w:jc w:val="right"/>
        <w:rPr>
          <w:rFonts w:ascii="Times New Roman" w:eastAsia="Times New Roman" w:hAnsi="Times New Roman" w:cs="Times New Roman"/>
          <w:b/>
          <w:sz w:val="24"/>
          <w:szCs w:val="24"/>
          <w:lang w:eastAsia="hr-HR"/>
        </w:rPr>
      </w:pPr>
      <w:r w:rsidRPr="00F92CC6">
        <w:rPr>
          <w:rFonts w:ascii="Times New Roman" w:eastAsia="Times New Roman" w:hAnsi="Times New Roman" w:cs="Times New Roman"/>
          <w:b/>
          <w:sz w:val="24"/>
          <w:szCs w:val="24"/>
          <w:lang w:eastAsia="hr-HR"/>
        </w:rPr>
        <w:lastRenderedPageBreak/>
        <w:t>Prijedlog</w:t>
      </w:r>
    </w:p>
    <w:p w14:paraId="6C2F3616" w14:textId="77777777" w:rsidR="00F92CC6" w:rsidRDefault="00F92CC6" w:rsidP="00F92CC6">
      <w:pPr>
        <w:spacing w:after="0" w:line="240" w:lineRule="auto"/>
        <w:jc w:val="both"/>
        <w:rPr>
          <w:rFonts w:ascii="Times New Roman" w:eastAsia="Times New Roman" w:hAnsi="Times New Roman" w:cs="Times New Roman"/>
          <w:sz w:val="24"/>
          <w:szCs w:val="24"/>
          <w:lang w:eastAsia="hr-HR"/>
        </w:rPr>
      </w:pPr>
    </w:p>
    <w:p w14:paraId="6C2F3617" w14:textId="77777777" w:rsidR="00F92CC6" w:rsidRDefault="00F92CC6" w:rsidP="00F92CC6">
      <w:pPr>
        <w:spacing w:after="0" w:line="240" w:lineRule="auto"/>
        <w:jc w:val="both"/>
        <w:rPr>
          <w:rFonts w:ascii="Times New Roman" w:eastAsia="Times New Roman" w:hAnsi="Times New Roman" w:cs="Times New Roman"/>
          <w:sz w:val="24"/>
          <w:szCs w:val="24"/>
          <w:lang w:eastAsia="hr-HR"/>
        </w:rPr>
      </w:pPr>
    </w:p>
    <w:p w14:paraId="6C2F3618" w14:textId="77777777" w:rsidR="00F92CC6" w:rsidRDefault="00F92CC6" w:rsidP="00F92CC6">
      <w:pPr>
        <w:spacing w:after="0" w:line="240" w:lineRule="auto"/>
        <w:jc w:val="both"/>
        <w:rPr>
          <w:rFonts w:ascii="Times New Roman" w:eastAsia="Times New Roman" w:hAnsi="Times New Roman" w:cs="Times New Roman"/>
          <w:sz w:val="24"/>
          <w:szCs w:val="24"/>
          <w:lang w:eastAsia="hr-HR"/>
        </w:rPr>
      </w:pPr>
    </w:p>
    <w:p w14:paraId="6C2F3619" w14:textId="77777777" w:rsidR="00F92CC6" w:rsidRDefault="00F92CC6" w:rsidP="00F92CC6">
      <w:pPr>
        <w:spacing w:after="0" w:line="240" w:lineRule="auto"/>
        <w:jc w:val="both"/>
        <w:rPr>
          <w:rFonts w:ascii="Times New Roman" w:eastAsia="Times New Roman" w:hAnsi="Times New Roman" w:cs="Times New Roman"/>
          <w:sz w:val="24"/>
          <w:szCs w:val="24"/>
          <w:lang w:eastAsia="hr-HR"/>
        </w:rPr>
      </w:pPr>
    </w:p>
    <w:p w14:paraId="6C2F361A" w14:textId="77777777" w:rsidR="00C66512" w:rsidRDefault="00C66512" w:rsidP="00F92CC6">
      <w:pPr>
        <w:spacing w:after="0" w:line="240" w:lineRule="auto"/>
        <w:jc w:val="both"/>
        <w:rPr>
          <w:rFonts w:ascii="Times New Roman" w:eastAsia="Times New Roman" w:hAnsi="Times New Roman" w:cs="Times New Roman"/>
          <w:sz w:val="24"/>
          <w:szCs w:val="24"/>
          <w:lang w:eastAsia="hr-HR"/>
        </w:rPr>
      </w:pPr>
    </w:p>
    <w:p w14:paraId="6C2F361B" w14:textId="77777777" w:rsidR="00C4579C" w:rsidRPr="00F92CC6" w:rsidRDefault="00C4579C" w:rsidP="00F92CC6">
      <w:pPr>
        <w:spacing w:after="0" w:line="240" w:lineRule="auto"/>
        <w:ind w:firstLine="1440"/>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Na temelju članka 19. stavka 2. Zakona o pomorskom dobru i morskim lukama (Narodne novine</w:t>
      </w:r>
      <w:r w:rsidR="00F92CC6">
        <w:rPr>
          <w:rFonts w:ascii="Times New Roman" w:eastAsia="Times New Roman" w:hAnsi="Times New Roman" w:cs="Times New Roman"/>
          <w:sz w:val="24"/>
          <w:szCs w:val="24"/>
          <w:lang w:eastAsia="hr-HR"/>
        </w:rPr>
        <w:t>, br.</w:t>
      </w:r>
      <w:r w:rsidRPr="00F92CC6">
        <w:rPr>
          <w:rFonts w:ascii="Times New Roman" w:eastAsia="Times New Roman" w:hAnsi="Times New Roman" w:cs="Times New Roman"/>
          <w:sz w:val="24"/>
          <w:szCs w:val="24"/>
          <w:lang w:eastAsia="hr-HR"/>
        </w:rPr>
        <w:t xml:space="preserve"> 158/03, 100/04, 141/06, 38/09, 123/11</w:t>
      </w:r>
      <w:r w:rsidR="00F92CC6">
        <w:rPr>
          <w:rFonts w:ascii="Times New Roman" w:eastAsia="Times New Roman" w:hAnsi="Times New Roman" w:cs="Times New Roman"/>
          <w:sz w:val="24"/>
          <w:szCs w:val="24"/>
          <w:lang w:eastAsia="hr-HR"/>
        </w:rPr>
        <w:t xml:space="preserve"> </w:t>
      </w:r>
      <w:r w:rsidRPr="00F92CC6">
        <w:rPr>
          <w:rFonts w:ascii="Times New Roman" w:eastAsia="Times New Roman" w:hAnsi="Times New Roman" w:cs="Times New Roman"/>
          <w:sz w:val="24"/>
          <w:szCs w:val="24"/>
          <w:lang w:eastAsia="hr-HR"/>
        </w:rPr>
        <w:t>-</w:t>
      </w:r>
      <w:r w:rsidR="00F92CC6">
        <w:rPr>
          <w:rFonts w:ascii="Times New Roman" w:eastAsia="Times New Roman" w:hAnsi="Times New Roman" w:cs="Times New Roman"/>
          <w:sz w:val="24"/>
          <w:szCs w:val="24"/>
          <w:lang w:eastAsia="hr-HR"/>
        </w:rPr>
        <w:t xml:space="preserve"> </w:t>
      </w:r>
      <w:r w:rsidRPr="00F92CC6">
        <w:rPr>
          <w:rFonts w:ascii="Times New Roman" w:eastAsia="Times New Roman" w:hAnsi="Times New Roman" w:cs="Times New Roman"/>
          <w:sz w:val="24"/>
          <w:szCs w:val="24"/>
          <w:lang w:eastAsia="hr-HR"/>
        </w:rPr>
        <w:t>Odluka Ustavnog suda Republike Hrvatske i 56/16) Vlada Republike Hrvatske je na sjednici održanoj ___________ 2018. godine donijela</w:t>
      </w:r>
    </w:p>
    <w:p w14:paraId="6C2F361C" w14:textId="77777777" w:rsidR="00C3367C" w:rsidRDefault="00C3367C" w:rsidP="00F92CC6">
      <w:pPr>
        <w:spacing w:after="0" w:line="240" w:lineRule="auto"/>
        <w:jc w:val="both"/>
        <w:rPr>
          <w:rFonts w:ascii="Times New Roman" w:eastAsia="Times New Roman" w:hAnsi="Times New Roman" w:cs="Times New Roman"/>
          <w:sz w:val="24"/>
          <w:szCs w:val="24"/>
          <w:lang w:eastAsia="hr-HR"/>
        </w:rPr>
      </w:pPr>
    </w:p>
    <w:p w14:paraId="6C2F361D" w14:textId="77777777" w:rsidR="00F92CC6" w:rsidRDefault="00F92CC6" w:rsidP="00F92CC6">
      <w:pPr>
        <w:spacing w:after="0" w:line="240" w:lineRule="auto"/>
        <w:jc w:val="both"/>
        <w:rPr>
          <w:rFonts w:ascii="Times New Roman" w:eastAsia="Times New Roman" w:hAnsi="Times New Roman" w:cs="Times New Roman"/>
          <w:sz w:val="24"/>
          <w:szCs w:val="24"/>
          <w:lang w:eastAsia="hr-HR"/>
        </w:rPr>
      </w:pPr>
    </w:p>
    <w:p w14:paraId="6C2F361E" w14:textId="77777777" w:rsidR="00C66512" w:rsidRPr="00F92CC6" w:rsidRDefault="00C66512" w:rsidP="00F92CC6">
      <w:pPr>
        <w:spacing w:after="0" w:line="240" w:lineRule="auto"/>
        <w:jc w:val="both"/>
        <w:rPr>
          <w:rFonts w:ascii="Times New Roman" w:eastAsia="Times New Roman" w:hAnsi="Times New Roman" w:cs="Times New Roman"/>
          <w:sz w:val="24"/>
          <w:szCs w:val="24"/>
          <w:lang w:eastAsia="hr-HR"/>
        </w:rPr>
      </w:pPr>
    </w:p>
    <w:p w14:paraId="6C2F361F" w14:textId="77777777" w:rsidR="00C4579C" w:rsidRDefault="00C4579C" w:rsidP="00F92CC6">
      <w:pPr>
        <w:tabs>
          <w:tab w:val="left" w:pos="2460"/>
          <w:tab w:val="center" w:pos="4536"/>
        </w:tabs>
        <w:spacing w:after="0" w:line="240" w:lineRule="auto"/>
        <w:ind w:right="-2"/>
        <w:jc w:val="center"/>
        <w:rPr>
          <w:rFonts w:ascii="Times New Roman" w:eastAsia="Times New Roman" w:hAnsi="Times New Roman" w:cs="Times New Roman"/>
          <w:b/>
          <w:sz w:val="24"/>
          <w:szCs w:val="24"/>
          <w:lang w:eastAsia="hr-HR"/>
        </w:rPr>
      </w:pPr>
      <w:r w:rsidRPr="00F92CC6">
        <w:rPr>
          <w:rFonts w:ascii="Times New Roman" w:eastAsia="Times New Roman" w:hAnsi="Times New Roman" w:cs="Times New Roman"/>
          <w:b/>
          <w:sz w:val="24"/>
          <w:szCs w:val="24"/>
          <w:lang w:eastAsia="hr-HR"/>
        </w:rPr>
        <w:t>O</w:t>
      </w:r>
      <w:r w:rsidR="00F92CC6">
        <w:rPr>
          <w:rFonts w:ascii="Times New Roman" w:eastAsia="Times New Roman" w:hAnsi="Times New Roman" w:cs="Times New Roman"/>
          <w:b/>
          <w:sz w:val="24"/>
          <w:szCs w:val="24"/>
          <w:lang w:eastAsia="hr-HR"/>
        </w:rPr>
        <w:t xml:space="preserve"> </w:t>
      </w:r>
      <w:r w:rsidRPr="00F92CC6">
        <w:rPr>
          <w:rFonts w:ascii="Times New Roman" w:eastAsia="Times New Roman" w:hAnsi="Times New Roman" w:cs="Times New Roman"/>
          <w:b/>
          <w:sz w:val="24"/>
          <w:szCs w:val="24"/>
          <w:lang w:eastAsia="hr-HR"/>
        </w:rPr>
        <w:t>D</w:t>
      </w:r>
      <w:r w:rsidR="00F92CC6">
        <w:rPr>
          <w:rFonts w:ascii="Times New Roman" w:eastAsia="Times New Roman" w:hAnsi="Times New Roman" w:cs="Times New Roman"/>
          <w:b/>
          <w:sz w:val="24"/>
          <w:szCs w:val="24"/>
          <w:lang w:eastAsia="hr-HR"/>
        </w:rPr>
        <w:t xml:space="preserve"> </w:t>
      </w:r>
      <w:r w:rsidRPr="00F92CC6">
        <w:rPr>
          <w:rFonts w:ascii="Times New Roman" w:eastAsia="Times New Roman" w:hAnsi="Times New Roman" w:cs="Times New Roman"/>
          <w:b/>
          <w:sz w:val="24"/>
          <w:szCs w:val="24"/>
          <w:lang w:eastAsia="hr-HR"/>
        </w:rPr>
        <w:t>L</w:t>
      </w:r>
      <w:r w:rsidR="00F92CC6">
        <w:rPr>
          <w:rFonts w:ascii="Times New Roman" w:eastAsia="Times New Roman" w:hAnsi="Times New Roman" w:cs="Times New Roman"/>
          <w:b/>
          <w:sz w:val="24"/>
          <w:szCs w:val="24"/>
          <w:lang w:eastAsia="hr-HR"/>
        </w:rPr>
        <w:t xml:space="preserve"> </w:t>
      </w:r>
      <w:r w:rsidRPr="00F92CC6">
        <w:rPr>
          <w:rFonts w:ascii="Times New Roman" w:eastAsia="Times New Roman" w:hAnsi="Times New Roman" w:cs="Times New Roman"/>
          <w:b/>
          <w:sz w:val="24"/>
          <w:szCs w:val="24"/>
          <w:lang w:eastAsia="hr-HR"/>
        </w:rPr>
        <w:t>U</w:t>
      </w:r>
      <w:r w:rsidR="00F92CC6">
        <w:rPr>
          <w:rFonts w:ascii="Times New Roman" w:eastAsia="Times New Roman" w:hAnsi="Times New Roman" w:cs="Times New Roman"/>
          <w:b/>
          <w:sz w:val="24"/>
          <w:szCs w:val="24"/>
          <w:lang w:eastAsia="hr-HR"/>
        </w:rPr>
        <w:t xml:space="preserve"> </w:t>
      </w:r>
      <w:r w:rsidRPr="00F92CC6">
        <w:rPr>
          <w:rFonts w:ascii="Times New Roman" w:eastAsia="Times New Roman" w:hAnsi="Times New Roman" w:cs="Times New Roman"/>
          <w:b/>
          <w:sz w:val="24"/>
          <w:szCs w:val="24"/>
          <w:lang w:eastAsia="hr-HR"/>
        </w:rPr>
        <w:t>K</w:t>
      </w:r>
      <w:r w:rsidR="00F92CC6">
        <w:rPr>
          <w:rFonts w:ascii="Times New Roman" w:eastAsia="Times New Roman" w:hAnsi="Times New Roman" w:cs="Times New Roman"/>
          <w:b/>
          <w:sz w:val="24"/>
          <w:szCs w:val="24"/>
          <w:lang w:eastAsia="hr-HR"/>
        </w:rPr>
        <w:t xml:space="preserve"> </w:t>
      </w:r>
      <w:r w:rsidRPr="00F92CC6">
        <w:rPr>
          <w:rFonts w:ascii="Times New Roman" w:eastAsia="Times New Roman" w:hAnsi="Times New Roman" w:cs="Times New Roman"/>
          <w:b/>
          <w:sz w:val="24"/>
          <w:szCs w:val="24"/>
          <w:lang w:eastAsia="hr-HR"/>
        </w:rPr>
        <w:t>U</w:t>
      </w:r>
    </w:p>
    <w:p w14:paraId="6C2F3620" w14:textId="77777777" w:rsidR="00F92CC6" w:rsidRPr="00F92CC6" w:rsidRDefault="00F92CC6" w:rsidP="00F92CC6">
      <w:pPr>
        <w:tabs>
          <w:tab w:val="left" w:pos="2460"/>
          <w:tab w:val="center" w:pos="4536"/>
        </w:tabs>
        <w:spacing w:after="0" w:line="240" w:lineRule="auto"/>
        <w:ind w:right="-2"/>
        <w:jc w:val="center"/>
        <w:rPr>
          <w:rFonts w:ascii="Times New Roman" w:eastAsia="Times New Roman" w:hAnsi="Times New Roman" w:cs="Times New Roman"/>
          <w:b/>
          <w:sz w:val="24"/>
          <w:szCs w:val="24"/>
          <w:lang w:eastAsia="hr-HR"/>
        </w:rPr>
      </w:pPr>
    </w:p>
    <w:p w14:paraId="6C2F3621" w14:textId="77777777" w:rsidR="00F92CC6" w:rsidRDefault="00F92CC6" w:rsidP="00F92CC6">
      <w:pPr>
        <w:spacing w:after="0" w:line="240" w:lineRule="auto"/>
        <w:jc w:val="center"/>
        <w:rPr>
          <w:rFonts w:ascii="Times New Roman" w:eastAsia="Times New Roman" w:hAnsi="Times New Roman" w:cs="Times New Roman"/>
          <w:b/>
          <w:sz w:val="24"/>
          <w:szCs w:val="24"/>
          <w:lang w:eastAsia="hr-HR"/>
        </w:rPr>
      </w:pPr>
      <w:r w:rsidRPr="00F92CC6">
        <w:rPr>
          <w:rFonts w:ascii="Times New Roman" w:eastAsia="Times New Roman" w:hAnsi="Times New Roman" w:cs="Times New Roman"/>
          <w:b/>
          <w:sz w:val="24"/>
          <w:szCs w:val="24"/>
          <w:lang w:eastAsia="hr-HR"/>
        </w:rPr>
        <w:t xml:space="preserve">o davanju koncesije za posebnu upotrebu pomorskog dobra u svrhu izgradnje i korištenja magistralnog plinovoda Zlobin - Omišalj DN 1000/100, </w:t>
      </w:r>
    </w:p>
    <w:p w14:paraId="6C2F3622" w14:textId="77777777" w:rsidR="00C4579C" w:rsidRPr="00F92CC6" w:rsidRDefault="00F92CC6" w:rsidP="00F92CC6">
      <w:pPr>
        <w:spacing w:after="0" w:line="240" w:lineRule="auto"/>
        <w:jc w:val="center"/>
        <w:rPr>
          <w:rFonts w:ascii="Times New Roman" w:eastAsia="Times New Roman" w:hAnsi="Times New Roman" w:cs="Times New Roman"/>
          <w:b/>
          <w:sz w:val="24"/>
          <w:szCs w:val="24"/>
          <w:lang w:eastAsia="hr-HR"/>
        </w:rPr>
      </w:pPr>
      <w:r w:rsidRPr="00F92CC6">
        <w:rPr>
          <w:rFonts w:ascii="Times New Roman" w:eastAsia="Times New Roman" w:hAnsi="Times New Roman" w:cs="Times New Roman"/>
          <w:b/>
          <w:sz w:val="24"/>
          <w:szCs w:val="24"/>
          <w:lang w:eastAsia="hr-HR"/>
        </w:rPr>
        <w:t>na području Grada Kraljevice i Općine Omišalj</w:t>
      </w:r>
    </w:p>
    <w:p w14:paraId="6C2F3623" w14:textId="77777777" w:rsidR="00C4579C" w:rsidRDefault="00C4579C" w:rsidP="00F92CC6">
      <w:pPr>
        <w:spacing w:after="0" w:line="240" w:lineRule="auto"/>
        <w:jc w:val="center"/>
        <w:rPr>
          <w:rFonts w:ascii="Times New Roman" w:eastAsia="Times New Roman" w:hAnsi="Times New Roman" w:cs="Times New Roman"/>
          <w:b/>
          <w:bCs/>
          <w:sz w:val="24"/>
          <w:szCs w:val="24"/>
          <w:lang w:eastAsia="hr-HR"/>
        </w:rPr>
      </w:pPr>
    </w:p>
    <w:p w14:paraId="6C2F3624" w14:textId="77777777" w:rsidR="00F92CC6" w:rsidRDefault="00F92CC6" w:rsidP="00F92CC6">
      <w:pPr>
        <w:spacing w:after="0" w:line="240" w:lineRule="auto"/>
        <w:jc w:val="center"/>
        <w:rPr>
          <w:rFonts w:ascii="Times New Roman" w:eastAsia="Times New Roman" w:hAnsi="Times New Roman" w:cs="Times New Roman"/>
          <w:b/>
          <w:bCs/>
          <w:sz w:val="24"/>
          <w:szCs w:val="24"/>
          <w:lang w:eastAsia="hr-HR"/>
        </w:rPr>
      </w:pPr>
    </w:p>
    <w:p w14:paraId="6C2F3625" w14:textId="77777777" w:rsidR="00C66512" w:rsidRPr="00F92CC6" w:rsidRDefault="00C66512" w:rsidP="00F92CC6">
      <w:pPr>
        <w:spacing w:after="0" w:line="240" w:lineRule="auto"/>
        <w:jc w:val="center"/>
        <w:rPr>
          <w:rFonts w:ascii="Times New Roman" w:eastAsia="Times New Roman" w:hAnsi="Times New Roman" w:cs="Times New Roman"/>
          <w:b/>
          <w:bCs/>
          <w:sz w:val="24"/>
          <w:szCs w:val="24"/>
          <w:lang w:eastAsia="hr-HR"/>
        </w:rPr>
      </w:pPr>
    </w:p>
    <w:p w14:paraId="6C2F3626" w14:textId="77777777" w:rsidR="00C4579C" w:rsidRPr="00F92CC6" w:rsidRDefault="00C4579C" w:rsidP="00F92CC6">
      <w:pPr>
        <w:spacing w:after="0" w:line="240" w:lineRule="auto"/>
        <w:jc w:val="center"/>
        <w:rPr>
          <w:rFonts w:ascii="Times New Roman" w:eastAsia="Times New Roman" w:hAnsi="Times New Roman" w:cs="Times New Roman"/>
          <w:b/>
          <w:sz w:val="24"/>
          <w:szCs w:val="24"/>
          <w:lang w:eastAsia="hr-HR"/>
        </w:rPr>
      </w:pPr>
      <w:r w:rsidRPr="00F92CC6">
        <w:rPr>
          <w:rFonts w:ascii="Times New Roman" w:eastAsia="Times New Roman" w:hAnsi="Times New Roman" w:cs="Times New Roman"/>
          <w:b/>
          <w:sz w:val="24"/>
          <w:szCs w:val="24"/>
          <w:lang w:eastAsia="hr-HR"/>
        </w:rPr>
        <w:t>I.</w:t>
      </w:r>
    </w:p>
    <w:p w14:paraId="6C2F3627" w14:textId="77777777" w:rsidR="00C4579C" w:rsidRPr="00F92CC6" w:rsidRDefault="00C4579C" w:rsidP="00F92CC6">
      <w:pPr>
        <w:spacing w:after="0" w:line="240" w:lineRule="auto"/>
        <w:jc w:val="center"/>
        <w:rPr>
          <w:rFonts w:ascii="Times New Roman" w:eastAsia="Times New Roman" w:hAnsi="Times New Roman" w:cs="Times New Roman"/>
          <w:sz w:val="24"/>
          <w:szCs w:val="24"/>
          <w:lang w:eastAsia="hr-HR"/>
        </w:rPr>
      </w:pPr>
    </w:p>
    <w:p w14:paraId="6C2F3628" w14:textId="77777777" w:rsidR="00C4579C" w:rsidRPr="00F92CC6" w:rsidRDefault="00C4579C" w:rsidP="00F92CC6">
      <w:pPr>
        <w:autoSpaceDE w:val="0"/>
        <w:autoSpaceDN w:val="0"/>
        <w:adjustRightInd w:val="0"/>
        <w:spacing w:after="0" w:line="240" w:lineRule="auto"/>
        <w:ind w:firstLine="1440"/>
        <w:jc w:val="both"/>
        <w:rPr>
          <w:rFonts w:ascii="Times New Roman" w:hAnsi="Times New Roman" w:cs="Times New Roman"/>
          <w:sz w:val="24"/>
          <w:szCs w:val="24"/>
        </w:rPr>
      </w:pPr>
      <w:r w:rsidRPr="00F92CC6">
        <w:rPr>
          <w:rFonts w:ascii="Times New Roman" w:hAnsi="Times New Roman" w:cs="Times New Roman"/>
          <w:sz w:val="24"/>
          <w:szCs w:val="24"/>
        </w:rPr>
        <w:t xml:space="preserve">Vlada Republike Hrvatske (u daljnjem tekstu: Davatelj koncesije), na temelju zahtjeva trgovačkog društva Plinacro d.o.o. iz Zagreba, </w:t>
      </w:r>
      <w:r w:rsidR="009F44BC" w:rsidRPr="00F92CC6">
        <w:rPr>
          <w:rFonts w:ascii="Times New Roman" w:hAnsi="Times New Roman" w:cs="Times New Roman"/>
          <w:sz w:val="24"/>
          <w:szCs w:val="24"/>
        </w:rPr>
        <w:t xml:space="preserve">Savska cesta 88/a, </w:t>
      </w:r>
      <w:r w:rsidRPr="00F92CC6">
        <w:rPr>
          <w:rFonts w:ascii="Times New Roman" w:hAnsi="Times New Roman" w:cs="Times New Roman"/>
          <w:sz w:val="24"/>
          <w:szCs w:val="24"/>
        </w:rPr>
        <w:t>OIB: 69401829750 (u daljnjem tekstu: Ovlaštenik koncesije), daje koncesiju za posebnu upotrebu pomorskog dobra u svrhu izgradnje i korištenja magistralnog plinovoda Zlobin-Omišalj DN 1000/100, u skladu s pravomoćnom Lokacijskom dozvolom izdanom od strane Ministarstva zaštite okoliša, prostornoga uređenja i graditeljstva, Uprave za prostorno uređenje, klase: UP/I-350-05/11-01/107, urbroja: 531-06-11-23NK, od 5. prosinca 2011. godine, Rješenjem izdanim od strane Ministarstva graditeljstva i prostornoga uređenja, Uprave za prostorno uređenje, klase: UP/I-350-05/14-01/3, urbroja: 531-05-14-2, od 30. siječnja 2014. godine, a kojom se produžuje rok važenja Lokacijske dozvole do 8. siječnja 2016. godine, I. Izmjenom i dopunom Lokacijske dozvole izdanom od strane Ministarstva graditeljstva i prostornoga uređenja, Uprave za dozvole državnog značaja, klase: UP/I-350-05/15-01/000129, urbroja: 531-06-1-1-1-15-0004 od 21. listopada 2015. godine, II. Izmjenom i dopunom Lokacijske dozvole izdanom od strane Ministarstva graditeljstva i prostornoga uređenja, Uprave za dozvole državnog značaja, klase: UP/I-350-05/16-01/000171, urbroja: 531-06-1-1-1-17-0007 od 7. travnja 2017. godine i III. Izmjenom i dopunom Lokacijske dozvole izdanom od strane Ministarstva graditeljstva i prostornoga uređenja, Uprave za dozvole državnog značaja, klase: UP/I-350-05/17-01/000018, urbroja: 531-06-1-1-1-17-0004 od 12. svibnja 2017. godine, koje čine Prilog 1. ove Odluke i ne obja</w:t>
      </w:r>
      <w:r w:rsidR="00F92CC6">
        <w:rPr>
          <w:rFonts w:ascii="Times New Roman" w:hAnsi="Times New Roman" w:cs="Times New Roman"/>
          <w:sz w:val="24"/>
          <w:szCs w:val="24"/>
        </w:rPr>
        <w:t>vljuju se u Narodnim novinama</w:t>
      </w:r>
      <w:r w:rsidRPr="00F92CC6">
        <w:rPr>
          <w:rFonts w:ascii="Times New Roman" w:hAnsi="Times New Roman" w:cs="Times New Roman"/>
          <w:sz w:val="24"/>
          <w:szCs w:val="24"/>
        </w:rPr>
        <w:t>.</w:t>
      </w:r>
    </w:p>
    <w:p w14:paraId="6C2F3629" w14:textId="77777777" w:rsidR="00C4579C" w:rsidRPr="00F92CC6" w:rsidRDefault="00C4579C" w:rsidP="00F92CC6">
      <w:pPr>
        <w:autoSpaceDE w:val="0"/>
        <w:autoSpaceDN w:val="0"/>
        <w:adjustRightInd w:val="0"/>
        <w:spacing w:after="0" w:line="240" w:lineRule="auto"/>
        <w:jc w:val="both"/>
        <w:rPr>
          <w:rFonts w:ascii="Times New Roman" w:hAnsi="Times New Roman" w:cs="Times New Roman"/>
          <w:sz w:val="24"/>
          <w:szCs w:val="24"/>
        </w:rPr>
      </w:pPr>
    </w:p>
    <w:p w14:paraId="6C2F362A" w14:textId="77777777" w:rsidR="00C4579C" w:rsidRPr="00F92CC6" w:rsidRDefault="00C4579C" w:rsidP="00F92CC6">
      <w:pPr>
        <w:autoSpaceDE w:val="0"/>
        <w:autoSpaceDN w:val="0"/>
        <w:adjustRightInd w:val="0"/>
        <w:spacing w:after="0" w:line="240" w:lineRule="auto"/>
        <w:jc w:val="center"/>
        <w:rPr>
          <w:rFonts w:ascii="Times New Roman" w:hAnsi="Times New Roman" w:cs="Times New Roman"/>
          <w:b/>
          <w:sz w:val="24"/>
          <w:szCs w:val="24"/>
        </w:rPr>
      </w:pPr>
      <w:r w:rsidRPr="00F92CC6">
        <w:rPr>
          <w:rFonts w:ascii="Times New Roman" w:hAnsi="Times New Roman" w:cs="Times New Roman"/>
          <w:b/>
          <w:sz w:val="24"/>
          <w:szCs w:val="24"/>
        </w:rPr>
        <w:t>II.</w:t>
      </w:r>
    </w:p>
    <w:p w14:paraId="6C2F362B" w14:textId="77777777" w:rsidR="00C4579C" w:rsidRPr="00F92CC6" w:rsidRDefault="00C4579C" w:rsidP="00F92CC6">
      <w:pPr>
        <w:autoSpaceDE w:val="0"/>
        <w:autoSpaceDN w:val="0"/>
        <w:adjustRightInd w:val="0"/>
        <w:spacing w:after="0" w:line="240" w:lineRule="auto"/>
        <w:jc w:val="center"/>
        <w:rPr>
          <w:rFonts w:ascii="Times New Roman" w:hAnsi="Times New Roman" w:cs="Times New Roman"/>
          <w:b/>
          <w:sz w:val="24"/>
          <w:szCs w:val="24"/>
        </w:rPr>
      </w:pPr>
    </w:p>
    <w:p w14:paraId="6C2F362C" w14:textId="77777777" w:rsidR="00C4579C" w:rsidRPr="00F92CC6" w:rsidRDefault="00C4579C" w:rsidP="00F92CC6">
      <w:pPr>
        <w:autoSpaceDE w:val="0"/>
        <w:autoSpaceDN w:val="0"/>
        <w:adjustRightInd w:val="0"/>
        <w:spacing w:after="0" w:line="240" w:lineRule="auto"/>
        <w:ind w:firstLine="1440"/>
        <w:jc w:val="both"/>
        <w:rPr>
          <w:rFonts w:ascii="Times New Roman" w:hAnsi="Times New Roman" w:cs="Times New Roman"/>
          <w:sz w:val="24"/>
          <w:szCs w:val="24"/>
        </w:rPr>
      </w:pPr>
      <w:r w:rsidRPr="00F92CC6">
        <w:rPr>
          <w:rFonts w:ascii="Times New Roman" w:hAnsi="Times New Roman" w:cs="Times New Roman"/>
          <w:sz w:val="24"/>
          <w:szCs w:val="24"/>
        </w:rPr>
        <w:t>Pomorsko dobro koje se daje u koncesiju u svrhu izgradnje i korištenja magistralnog plinovoda Zlobin-Omišalj DN 1000/100 obuhvaća dio kopna na di</w:t>
      </w:r>
      <w:r w:rsidR="009F44BC" w:rsidRPr="00F92CC6">
        <w:rPr>
          <w:rFonts w:ascii="Times New Roman" w:hAnsi="Times New Roman" w:cs="Times New Roman"/>
          <w:sz w:val="24"/>
          <w:szCs w:val="24"/>
        </w:rPr>
        <w:t>jelu k.č.br. 4220/6 k.o. Šmrika i</w:t>
      </w:r>
      <w:r w:rsidRPr="00F92CC6">
        <w:rPr>
          <w:rFonts w:ascii="Times New Roman" w:hAnsi="Times New Roman" w:cs="Times New Roman"/>
          <w:sz w:val="24"/>
          <w:szCs w:val="24"/>
        </w:rPr>
        <w:t xml:space="preserve"> dijelu k.č.br 43 k.o. Omišalj-Njivice, te dio podmorja za polaganje plinovoda i kabela katodne zaštite.</w:t>
      </w:r>
    </w:p>
    <w:p w14:paraId="6C2F362D" w14:textId="77777777" w:rsidR="00C4579C" w:rsidRPr="00F92CC6" w:rsidRDefault="00C4579C" w:rsidP="00F92CC6">
      <w:pPr>
        <w:autoSpaceDE w:val="0"/>
        <w:autoSpaceDN w:val="0"/>
        <w:adjustRightInd w:val="0"/>
        <w:spacing w:after="0" w:line="240" w:lineRule="auto"/>
        <w:jc w:val="both"/>
        <w:rPr>
          <w:rFonts w:ascii="Times New Roman" w:hAnsi="Times New Roman" w:cs="Times New Roman"/>
          <w:sz w:val="24"/>
          <w:szCs w:val="24"/>
        </w:rPr>
      </w:pPr>
    </w:p>
    <w:p w14:paraId="6C2F362E" w14:textId="77777777" w:rsidR="00C4579C" w:rsidRPr="00F92CC6" w:rsidRDefault="00C4579C" w:rsidP="00F92CC6">
      <w:pPr>
        <w:autoSpaceDE w:val="0"/>
        <w:autoSpaceDN w:val="0"/>
        <w:adjustRightInd w:val="0"/>
        <w:spacing w:after="0" w:line="240" w:lineRule="auto"/>
        <w:ind w:firstLine="1440"/>
        <w:jc w:val="both"/>
        <w:rPr>
          <w:rFonts w:ascii="Times New Roman" w:hAnsi="Times New Roman" w:cs="Times New Roman"/>
          <w:sz w:val="24"/>
          <w:szCs w:val="24"/>
        </w:rPr>
      </w:pPr>
      <w:r w:rsidRPr="00F92CC6">
        <w:rPr>
          <w:rFonts w:ascii="Times New Roman" w:hAnsi="Times New Roman" w:cs="Times New Roman"/>
          <w:sz w:val="24"/>
          <w:szCs w:val="24"/>
        </w:rPr>
        <w:lastRenderedPageBreak/>
        <w:t>Područje pomorskog dobra koje se daje u koncesiju obilježeno je poligonom točaka izraženim u HTRS96/TM koordinatnom sustavu kako slijedi:</w:t>
      </w:r>
    </w:p>
    <w:p w14:paraId="6C2F362F" w14:textId="77777777" w:rsidR="00C4579C" w:rsidRPr="00F92CC6" w:rsidRDefault="00C4579C" w:rsidP="00F92CC6">
      <w:pPr>
        <w:autoSpaceDE w:val="0"/>
        <w:autoSpaceDN w:val="0"/>
        <w:adjustRightInd w:val="0"/>
        <w:spacing w:after="0" w:line="240" w:lineRule="auto"/>
        <w:jc w:val="both"/>
        <w:rPr>
          <w:rFonts w:ascii="Times New Roman" w:hAnsi="Times New Roman" w:cs="Times New Roman"/>
          <w:sz w:val="24"/>
          <w:szCs w:val="24"/>
        </w:rPr>
      </w:pPr>
    </w:p>
    <w:p w14:paraId="6C2F3630" w14:textId="77777777" w:rsidR="00C4579C" w:rsidRPr="00F92CC6" w:rsidRDefault="00C4579C" w:rsidP="00F92CC6">
      <w:pPr>
        <w:pStyle w:val="ListParagraph"/>
        <w:numPr>
          <w:ilvl w:val="0"/>
          <w:numId w:val="1"/>
        </w:numPr>
        <w:autoSpaceDE w:val="0"/>
        <w:autoSpaceDN w:val="0"/>
        <w:adjustRightInd w:val="0"/>
        <w:spacing w:after="0" w:line="240" w:lineRule="auto"/>
        <w:ind w:left="1418" w:hanging="709"/>
        <w:jc w:val="both"/>
        <w:rPr>
          <w:rFonts w:ascii="Times New Roman" w:hAnsi="Times New Roman" w:cs="Times New Roman"/>
          <w:sz w:val="24"/>
          <w:szCs w:val="24"/>
        </w:rPr>
      </w:pPr>
      <w:r w:rsidRPr="00F92CC6">
        <w:rPr>
          <w:rFonts w:ascii="Times New Roman" w:hAnsi="Times New Roman" w:cs="Times New Roman"/>
          <w:bCs/>
          <w:sz w:val="24"/>
          <w:szCs w:val="24"/>
        </w:rPr>
        <w:t>Pojas plinovoda 5+5 metara i katodne zaštite 2,5+2,5 metra za k.č.br. 4220/6 k.o. Šmrika površine 145 m</w:t>
      </w:r>
      <w:r w:rsidRPr="00F92CC6">
        <w:rPr>
          <w:rFonts w:ascii="Times New Roman" w:hAnsi="Times New Roman" w:cs="Times New Roman"/>
          <w:bCs/>
          <w:sz w:val="24"/>
          <w:szCs w:val="24"/>
          <w:vertAlign w:val="superscript"/>
        </w:rPr>
        <w:t>2</w:t>
      </w:r>
    </w:p>
    <w:p w14:paraId="6C2F3631" w14:textId="77777777" w:rsidR="00C4579C" w:rsidRPr="00F92CC6" w:rsidRDefault="00C4579C" w:rsidP="00F92CC6">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851"/>
        <w:gridCol w:w="2693"/>
        <w:gridCol w:w="2410"/>
      </w:tblGrid>
      <w:tr w:rsidR="00C4579C" w:rsidRPr="00F92CC6" w14:paraId="6C2F3635" w14:textId="77777777" w:rsidTr="00F92CC6">
        <w:trPr>
          <w:trHeight w:val="276"/>
          <w:jc w:val="center"/>
        </w:trPr>
        <w:tc>
          <w:tcPr>
            <w:tcW w:w="851" w:type="dxa"/>
            <w:vMerge w:val="restart"/>
            <w:hideMark/>
          </w:tcPr>
          <w:p w14:paraId="6C2F3632"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Broj točke</w:t>
            </w:r>
          </w:p>
        </w:tc>
        <w:tc>
          <w:tcPr>
            <w:tcW w:w="2693" w:type="dxa"/>
            <w:vMerge w:val="restart"/>
            <w:vAlign w:val="center"/>
            <w:hideMark/>
          </w:tcPr>
          <w:p w14:paraId="6C2F3633"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E</w:t>
            </w:r>
          </w:p>
        </w:tc>
        <w:tc>
          <w:tcPr>
            <w:tcW w:w="2410" w:type="dxa"/>
            <w:vMerge w:val="restart"/>
            <w:vAlign w:val="center"/>
            <w:hideMark/>
          </w:tcPr>
          <w:p w14:paraId="6C2F3634"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 xml:space="preserve">N </w:t>
            </w:r>
          </w:p>
        </w:tc>
      </w:tr>
      <w:tr w:rsidR="00C4579C" w:rsidRPr="00F92CC6" w14:paraId="6C2F3639" w14:textId="77777777" w:rsidTr="00F92CC6">
        <w:trPr>
          <w:trHeight w:val="276"/>
          <w:jc w:val="center"/>
        </w:trPr>
        <w:tc>
          <w:tcPr>
            <w:tcW w:w="851" w:type="dxa"/>
            <w:vMerge/>
            <w:hideMark/>
          </w:tcPr>
          <w:p w14:paraId="6C2F3636" w14:textId="77777777" w:rsidR="00C4579C" w:rsidRPr="00F92CC6" w:rsidRDefault="00C4579C" w:rsidP="00F92CC6">
            <w:pPr>
              <w:autoSpaceDE w:val="0"/>
              <w:autoSpaceDN w:val="0"/>
              <w:adjustRightInd w:val="0"/>
              <w:jc w:val="center"/>
              <w:rPr>
                <w:rFonts w:ascii="Times New Roman" w:hAnsi="Times New Roman" w:cs="Times New Roman"/>
                <w:sz w:val="24"/>
                <w:szCs w:val="24"/>
              </w:rPr>
            </w:pPr>
          </w:p>
        </w:tc>
        <w:tc>
          <w:tcPr>
            <w:tcW w:w="2693" w:type="dxa"/>
            <w:vMerge/>
            <w:hideMark/>
          </w:tcPr>
          <w:p w14:paraId="6C2F3637" w14:textId="77777777" w:rsidR="00C4579C" w:rsidRPr="00F92CC6" w:rsidRDefault="00C4579C" w:rsidP="00F92CC6">
            <w:pPr>
              <w:autoSpaceDE w:val="0"/>
              <w:autoSpaceDN w:val="0"/>
              <w:adjustRightInd w:val="0"/>
              <w:jc w:val="center"/>
              <w:rPr>
                <w:rFonts w:ascii="Times New Roman" w:hAnsi="Times New Roman" w:cs="Times New Roman"/>
                <w:sz w:val="24"/>
                <w:szCs w:val="24"/>
              </w:rPr>
            </w:pPr>
          </w:p>
        </w:tc>
        <w:tc>
          <w:tcPr>
            <w:tcW w:w="2410" w:type="dxa"/>
            <w:vMerge/>
            <w:hideMark/>
          </w:tcPr>
          <w:p w14:paraId="6C2F3638" w14:textId="77777777" w:rsidR="00C4579C" w:rsidRPr="00F92CC6" w:rsidRDefault="00C4579C" w:rsidP="00F92CC6">
            <w:pPr>
              <w:autoSpaceDE w:val="0"/>
              <w:autoSpaceDN w:val="0"/>
              <w:adjustRightInd w:val="0"/>
              <w:jc w:val="center"/>
              <w:rPr>
                <w:rFonts w:ascii="Times New Roman" w:hAnsi="Times New Roman" w:cs="Times New Roman"/>
                <w:sz w:val="24"/>
                <w:szCs w:val="24"/>
              </w:rPr>
            </w:pPr>
          </w:p>
        </w:tc>
      </w:tr>
      <w:tr w:rsidR="00C4579C" w:rsidRPr="00F92CC6" w14:paraId="6C2F363D" w14:textId="77777777" w:rsidTr="00F92CC6">
        <w:trPr>
          <w:trHeight w:val="240"/>
          <w:jc w:val="center"/>
        </w:trPr>
        <w:tc>
          <w:tcPr>
            <w:tcW w:w="851" w:type="dxa"/>
            <w:noWrap/>
            <w:hideMark/>
          </w:tcPr>
          <w:p w14:paraId="6C2F363A"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PL5</w:t>
            </w:r>
          </w:p>
        </w:tc>
        <w:tc>
          <w:tcPr>
            <w:tcW w:w="2693" w:type="dxa"/>
            <w:noWrap/>
            <w:hideMark/>
          </w:tcPr>
          <w:p w14:paraId="6C2F363B"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350375.31</w:t>
            </w:r>
          </w:p>
        </w:tc>
        <w:tc>
          <w:tcPr>
            <w:tcW w:w="2410" w:type="dxa"/>
            <w:noWrap/>
            <w:hideMark/>
          </w:tcPr>
          <w:p w14:paraId="6C2F363C"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5013245.69</w:t>
            </w:r>
          </w:p>
        </w:tc>
      </w:tr>
      <w:tr w:rsidR="00C4579C" w:rsidRPr="00F92CC6" w14:paraId="6C2F3641" w14:textId="77777777" w:rsidTr="00F92CC6">
        <w:trPr>
          <w:trHeight w:val="240"/>
          <w:jc w:val="center"/>
        </w:trPr>
        <w:tc>
          <w:tcPr>
            <w:tcW w:w="851" w:type="dxa"/>
            <w:noWrap/>
            <w:hideMark/>
          </w:tcPr>
          <w:p w14:paraId="6C2F363E"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PL6</w:t>
            </w:r>
          </w:p>
        </w:tc>
        <w:tc>
          <w:tcPr>
            <w:tcW w:w="2693" w:type="dxa"/>
            <w:noWrap/>
            <w:hideMark/>
          </w:tcPr>
          <w:p w14:paraId="6C2F363F"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350366.30</w:t>
            </w:r>
          </w:p>
        </w:tc>
        <w:tc>
          <w:tcPr>
            <w:tcW w:w="2410" w:type="dxa"/>
            <w:noWrap/>
            <w:hideMark/>
          </w:tcPr>
          <w:p w14:paraId="6C2F3640"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5013250.62</w:t>
            </w:r>
          </w:p>
        </w:tc>
      </w:tr>
      <w:tr w:rsidR="00C4579C" w:rsidRPr="00F92CC6" w14:paraId="6C2F3645" w14:textId="77777777" w:rsidTr="00F92CC6">
        <w:trPr>
          <w:trHeight w:val="240"/>
          <w:jc w:val="center"/>
        </w:trPr>
        <w:tc>
          <w:tcPr>
            <w:tcW w:w="851" w:type="dxa"/>
            <w:noWrap/>
            <w:hideMark/>
          </w:tcPr>
          <w:p w14:paraId="6C2F3642"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PL5a</w:t>
            </w:r>
          </w:p>
        </w:tc>
        <w:tc>
          <w:tcPr>
            <w:tcW w:w="2693" w:type="dxa"/>
            <w:noWrap/>
            <w:hideMark/>
          </w:tcPr>
          <w:p w14:paraId="6C2F3643"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350384.08</w:t>
            </w:r>
          </w:p>
        </w:tc>
        <w:tc>
          <w:tcPr>
            <w:tcW w:w="2410" w:type="dxa"/>
            <w:noWrap/>
            <w:hideMark/>
          </w:tcPr>
          <w:p w14:paraId="6C2F3644"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5013255.50</w:t>
            </w:r>
          </w:p>
        </w:tc>
      </w:tr>
      <w:tr w:rsidR="00C4579C" w:rsidRPr="00F92CC6" w14:paraId="6C2F3649" w14:textId="77777777" w:rsidTr="00F92CC6">
        <w:trPr>
          <w:trHeight w:val="240"/>
          <w:jc w:val="center"/>
        </w:trPr>
        <w:tc>
          <w:tcPr>
            <w:tcW w:w="851" w:type="dxa"/>
            <w:noWrap/>
            <w:hideMark/>
          </w:tcPr>
          <w:p w14:paraId="6C2F3646"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PL6a</w:t>
            </w:r>
          </w:p>
        </w:tc>
        <w:tc>
          <w:tcPr>
            <w:tcW w:w="2693" w:type="dxa"/>
            <w:noWrap/>
            <w:hideMark/>
          </w:tcPr>
          <w:p w14:paraId="6C2F3647"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350375.21</w:t>
            </w:r>
          </w:p>
        </w:tc>
        <w:tc>
          <w:tcPr>
            <w:tcW w:w="2410" w:type="dxa"/>
            <w:noWrap/>
            <w:hideMark/>
          </w:tcPr>
          <w:p w14:paraId="6C2F3648"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5013260.58</w:t>
            </w:r>
          </w:p>
        </w:tc>
      </w:tr>
      <w:tr w:rsidR="00C4579C" w:rsidRPr="00F92CC6" w14:paraId="6C2F364D" w14:textId="77777777" w:rsidTr="00F92CC6">
        <w:trPr>
          <w:trHeight w:val="240"/>
          <w:jc w:val="center"/>
        </w:trPr>
        <w:tc>
          <w:tcPr>
            <w:tcW w:w="851" w:type="dxa"/>
            <w:noWrap/>
            <w:hideMark/>
          </w:tcPr>
          <w:p w14:paraId="6C2F364A"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21</w:t>
            </w:r>
          </w:p>
        </w:tc>
        <w:tc>
          <w:tcPr>
            <w:tcW w:w="2693" w:type="dxa"/>
            <w:noWrap/>
            <w:hideMark/>
          </w:tcPr>
          <w:p w14:paraId="6C2F364B"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350364.36</w:t>
            </w:r>
          </w:p>
        </w:tc>
        <w:tc>
          <w:tcPr>
            <w:tcW w:w="2410" w:type="dxa"/>
            <w:noWrap/>
            <w:hideMark/>
          </w:tcPr>
          <w:p w14:paraId="6C2F364C"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5013251.63</w:t>
            </w:r>
          </w:p>
        </w:tc>
      </w:tr>
      <w:tr w:rsidR="00C4579C" w:rsidRPr="00F92CC6" w14:paraId="6C2F3651" w14:textId="77777777" w:rsidTr="00F92CC6">
        <w:trPr>
          <w:trHeight w:val="240"/>
          <w:jc w:val="center"/>
        </w:trPr>
        <w:tc>
          <w:tcPr>
            <w:tcW w:w="851" w:type="dxa"/>
            <w:noWrap/>
            <w:hideMark/>
          </w:tcPr>
          <w:p w14:paraId="6C2F364E"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22</w:t>
            </w:r>
          </w:p>
        </w:tc>
        <w:tc>
          <w:tcPr>
            <w:tcW w:w="2693" w:type="dxa"/>
            <w:noWrap/>
            <w:hideMark/>
          </w:tcPr>
          <w:p w14:paraId="6C2F364F"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350373.64</w:t>
            </w:r>
          </w:p>
        </w:tc>
        <w:tc>
          <w:tcPr>
            <w:tcW w:w="2410" w:type="dxa"/>
            <w:noWrap/>
            <w:hideMark/>
          </w:tcPr>
          <w:p w14:paraId="6C2F3650"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5013258.83</w:t>
            </w:r>
          </w:p>
        </w:tc>
      </w:tr>
    </w:tbl>
    <w:p w14:paraId="6C2F3652" w14:textId="77777777" w:rsidR="00C4579C" w:rsidRPr="00F92CC6" w:rsidRDefault="00C4579C" w:rsidP="00F92CC6">
      <w:pPr>
        <w:autoSpaceDE w:val="0"/>
        <w:autoSpaceDN w:val="0"/>
        <w:adjustRightInd w:val="0"/>
        <w:spacing w:after="0" w:line="240" w:lineRule="auto"/>
        <w:jc w:val="both"/>
        <w:rPr>
          <w:rFonts w:ascii="Times New Roman" w:hAnsi="Times New Roman" w:cs="Times New Roman"/>
          <w:sz w:val="24"/>
          <w:szCs w:val="24"/>
        </w:rPr>
      </w:pPr>
    </w:p>
    <w:p w14:paraId="6C2F3653" w14:textId="77777777" w:rsidR="00C4579C" w:rsidRPr="00F92CC6" w:rsidRDefault="00C4579C" w:rsidP="00F92CC6">
      <w:pPr>
        <w:autoSpaceDE w:val="0"/>
        <w:autoSpaceDN w:val="0"/>
        <w:adjustRightInd w:val="0"/>
        <w:spacing w:after="0" w:line="240" w:lineRule="auto"/>
        <w:jc w:val="both"/>
        <w:rPr>
          <w:rFonts w:ascii="Times New Roman" w:hAnsi="Times New Roman" w:cs="Times New Roman"/>
          <w:sz w:val="24"/>
          <w:szCs w:val="24"/>
        </w:rPr>
      </w:pPr>
    </w:p>
    <w:p w14:paraId="6C2F3654" w14:textId="77777777" w:rsidR="00C4579C" w:rsidRPr="00F92CC6" w:rsidRDefault="00C4579C" w:rsidP="00F92CC6">
      <w:pPr>
        <w:pStyle w:val="ListParagraph"/>
        <w:numPr>
          <w:ilvl w:val="0"/>
          <w:numId w:val="1"/>
        </w:numPr>
        <w:autoSpaceDE w:val="0"/>
        <w:autoSpaceDN w:val="0"/>
        <w:adjustRightInd w:val="0"/>
        <w:spacing w:after="0" w:line="240" w:lineRule="auto"/>
        <w:ind w:left="1418" w:hanging="709"/>
        <w:jc w:val="both"/>
        <w:rPr>
          <w:rFonts w:ascii="Times New Roman" w:hAnsi="Times New Roman" w:cs="Times New Roman"/>
          <w:sz w:val="24"/>
          <w:szCs w:val="24"/>
        </w:rPr>
      </w:pPr>
      <w:r w:rsidRPr="00F92CC6">
        <w:rPr>
          <w:rFonts w:ascii="Times New Roman" w:hAnsi="Times New Roman" w:cs="Times New Roman"/>
          <w:bCs/>
          <w:sz w:val="24"/>
          <w:szCs w:val="24"/>
        </w:rPr>
        <w:t>Pojasa plinovoda 5+5 metara i katodne zaštite 2,5+2,5 m</w:t>
      </w:r>
      <w:r w:rsidR="00F92CC6">
        <w:rPr>
          <w:rFonts w:ascii="Times New Roman" w:hAnsi="Times New Roman" w:cs="Times New Roman"/>
          <w:bCs/>
          <w:sz w:val="24"/>
          <w:szCs w:val="24"/>
        </w:rPr>
        <w:t>et</w:t>
      </w:r>
      <w:r w:rsidRPr="00F92CC6">
        <w:rPr>
          <w:rFonts w:ascii="Times New Roman" w:hAnsi="Times New Roman" w:cs="Times New Roman"/>
          <w:bCs/>
          <w:sz w:val="24"/>
          <w:szCs w:val="24"/>
        </w:rPr>
        <w:t>ra za k.č.br. 43 k.o. Omišalj-Njivice, površine 156 m</w:t>
      </w:r>
      <w:r w:rsidRPr="00F92CC6">
        <w:rPr>
          <w:rFonts w:ascii="Times New Roman" w:hAnsi="Times New Roman" w:cs="Times New Roman"/>
          <w:bCs/>
          <w:sz w:val="24"/>
          <w:szCs w:val="24"/>
          <w:vertAlign w:val="superscript"/>
        </w:rPr>
        <w:t>2</w:t>
      </w:r>
    </w:p>
    <w:p w14:paraId="6C2F3655" w14:textId="77777777" w:rsidR="00C4579C" w:rsidRPr="00F92CC6" w:rsidRDefault="00C4579C" w:rsidP="00F92CC6">
      <w:pPr>
        <w:pStyle w:val="ListParagraph"/>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5"/>
        <w:gridCol w:w="2551"/>
        <w:gridCol w:w="2552"/>
      </w:tblGrid>
      <w:tr w:rsidR="00C4579C" w:rsidRPr="00F92CC6" w14:paraId="6C2F3659" w14:textId="77777777" w:rsidTr="00F92CC6">
        <w:trPr>
          <w:trHeight w:val="276"/>
          <w:jc w:val="center"/>
        </w:trPr>
        <w:tc>
          <w:tcPr>
            <w:tcW w:w="905" w:type="dxa"/>
            <w:vMerge w:val="restart"/>
            <w:hideMark/>
          </w:tcPr>
          <w:p w14:paraId="6C2F3656"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Broj točke</w:t>
            </w:r>
          </w:p>
        </w:tc>
        <w:tc>
          <w:tcPr>
            <w:tcW w:w="2551" w:type="dxa"/>
            <w:vMerge w:val="restart"/>
            <w:vAlign w:val="center"/>
            <w:hideMark/>
          </w:tcPr>
          <w:p w14:paraId="6C2F3657"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 xml:space="preserve">E </w:t>
            </w:r>
          </w:p>
        </w:tc>
        <w:tc>
          <w:tcPr>
            <w:tcW w:w="2552" w:type="dxa"/>
            <w:vMerge w:val="restart"/>
            <w:vAlign w:val="center"/>
            <w:hideMark/>
          </w:tcPr>
          <w:p w14:paraId="6C2F3658"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 xml:space="preserve">N </w:t>
            </w:r>
          </w:p>
        </w:tc>
      </w:tr>
      <w:tr w:rsidR="00C4579C" w:rsidRPr="00F92CC6" w14:paraId="6C2F365D" w14:textId="77777777" w:rsidTr="00F92CC6">
        <w:trPr>
          <w:trHeight w:val="276"/>
          <w:jc w:val="center"/>
        </w:trPr>
        <w:tc>
          <w:tcPr>
            <w:tcW w:w="905" w:type="dxa"/>
            <w:vMerge/>
            <w:hideMark/>
          </w:tcPr>
          <w:p w14:paraId="6C2F365A" w14:textId="77777777" w:rsidR="00C4579C" w:rsidRPr="00F92CC6" w:rsidRDefault="00C4579C" w:rsidP="00F92CC6">
            <w:pPr>
              <w:autoSpaceDE w:val="0"/>
              <w:autoSpaceDN w:val="0"/>
              <w:adjustRightInd w:val="0"/>
              <w:jc w:val="center"/>
              <w:rPr>
                <w:rFonts w:ascii="Times New Roman" w:hAnsi="Times New Roman" w:cs="Times New Roman"/>
                <w:sz w:val="24"/>
                <w:szCs w:val="24"/>
              </w:rPr>
            </w:pPr>
          </w:p>
        </w:tc>
        <w:tc>
          <w:tcPr>
            <w:tcW w:w="2551" w:type="dxa"/>
            <w:vMerge/>
            <w:hideMark/>
          </w:tcPr>
          <w:p w14:paraId="6C2F365B" w14:textId="77777777" w:rsidR="00C4579C" w:rsidRPr="00F92CC6" w:rsidRDefault="00C4579C" w:rsidP="00F92CC6">
            <w:pPr>
              <w:autoSpaceDE w:val="0"/>
              <w:autoSpaceDN w:val="0"/>
              <w:adjustRightInd w:val="0"/>
              <w:jc w:val="center"/>
              <w:rPr>
                <w:rFonts w:ascii="Times New Roman" w:hAnsi="Times New Roman" w:cs="Times New Roman"/>
                <w:sz w:val="24"/>
                <w:szCs w:val="24"/>
              </w:rPr>
            </w:pPr>
          </w:p>
        </w:tc>
        <w:tc>
          <w:tcPr>
            <w:tcW w:w="2552" w:type="dxa"/>
            <w:vMerge/>
            <w:hideMark/>
          </w:tcPr>
          <w:p w14:paraId="6C2F365C" w14:textId="77777777" w:rsidR="00C4579C" w:rsidRPr="00F92CC6" w:rsidRDefault="00C4579C" w:rsidP="00F92CC6">
            <w:pPr>
              <w:autoSpaceDE w:val="0"/>
              <w:autoSpaceDN w:val="0"/>
              <w:adjustRightInd w:val="0"/>
              <w:jc w:val="center"/>
              <w:rPr>
                <w:rFonts w:ascii="Times New Roman" w:hAnsi="Times New Roman" w:cs="Times New Roman"/>
                <w:sz w:val="24"/>
                <w:szCs w:val="24"/>
              </w:rPr>
            </w:pPr>
          </w:p>
        </w:tc>
      </w:tr>
      <w:tr w:rsidR="00C4579C" w:rsidRPr="00F92CC6" w14:paraId="6C2F3661" w14:textId="77777777" w:rsidTr="00F92CC6">
        <w:trPr>
          <w:trHeight w:val="240"/>
          <w:jc w:val="center"/>
        </w:trPr>
        <w:tc>
          <w:tcPr>
            <w:tcW w:w="905" w:type="dxa"/>
            <w:noWrap/>
            <w:hideMark/>
          </w:tcPr>
          <w:p w14:paraId="6C2F365E"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PL1</w:t>
            </w:r>
          </w:p>
        </w:tc>
        <w:tc>
          <w:tcPr>
            <w:tcW w:w="2551" w:type="dxa"/>
            <w:noWrap/>
            <w:hideMark/>
          </w:tcPr>
          <w:p w14:paraId="6C2F365F"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349908.56</w:t>
            </w:r>
          </w:p>
        </w:tc>
        <w:tc>
          <w:tcPr>
            <w:tcW w:w="2552" w:type="dxa"/>
            <w:noWrap/>
            <w:hideMark/>
          </w:tcPr>
          <w:p w14:paraId="6C2F3660"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5012723.60</w:t>
            </w:r>
          </w:p>
        </w:tc>
      </w:tr>
      <w:tr w:rsidR="00C4579C" w:rsidRPr="00F92CC6" w14:paraId="6C2F3665" w14:textId="77777777" w:rsidTr="00F92CC6">
        <w:trPr>
          <w:trHeight w:val="240"/>
          <w:jc w:val="center"/>
        </w:trPr>
        <w:tc>
          <w:tcPr>
            <w:tcW w:w="905" w:type="dxa"/>
            <w:noWrap/>
            <w:hideMark/>
          </w:tcPr>
          <w:p w14:paraId="6C2F3662"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PL2</w:t>
            </w:r>
          </w:p>
        </w:tc>
        <w:tc>
          <w:tcPr>
            <w:tcW w:w="2551" w:type="dxa"/>
            <w:noWrap/>
            <w:hideMark/>
          </w:tcPr>
          <w:p w14:paraId="6C2F3663"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349901.11</w:t>
            </w:r>
          </w:p>
        </w:tc>
        <w:tc>
          <w:tcPr>
            <w:tcW w:w="2552" w:type="dxa"/>
            <w:noWrap/>
            <w:hideMark/>
          </w:tcPr>
          <w:p w14:paraId="6C2F3664"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5012730.28</w:t>
            </w:r>
          </w:p>
        </w:tc>
      </w:tr>
      <w:tr w:rsidR="00C4579C" w:rsidRPr="00F92CC6" w14:paraId="6C2F3669" w14:textId="77777777" w:rsidTr="00F92CC6">
        <w:trPr>
          <w:trHeight w:val="240"/>
          <w:jc w:val="center"/>
        </w:trPr>
        <w:tc>
          <w:tcPr>
            <w:tcW w:w="905" w:type="dxa"/>
            <w:noWrap/>
            <w:hideMark/>
          </w:tcPr>
          <w:p w14:paraId="6C2F3666"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PL1a</w:t>
            </w:r>
          </w:p>
        </w:tc>
        <w:tc>
          <w:tcPr>
            <w:tcW w:w="2551" w:type="dxa"/>
            <w:noWrap/>
            <w:hideMark/>
          </w:tcPr>
          <w:p w14:paraId="6C2F3667"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349900.08</w:t>
            </w:r>
          </w:p>
        </w:tc>
        <w:tc>
          <w:tcPr>
            <w:tcW w:w="2552" w:type="dxa"/>
            <w:noWrap/>
            <w:hideMark/>
          </w:tcPr>
          <w:p w14:paraId="6C2F3668"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5012714.12</w:t>
            </w:r>
          </w:p>
        </w:tc>
      </w:tr>
      <w:tr w:rsidR="00C4579C" w:rsidRPr="00F92CC6" w14:paraId="6C2F366D" w14:textId="77777777" w:rsidTr="00F92CC6">
        <w:trPr>
          <w:trHeight w:val="240"/>
          <w:jc w:val="center"/>
        </w:trPr>
        <w:tc>
          <w:tcPr>
            <w:tcW w:w="905" w:type="dxa"/>
            <w:noWrap/>
            <w:hideMark/>
          </w:tcPr>
          <w:p w14:paraId="6C2F366A"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PL2a</w:t>
            </w:r>
          </w:p>
        </w:tc>
        <w:tc>
          <w:tcPr>
            <w:tcW w:w="2551" w:type="dxa"/>
            <w:noWrap/>
            <w:hideMark/>
          </w:tcPr>
          <w:p w14:paraId="6C2F366B"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349891.36</w:t>
            </w:r>
          </w:p>
        </w:tc>
        <w:tc>
          <w:tcPr>
            <w:tcW w:w="2552" w:type="dxa"/>
            <w:noWrap/>
            <w:hideMark/>
          </w:tcPr>
          <w:p w14:paraId="6C2F366C"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5012722.85</w:t>
            </w:r>
          </w:p>
        </w:tc>
      </w:tr>
      <w:tr w:rsidR="00C4579C" w:rsidRPr="00F92CC6" w14:paraId="6C2F3671" w14:textId="77777777" w:rsidTr="00F92CC6">
        <w:trPr>
          <w:trHeight w:val="240"/>
          <w:jc w:val="center"/>
        </w:trPr>
        <w:tc>
          <w:tcPr>
            <w:tcW w:w="905" w:type="dxa"/>
            <w:noWrap/>
            <w:hideMark/>
          </w:tcPr>
          <w:p w14:paraId="6C2F366E"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1a</w:t>
            </w:r>
          </w:p>
        </w:tc>
        <w:tc>
          <w:tcPr>
            <w:tcW w:w="2551" w:type="dxa"/>
            <w:noWrap/>
            <w:hideMark/>
          </w:tcPr>
          <w:p w14:paraId="6C2F366F"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349899.33</w:t>
            </w:r>
          </w:p>
        </w:tc>
        <w:tc>
          <w:tcPr>
            <w:tcW w:w="2552" w:type="dxa"/>
            <w:noWrap/>
            <w:hideMark/>
          </w:tcPr>
          <w:p w14:paraId="6C2F3670"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5012732.03</w:t>
            </w:r>
          </w:p>
        </w:tc>
      </w:tr>
    </w:tbl>
    <w:p w14:paraId="6C2F3672" w14:textId="77777777" w:rsidR="00C4579C" w:rsidRPr="00F92CC6" w:rsidRDefault="00C4579C" w:rsidP="00F92CC6">
      <w:pPr>
        <w:autoSpaceDE w:val="0"/>
        <w:autoSpaceDN w:val="0"/>
        <w:adjustRightInd w:val="0"/>
        <w:spacing w:after="0" w:line="240" w:lineRule="auto"/>
        <w:jc w:val="both"/>
        <w:rPr>
          <w:rFonts w:ascii="Times New Roman" w:hAnsi="Times New Roman" w:cs="Times New Roman"/>
          <w:sz w:val="24"/>
          <w:szCs w:val="24"/>
        </w:rPr>
      </w:pPr>
    </w:p>
    <w:p w14:paraId="6C2F3673" w14:textId="77777777" w:rsidR="00C4579C" w:rsidRPr="00F92CC6" w:rsidRDefault="00C4579C" w:rsidP="00F92CC6">
      <w:pPr>
        <w:autoSpaceDE w:val="0"/>
        <w:autoSpaceDN w:val="0"/>
        <w:adjustRightInd w:val="0"/>
        <w:spacing w:after="0" w:line="240" w:lineRule="auto"/>
        <w:jc w:val="both"/>
        <w:rPr>
          <w:rFonts w:ascii="Times New Roman" w:hAnsi="Times New Roman" w:cs="Times New Roman"/>
          <w:sz w:val="24"/>
          <w:szCs w:val="24"/>
        </w:rPr>
      </w:pPr>
    </w:p>
    <w:p w14:paraId="6C2F3674" w14:textId="77777777" w:rsidR="00C4579C" w:rsidRPr="00F92CC6" w:rsidRDefault="00C4579C" w:rsidP="00F92CC6">
      <w:pPr>
        <w:pStyle w:val="ListParagraph"/>
        <w:numPr>
          <w:ilvl w:val="0"/>
          <w:numId w:val="1"/>
        </w:numPr>
        <w:autoSpaceDE w:val="0"/>
        <w:autoSpaceDN w:val="0"/>
        <w:adjustRightInd w:val="0"/>
        <w:spacing w:after="0" w:line="240" w:lineRule="auto"/>
        <w:ind w:left="1418" w:hanging="709"/>
        <w:jc w:val="both"/>
        <w:rPr>
          <w:rFonts w:ascii="Times New Roman" w:hAnsi="Times New Roman" w:cs="Times New Roman"/>
          <w:sz w:val="24"/>
          <w:szCs w:val="24"/>
        </w:rPr>
      </w:pPr>
      <w:r w:rsidRPr="00F92CC6">
        <w:rPr>
          <w:rFonts w:ascii="Times New Roman" w:hAnsi="Times New Roman" w:cs="Times New Roman"/>
          <w:bCs/>
          <w:sz w:val="24"/>
          <w:szCs w:val="24"/>
        </w:rPr>
        <w:t>Pojas plinovoda 5+5 metara i katodne zaštite 2,5+2,5 m</w:t>
      </w:r>
      <w:r w:rsidR="00F92CC6">
        <w:rPr>
          <w:rFonts w:ascii="Times New Roman" w:hAnsi="Times New Roman" w:cs="Times New Roman"/>
          <w:bCs/>
          <w:sz w:val="24"/>
          <w:szCs w:val="24"/>
        </w:rPr>
        <w:t>et</w:t>
      </w:r>
      <w:r w:rsidRPr="00F92CC6">
        <w:rPr>
          <w:rFonts w:ascii="Times New Roman" w:hAnsi="Times New Roman" w:cs="Times New Roman"/>
          <w:bCs/>
          <w:sz w:val="24"/>
          <w:szCs w:val="24"/>
        </w:rPr>
        <w:t>ra u moru, površine 8.652 m</w:t>
      </w:r>
      <w:r w:rsidRPr="00F92CC6">
        <w:rPr>
          <w:rFonts w:ascii="Times New Roman" w:hAnsi="Times New Roman" w:cs="Times New Roman"/>
          <w:bCs/>
          <w:sz w:val="24"/>
          <w:szCs w:val="24"/>
          <w:vertAlign w:val="superscript"/>
        </w:rPr>
        <w:t>2</w:t>
      </w:r>
    </w:p>
    <w:p w14:paraId="6C2F3675" w14:textId="77777777" w:rsidR="00C4579C" w:rsidRPr="00F92CC6" w:rsidRDefault="00C4579C" w:rsidP="00F92CC6">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851"/>
        <w:gridCol w:w="2693"/>
        <w:gridCol w:w="2410"/>
      </w:tblGrid>
      <w:tr w:rsidR="00C4579C" w:rsidRPr="00F92CC6" w14:paraId="6C2F3679" w14:textId="77777777" w:rsidTr="00F92CC6">
        <w:trPr>
          <w:trHeight w:val="276"/>
          <w:jc w:val="center"/>
        </w:trPr>
        <w:tc>
          <w:tcPr>
            <w:tcW w:w="851" w:type="dxa"/>
            <w:vMerge w:val="restart"/>
            <w:hideMark/>
          </w:tcPr>
          <w:p w14:paraId="6C2F3676"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Broj točke</w:t>
            </w:r>
          </w:p>
        </w:tc>
        <w:tc>
          <w:tcPr>
            <w:tcW w:w="2693" w:type="dxa"/>
            <w:vMerge w:val="restart"/>
            <w:vAlign w:val="center"/>
            <w:hideMark/>
          </w:tcPr>
          <w:p w14:paraId="6C2F3677"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 xml:space="preserve">E </w:t>
            </w:r>
          </w:p>
        </w:tc>
        <w:tc>
          <w:tcPr>
            <w:tcW w:w="2410" w:type="dxa"/>
            <w:vMerge w:val="restart"/>
            <w:vAlign w:val="center"/>
            <w:hideMark/>
          </w:tcPr>
          <w:p w14:paraId="6C2F3678"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 xml:space="preserve">N </w:t>
            </w:r>
          </w:p>
        </w:tc>
      </w:tr>
      <w:tr w:rsidR="00C4579C" w:rsidRPr="00F92CC6" w14:paraId="6C2F367D" w14:textId="77777777" w:rsidTr="00F92CC6">
        <w:trPr>
          <w:trHeight w:val="276"/>
          <w:jc w:val="center"/>
        </w:trPr>
        <w:tc>
          <w:tcPr>
            <w:tcW w:w="851" w:type="dxa"/>
            <w:vMerge/>
            <w:hideMark/>
          </w:tcPr>
          <w:p w14:paraId="6C2F367A" w14:textId="77777777" w:rsidR="00C4579C" w:rsidRPr="00F92CC6" w:rsidRDefault="00C4579C" w:rsidP="00F92CC6">
            <w:pPr>
              <w:autoSpaceDE w:val="0"/>
              <w:autoSpaceDN w:val="0"/>
              <w:adjustRightInd w:val="0"/>
              <w:jc w:val="center"/>
              <w:rPr>
                <w:rFonts w:ascii="Times New Roman" w:hAnsi="Times New Roman" w:cs="Times New Roman"/>
                <w:sz w:val="24"/>
                <w:szCs w:val="24"/>
              </w:rPr>
            </w:pPr>
          </w:p>
        </w:tc>
        <w:tc>
          <w:tcPr>
            <w:tcW w:w="2693" w:type="dxa"/>
            <w:vMerge/>
            <w:hideMark/>
          </w:tcPr>
          <w:p w14:paraId="6C2F367B" w14:textId="77777777" w:rsidR="00C4579C" w:rsidRPr="00F92CC6" w:rsidRDefault="00C4579C" w:rsidP="00F92CC6">
            <w:pPr>
              <w:autoSpaceDE w:val="0"/>
              <w:autoSpaceDN w:val="0"/>
              <w:adjustRightInd w:val="0"/>
              <w:jc w:val="center"/>
              <w:rPr>
                <w:rFonts w:ascii="Times New Roman" w:hAnsi="Times New Roman" w:cs="Times New Roman"/>
                <w:sz w:val="24"/>
                <w:szCs w:val="24"/>
              </w:rPr>
            </w:pPr>
          </w:p>
        </w:tc>
        <w:tc>
          <w:tcPr>
            <w:tcW w:w="2410" w:type="dxa"/>
            <w:vMerge/>
            <w:hideMark/>
          </w:tcPr>
          <w:p w14:paraId="6C2F367C" w14:textId="77777777" w:rsidR="00C4579C" w:rsidRPr="00F92CC6" w:rsidRDefault="00C4579C" w:rsidP="00F92CC6">
            <w:pPr>
              <w:autoSpaceDE w:val="0"/>
              <w:autoSpaceDN w:val="0"/>
              <w:adjustRightInd w:val="0"/>
              <w:jc w:val="center"/>
              <w:rPr>
                <w:rFonts w:ascii="Times New Roman" w:hAnsi="Times New Roman" w:cs="Times New Roman"/>
                <w:sz w:val="24"/>
                <w:szCs w:val="24"/>
              </w:rPr>
            </w:pPr>
          </w:p>
        </w:tc>
      </w:tr>
      <w:tr w:rsidR="00C4579C" w:rsidRPr="00F92CC6" w14:paraId="6C2F3681" w14:textId="77777777" w:rsidTr="00F92CC6">
        <w:trPr>
          <w:trHeight w:val="222"/>
          <w:jc w:val="center"/>
        </w:trPr>
        <w:tc>
          <w:tcPr>
            <w:tcW w:w="851" w:type="dxa"/>
            <w:noWrap/>
            <w:hideMark/>
          </w:tcPr>
          <w:p w14:paraId="6C2F367E"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PL1</w:t>
            </w:r>
          </w:p>
        </w:tc>
        <w:tc>
          <w:tcPr>
            <w:tcW w:w="2693" w:type="dxa"/>
            <w:noWrap/>
            <w:hideMark/>
          </w:tcPr>
          <w:p w14:paraId="6C2F367F"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349908.56</w:t>
            </w:r>
          </w:p>
        </w:tc>
        <w:tc>
          <w:tcPr>
            <w:tcW w:w="2410" w:type="dxa"/>
            <w:noWrap/>
            <w:hideMark/>
          </w:tcPr>
          <w:p w14:paraId="6C2F3680"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5012723.60</w:t>
            </w:r>
          </w:p>
        </w:tc>
      </w:tr>
      <w:tr w:rsidR="00C4579C" w:rsidRPr="00F92CC6" w14:paraId="6C2F3685" w14:textId="77777777" w:rsidTr="00F92CC6">
        <w:trPr>
          <w:trHeight w:val="222"/>
          <w:jc w:val="center"/>
        </w:trPr>
        <w:tc>
          <w:tcPr>
            <w:tcW w:w="851" w:type="dxa"/>
            <w:noWrap/>
            <w:hideMark/>
          </w:tcPr>
          <w:p w14:paraId="6C2F3682"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PL2</w:t>
            </w:r>
          </w:p>
        </w:tc>
        <w:tc>
          <w:tcPr>
            <w:tcW w:w="2693" w:type="dxa"/>
            <w:noWrap/>
            <w:hideMark/>
          </w:tcPr>
          <w:p w14:paraId="6C2F3683"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349901.11</w:t>
            </w:r>
          </w:p>
        </w:tc>
        <w:tc>
          <w:tcPr>
            <w:tcW w:w="2410" w:type="dxa"/>
            <w:noWrap/>
            <w:hideMark/>
          </w:tcPr>
          <w:p w14:paraId="6C2F3684"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5012730.28</w:t>
            </w:r>
          </w:p>
        </w:tc>
      </w:tr>
      <w:tr w:rsidR="00C4579C" w:rsidRPr="00F92CC6" w14:paraId="6C2F3689" w14:textId="77777777" w:rsidTr="00F92CC6">
        <w:trPr>
          <w:trHeight w:val="222"/>
          <w:jc w:val="center"/>
        </w:trPr>
        <w:tc>
          <w:tcPr>
            <w:tcW w:w="851" w:type="dxa"/>
            <w:noWrap/>
            <w:hideMark/>
          </w:tcPr>
          <w:p w14:paraId="6C2F3686"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PL3</w:t>
            </w:r>
          </w:p>
        </w:tc>
        <w:tc>
          <w:tcPr>
            <w:tcW w:w="2693" w:type="dxa"/>
            <w:noWrap/>
            <w:hideMark/>
          </w:tcPr>
          <w:p w14:paraId="6C2F3687"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350140.92</w:t>
            </w:r>
          </w:p>
        </w:tc>
        <w:tc>
          <w:tcPr>
            <w:tcW w:w="2410" w:type="dxa"/>
            <w:noWrap/>
            <w:hideMark/>
          </w:tcPr>
          <w:p w14:paraId="6C2F3688"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5012983.52</w:t>
            </w:r>
          </w:p>
        </w:tc>
      </w:tr>
      <w:tr w:rsidR="00C4579C" w:rsidRPr="00F92CC6" w14:paraId="6C2F368D" w14:textId="77777777" w:rsidTr="00F92CC6">
        <w:trPr>
          <w:trHeight w:val="222"/>
          <w:jc w:val="center"/>
        </w:trPr>
        <w:tc>
          <w:tcPr>
            <w:tcW w:w="851" w:type="dxa"/>
            <w:noWrap/>
            <w:hideMark/>
          </w:tcPr>
          <w:p w14:paraId="6C2F368A"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PL4</w:t>
            </w:r>
          </w:p>
        </w:tc>
        <w:tc>
          <w:tcPr>
            <w:tcW w:w="2693" w:type="dxa"/>
            <w:noWrap/>
            <w:hideMark/>
          </w:tcPr>
          <w:p w14:paraId="6C2F368B"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350133.36</w:t>
            </w:r>
          </w:p>
        </w:tc>
        <w:tc>
          <w:tcPr>
            <w:tcW w:w="2410" w:type="dxa"/>
            <w:noWrap/>
            <w:hideMark/>
          </w:tcPr>
          <w:p w14:paraId="6C2F368C"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5012990.06</w:t>
            </w:r>
          </w:p>
        </w:tc>
      </w:tr>
      <w:tr w:rsidR="00C4579C" w:rsidRPr="00F92CC6" w14:paraId="6C2F3691" w14:textId="77777777" w:rsidTr="00F92CC6">
        <w:trPr>
          <w:trHeight w:val="222"/>
          <w:jc w:val="center"/>
        </w:trPr>
        <w:tc>
          <w:tcPr>
            <w:tcW w:w="851" w:type="dxa"/>
            <w:noWrap/>
            <w:hideMark/>
          </w:tcPr>
          <w:p w14:paraId="6C2F368E"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PL5</w:t>
            </w:r>
          </w:p>
        </w:tc>
        <w:tc>
          <w:tcPr>
            <w:tcW w:w="2693" w:type="dxa"/>
            <w:noWrap/>
            <w:hideMark/>
          </w:tcPr>
          <w:p w14:paraId="6C2F368F"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350375.31</w:t>
            </w:r>
          </w:p>
        </w:tc>
        <w:tc>
          <w:tcPr>
            <w:tcW w:w="2410" w:type="dxa"/>
            <w:noWrap/>
            <w:hideMark/>
          </w:tcPr>
          <w:p w14:paraId="6C2F3690"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5013245.69</w:t>
            </w:r>
          </w:p>
        </w:tc>
      </w:tr>
      <w:tr w:rsidR="00C4579C" w:rsidRPr="00F92CC6" w14:paraId="6C2F3695" w14:textId="77777777" w:rsidTr="00F92CC6">
        <w:trPr>
          <w:trHeight w:val="222"/>
          <w:jc w:val="center"/>
        </w:trPr>
        <w:tc>
          <w:tcPr>
            <w:tcW w:w="851" w:type="dxa"/>
            <w:noWrap/>
            <w:hideMark/>
          </w:tcPr>
          <w:p w14:paraId="6C2F3692"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PL6</w:t>
            </w:r>
          </w:p>
        </w:tc>
        <w:tc>
          <w:tcPr>
            <w:tcW w:w="2693" w:type="dxa"/>
            <w:noWrap/>
            <w:hideMark/>
          </w:tcPr>
          <w:p w14:paraId="6C2F3693"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350366.30</w:t>
            </w:r>
          </w:p>
        </w:tc>
        <w:tc>
          <w:tcPr>
            <w:tcW w:w="2410" w:type="dxa"/>
            <w:noWrap/>
            <w:hideMark/>
          </w:tcPr>
          <w:p w14:paraId="6C2F3694"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5013250.62</w:t>
            </w:r>
          </w:p>
        </w:tc>
      </w:tr>
      <w:tr w:rsidR="00C4579C" w:rsidRPr="00F92CC6" w14:paraId="6C2F3699" w14:textId="77777777" w:rsidTr="00F92CC6">
        <w:trPr>
          <w:trHeight w:val="222"/>
          <w:jc w:val="center"/>
        </w:trPr>
        <w:tc>
          <w:tcPr>
            <w:tcW w:w="851" w:type="dxa"/>
            <w:noWrap/>
            <w:hideMark/>
          </w:tcPr>
          <w:p w14:paraId="6C2F3696"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1a</w:t>
            </w:r>
          </w:p>
        </w:tc>
        <w:tc>
          <w:tcPr>
            <w:tcW w:w="2693" w:type="dxa"/>
            <w:noWrap/>
            <w:hideMark/>
          </w:tcPr>
          <w:p w14:paraId="6C2F3697"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349899.33</w:t>
            </w:r>
          </w:p>
        </w:tc>
        <w:tc>
          <w:tcPr>
            <w:tcW w:w="2410" w:type="dxa"/>
            <w:noWrap/>
            <w:hideMark/>
          </w:tcPr>
          <w:p w14:paraId="6C2F3698"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5012732.03</w:t>
            </w:r>
          </w:p>
        </w:tc>
      </w:tr>
      <w:tr w:rsidR="00C4579C" w:rsidRPr="00F92CC6" w14:paraId="6C2F369D" w14:textId="77777777" w:rsidTr="00F92CC6">
        <w:trPr>
          <w:trHeight w:val="222"/>
          <w:jc w:val="center"/>
        </w:trPr>
        <w:tc>
          <w:tcPr>
            <w:tcW w:w="851" w:type="dxa"/>
            <w:noWrap/>
            <w:hideMark/>
          </w:tcPr>
          <w:p w14:paraId="6C2F369A"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1</w:t>
            </w:r>
          </w:p>
        </w:tc>
        <w:tc>
          <w:tcPr>
            <w:tcW w:w="2693" w:type="dxa"/>
            <w:noWrap/>
            <w:hideMark/>
          </w:tcPr>
          <w:p w14:paraId="6C2F369B"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349911.27</w:t>
            </w:r>
          </w:p>
        </w:tc>
        <w:tc>
          <w:tcPr>
            <w:tcW w:w="2410" w:type="dxa"/>
            <w:noWrap/>
            <w:hideMark/>
          </w:tcPr>
          <w:p w14:paraId="6C2F369C"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5012745.79</w:t>
            </w:r>
          </w:p>
        </w:tc>
      </w:tr>
      <w:tr w:rsidR="00C4579C" w:rsidRPr="00F92CC6" w14:paraId="6C2F36A1" w14:textId="77777777" w:rsidTr="00F92CC6">
        <w:trPr>
          <w:trHeight w:val="222"/>
          <w:jc w:val="center"/>
        </w:trPr>
        <w:tc>
          <w:tcPr>
            <w:tcW w:w="851" w:type="dxa"/>
            <w:noWrap/>
            <w:hideMark/>
          </w:tcPr>
          <w:p w14:paraId="6C2F369E"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2</w:t>
            </w:r>
          </w:p>
        </w:tc>
        <w:tc>
          <w:tcPr>
            <w:tcW w:w="2693" w:type="dxa"/>
            <w:noWrap/>
            <w:hideMark/>
          </w:tcPr>
          <w:p w14:paraId="6C2F369F"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349916.74</w:t>
            </w:r>
          </w:p>
        </w:tc>
        <w:tc>
          <w:tcPr>
            <w:tcW w:w="2410" w:type="dxa"/>
            <w:noWrap/>
            <w:hideMark/>
          </w:tcPr>
          <w:p w14:paraId="6C2F36A0"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5012747.76</w:t>
            </w:r>
          </w:p>
        </w:tc>
      </w:tr>
      <w:tr w:rsidR="00C4579C" w:rsidRPr="00F92CC6" w14:paraId="6C2F36A5" w14:textId="77777777" w:rsidTr="00F92CC6">
        <w:trPr>
          <w:trHeight w:val="222"/>
          <w:jc w:val="center"/>
        </w:trPr>
        <w:tc>
          <w:tcPr>
            <w:tcW w:w="851" w:type="dxa"/>
            <w:noWrap/>
            <w:hideMark/>
          </w:tcPr>
          <w:p w14:paraId="6C2F36A2"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w:t>
            </w:r>
          </w:p>
        </w:tc>
        <w:tc>
          <w:tcPr>
            <w:tcW w:w="2693" w:type="dxa"/>
            <w:noWrap/>
            <w:hideMark/>
          </w:tcPr>
          <w:p w14:paraId="6C2F36A3"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349914.39</w:t>
            </w:r>
          </w:p>
        </w:tc>
        <w:tc>
          <w:tcPr>
            <w:tcW w:w="2410" w:type="dxa"/>
            <w:noWrap/>
            <w:hideMark/>
          </w:tcPr>
          <w:p w14:paraId="6C2F36A4"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5012768.27</w:t>
            </w:r>
          </w:p>
        </w:tc>
      </w:tr>
      <w:tr w:rsidR="00C4579C" w:rsidRPr="00F92CC6" w14:paraId="6C2F36A9" w14:textId="77777777" w:rsidTr="00F92CC6">
        <w:trPr>
          <w:trHeight w:val="222"/>
          <w:jc w:val="center"/>
        </w:trPr>
        <w:tc>
          <w:tcPr>
            <w:tcW w:w="851" w:type="dxa"/>
            <w:noWrap/>
            <w:hideMark/>
          </w:tcPr>
          <w:p w14:paraId="6C2F36A6"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4</w:t>
            </w:r>
          </w:p>
        </w:tc>
        <w:tc>
          <w:tcPr>
            <w:tcW w:w="2693" w:type="dxa"/>
            <w:noWrap/>
            <w:hideMark/>
          </w:tcPr>
          <w:p w14:paraId="6C2F36A7"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349946.98</w:t>
            </w:r>
          </w:p>
        </w:tc>
        <w:tc>
          <w:tcPr>
            <w:tcW w:w="2410" w:type="dxa"/>
            <w:noWrap/>
            <w:hideMark/>
          </w:tcPr>
          <w:p w14:paraId="6C2F36A8"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5012807.57</w:t>
            </w:r>
          </w:p>
        </w:tc>
      </w:tr>
      <w:tr w:rsidR="00C4579C" w:rsidRPr="00F92CC6" w14:paraId="6C2F36AD" w14:textId="77777777" w:rsidTr="00F92CC6">
        <w:trPr>
          <w:trHeight w:val="222"/>
          <w:jc w:val="center"/>
        </w:trPr>
        <w:tc>
          <w:tcPr>
            <w:tcW w:w="851" w:type="dxa"/>
            <w:noWrap/>
            <w:hideMark/>
          </w:tcPr>
          <w:p w14:paraId="6C2F36AA"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w:t>
            </w:r>
          </w:p>
        </w:tc>
        <w:tc>
          <w:tcPr>
            <w:tcW w:w="2693" w:type="dxa"/>
            <w:noWrap/>
            <w:hideMark/>
          </w:tcPr>
          <w:p w14:paraId="6C2F36AB"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349980.22</w:t>
            </w:r>
          </w:p>
        </w:tc>
        <w:tc>
          <w:tcPr>
            <w:tcW w:w="2410" w:type="dxa"/>
            <w:noWrap/>
            <w:hideMark/>
          </w:tcPr>
          <w:p w14:paraId="6C2F36AC"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5012847.48</w:t>
            </w:r>
          </w:p>
        </w:tc>
      </w:tr>
      <w:tr w:rsidR="00C4579C" w:rsidRPr="00F92CC6" w14:paraId="6C2F36B1" w14:textId="77777777" w:rsidTr="00F92CC6">
        <w:trPr>
          <w:trHeight w:val="222"/>
          <w:jc w:val="center"/>
        </w:trPr>
        <w:tc>
          <w:tcPr>
            <w:tcW w:w="851" w:type="dxa"/>
            <w:noWrap/>
            <w:hideMark/>
          </w:tcPr>
          <w:p w14:paraId="6C2F36AE"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6</w:t>
            </w:r>
          </w:p>
        </w:tc>
        <w:tc>
          <w:tcPr>
            <w:tcW w:w="2693" w:type="dxa"/>
            <w:noWrap/>
            <w:hideMark/>
          </w:tcPr>
          <w:p w14:paraId="6C2F36AF"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349976.38</w:t>
            </w:r>
          </w:p>
        </w:tc>
        <w:tc>
          <w:tcPr>
            <w:tcW w:w="2410" w:type="dxa"/>
            <w:noWrap/>
            <w:hideMark/>
          </w:tcPr>
          <w:p w14:paraId="6C2F36B0"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5012850.68</w:t>
            </w:r>
          </w:p>
        </w:tc>
      </w:tr>
      <w:tr w:rsidR="00C4579C" w:rsidRPr="00F92CC6" w14:paraId="6C2F36B5" w14:textId="77777777" w:rsidTr="00F92CC6">
        <w:trPr>
          <w:trHeight w:val="222"/>
          <w:jc w:val="center"/>
        </w:trPr>
        <w:tc>
          <w:tcPr>
            <w:tcW w:w="851" w:type="dxa"/>
            <w:noWrap/>
            <w:hideMark/>
          </w:tcPr>
          <w:p w14:paraId="6C2F36B2"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7</w:t>
            </w:r>
          </w:p>
        </w:tc>
        <w:tc>
          <w:tcPr>
            <w:tcW w:w="2693" w:type="dxa"/>
            <w:noWrap/>
            <w:hideMark/>
          </w:tcPr>
          <w:p w14:paraId="6C2F36B3"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349943.13</w:t>
            </w:r>
          </w:p>
        </w:tc>
        <w:tc>
          <w:tcPr>
            <w:tcW w:w="2410" w:type="dxa"/>
            <w:noWrap/>
            <w:hideMark/>
          </w:tcPr>
          <w:p w14:paraId="6C2F36B4"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5012810.77</w:t>
            </w:r>
          </w:p>
        </w:tc>
      </w:tr>
      <w:tr w:rsidR="00C4579C" w:rsidRPr="00F92CC6" w14:paraId="6C2F36B9" w14:textId="77777777" w:rsidTr="00F92CC6">
        <w:trPr>
          <w:trHeight w:val="222"/>
          <w:jc w:val="center"/>
        </w:trPr>
        <w:tc>
          <w:tcPr>
            <w:tcW w:w="851" w:type="dxa"/>
            <w:noWrap/>
            <w:hideMark/>
          </w:tcPr>
          <w:p w14:paraId="6C2F36B6"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8</w:t>
            </w:r>
          </w:p>
        </w:tc>
        <w:tc>
          <w:tcPr>
            <w:tcW w:w="2693" w:type="dxa"/>
            <w:noWrap/>
            <w:hideMark/>
          </w:tcPr>
          <w:p w14:paraId="6C2F36B7"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349911.31</w:t>
            </w:r>
          </w:p>
        </w:tc>
        <w:tc>
          <w:tcPr>
            <w:tcW w:w="2410" w:type="dxa"/>
            <w:noWrap/>
            <w:hideMark/>
          </w:tcPr>
          <w:p w14:paraId="6C2F36B8"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5012772.52</w:t>
            </w:r>
          </w:p>
        </w:tc>
      </w:tr>
      <w:tr w:rsidR="00C4579C" w:rsidRPr="00F92CC6" w14:paraId="6C2F36BD" w14:textId="77777777" w:rsidTr="00F92CC6">
        <w:trPr>
          <w:trHeight w:val="222"/>
          <w:jc w:val="center"/>
        </w:trPr>
        <w:tc>
          <w:tcPr>
            <w:tcW w:w="851" w:type="dxa"/>
            <w:noWrap/>
            <w:hideMark/>
          </w:tcPr>
          <w:p w14:paraId="6C2F36BA"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9</w:t>
            </w:r>
          </w:p>
        </w:tc>
        <w:tc>
          <w:tcPr>
            <w:tcW w:w="2693" w:type="dxa"/>
            <w:noWrap/>
            <w:hideMark/>
          </w:tcPr>
          <w:p w14:paraId="6C2F36BB"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349907.40</w:t>
            </w:r>
          </w:p>
        </w:tc>
        <w:tc>
          <w:tcPr>
            <w:tcW w:w="2410" w:type="dxa"/>
            <w:noWrap/>
            <w:hideMark/>
          </w:tcPr>
          <w:p w14:paraId="6C2F36BC"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5012775.96</w:t>
            </w:r>
          </w:p>
        </w:tc>
      </w:tr>
      <w:tr w:rsidR="00C4579C" w:rsidRPr="00F92CC6" w14:paraId="6C2F36C1" w14:textId="77777777" w:rsidTr="00F92CC6">
        <w:trPr>
          <w:trHeight w:val="222"/>
          <w:jc w:val="center"/>
        </w:trPr>
        <w:tc>
          <w:tcPr>
            <w:tcW w:w="851" w:type="dxa"/>
            <w:noWrap/>
            <w:hideMark/>
          </w:tcPr>
          <w:p w14:paraId="6C2F36BE"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10</w:t>
            </w:r>
          </w:p>
        </w:tc>
        <w:tc>
          <w:tcPr>
            <w:tcW w:w="2693" w:type="dxa"/>
            <w:noWrap/>
            <w:hideMark/>
          </w:tcPr>
          <w:p w14:paraId="6C2F36BF"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349866.38</w:t>
            </w:r>
          </w:p>
        </w:tc>
        <w:tc>
          <w:tcPr>
            <w:tcW w:w="2410" w:type="dxa"/>
            <w:noWrap/>
            <w:hideMark/>
          </w:tcPr>
          <w:p w14:paraId="6C2F36C0"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5012809.82</w:t>
            </w:r>
          </w:p>
        </w:tc>
      </w:tr>
      <w:tr w:rsidR="00C4579C" w:rsidRPr="00F92CC6" w14:paraId="6C2F36C5" w14:textId="77777777" w:rsidTr="00F92CC6">
        <w:trPr>
          <w:trHeight w:val="222"/>
          <w:jc w:val="center"/>
        </w:trPr>
        <w:tc>
          <w:tcPr>
            <w:tcW w:w="851" w:type="dxa"/>
            <w:noWrap/>
            <w:hideMark/>
          </w:tcPr>
          <w:p w14:paraId="6C2F36C2"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11</w:t>
            </w:r>
          </w:p>
        </w:tc>
        <w:tc>
          <w:tcPr>
            <w:tcW w:w="2693" w:type="dxa"/>
            <w:noWrap/>
            <w:hideMark/>
          </w:tcPr>
          <w:p w14:paraId="6C2F36C3"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349863.70</w:t>
            </w:r>
          </w:p>
        </w:tc>
        <w:tc>
          <w:tcPr>
            <w:tcW w:w="2410" w:type="dxa"/>
            <w:noWrap/>
            <w:hideMark/>
          </w:tcPr>
          <w:p w14:paraId="6C2F36C4"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5012817.92</w:t>
            </w:r>
          </w:p>
        </w:tc>
      </w:tr>
      <w:tr w:rsidR="00C4579C" w:rsidRPr="00F92CC6" w14:paraId="6C2F36C9" w14:textId="77777777" w:rsidTr="00F92CC6">
        <w:trPr>
          <w:trHeight w:val="222"/>
          <w:jc w:val="center"/>
        </w:trPr>
        <w:tc>
          <w:tcPr>
            <w:tcW w:w="851" w:type="dxa"/>
            <w:noWrap/>
            <w:hideMark/>
          </w:tcPr>
          <w:p w14:paraId="6C2F36C6"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12</w:t>
            </w:r>
          </w:p>
        </w:tc>
        <w:tc>
          <w:tcPr>
            <w:tcW w:w="2693" w:type="dxa"/>
            <w:noWrap/>
            <w:hideMark/>
          </w:tcPr>
          <w:p w14:paraId="6C2F36C7"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349834.53</w:t>
            </w:r>
          </w:p>
        </w:tc>
        <w:tc>
          <w:tcPr>
            <w:tcW w:w="2410" w:type="dxa"/>
            <w:noWrap/>
            <w:hideMark/>
          </w:tcPr>
          <w:p w14:paraId="6C2F36C8"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5012833.05</w:t>
            </w:r>
          </w:p>
        </w:tc>
      </w:tr>
      <w:tr w:rsidR="00C4579C" w:rsidRPr="00F92CC6" w14:paraId="6C2F36CD" w14:textId="77777777" w:rsidTr="00F92CC6">
        <w:trPr>
          <w:trHeight w:val="222"/>
          <w:jc w:val="center"/>
        </w:trPr>
        <w:tc>
          <w:tcPr>
            <w:tcW w:w="851" w:type="dxa"/>
            <w:noWrap/>
            <w:hideMark/>
          </w:tcPr>
          <w:p w14:paraId="6C2F36CA"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13</w:t>
            </w:r>
          </w:p>
        </w:tc>
        <w:tc>
          <w:tcPr>
            <w:tcW w:w="2693" w:type="dxa"/>
            <w:noWrap/>
            <w:hideMark/>
          </w:tcPr>
          <w:p w14:paraId="6C2F36CB"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349827.22</w:t>
            </w:r>
          </w:p>
        </w:tc>
        <w:tc>
          <w:tcPr>
            <w:tcW w:w="2410" w:type="dxa"/>
            <w:noWrap/>
            <w:hideMark/>
          </w:tcPr>
          <w:p w14:paraId="6C2F36CC"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5012825.81</w:t>
            </w:r>
          </w:p>
        </w:tc>
      </w:tr>
      <w:tr w:rsidR="00C4579C" w:rsidRPr="00F92CC6" w14:paraId="6C2F36D1" w14:textId="77777777" w:rsidTr="00F92CC6">
        <w:trPr>
          <w:trHeight w:val="222"/>
          <w:jc w:val="center"/>
        </w:trPr>
        <w:tc>
          <w:tcPr>
            <w:tcW w:w="851" w:type="dxa"/>
            <w:noWrap/>
            <w:hideMark/>
          </w:tcPr>
          <w:p w14:paraId="6C2F36CE"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14</w:t>
            </w:r>
          </w:p>
        </w:tc>
        <w:tc>
          <w:tcPr>
            <w:tcW w:w="2693" w:type="dxa"/>
            <w:noWrap/>
            <w:hideMark/>
          </w:tcPr>
          <w:p w14:paraId="6C2F36CF"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349856.48</w:t>
            </w:r>
          </w:p>
        </w:tc>
        <w:tc>
          <w:tcPr>
            <w:tcW w:w="2410" w:type="dxa"/>
            <w:noWrap/>
            <w:hideMark/>
          </w:tcPr>
          <w:p w14:paraId="6C2F36D0"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5012810.47</w:t>
            </w:r>
          </w:p>
        </w:tc>
      </w:tr>
      <w:tr w:rsidR="00C4579C" w:rsidRPr="00F92CC6" w14:paraId="6C2F36D5" w14:textId="77777777" w:rsidTr="00F92CC6">
        <w:trPr>
          <w:trHeight w:val="222"/>
          <w:jc w:val="center"/>
        </w:trPr>
        <w:tc>
          <w:tcPr>
            <w:tcW w:w="851" w:type="dxa"/>
            <w:noWrap/>
            <w:hideMark/>
          </w:tcPr>
          <w:p w14:paraId="6C2F36D2"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15</w:t>
            </w:r>
          </w:p>
        </w:tc>
        <w:tc>
          <w:tcPr>
            <w:tcW w:w="2693" w:type="dxa"/>
            <w:noWrap/>
            <w:hideMark/>
          </w:tcPr>
          <w:p w14:paraId="6C2F36D3"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349903.97</w:t>
            </w:r>
          </w:p>
        </w:tc>
        <w:tc>
          <w:tcPr>
            <w:tcW w:w="2410" w:type="dxa"/>
            <w:noWrap/>
            <w:hideMark/>
          </w:tcPr>
          <w:p w14:paraId="6C2F36D4"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5012771.70</w:t>
            </w:r>
          </w:p>
        </w:tc>
      </w:tr>
      <w:tr w:rsidR="00C4579C" w:rsidRPr="00F92CC6" w14:paraId="6C2F36D9" w14:textId="77777777" w:rsidTr="00F92CC6">
        <w:trPr>
          <w:trHeight w:val="222"/>
          <w:jc w:val="center"/>
        </w:trPr>
        <w:tc>
          <w:tcPr>
            <w:tcW w:w="851" w:type="dxa"/>
            <w:noWrap/>
            <w:hideMark/>
          </w:tcPr>
          <w:p w14:paraId="6C2F36D6"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16</w:t>
            </w:r>
          </w:p>
        </w:tc>
        <w:tc>
          <w:tcPr>
            <w:tcW w:w="2693" w:type="dxa"/>
            <w:noWrap/>
            <w:hideMark/>
          </w:tcPr>
          <w:p w14:paraId="6C2F36D7"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349908.43</w:t>
            </w:r>
          </w:p>
        </w:tc>
        <w:tc>
          <w:tcPr>
            <w:tcW w:w="2410" w:type="dxa"/>
            <w:noWrap/>
            <w:hideMark/>
          </w:tcPr>
          <w:p w14:paraId="6C2F36D8"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5012767.83</w:t>
            </w:r>
          </w:p>
        </w:tc>
      </w:tr>
      <w:tr w:rsidR="00C4579C" w:rsidRPr="00F92CC6" w14:paraId="6C2F36DD" w14:textId="77777777" w:rsidTr="00F92CC6">
        <w:trPr>
          <w:trHeight w:val="222"/>
          <w:jc w:val="center"/>
        </w:trPr>
        <w:tc>
          <w:tcPr>
            <w:tcW w:w="851" w:type="dxa"/>
            <w:noWrap/>
            <w:hideMark/>
          </w:tcPr>
          <w:p w14:paraId="6C2F36DA"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17</w:t>
            </w:r>
          </w:p>
        </w:tc>
        <w:tc>
          <w:tcPr>
            <w:tcW w:w="2693" w:type="dxa"/>
            <w:noWrap/>
            <w:hideMark/>
          </w:tcPr>
          <w:p w14:paraId="6C2F36DB"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350316.85</w:t>
            </w:r>
          </w:p>
        </w:tc>
        <w:tc>
          <w:tcPr>
            <w:tcW w:w="2410" w:type="dxa"/>
            <w:noWrap/>
            <w:hideMark/>
          </w:tcPr>
          <w:p w14:paraId="6C2F36DC"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5013195.30</w:t>
            </w:r>
          </w:p>
        </w:tc>
      </w:tr>
      <w:tr w:rsidR="00C4579C" w:rsidRPr="00F92CC6" w14:paraId="6C2F36E1" w14:textId="77777777" w:rsidTr="00F92CC6">
        <w:trPr>
          <w:trHeight w:val="222"/>
          <w:jc w:val="center"/>
        </w:trPr>
        <w:tc>
          <w:tcPr>
            <w:tcW w:w="851" w:type="dxa"/>
            <w:noWrap/>
            <w:hideMark/>
          </w:tcPr>
          <w:p w14:paraId="6C2F36DE"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18</w:t>
            </w:r>
          </w:p>
        </w:tc>
        <w:tc>
          <w:tcPr>
            <w:tcW w:w="2693" w:type="dxa"/>
            <w:noWrap/>
            <w:hideMark/>
          </w:tcPr>
          <w:p w14:paraId="6C2F36DF"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350314.84</w:t>
            </w:r>
          </w:p>
        </w:tc>
        <w:tc>
          <w:tcPr>
            <w:tcW w:w="2410" w:type="dxa"/>
            <w:noWrap/>
            <w:hideMark/>
          </w:tcPr>
          <w:p w14:paraId="6C2F36E0"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5013197.06</w:t>
            </w:r>
          </w:p>
        </w:tc>
      </w:tr>
      <w:tr w:rsidR="00C4579C" w:rsidRPr="00F92CC6" w14:paraId="6C2F36E5" w14:textId="77777777" w:rsidTr="00F92CC6">
        <w:trPr>
          <w:trHeight w:val="222"/>
          <w:jc w:val="center"/>
        </w:trPr>
        <w:tc>
          <w:tcPr>
            <w:tcW w:w="851" w:type="dxa"/>
            <w:noWrap/>
            <w:hideMark/>
          </w:tcPr>
          <w:p w14:paraId="6C2F36E2"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19</w:t>
            </w:r>
          </w:p>
        </w:tc>
        <w:tc>
          <w:tcPr>
            <w:tcW w:w="2693" w:type="dxa"/>
            <w:noWrap/>
            <w:hideMark/>
          </w:tcPr>
          <w:p w14:paraId="6C2F36E3"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350336.33</w:t>
            </w:r>
          </w:p>
        </w:tc>
        <w:tc>
          <w:tcPr>
            <w:tcW w:w="2410" w:type="dxa"/>
            <w:noWrap/>
            <w:hideMark/>
          </w:tcPr>
          <w:p w14:paraId="6C2F36E4"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5013221.71</w:t>
            </w:r>
          </w:p>
        </w:tc>
      </w:tr>
      <w:tr w:rsidR="00C4579C" w:rsidRPr="00F92CC6" w14:paraId="6C2F36E9" w14:textId="77777777" w:rsidTr="00F92CC6">
        <w:trPr>
          <w:trHeight w:val="222"/>
          <w:jc w:val="center"/>
        </w:trPr>
        <w:tc>
          <w:tcPr>
            <w:tcW w:w="851" w:type="dxa"/>
            <w:noWrap/>
            <w:hideMark/>
          </w:tcPr>
          <w:p w14:paraId="6C2F36E6"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20</w:t>
            </w:r>
          </w:p>
        </w:tc>
        <w:tc>
          <w:tcPr>
            <w:tcW w:w="2693" w:type="dxa"/>
            <w:noWrap/>
            <w:hideMark/>
          </w:tcPr>
          <w:p w14:paraId="6C2F36E7"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350357.99</w:t>
            </w:r>
          </w:p>
        </w:tc>
        <w:tc>
          <w:tcPr>
            <w:tcW w:w="2410" w:type="dxa"/>
            <w:noWrap/>
            <w:hideMark/>
          </w:tcPr>
          <w:p w14:paraId="6C2F36E8"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5013247.66</w:t>
            </w:r>
          </w:p>
        </w:tc>
      </w:tr>
      <w:tr w:rsidR="00C4579C" w:rsidRPr="00F92CC6" w14:paraId="6C2F36ED" w14:textId="77777777" w:rsidTr="00F92CC6">
        <w:trPr>
          <w:trHeight w:val="222"/>
          <w:jc w:val="center"/>
        </w:trPr>
        <w:tc>
          <w:tcPr>
            <w:tcW w:w="851" w:type="dxa"/>
            <w:noWrap/>
            <w:hideMark/>
          </w:tcPr>
          <w:p w14:paraId="6C2F36EA"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21</w:t>
            </w:r>
          </w:p>
        </w:tc>
        <w:tc>
          <w:tcPr>
            <w:tcW w:w="2693" w:type="dxa"/>
            <w:noWrap/>
            <w:hideMark/>
          </w:tcPr>
          <w:p w14:paraId="6C2F36EB"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350364.36</w:t>
            </w:r>
          </w:p>
        </w:tc>
        <w:tc>
          <w:tcPr>
            <w:tcW w:w="2410" w:type="dxa"/>
            <w:noWrap/>
            <w:hideMark/>
          </w:tcPr>
          <w:p w14:paraId="6C2F36EC" w14:textId="77777777" w:rsidR="00C4579C" w:rsidRPr="00F92CC6" w:rsidRDefault="00C4579C" w:rsidP="00F92CC6">
            <w:pPr>
              <w:autoSpaceDE w:val="0"/>
              <w:autoSpaceDN w:val="0"/>
              <w:adjustRightInd w:val="0"/>
              <w:jc w:val="center"/>
              <w:rPr>
                <w:rFonts w:ascii="Times New Roman" w:hAnsi="Times New Roman" w:cs="Times New Roman"/>
                <w:sz w:val="24"/>
                <w:szCs w:val="24"/>
              </w:rPr>
            </w:pPr>
            <w:r w:rsidRPr="00F92CC6">
              <w:rPr>
                <w:rFonts w:ascii="Times New Roman" w:hAnsi="Times New Roman" w:cs="Times New Roman"/>
                <w:sz w:val="24"/>
                <w:szCs w:val="24"/>
              </w:rPr>
              <w:t>5013251.63</w:t>
            </w:r>
          </w:p>
        </w:tc>
      </w:tr>
    </w:tbl>
    <w:p w14:paraId="6C2F36EE" w14:textId="77777777" w:rsidR="00C4579C" w:rsidRPr="00F92CC6" w:rsidRDefault="00C4579C" w:rsidP="00F92CC6">
      <w:pPr>
        <w:autoSpaceDE w:val="0"/>
        <w:autoSpaceDN w:val="0"/>
        <w:adjustRightInd w:val="0"/>
        <w:spacing w:after="0" w:line="240" w:lineRule="auto"/>
        <w:rPr>
          <w:rFonts w:ascii="Times New Roman" w:hAnsi="Times New Roman" w:cs="Times New Roman"/>
          <w:b/>
          <w:sz w:val="24"/>
          <w:szCs w:val="24"/>
        </w:rPr>
      </w:pPr>
    </w:p>
    <w:p w14:paraId="6C2F36EF" w14:textId="77777777" w:rsidR="00C4579C" w:rsidRPr="00F92CC6" w:rsidRDefault="00C4579C" w:rsidP="00F92CC6">
      <w:pPr>
        <w:autoSpaceDE w:val="0"/>
        <w:autoSpaceDN w:val="0"/>
        <w:adjustRightInd w:val="0"/>
        <w:spacing w:after="0" w:line="240" w:lineRule="auto"/>
        <w:rPr>
          <w:rFonts w:ascii="Times New Roman" w:hAnsi="Times New Roman" w:cs="Times New Roman"/>
          <w:b/>
          <w:sz w:val="24"/>
          <w:szCs w:val="24"/>
        </w:rPr>
      </w:pPr>
    </w:p>
    <w:p w14:paraId="6C2F36F0" w14:textId="77777777" w:rsidR="00C4579C" w:rsidRPr="00F92CC6" w:rsidRDefault="00C4579C" w:rsidP="00F92CC6">
      <w:pPr>
        <w:autoSpaceDE w:val="0"/>
        <w:autoSpaceDN w:val="0"/>
        <w:adjustRightInd w:val="0"/>
        <w:spacing w:after="0" w:line="240" w:lineRule="auto"/>
        <w:jc w:val="center"/>
        <w:rPr>
          <w:rFonts w:ascii="Times New Roman" w:hAnsi="Times New Roman" w:cs="Times New Roman"/>
          <w:b/>
          <w:sz w:val="24"/>
          <w:szCs w:val="24"/>
        </w:rPr>
      </w:pPr>
      <w:r w:rsidRPr="00F92CC6">
        <w:rPr>
          <w:rFonts w:ascii="Times New Roman" w:hAnsi="Times New Roman" w:cs="Times New Roman"/>
          <w:b/>
          <w:sz w:val="24"/>
          <w:szCs w:val="24"/>
        </w:rPr>
        <w:t>III.</w:t>
      </w:r>
    </w:p>
    <w:p w14:paraId="6C2F36F1" w14:textId="77777777" w:rsidR="00C4579C" w:rsidRPr="00F92CC6" w:rsidRDefault="00C4579C" w:rsidP="00F92CC6">
      <w:pPr>
        <w:autoSpaceDE w:val="0"/>
        <w:autoSpaceDN w:val="0"/>
        <w:adjustRightInd w:val="0"/>
        <w:spacing w:after="0" w:line="240" w:lineRule="auto"/>
        <w:jc w:val="center"/>
        <w:rPr>
          <w:rFonts w:ascii="Times New Roman" w:hAnsi="Times New Roman" w:cs="Times New Roman"/>
          <w:b/>
          <w:sz w:val="24"/>
          <w:szCs w:val="24"/>
        </w:rPr>
      </w:pPr>
    </w:p>
    <w:p w14:paraId="6C2F36F2" w14:textId="77777777" w:rsidR="00C4579C" w:rsidRPr="00F92CC6" w:rsidRDefault="00C4579C" w:rsidP="00F92CC6">
      <w:pPr>
        <w:autoSpaceDE w:val="0"/>
        <w:autoSpaceDN w:val="0"/>
        <w:adjustRightInd w:val="0"/>
        <w:spacing w:after="0" w:line="240" w:lineRule="auto"/>
        <w:ind w:firstLine="1440"/>
        <w:jc w:val="both"/>
        <w:rPr>
          <w:rFonts w:ascii="Times New Roman" w:hAnsi="Times New Roman" w:cs="Times New Roman"/>
          <w:sz w:val="24"/>
          <w:szCs w:val="24"/>
        </w:rPr>
      </w:pPr>
      <w:r w:rsidRPr="00F92CC6">
        <w:rPr>
          <w:rFonts w:ascii="Times New Roman" w:hAnsi="Times New Roman" w:cs="Times New Roman"/>
          <w:sz w:val="24"/>
          <w:szCs w:val="24"/>
        </w:rPr>
        <w:t xml:space="preserve">Ukupna površina pomorskog dobra koje se daje u koncesiju iznosi </w:t>
      </w:r>
      <w:r w:rsidR="00193D35" w:rsidRPr="00F92CC6">
        <w:rPr>
          <w:rFonts w:ascii="Times New Roman" w:hAnsi="Times New Roman" w:cs="Times New Roman"/>
          <w:sz w:val="24"/>
          <w:szCs w:val="24"/>
        </w:rPr>
        <w:t>8.953</w:t>
      </w:r>
      <w:r w:rsidRPr="00F92CC6">
        <w:rPr>
          <w:rFonts w:ascii="Times New Roman" w:hAnsi="Times New Roman" w:cs="Times New Roman"/>
          <w:sz w:val="24"/>
          <w:szCs w:val="24"/>
        </w:rPr>
        <w:t xml:space="preserve"> m</w:t>
      </w:r>
      <w:r w:rsidRPr="00F92CC6">
        <w:rPr>
          <w:rFonts w:ascii="Times New Roman" w:hAnsi="Times New Roman" w:cs="Times New Roman"/>
          <w:sz w:val="24"/>
          <w:szCs w:val="24"/>
          <w:vertAlign w:val="superscript"/>
        </w:rPr>
        <w:t>2</w:t>
      </w:r>
      <w:r w:rsidRPr="00F92CC6">
        <w:rPr>
          <w:rFonts w:ascii="Times New Roman" w:hAnsi="Times New Roman" w:cs="Times New Roman"/>
          <w:sz w:val="24"/>
          <w:szCs w:val="24"/>
        </w:rPr>
        <w:t>, a sve kako je prikazano na grafičk</w:t>
      </w:r>
      <w:r w:rsidR="00552829" w:rsidRPr="00F92CC6">
        <w:rPr>
          <w:rFonts w:ascii="Times New Roman" w:hAnsi="Times New Roman" w:cs="Times New Roman"/>
          <w:sz w:val="24"/>
          <w:szCs w:val="24"/>
        </w:rPr>
        <w:t>oj</w:t>
      </w:r>
      <w:r w:rsidRPr="00F92CC6">
        <w:rPr>
          <w:rFonts w:ascii="Times New Roman" w:hAnsi="Times New Roman" w:cs="Times New Roman"/>
          <w:sz w:val="24"/>
          <w:szCs w:val="24"/>
        </w:rPr>
        <w:t xml:space="preserve"> podlo</w:t>
      </w:r>
      <w:r w:rsidR="00552829" w:rsidRPr="00F92CC6">
        <w:rPr>
          <w:rFonts w:ascii="Times New Roman" w:hAnsi="Times New Roman" w:cs="Times New Roman"/>
          <w:sz w:val="24"/>
          <w:szCs w:val="24"/>
        </w:rPr>
        <w:t>zi</w:t>
      </w:r>
      <w:r w:rsidRPr="00F92CC6">
        <w:rPr>
          <w:rFonts w:ascii="Times New Roman" w:hAnsi="Times New Roman" w:cs="Times New Roman"/>
          <w:sz w:val="24"/>
          <w:szCs w:val="24"/>
        </w:rPr>
        <w:t xml:space="preserve"> koj</w:t>
      </w:r>
      <w:r w:rsidR="00552829" w:rsidRPr="00F92CC6">
        <w:rPr>
          <w:rFonts w:ascii="Times New Roman" w:hAnsi="Times New Roman" w:cs="Times New Roman"/>
          <w:sz w:val="24"/>
          <w:szCs w:val="24"/>
        </w:rPr>
        <w:t>a</w:t>
      </w:r>
      <w:r w:rsidRPr="00F92CC6">
        <w:rPr>
          <w:rFonts w:ascii="Times New Roman" w:hAnsi="Times New Roman" w:cs="Times New Roman"/>
          <w:sz w:val="24"/>
          <w:szCs w:val="24"/>
        </w:rPr>
        <w:t xml:space="preserve"> čin</w:t>
      </w:r>
      <w:r w:rsidR="00552829" w:rsidRPr="00F92CC6">
        <w:rPr>
          <w:rFonts w:ascii="Times New Roman" w:hAnsi="Times New Roman" w:cs="Times New Roman"/>
          <w:sz w:val="24"/>
          <w:szCs w:val="24"/>
        </w:rPr>
        <w:t>i</w:t>
      </w:r>
      <w:r w:rsidRPr="00F92CC6">
        <w:rPr>
          <w:rFonts w:ascii="Times New Roman" w:hAnsi="Times New Roman" w:cs="Times New Roman"/>
          <w:sz w:val="24"/>
          <w:szCs w:val="24"/>
        </w:rPr>
        <w:t xml:space="preserve"> Prilog 2. ove Odluke i ne objavljuju</w:t>
      </w:r>
      <w:r w:rsidR="00F92CC6">
        <w:rPr>
          <w:rFonts w:ascii="Times New Roman" w:hAnsi="Times New Roman" w:cs="Times New Roman"/>
          <w:sz w:val="24"/>
          <w:szCs w:val="24"/>
        </w:rPr>
        <w:t xml:space="preserve"> se u Narodnim novinama</w:t>
      </w:r>
      <w:r w:rsidRPr="00F92CC6">
        <w:rPr>
          <w:rFonts w:ascii="Times New Roman" w:hAnsi="Times New Roman" w:cs="Times New Roman"/>
          <w:sz w:val="24"/>
          <w:szCs w:val="24"/>
        </w:rPr>
        <w:t>.</w:t>
      </w:r>
    </w:p>
    <w:p w14:paraId="6C2F36F3" w14:textId="77777777" w:rsidR="00C4579C" w:rsidRPr="00F92CC6" w:rsidRDefault="00C4579C" w:rsidP="00F92CC6">
      <w:pPr>
        <w:autoSpaceDE w:val="0"/>
        <w:autoSpaceDN w:val="0"/>
        <w:adjustRightInd w:val="0"/>
        <w:spacing w:after="0" w:line="240" w:lineRule="auto"/>
        <w:jc w:val="center"/>
        <w:rPr>
          <w:rFonts w:ascii="Times New Roman" w:hAnsi="Times New Roman" w:cs="Times New Roman"/>
          <w:b/>
          <w:sz w:val="24"/>
          <w:szCs w:val="24"/>
        </w:rPr>
      </w:pPr>
    </w:p>
    <w:p w14:paraId="6C2F36F4" w14:textId="77777777" w:rsidR="00C4579C" w:rsidRPr="00F92CC6" w:rsidRDefault="00C4579C" w:rsidP="00F92CC6">
      <w:pPr>
        <w:autoSpaceDE w:val="0"/>
        <w:autoSpaceDN w:val="0"/>
        <w:adjustRightInd w:val="0"/>
        <w:spacing w:after="0" w:line="240" w:lineRule="auto"/>
        <w:jc w:val="center"/>
        <w:rPr>
          <w:rFonts w:ascii="Times New Roman" w:hAnsi="Times New Roman" w:cs="Times New Roman"/>
          <w:b/>
          <w:sz w:val="24"/>
          <w:szCs w:val="24"/>
        </w:rPr>
      </w:pPr>
      <w:r w:rsidRPr="00F92CC6">
        <w:rPr>
          <w:rFonts w:ascii="Times New Roman" w:hAnsi="Times New Roman" w:cs="Times New Roman"/>
          <w:b/>
          <w:sz w:val="24"/>
          <w:szCs w:val="24"/>
        </w:rPr>
        <w:t>IV.</w:t>
      </w:r>
    </w:p>
    <w:p w14:paraId="6C2F36F5" w14:textId="77777777" w:rsidR="00C4579C" w:rsidRPr="00F92CC6" w:rsidRDefault="00C4579C" w:rsidP="00F92CC6">
      <w:pPr>
        <w:autoSpaceDE w:val="0"/>
        <w:autoSpaceDN w:val="0"/>
        <w:adjustRightInd w:val="0"/>
        <w:spacing w:after="0" w:line="240" w:lineRule="auto"/>
        <w:jc w:val="center"/>
        <w:rPr>
          <w:rFonts w:ascii="Times New Roman" w:hAnsi="Times New Roman" w:cs="Times New Roman"/>
          <w:b/>
          <w:sz w:val="24"/>
          <w:szCs w:val="24"/>
        </w:rPr>
      </w:pPr>
    </w:p>
    <w:p w14:paraId="6C2F36F6" w14:textId="77777777" w:rsidR="00C4579C" w:rsidRPr="00F92CC6" w:rsidRDefault="00C4579C" w:rsidP="00F92CC6">
      <w:pPr>
        <w:autoSpaceDE w:val="0"/>
        <w:autoSpaceDN w:val="0"/>
        <w:adjustRightInd w:val="0"/>
        <w:spacing w:after="0" w:line="240" w:lineRule="auto"/>
        <w:ind w:firstLine="1440"/>
        <w:jc w:val="both"/>
        <w:rPr>
          <w:rFonts w:ascii="Times New Roman" w:hAnsi="Times New Roman" w:cs="Times New Roman"/>
          <w:sz w:val="24"/>
          <w:szCs w:val="24"/>
        </w:rPr>
      </w:pPr>
      <w:r w:rsidRPr="00F92CC6">
        <w:rPr>
          <w:rFonts w:ascii="Times New Roman" w:hAnsi="Times New Roman" w:cs="Times New Roman"/>
          <w:sz w:val="24"/>
          <w:szCs w:val="24"/>
        </w:rPr>
        <w:t>Davatelj koncesije daje na posebnu upotrebu pomorsko dobro navedeno u točki II. ove Odluke Ovlašteniku koncesije na vremensko razdoblje od 30 godina, računajući od dana sklapanja ugovora o koncesiji iz točke</w:t>
      </w:r>
      <w:r w:rsidRPr="00F92CC6">
        <w:rPr>
          <w:rFonts w:ascii="Times New Roman" w:hAnsi="Times New Roman" w:cs="Times New Roman"/>
          <w:color w:val="FF0000"/>
          <w:sz w:val="24"/>
          <w:szCs w:val="24"/>
        </w:rPr>
        <w:t xml:space="preserve"> </w:t>
      </w:r>
      <w:r w:rsidRPr="00F92CC6">
        <w:rPr>
          <w:rFonts w:ascii="Times New Roman" w:hAnsi="Times New Roman" w:cs="Times New Roman"/>
          <w:sz w:val="24"/>
          <w:szCs w:val="24"/>
        </w:rPr>
        <w:t>VIII.</w:t>
      </w:r>
      <w:r w:rsidRPr="00F92CC6">
        <w:rPr>
          <w:rFonts w:ascii="Times New Roman" w:hAnsi="Times New Roman" w:cs="Times New Roman"/>
          <w:color w:val="FF0000"/>
          <w:sz w:val="24"/>
          <w:szCs w:val="24"/>
        </w:rPr>
        <w:t xml:space="preserve"> </w:t>
      </w:r>
      <w:r w:rsidRPr="00F92CC6">
        <w:rPr>
          <w:rFonts w:ascii="Times New Roman" w:hAnsi="Times New Roman" w:cs="Times New Roman"/>
          <w:sz w:val="24"/>
          <w:szCs w:val="24"/>
        </w:rPr>
        <w:t>ove Odluke.</w:t>
      </w:r>
    </w:p>
    <w:p w14:paraId="6C2F36F7" w14:textId="77777777" w:rsidR="005D6B69" w:rsidRPr="00F92CC6" w:rsidRDefault="005D6B69" w:rsidP="00F92CC6">
      <w:pPr>
        <w:autoSpaceDE w:val="0"/>
        <w:autoSpaceDN w:val="0"/>
        <w:adjustRightInd w:val="0"/>
        <w:spacing w:after="0" w:line="240" w:lineRule="auto"/>
        <w:jc w:val="both"/>
        <w:rPr>
          <w:rFonts w:ascii="Times New Roman" w:hAnsi="Times New Roman" w:cs="Times New Roman"/>
          <w:sz w:val="24"/>
          <w:szCs w:val="24"/>
        </w:rPr>
      </w:pPr>
    </w:p>
    <w:p w14:paraId="6C2F36F8" w14:textId="77777777" w:rsidR="00C4579C" w:rsidRPr="00F92CC6" w:rsidRDefault="00C4579C" w:rsidP="00F92CC6">
      <w:pPr>
        <w:spacing w:after="0" w:line="240" w:lineRule="auto"/>
        <w:jc w:val="center"/>
        <w:rPr>
          <w:rFonts w:ascii="Times New Roman" w:eastAsia="Times New Roman" w:hAnsi="Times New Roman" w:cs="Times New Roman"/>
          <w:b/>
          <w:sz w:val="24"/>
          <w:szCs w:val="24"/>
          <w:lang w:eastAsia="hr-HR"/>
        </w:rPr>
      </w:pPr>
      <w:r w:rsidRPr="00F92CC6">
        <w:rPr>
          <w:rFonts w:ascii="Times New Roman" w:eastAsia="Times New Roman" w:hAnsi="Times New Roman" w:cs="Times New Roman"/>
          <w:b/>
          <w:sz w:val="24"/>
          <w:szCs w:val="24"/>
          <w:lang w:eastAsia="hr-HR"/>
        </w:rPr>
        <w:t>V.</w:t>
      </w:r>
    </w:p>
    <w:p w14:paraId="6C2F36F9" w14:textId="77777777" w:rsidR="00C4579C" w:rsidRPr="00F92CC6" w:rsidRDefault="00C4579C" w:rsidP="00F92CC6">
      <w:pPr>
        <w:spacing w:after="0" w:line="240" w:lineRule="auto"/>
        <w:jc w:val="center"/>
        <w:rPr>
          <w:rFonts w:ascii="Times New Roman" w:eastAsia="Times New Roman" w:hAnsi="Times New Roman" w:cs="Times New Roman"/>
          <w:b/>
          <w:sz w:val="24"/>
          <w:szCs w:val="24"/>
          <w:lang w:eastAsia="hr-HR"/>
        </w:rPr>
      </w:pPr>
    </w:p>
    <w:p w14:paraId="6C2F36FA" w14:textId="77777777" w:rsidR="00C4579C" w:rsidRPr="00F92CC6" w:rsidRDefault="00C4579C" w:rsidP="00F92CC6">
      <w:pPr>
        <w:spacing w:after="0" w:line="240" w:lineRule="auto"/>
        <w:ind w:firstLine="1440"/>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Ovlaštenik koncesije obvezuje se da će pomorsko dobro koje ovom Odlukom dobiva na posebnu upotrebu koristiti isključivo u svrhu izgradnje i korištenja magistralnog plinovoda Zlobin-Omišalj DN 1000/100, a prema namjeni koncesije.</w:t>
      </w:r>
    </w:p>
    <w:p w14:paraId="6C2F36FB" w14:textId="77777777" w:rsidR="00C4579C" w:rsidRPr="00F92CC6" w:rsidRDefault="00C4579C" w:rsidP="00F92CC6">
      <w:pPr>
        <w:spacing w:after="0" w:line="240" w:lineRule="auto"/>
        <w:jc w:val="both"/>
        <w:rPr>
          <w:rFonts w:ascii="Times New Roman" w:eastAsia="Times New Roman" w:hAnsi="Times New Roman" w:cs="Times New Roman"/>
          <w:sz w:val="24"/>
          <w:szCs w:val="24"/>
          <w:lang w:eastAsia="hr-HR"/>
        </w:rPr>
      </w:pPr>
    </w:p>
    <w:p w14:paraId="6C2F36FC" w14:textId="77777777" w:rsidR="00C4579C" w:rsidRPr="00F92CC6" w:rsidRDefault="00C4579C" w:rsidP="00F92CC6">
      <w:pPr>
        <w:spacing w:after="0" w:line="240" w:lineRule="auto"/>
        <w:ind w:firstLine="1440"/>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 xml:space="preserve">Ovlaštenik koncesije dužan je izgraditi plinovod sukladno Lokacijskoj dozvoli i Rješenju iz točke I. ove Odluke. </w:t>
      </w:r>
    </w:p>
    <w:p w14:paraId="6C2F36FD" w14:textId="77777777" w:rsidR="00C4579C" w:rsidRPr="00F92CC6" w:rsidRDefault="00C4579C" w:rsidP="00F92CC6">
      <w:pPr>
        <w:spacing w:after="0" w:line="240" w:lineRule="auto"/>
        <w:jc w:val="both"/>
        <w:rPr>
          <w:rFonts w:ascii="Times New Roman" w:eastAsia="Times New Roman" w:hAnsi="Times New Roman" w:cs="Times New Roman"/>
          <w:sz w:val="24"/>
          <w:szCs w:val="24"/>
          <w:lang w:eastAsia="hr-HR"/>
        </w:rPr>
      </w:pPr>
    </w:p>
    <w:p w14:paraId="6C2F36FE" w14:textId="77777777" w:rsidR="00C4579C" w:rsidRPr="00F92CC6" w:rsidRDefault="00C4579C" w:rsidP="00F92CC6">
      <w:pPr>
        <w:spacing w:after="0" w:line="240" w:lineRule="auto"/>
        <w:ind w:firstLine="1440"/>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Ovlaštenik koncesije je ovlašten i dužan u roku ne dužem od 2 godine od dana sklapanja ugovora o koncesiji iz točke VIII. ove Odluke dovršiti izgradnju i predati Davatelju koncesije uporabnu dozvolu.</w:t>
      </w:r>
    </w:p>
    <w:p w14:paraId="6C2F36FF" w14:textId="77777777" w:rsidR="00C4579C" w:rsidRPr="00F92CC6" w:rsidRDefault="00C4579C" w:rsidP="00F92CC6">
      <w:pPr>
        <w:spacing w:after="0" w:line="240" w:lineRule="auto"/>
        <w:jc w:val="both"/>
        <w:rPr>
          <w:rFonts w:ascii="Times New Roman" w:eastAsia="Times New Roman" w:hAnsi="Times New Roman" w:cs="Times New Roman"/>
          <w:sz w:val="24"/>
          <w:szCs w:val="24"/>
          <w:lang w:eastAsia="hr-HR"/>
        </w:rPr>
      </w:pPr>
    </w:p>
    <w:p w14:paraId="6C2F3700" w14:textId="77777777" w:rsidR="00C4579C" w:rsidRPr="00F92CC6" w:rsidRDefault="00C4579C" w:rsidP="00F92CC6">
      <w:pPr>
        <w:spacing w:after="0" w:line="240" w:lineRule="auto"/>
        <w:ind w:firstLine="1440"/>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Ovlaštenik koncesije dužan je koristiti pomorsko dobro sukladno Zakonu o pomorskom dobru i morskim lukama, te drugim zakonima i podzakonskim aktima iz područja sigurnosti plovidbe, zaštite okoliša, prostornog uređenja i gradnje i to na taj način koji će osigurati zaštitu okoliša.</w:t>
      </w:r>
    </w:p>
    <w:p w14:paraId="6C2F3701" w14:textId="77777777" w:rsidR="00C4579C" w:rsidRPr="00F92CC6" w:rsidRDefault="00C4579C" w:rsidP="00F92CC6">
      <w:pPr>
        <w:spacing w:after="0" w:line="240" w:lineRule="auto"/>
        <w:jc w:val="both"/>
        <w:rPr>
          <w:rFonts w:ascii="Times New Roman" w:eastAsia="Times New Roman" w:hAnsi="Times New Roman" w:cs="Times New Roman"/>
          <w:sz w:val="24"/>
          <w:szCs w:val="24"/>
          <w:lang w:eastAsia="hr-HR"/>
        </w:rPr>
      </w:pPr>
    </w:p>
    <w:p w14:paraId="6C2F3702" w14:textId="77777777" w:rsidR="00C4579C" w:rsidRPr="00F92CC6" w:rsidRDefault="00C4579C" w:rsidP="00F92CC6">
      <w:pPr>
        <w:spacing w:after="0" w:line="240" w:lineRule="auto"/>
        <w:ind w:firstLine="1440"/>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Ovlaštenik koncesije dužan je za svaku daljnju gradnju i rekonstrukciju na koncesioniranom  području u redovnoj proceduri zatražiti prethodnu suglasnost Davatelja koncesije, te dozvole sukladno propisima koji uređuju prostorno uređenje i gradnju.</w:t>
      </w:r>
    </w:p>
    <w:p w14:paraId="6C2F3703" w14:textId="77777777" w:rsidR="005D6B69" w:rsidRDefault="005D6B69" w:rsidP="00F92CC6">
      <w:pPr>
        <w:spacing w:after="0" w:line="240" w:lineRule="auto"/>
        <w:jc w:val="both"/>
        <w:rPr>
          <w:rFonts w:ascii="Times New Roman" w:eastAsia="Times New Roman" w:hAnsi="Times New Roman" w:cs="Times New Roman"/>
          <w:sz w:val="24"/>
          <w:szCs w:val="24"/>
          <w:lang w:eastAsia="hr-HR"/>
        </w:rPr>
      </w:pPr>
    </w:p>
    <w:p w14:paraId="6C2F3704" w14:textId="77777777" w:rsidR="00C66512" w:rsidRDefault="00C66512" w:rsidP="00F92CC6">
      <w:pPr>
        <w:spacing w:after="0" w:line="240" w:lineRule="auto"/>
        <w:jc w:val="both"/>
        <w:rPr>
          <w:rFonts w:ascii="Times New Roman" w:eastAsia="Times New Roman" w:hAnsi="Times New Roman" w:cs="Times New Roman"/>
          <w:sz w:val="24"/>
          <w:szCs w:val="24"/>
          <w:lang w:eastAsia="hr-HR"/>
        </w:rPr>
      </w:pPr>
    </w:p>
    <w:p w14:paraId="6C2F3705" w14:textId="77777777" w:rsidR="00C66512" w:rsidRPr="00F92CC6" w:rsidRDefault="00C66512" w:rsidP="00F92CC6">
      <w:pPr>
        <w:spacing w:after="0" w:line="240" w:lineRule="auto"/>
        <w:jc w:val="both"/>
        <w:rPr>
          <w:rFonts w:ascii="Times New Roman" w:eastAsia="Times New Roman" w:hAnsi="Times New Roman" w:cs="Times New Roman"/>
          <w:sz w:val="24"/>
          <w:szCs w:val="24"/>
          <w:lang w:eastAsia="hr-HR"/>
        </w:rPr>
      </w:pPr>
    </w:p>
    <w:p w14:paraId="6C2F3706" w14:textId="77777777" w:rsidR="00C4579C" w:rsidRPr="00F92CC6" w:rsidRDefault="00C4579C" w:rsidP="00F92CC6">
      <w:pPr>
        <w:spacing w:after="0" w:line="240" w:lineRule="auto"/>
        <w:jc w:val="center"/>
        <w:rPr>
          <w:rFonts w:ascii="Times New Roman" w:eastAsia="Times New Roman" w:hAnsi="Times New Roman" w:cs="Times New Roman"/>
          <w:b/>
          <w:sz w:val="24"/>
          <w:szCs w:val="24"/>
          <w:lang w:eastAsia="hr-HR"/>
        </w:rPr>
      </w:pPr>
      <w:r w:rsidRPr="00F92CC6">
        <w:rPr>
          <w:rFonts w:ascii="Times New Roman" w:eastAsia="Times New Roman" w:hAnsi="Times New Roman" w:cs="Times New Roman"/>
          <w:b/>
          <w:sz w:val="24"/>
          <w:szCs w:val="24"/>
          <w:lang w:eastAsia="hr-HR"/>
        </w:rPr>
        <w:t>VI.</w:t>
      </w:r>
    </w:p>
    <w:p w14:paraId="6C2F3707" w14:textId="77777777" w:rsidR="00C4579C" w:rsidRPr="00F92CC6" w:rsidRDefault="00C4579C" w:rsidP="00F92CC6">
      <w:pPr>
        <w:spacing w:after="0" w:line="240" w:lineRule="auto"/>
        <w:jc w:val="center"/>
        <w:rPr>
          <w:rFonts w:ascii="Times New Roman" w:eastAsia="Times New Roman" w:hAnsi="Times New Roman" w:cs="Times New Roman"/>
          <w:b/>
          <w:sz w:val="24"/>
          <w:szCs w:val="24"/>
          <w:lang w:eastAsia="hr-HR"/>
        </w:rPr>
      </w:pPr>
    </w:p>
    <w:p w14:paraId="6C2F3708" w14:textId="77777777" w:rsidR="00C4579C" w:rsidRPr="00F92CC6" w:rsidRDefault="00C4579C" w:rsidP="00F92CC6">
      <w:pPr>
        <w:spacing w:after="0" w:line="240" w:lineRule="auto"/>
        <w:ind w:firstLine="1440"/>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Ovlaštenik koncesije ne može prava stečena koncesijom niti djelomično niti u cijelosti prenositi na drugog bez izričitog odobrenja Davatelja koncesije.</w:t>
      </w:r>
    </w:p>
    <w:p w14:paraId="6C2F3709" w14:textId="77777777" w:rsidR="00C66512" w:rsidRDefault="00C66512" w:rsidP="00F92CC6">
      <w:pPr>
        <w:spacing w:after="0" w:line="240" w:lineRule="auto"/>
        <w:jc w:val="center"/>
        <w:rPr>
          <w:rFonts w:ascii="Times New Roman" w:eastAsia="Times New Roman" w:hAnsi="Times New Roman" w:cs="Times New Roman"/>
          <w:b/>
          <w:sz w:val="24"/>
          <w:szCs w:val="24"/>
          <w:lang w:eastAsia="hr-HR"/>
        </w:rPr>
      </w:pPr>
    </w:p>
    <w:p w14:paraId="6C2F370A" w14:textId="77777777" w:rsidR="00C4579C" w:rsidRPr="00F92CC6" w:rsidRDefault="00C4579C" w:rsidP="00F92CC6">
      <w:pPr>
        <w:spacing w:after="0" w:line="240" w:lineRule="auto"/>
        <w:jc w:val="center"/>
        <w:rPr>
          <w:rFonts w:ascii="Times New Roman" w:eastAsia="Times New Roman" w:hAnsi="Times New Roman" w:cs="Times New Roman"/>
          <w:b/>
          <w:sz w:val="24"/>
          <w:szCs w:val="24"/>
          <w:lang w:eastAsia="hr-HR"/>
        </w:rPr>
      </w:pPr>
      <w:r w:rsidRPr="00F92CC6">
        <w:rPr>
          <w:rFonts w:ascii="Times New Roman" w:eastAsia="Times New Roman" w:hAnsi="Times New Roman" w:cs="Times New Roman"/>
          <w:b/>
          <w:sz w:val="24"/>
          <w:szCs w:val="24"/>
          <w:lang w:eastAsia="hr-HR"/>
        </w:rPr>
        <w:t>VII.</w:t>
      </w:r>
    </w:p>
    <w:p w14:paraId="6C2F370B" w14:textId="77777777" w:rsidR="00C4579C" w:rsidRPr="00F92CC6" w:rsidRDefault="00C4579C" w:rsidP="00F92CC6">
      <w:pPr>
        <w:spacing w:after="0" w:line="240" w:lineRule="auto"/>
        <w:jc w:val="center"/>
        <w:rPr>
          <w:rFonts w:ascii="Times New Roman" w:eastAsia="Times New Roman" w:hAnsi="Times New Roman" w:cs="Times New Roman"/>
          <w:b/>
          <w:sz w:val="24"/>
          <w:szCs w:val="24"/>
          <w:lang w:eastAsia="hr-HR"/>
        </w:rPr>
      </w:pPr>
    </w:p>
    <w:p w14:paraId="6C2F370C" w14:textId="77777777" w:rsidR="00C4579C" w:rsidRPr="00F92CC6" w:rsidRDefault="00C4579C" w:rsidP="00F92CC6">
      <w:pPr>
        <w:spacing w:after="0" w:line="240" w:lineRule="auto"/>
        <w:ind w:firstLine="1440"/>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Za korištenje pomorskog dobra navedenog u točki II. ove Odluke, Ovlaštenik koncesije obvezuje se da će uredno plaćati Davatelju koncesije godišnju koncesijsku naknadu.</w:t>
      </w:r>
    </w:p>
    <w:p w14:paraId="6C2F370D" w14:textId="77777777" w:rsidR="00C4579C" w:rsidRPr="00F92CC6" w:rsidRDefault="00C4579C" w:rsidP="00F92CC6">
      <w:pPr>
        <w:spacing w:after="0" w:line="240" w:lineRule="auto"/>
        <w:jc w:val="both"/>
        <w:rPr>
          <w:rFonts w:ascii="Times New Roman" w:eastAsia="Times New Roman" w:hAnsi="Times New Roman" w:cs="Times New Roman"/>
          <w:sz w:val="24"/>
          <w:szCs w:val="24"/>
          <w:lang w:eastAsia="hr-HR"/>
        </w:rPr>
      </w:pPr>
    </w:p>
    <w:p w14:paraId="6C2F370E" w14:textId="77777777" w:rsidR="00935425" w:rsidRPr="00F92CC6" w:rsidRDefault="00935425" w:rsidP="00F92CC6">
      <w:pPr>
        <w:spacing w:after="0" w:line="240" w:lineRule="auto"/>
        <w:ind w:firstLine="1440"/>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Godišnja koncesijska naknada koju Ovlaštenik koncesije plaća za gospodarsko korištenje pomorskog dobra sastoji se od stalnog i promjenjivog dijela naknade, s tim da:</w:t>
      </w:r>
    </w:p>
    <w:p w14:paraId="6C2F370F" w14:textId="77777777" w:rsidR="00935425" w:rsidRPr="00F92CC6" w:rsidRDefault="00935425" w:rsidP="00F92CC6">
      <w:pPr>
        <w:spacing w:after="0" w:line="240" w:lineRule="auto"/>
        <w:jc w:val="both"/>
        <w:rPr>
          <w:rFonts w:ascii="Times New Roman" w:eastAsia="Times New Roman" w:hAnsi="Times New Roman" w:cs="Times New Roman"/>
          <w:sz w:val="24"/>
          <w:szCs w:val="24"/>
          <w:lang w:eastAsia="hr-HR"/>
        </w:rPr>
      </w:pPr>
    </w:p>
    <w:p w14:paraId="6C2F3710" w14:textId="77777777" w:rsidR="00935425" w:rsidRPr="00F92CC6" w:rsidRDefault="00935425" w:rsidP="00C66512">
      <w:pPr>
        <w:pStyle w:val="ListParagraph"/>
        <w:numPr>
          <w:ilvl w:val="0"/>
          <w:numId w:val="7"/>
        </w:numPr>
        <w:spacing w:after="0" w:line="240" w:lineRule="auto"/>
        <w:ind w:left="1418" w:hanging="709"/>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stalni dio koncesijske naknade</w:t>
      </w:r>
      <w:r w:rsidR="00C4579C" w:rsidRPr="00F92CC6">
        <w:rPr>
          <w:rFonts w:ascii="Times New Roman" w:eastAsia="Times New Roman" w:hAnsi="Times New Roman" w:cs="Times New Roman"/>
          <w:sz w:val="24"/>
          <w:szCs w:val="24"/>
          <w:lang w:eastAsia="hr-HR"/>
        </w:rPr>
        <w:t xml:space="preserve"> iznosi:</w:t>
      </w:r>
    </w:p>
    <w:p w14:paraId="6C2F3711" w14:textId="77777777" w:rsidR="00935425" w:rsidRPr="00F92CC6" w:rsidRDefault="00935425" w:rsidP="00F92CC6">
      <w:pPr>
        <w:pStyle w:val="ListParagraph"/>
        <w:spacing w:after="0" w:line="240" w:lineRule="auto"/>
        <w:jc w:val="both"/>
        <w:rPr>
          <w:rFonts w:ascii="Times New Roman" w:eastAsia="Times New Roman" w:hAnsi="Times New Roman" w:cs="Times New Roman"/>
          <w:sz w:val="24"/>
          <w:szCs w:val="24"/>
          <w:lang w:eastAsia="hr-HR"/>
        </w:rPr>
      </w:pPr>
    </w:p>
    <w:p w14:paraId="6C2F3712" w14:textId="77777777" w:rsidR="00C4579C" w:rsidRPr="00F92CC6" w:rsidRDefault="00C4579C" w:rsidP="00F92CC6">
      <w:pPr>
        <w:pStyle w:val="ListParagraph"/>
        <w:numPr>
          <w:ilvl w:val="0"/>
          <w:numId w:val="2"/>
        </w:numPr>
        <w:spacing w:after="0" w:line="240" w:lineRule="auto"/>
        <w:ind w:left="993" w:hanging="284"/>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 xml:space="preserve">10,00 kuna po metru kvadratnom pomorskog dobra godišnje, za prvih </w:t>
      </w:r>
      <w:r w:rsidR="00C66512">
        <w:rPr>
          <w:rFonts w:ascii="Times New Roman" w:eastAsia="Times New Roman" w:hAnsi="Times New Roman" w:cs="Times New Roman"/>
          <w:sz w:val="24"/>
          <w:szCs w:val="24"/>
          <w:lang w:eastAsia="hr-HR"/>
        </w:rPr>
        <w:t>pet</w:t>
      </w:r>
      <w:r w:rsidRPr="00F92CC6">
        <w:rPr>
          <w:rFonts w:ascii="Times New Roman" w:eastAsia="Times New Roman" w:hAnsi="Times New Roman" w:cs="Times New Roman"/>
          <w:sz w:val="24"/>
          <w:szCs w:val="24"/>
          <w:lang w:eastAsia="hr-HR"/>
        </w:rPr>
        <w:t xml:space="preserve"> godina korištenja koncesije, što iznosi </w:t>
      </w:r>
      <w:r w:rsidR="00193D35" w:rsidRPr="00F92CC6">
        <w:rPr>
          <w:rFonts w:ascii="Times New Roman" w:eastAsia="Times New Roman" w:hAnsi="Times New Roman" w:cs="Times New Roman"/>
          <w:sz w:val="24"/>
          <w:szCs w:val="24"/>
          <w:lang w:eastAsia="hr-HR"/>
        </w:rPr>
        <w:t>89.530</w:t>
      </w:r>
      <w:r w:rsidRPr="00F92CC6">
        <w:rPr>
          <w:rFonts w:ascii="Times New Roman" w:eastAsia="Times New Roman" w:hAnsi="Times New Roman" w:cs="Times New Roman"/>
          <w:sz w:val="24"/>
          <w:szCs w:val="24"/>
          <w:lang w:eastAsia="hr-HR"/>
        </w:rPr>
        <w:t xml:space="preserve">,00 kuna </w:t>
      </w:r>
      <w:r w:rsidR="00C66512">
        <w:rPr>
          <w:rFonts w:ascii="Times New Roman" w:eastAsia="Times New Roman" w:hAnsi="Times New Roman" w:cs="Times New Roman"/>
          <w:sz w:val="24"/>
          <w:szCs w:val="24"/>
          <w:lang w:eastAsia="hr-HR"/>
        </w:rPr>
        <w:t>godišnje</w:t>
      </w:r>
    </w:p>
    <w:p w14:paraId="6C2F3713" w14:textId="77777777" w:rsidR="00C4579C" w:rsidRPr="00F92CC6" w:rsidRDefault="00C4579C" w:rsidP="00F92CC6">
      <w:pPr>
        <w:pStyle w:val="ListParagraph"/>
        <w:spacing w:after="0" w:line="240" w:lineRule="auto"/>
        <w:ind w:left="993" w:hanging="284"/>
        <w:jc w:val="both"/>
        <w:rPr>
          <w:rFonts w:ascii="Times New Roman" w:eastAsia="Times New Roman" w:hAnsi="Times New Roman" w:cs="Times New Roman"/>
          <w:sz w:val="24"/>
          <w:szCs w:val="24"/>
          <w:lang w:eastAsia="hr-HR"/>
        </w:rPr>
      </w:pPr>
    </w:p>
    <w:p w14:paraId="6C2F3714" w14:textId="77777777" w:rsidR="00C4579C" w:rsidRPr="00F92CC6" w:rsidRDefault="00C4579C" w:rsidP="00F92CC6">
      <w:pPr>
        <w:pStyle w:val="ListParagraph"/>
        <w:numPr>
          <w:ilvl w:val="0"/>
          <w:numId w:val="2"/>
        </w:numPr>
        <w:spacing w:after="0" w:line="240" w:lineRule="auto"/>
        <w:ind w:left="993" w:hanging="284"/>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17,00 kuna po metru kvadratnom pomorskog dobra godišnje,</w:t>
      </w:r>
      <w:r w:rsidR="00C66512">
        <w:rPr>
          <w:rFonts w:ascii="Times New Roman" w:eastAsia="Times New Roman" w:hAnsi="Times New Roman" w:cs="Times New Roman"/>
          <w:sz w:val="24"/>
          <w:szCs w:val="24"/>
          <w:lang w:eastAsia="hr-HR"/>
        </w:rPr>
        <w:t xml:space="preserve"> za razdoblje od pet do 10 </w:t>
      </w:r>
      <w:r w:rsidRPr="00F92CC6">
        <w:rPr>
          <w:rFonts w:ascii="Times New Roman" w:eastAsia="Times New Roman" w:hAnsi="Times New Roman" w:cs="Times New Roman"/>
          <w:sz w:val="24"/>
          <w:szCs w:val="24"/>
          <w:lang w:eastAsia="hr-HR"/>
        </w:rPr>
        <w:t xml:space="preserve">godina korištenja koncesije, što iznosi </w:t>
      </w:r>
      <w:r w:rsidR="00193D35" w:rsidRPr="00F92CC6">
        <w:rPr>
          <w:rFonts w:ascii="Times New Roman" w:eastAsia="Times New Roman" w:hAnsi="Times New Roman" w:cs="Times New Roman"/>
          <w:sz w:val="24"/>
          <w:szCs w:val="24"/>
          <w:lang w:eastAsia="hr-HR"/>
        </w:rPr>
        <w:t>152.201</w:t>
      </w:r>
      <w:r w:rsidR="00C66512">
        <w:rPr>
          <w:rFonts w:ascii="Times New Roman" w:eastAsia="Times New Roman" w:hAnsi="Times New Roman" w:cs="Times New Roman"/>
          <w:sz w:val="24"/>
          <w:szCs w:val="24"/>
          <w:lang w:eastAsia="hr-HR"/>
        </w:rPr>
        <w:t>,00 kuna godišnje</w:t>
      </w:r>
    </w:p>
    <w:p w14:paraId="6C2F3715" w14:textId="77777777" w:rsidR="00C4579C" w:rsidRPr="00F92CC6" w:rsidRDefault="00C4579C" w:rsidP="00F92CC6">
      <w:pPr>
        <w:pStyle w:val="ListParagraph"/>
        <w:spacing w:after="0" w:line="240" w:lineRule="auto"/>
        <w:ind w:left="993" w:hanging="284"/>
        <w:jc w:val="both"/>
        <w:rPr>
          <w:rFonts w:ascii="Times New Roman" w:eastAsia="Times New Roman" w:hAnsi="Times New Roman" w:cs="Times New Roman"/>
          <w:sz w:val="24"/>
          <w:szCs w:val="24"/>
          <w:lang w:eastAsia="hr-HR"/>
        </w:rPr>
      </w:pPr>
    </w:p>
    <w:p w14:paraId="6C2F3716" w14:textId="77777777" w:rsidR="00C4579C" w:rsidRPr="00F92CC6" w:rsidRDefault="00C4579C" w:rsidP="00F92CC6">
      <w:pPr>
        <w:pStyle w:val="ListParagraph"/>
        <w:numPr>
          <w:ilvl w:val="0"/>
          <w:numId w:val="2"/>
        </w:numPr>
        <w:spacing w:after="0" w:line="240" w:lineRule="auto"/>
        <w:ind w:left="993" w:hanging="284"/>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 xml:space="preserve">24,00 kune po metru kvadratnom pomorskog dobra godišnje, za razdoblje od 10 do 15 godina korištenja koncesije, što iznosi </w:t>
      </w:r>
      <w:r w:rsidR="00C66512">
        <w:rPr>
          <w:rFonts w:ascii="Times New Roman" w:eastAsia="Times New Roman" w:hAnsi="Times New Roman" w:cs="Times New Roman"/>
          <w:sz w:val="24"/>
          <w:szCs w:val="24"/>
          <w:lang w:eastAsia="hr-HR"/>
        </w:rPr>
        <w:t>214.872,00 kuna godišnje</w:t>
      </w:r>
    </w:p>
    <w:p w14:paraId="6C2F3717" w14:textId="77777777" w:rsidR="00C4579C" w:rsidRPr="00F92CC6" w:rsidRDefault="00C4579C" w:rsidP="00F92CC6">
      <w:pPr>
        <w:pStyle w:val="ListParagraph"/>
        <w:spacing w:after="0" w:line="240" w:lineRule="auto"/>
        <w:ind w:left="993" w:hanging="284"/>
        <w:jc w:val="both"/>
        <w:rPr>
          <w:rFonts w:ascii="Times New Roman" w:eastAsia="Times New Roman" w:hAnsi="Times New Roman" w:cs="Times New Roman"/>
          <w:sz w:val="24"/>
          <w:szCs w:val="24"/>
          <w:lang w:eastAsia="hr-HR"/>
        </w:rPr>
      </w:pPr>
    </w:p>
    <w:p w14:paraId="6C2F3718" w14:textId="77777777" w:rsidR="00C4579C" w:rsidRPr="00F92CC6" w:rsidRDefault="00C4579C" w:rsidP="00F92CC6">
      <w:pPr>
        <w:pStyle w:val="ListParagraph"/>
        <w:numPr>
          <w:ilvl w:val="0"/>
          <w:numId w:val="2"/>
        </w:numPr>
        <w:spacing w:after="0" w:line="240" w:lineRule="auto"/>
        <w:ind w:left="993" w:hanging="284"/>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 xml:space="preserve">31,00 kunu po metru kvadratnom pomorskog dobra godišnje, za razdoblje od 15 do 20 godina korištenja koncesije, što iznosi </w:t>
      </w:r>
      <w:r w:rsidR="00193D35" w:rsidRPr="00F92CC6">
        <w:rPr>
          <w:rFonts w:ascii="Times New Roman" w:eastAsia="Times New Roman" w:hAnsi="Times New Roman" w:cs="Times New Roman"/>
          <w:sz w:val="24"/>
          <w:szCs w:val="24"/>
          <w:lang w:eastAsia="hr-HR"/>
        </w:rPr>
        <w:t>277.543</w:t>
      </w:r>
      <w:r w:rsidR="00C66512">
        <w:rPr>
          <w:rFonts w:ascii="Times New Roman" w:eastAsia="Times New Roman" w:hAnsi="Times New Roman" w:cs="Times New Roman"/>
          <w:sz w:val="24"/>
          <w:szCs w:val="24"/>
          <w:lang w:eastAsia="hr-HR"/>
        </w:rPr>
        <w:t>,00 kuna godišnje</w:t>
      </w:r>
    </w:p>
    <w:p w14:paraId="6C2F3719" w14:textId="77777777" w:rsidR="00C4579C" w:rsidRPr="00F92CC6" w:rsidRDefault="00C4579C" w:rsidP="00F92CC6">
      <w:pPr>
        <w:pStyle w:val="ListParagraph"/>
        <w:spacing w:after="0" w:line="240" w:lineRule="auto"/>
        <w:ind w:left="993" w:hanging="284"/>
        <w:jc w:val="both"/>
        <w:rPr>
          <w:rFonts w:ascii="Times New Roman" w:eastAsia="Times New Roman" w:hAnsi="Times New Roman" w:cs="Times New Roman"/>
          <w:sz w:val="24"/>
          <w:szCs w:val="24"/>
          <w:lang w:eastAsia="hr-HR"/>
        </w:rPr>
      </w:pPr>
    </w:p>
    <w:p w14:paraId="6C2F371A" w14:textId="77777777" w:rsidR="00C4579C" w:rsidRPr="00F92CC6" w:rsidRDefault="00C4579C" w:rsidP="00F92CC6">
      <w:pPr>
        <w:pStyle w:val="ListParagraph"/>
        <w:numPr>
          <w:ilvl w:val="0"/>
          <w:numId w:val="2"/>
        </w:numPr>
        <w:spacing w:after="0" w:line="240" w:lineRule="auto"/>
        <w:ind w:left="993" w:hanging="284"/>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 xml:space="preserve">38,00 kuna po metru kvadratnom pomorskog dobra godišnje, za razdoblje od 20 do 25 godina korištenja koncesije, što iznosi </w:t>
      </w:r>
      <w:r w:rsidR="00193D35" w:rsidRPr="00F92CC6">
        <w:rPr>
          <w:rFonts w:ascii="Times New Roman" w:eastAsia="Times New Roman" w:hAnsi="Times New Roman" w:cs="Times New Roman"/>
          <w:sz w:val="24"/>
          <w:szCs w:val="24"/>
          <w:lang w:eastAsia="hr-HR"/>
        </w:rPr>
        <w:t>340.214</w:t>
      </w:r>
      <w:r w:rsidRPr="00F92CC6">
        <w:rPr>
          <w:rFonts w:ascii="Times New Roman" w:eastAsia="Times New Roman" w:hAnsi="Times New Roman" w:cs="Times New Roman"/>
          <w:sz w:val="24"/>
          <w:szCs w:val="24"/>
          <w:lang w:eastAsia="hr-HR"/>
        </w:rPr>
        <w:t>,00 kuna godišnje</w:t>
      </w:r>
    </w:p>
    <w:p w14:paraId="6C2F371B" w14:textId="77777777" w:rsidR="00C4579C" w:rsidRPr="00F92CC6" w:rsidRDefault="00C4579C" w:rsidP="00F92CC6">
      <w:pPr>
        <w:pStyle w:val="ListParagraph"/>
        <w:spacing w:after="0" w:line="240" w:lineRule="auto"/>
        <w:ind w:left="993" w:hanging="284"/>
        <w:jc w:val="both"/>
        <w:rPr>
          <w:rFonts w:ascii="Times New Roman" w:eastAsia="Times New Roman" w:hAnsi="Times New Roman" w:cs="Times New Roman"/>
          <w:sz w:val="24"/>
          <w:szCs w:val="24"/>
          <w:lang w:eastAsia="hr-HR"/>
        </w:rPr>
      </w:pPr>
    </w:p>
    <w:p w14:paraId="6C2F371C" w14:textId="77777777" w:rsidR="00C4579C" w:rsidRPr="00F92CC6" w:rsidRDefault="00C4579C" w:rsidP="00F92CC6">
      <w:pPr>
        <w:pStyle w:val="ListParagraph"/>
        <w:numPr>
          <w:ilvl w:val="0"/>
          <w:numId w:val="2"/>
        </w:numPr>
        <w:spacing w:after="0" w:line="240" w:lineRule="auto"/>
        <w:ind w:left="993" w:hanging="284"/>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 xml:space="preserve">45,00 kuna po metru kvadratnom pomorskog dobra godišnje, za razdoblje od 25 do 30 godina korištenja koncesije, što iznosi </w:t>
      </w:r>
      <w:r w:rsidR="00193D35" w:rsidRPr="00F92CC6">
        <w:rPr>
          <w:rFonts w:ascii="Times New Roman" w:eastAsia="Times New Roman" w:hAnsi="Times New Roman" w:cs="Times New Roman"/>
          <w:sz w:val="24"/>
          <w:szCs w:val="24"/>
          <w:lang w:eastAsia="hr-HR"/>
        </w:rPr>
        <w:t>402.885</w:t>
      </w:r>
      <w:r w:rsidRPr="00F92CC6">
        <w:rPr>
          <w:rFonts w:ascii="Times New Roman" w:eastAsia="Times New Roman" w:hAnsi="Times New Roman" w:cs="Times New Roman"/>
          <w:sz w:val="24"/>
          <w:szCs w:val="24"/>
          <w:lang w:eastAsia="hr-HR"/>
        </w:rPr>
        <w:t>,00 kuna godišnje.</w:t>
      </w:r>
    </w:p>
    <w:p w14:paraId="6C2F371D" w14:textId="77777777" w:rsidR="00935425" w:rsidRPr="00F92CC6" w:rsidRDefault="00935425" w:rsidP="00F92CC6">
      <w:pPr>
        <w:pStyle w:val="ListParagraph"/>
        <w:spacing w:after="0" w:line="240" w:lineRule="auto"/>
        <w:ind w:left="993"/>
        <w:jc w:val="both"/>
        <w:rPr>
          <w:rFonts w:ascii="Times New Roman" w:eastAsia="Times New Roman" w:hAnsi="Times New Roman" w:cs="Times New Roman"/>
          <w:sz w:val="24"/>
          <w:szCs w:val="24"/>
          <w:lang w:eastAsia="hr-HR"/>
        </w:rPr>
      </w:pPr>
    </w:p>
    <w:p w14:paraId="6C2F371E" w14:textId="77777777" w:rsidR="00935425" w:rsidRDefault="00935425" w:rsidP="00C66512">
      <w:pPr>
        <w:pStyle w:val="ListParagraph"/>
        <w:numPr>
          <w:ilvl w:val="0"/>
          <w:numId w:val="7"/>
        </w:numPr>
        <w:spacing w:after="0" w:line="240" w:lineRule="auto"/>
        <w:ind w:left="1418" w:hanging="709"/>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 xml:space="preserve">promjenjivi dio </w:t>
      </w:r>
      <w:r w:rsidR="00657C00" w:rsidRPr="00F92CC6">
        <w:rPr>
          <w:rFonts w:ascii="Times New Roman" w:eastAsia="Times New Roman" w:hAnsi="Times New Roman" w:cs="Times New Roman"/>
          <w:sz w:val="24"/>
          <w:szCs w:val="24"/>
          <w:lang w:eastAsia="hr-HR"/>
        </w:rPr>
        <w:t xml:space="preserve">koncesijske naknade </w:t>
      </w:r>
      <w:r w:rsidRPr="00F92CC6">
        <w:rPr>
          <w:rFonts w:ascii="Times New Roman" w:eastAsia="Times New Roman" w:hAnsi="Times New Roman" w:cs="Times New Roman"/>
          <w:sz w:val="24"/>
          <w:szCs w:val="24"/>
          <w:lang w:eastAsia="hr-HR"/>
        </w:rPr>
        <w:t>iznosi 6,00 kn po GWh plina isporučenog u transportni sustav iz terminala za LNG, pri čemu neovisno o količinama isporučenog plina iznos promjenjivog dijela koncesijske naknade može iznositi najviše 40.000,00 godišnje.</w:t>
      </w:r>
    </w:p>
    <w:p w14:paraId="6C2F371F" w14:textId="77777777" w:rsidR="00C66512" w:rsidRPr="00F92CC6" w:rsidRDefault="00C66512" w:rsidP="00C66512">
      <w:pPr>
        <w:pStyle w:val="ListParagraph"/>
        <w:spacing w:after="0" w:line="240" w:lineRule="auto"/>
        <w:ind w:left="1418"/>
        <w:jc w:val="both"/>
        <w:rPr>
          <w:rFonts w:ascii="Times New Roman" w:eastAsia="Times New Roman" w:hAnsi="Times New Roman" w:cs="Times New Roman"/>
          <w:sz w:val="24"/>
          <w:szCs w:val="24"/>
          <w:lang w:eastAsia="hr-HR"/>
        </w:rPr>
      </w:pPr>
    </w:p>
    <w:p w14:paraId="6C2F3720" w14:textId="77777777" w:rsidR="00C4579C" w:rsidRPr="00F92CC6" w:rsidRDefault="00935425" w:rsidP="00C66512">
      <w:pPr>
        <w:spacing w:after="0" w:line="240" w:lineRule="auto"/>
        <w:ind w:left="698" w:firstLine="720"/>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Navedena koncesijska naknada plaća se na sljedeći način:</w:t>
      </w:r>
    </w:p>
    <w:p w14:paraId="6C2F3721" w14:textId="77777777" w:rsidR="00935425" w:rsidRPr="00F92CC6" w:rsidRDefault="00935425" w:rsidP="00F92CC6">
      <w:pPr>
        <w:spacing w:after="0" w:line="240" w:lineRule="auto"/>
        <w:jc w:val="both"/>
        <w:rPr>
          <w:rFonts w:ascii="Times New Roman" w:eastAsia="Times New Roman" w:hAnsi="Times New Roman" w:cs="Times New Roman"/>
          <w:sz w:val="24"/>
          <w:szCs w:val="24"/>
          <w:lang w:eastAsia="hr-HR"/>
        </w:rPr>
      </w:pPr>
    </w:p>
    <w:p w14:paraId="6C2F3722" w14:textId="77777777" w:rsidR="00C4579C" w:rsidRPr="00F92CC6" w:rsidRDefault="009F44BC" w:rsidP="00C66512">
      <w:pPr>
        <w:pStyle w:val="ListParagraph"/>
        <w:numPr>
          <w:ilvl w:val="0"/>
          <w:numId w:val="8"/>
        </w:numPr>
        <w:spacing w:after="0" w:line="240" w:lineRule="auto"/>
        <w:ind w:left="1418" w:hanging="698"/>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s</w:t>
      </w:r>
      <w:r w:rsidR="00935425" w:rsidRPr="00F92CC6">
        <w:rPr>
          <w:rFonts w:ascii="Times New Roman" w:eastAsia="Times New Roman" w:hAnsi="Times New Roman" w:cs="Times New Roman"/>
          <w:sz w:val="24"/>
          <w:szCs w:val="24"/>
          <w:lang w:eastAsia="hr-HR"/>
        </w:rPr>
        <w:t>talni dio naknade plaća</w:t>
      </w:r>
      <w:r w:rsidR="00657C00" w:rsidRPr="00F92CC6">
        <w:rPr>
          <w:rFonts w:ascii="Times New Roman" w:eastAsia="Times New Roman" w:hAnsi="Times New Roman" w:cs="Times New Roman"/>
          <w:sz w:val="24"/>
          <w:szCs w:val="24"/>
          <w:lang w:eastAsia="hr-HR"/>
        </w:rPr>
        <w:t xml:space="preserve"> se unaprijed za tekuću godinu</w:t>
      </w:r>
      <w:r w:rsidR="00C4579C" w:rsidRPr="00F92CC6">
        <w:rPr>
          <w:rFonts w:ascii="Times New Roman" w:eastAsia="Times New Roman" w:hAnsi="Times New Roman" w:cs="Times New Roman"/>
          <w:sz w:val="24"/>
          <w:szCs w:val="24"/>
          <w:lang w:eastAsia="hr-HR"/>
        </w:rPr>
        <w:t>, najkasnije do 30. travnja:</w:t>
      </w:r>
    </w:p>
    <w:p w14:paraId="6C2F3723" w14:textId="77777777" w:rsidR="00C4579C" w:rsidRPr="00F92CC6" w:rsidRDefault="00C4579C" w:rsidP="00F92CC6">
      <w:pPr>
        <w:spacing w:after="0" w:line="240" w:lineRule="auto"/>
        <w:jc w:val="both"/>
        <w:rPr>
          <w:rFonts w:ascii="Times New Roman" w:eastAsia="Times New Roman" w:hAnsi="Times New Roman" w:cs="Times New Roman"/>
          <w:sz w:val="24"/>
          <w:szCs w:val="24"/>
          <w:lang w:eastAsia="hr-HR"/>
        </w:rPr>
      </w:pPr>
    </w:p>
    <w:p w14:paraId="6C2F3724" w14:textId="77777777" w:rsidR="00C4579C" w:rsidRPr="00F92CC6" w:rsidRDefault="00C4579C" w:rsidP="00F92CC6">
      <w:pPr>
        <w:pStyle w:val="ListParagraph"/>
        <w:numPr>
          <w:ilvl w:val="0"/>
          <w:numId w:val="3"/>
        </w:numPr>
        <w:spacing w:after="0" w:line="240" w:lineRule="auto"/>
        <w:ind w:left="993" w:hanging="284"/>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za početnu godinu koncesijskog perioda naknada se plaća u roku 45 dana od dan</w:t>
      </w:r>
      <w:r w:rsidR="00C66512">
        <w:rPr>
          <w:rFonts w:ascii="Times New Roman" w:eastAsia="Times New Roman" w:hAnsi="Times New Roman" w:cs="Times New Roman"/>
          <w:sz w:val="24"/>
          <w:szCs w:val="24"/>
          <w:lang w:eastAsia="hr-HR"/>
        </w:rPr>
        <w:t>a sklapanja ugovora o koncesiji</w:t>
      </w:r>
    </w:p>
    <w:p w14:paraId="6C2F3725" w14:textId="77777777" w:rsidR="00C4579C" w:rsidRPr="00F92CC6" w:rsidRDefault="00C4579C" w:rsidP="00F92CC6">
      <w:pPr>
        <w:spacing w:after="0" w:line="240" w:lineRule="auto"/>
        <w:ind w:left="993" w:hanging="284"/>
        <w:jc w:val="both"/>
        <w:rPr>
          <w:rFonts w:ascii="Times New Roman" w:eastAsia="Times New Roman" w:hAnsi="Times New Roman" w:cs="Times New Roman"/>
          <w:sz w:val="24"/>
          <w:szCs w:val="24"/>
          <w:lang w:eastAsia="hr-HR"/>
        </w:rPr>
      </w:pPr>
    </w:p>
    <w:p w14:paraId="6C2F3726" w14:textId="77777777" w:rsidR="00C4579C" w:rsidRPr="00F92CC6" w:rsidRDefault="00C4579C" w:rsidP="00F92CC6">
      <w:pPr>
        <w:pStyle w:val="ListParagraph"/>
        <w:numPr>
          <w:ilvl w:val="0"/>
          <w:numId w:val="3"/>
        </w:numPr>
        <w:spacing w:after="0" w:line="240" w:lineRule="auto"/>
        <w:ind w:left="993" w:hanging="284"/>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za godinu u kojoj je dana koncesija i za godinu u kojoj koncesija istječe, naknada se plaća razmjerno mjesecima korištenja.</w:t>
      </w:r>
    </w:p>
    <w:p w14:paraId="6C2F3727" w14:textId="77777777" w:rsidR="00C4579C" w:rsidRPr="00F92CC6" w:rsidRDefault="00C4579C" w:rsidP="00F92CC6">
      <w:pPr>
        <w:spacing w:after="0" w:line="240" w:lineRule="auto"/>
        <w:jc w:val="both"/>
        <w:rPr>
          <w:rFonts w:ascii="Times New Roman" w:eastAsia="Times New Roman" w:hAnsi="Times New Roman" w:cs="Times New Roman"/>
          <w:sz w:val="24"/>
          <w:szCs w:val="24"/>
          <w:lang w:eastAsia="hr-HR"/>
        </w:rPr>
      </w:pPr>
    </w:p>
    <w:p w14:paraId="6C2F3728" w14:textId="77777777" w:rsidR="00657C00" w:rsidRDefault="009F44BC" w:rsidP="00C66512">
      <w:pPr>
        <w:pStyle w:val="ListParagraph"/>
        <w:numPr>
          <w:ilvl w:val="0"/>
          <w:numId w:val="8"/>
        </w:numPr>
        <w:spacing w:after="0" w:line="240" w:lineRule="auto"/>
        <w:ind w:left="1418" w:hanging="709"/>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p</w:t>
      </w:r>
      <w:r w:rsidR="00657C00" w:rsidRPr="00F92CC6">
        <w:rPr>
          <w:rFonts w:ascii="Times New Roman" w:eastAsia="Times New Roman" w:hAnsi="Times New Roman" w:cs="Times New Roman"/>
          <w:sz w:val="24"/>
          <w:szCs w:val="24"/>
          <w:lang w:eastAsia="hr-HR"/>
        </w:rPr>
        <w:t>romjenjivi dio naknade plaća se unatrag u jednom obroku, i to do 30. travnja tekuće godine ovisno o količinama isporučenog plina u prethodnoj godini</w:t>
      </w:r>
      <w:r w:rsidR="00176523" w:rsidRPr="00F92CC6">
        <w:rPr>
          <w:rFonts w:ascii="Times New Roman" w:eastAsia="Times New Roman" w:hAnsi="Times New Roman" w:cs="Times New Roman"/>
          <w:sz w:val="24"/>
          <w:szCs w:val="24"/>
          <w:lang w:eastAsia="hr-HR"/>
        </w:rPr>
        <w:t>.</w:t>
      </w:r>
      <w:r w:rsidR="00657C00" w:rsidRPr="00F92CC6">
        <w:rPr>
          <w:rFonts w:ascii="Times New Roman" w:eastAsia="Times New Roman" w:hAnsi="Times New Roman" w:cs="Times New Roman"/>
          <w:sz w:val="24"/>
          <w:szCs w:val="24"/>
          <w:lang w:eastAsia="hr-HR"/>
        </w:rPr>
        <w:t xml:space="preserve"> </w:t>
      </w:r>
    </w:p>
    <w:p w14:paraId="6C2F3729" w14:textId="77777777" w:rsidR="00C66512" w:rsidRDefault="00C66512" w:rsidP="00C66512">
      <w:pPr>
        <w:spacing w:after="0" w:line="240" w:lineRule="auto"/>
        <w:ind w:firstLine="1429"/>
        <w:jc w:val="both"/>
        <w:rPr>
          <w:rFonts w:ascii="Times New Roman" w:eastAsia="Times New Roman" w:hAnsi="Times New Roman" w:cs="Times New Roman"/>
          <w:color w:val="000000" w:themeColor="text1"/>
          <w:sz w:val="24"/>
          <w:szCs w:val="24"/>
        </w:rPr>
      </w:pPr>
    </w:p>
    <w:p w14:paraId="6C2F372A" w14:textId="77777777" w:rsidR="00935425" w:rsidRDefault="00935425" w:rsidP="00C66512">
      <w:pPr>
        <w:spacing w:after="0" w:line="240" w:lineRule="auto"/>
        <w:ind w:firstLine="1429"/>
        <w:jc w:val="both"/>
        <w:rPr>
          <w:rFonts w:ascii="Times New Roman" w:eastAsia="Times New Roman" w:hAnsi="Times New Roman" w:cs="Times New Roman"/>
          <w:color w:val="000000" w:themeColor="text1"/>
          <w:sz w:val="24"/>
          <w:szCs w:val="24"/>
        </w:rPr>
      </w:pPr>
      <w:r w:rsidRPr="00F92CC6">
        <w:rPr>
          <w:rFonts w:ascii="Times New Roman" w:eastAsia="Times New Roman" w:hAnsi="Times New Roman" w:cs="Times New Roman"/>
          <w:color w:val="000000" w:themeColor="text1"/>
          <w:sz w:val="24"/>
          <w:szCs w:val="24"/>
        </w:rPr>
        <w:t>Stalni dio koncesijske naknade usklađivat će se svake tri godine na dan 1. siječnja četvrte godine i primjenjivati od 1. siječnja iste godine. Naknada će se usklađivati prema formuli:</w:t>
      </w:r>
    </w:p>
    <w:p w14:paraId="6C2F372B" w14:textId="77777777" w:rsidR="00C66512" w:rsidRPr="00F92CC6" w:rsidRDefault="00C66512" w:rsidP="00C66512">
      <w:pPr>
        <w:spacing w:after="0" w:line="240" w:lineRule="auto"/>
        <w:ind w:firstLine="1429"/>
        <w:jc w:val="both"/>
        <w:rPr>
          <w:rFonts w:ascii="Times New Roman" w:eastAsia="Times New Roman" w:hAnsi="Times New Roman" w:cs="Times New Roman"/>
          <w:color w:val="000000" w:themeColor="text1"/>
          <w:sz w:val="24"/>
          <w:szCs w:val="24"/>
        </w:rPr>
      </w:pPr>
    </w:p>
    <w:p w14:paraId="6C2F372C" w14:textId="77777777" w:rsidR="00935425" w:rsidRPr="00F92CC6" w:rsidRDefault="00935425" w:rsidP="00F92CC6">
      <w:pPr>
        <w:spacing w:after="0" w:line="240" w:lineRule="auto"/>
        <w:ind w:left="426"/>
        <w:jc w:val="both"/>
        <w:rPr>
          <w:rFonts w:ascii="Times New Roman" w:eastAsia="Times New Roman" w:hAnsi="Times New Roman" w:cs="Times New Roman"/>
          <w:color w:val="000000" w:themeColor="text1"/>
          <w:sz w:val="24"/>
          <w:szCs w:val="24"/>
        </w:rPr>
      </w:pPr>
      <m:oMathPara>
        <m:oMathParaPr>
          <m:jc m:val="left"/>
        </m:oMathParaPr>
        <m:oMath>
          <m:r>
            <w:rPr>
              <w:rFonts w:ascii="Cambria Math" w:eastAsia="Times New Roman" w:hAnsi="Cambria Math" w:cs="Times New Roman"/>
              <w:color w:val="000000" w:themeColor="text1"/>
              <w:sz w:val="24"/>
              <w:szCs w:val="24"/>
            </w:rPr>
            <m:t>K</m:t>
          </m:r>
          <m:r>
            <m:rPr>
              <m:sty m:val="p"/>
            </m:rPr>
            <w:rPr>
              <w:rFonts w:ascii="Cambria Math" w:eastAsia="Times New Roman" w:hAnsi="Cambria Math" w:cs="Times New Roman"/>
              <w:color w:val="000000" w:themeColor="text1"/>
              <w:sz w:val="24"/>
              <w:szCs w:val="24"/>
            </w:rPr>
            <m:t>=</m:t>
          </m:r>
          <m:d>
            <m:dPr>
              <m:begChr m:val="["/>
              <m:endChr m:val="]"/>
              <m:ctrlPr>
                <w:rPr>
                  <w:rFonts w:ascii="Cambria Math" w:eastAsia="Times New Roman" w:hAnsi="Cambria Math" w:cs="Times New Roman"/>
                  <w:color w:val="000000" w:themeColor="text1"/>
                  <w:sz w:val="24"/>
                  <w:szCs w:val="24"/>
                </w:rPr>
              </m:ctrlPr>
            </m:dPr>
            <m:e>
              <m:d>
                <m:dPr>
                  <m:ctrlPr>
                    <w:rPr>
                      <w:rFonts w:ascii="Cambria Math" w:eastAsia="Times New Roman" w:hAnsi="Cambria Math" w:cs="Times New Roman"/>
                      <w:i/>
                      <w:color w:val="000000" w:themeColor="text1"/>
                      <w:sz w:val="24"/>
                      <w:szCs w:val="24"/>
                    </w:rPr>
                  </m:ctrlPr>
                </m:dPr>
                <m:e>
                  <m:r>
                    <m:rPr>
                      <m:sty m:val="p"/>
                    </m:rPr>
                    <w:rPr>
                      <w:rFonts w:ascii="Cambria Math" w:eastAsia="Times New Roman" w:hAnsi="Cambria Math" w:cs="Times New Roman"/>
                      <w:color w:val="000000" w:themeColor="text1"/>
                      <w:sz w:val="24"/>
                      <w:szCs w:val="24"/>
                    </w:rPr>
                    <m:t>1+</m:t>
                  </m:r>
                  <m:f>
                    <m:fPr>
                      <m:ctrlPr>
                        <w:rPr>
                          <w:rFonts w:ascii="Cambria Math" w:eastAsia="Times New Roman" w:hAnsi="Cambria Math" w:cs="Times New Roman"/>
                          <w:color w:val="000000" w:themeColor="text1"/>
                          <w:sz w:val="24"/>
                          <w:szCs w:val="24"/>
                        </w:rPr>
                      </m:ctrlPr>
                    </m:fPr>
                    <m:num>
                      <m:f>
                        <m:fPr>
                          <m:ctrlPr>
                            <w:rPr>
                              <w:rFonts w:ascii="Cambria Math" w:eastAsia="Times New Roman" w:hAnsi="Cambria Math" w:cs="Times New Roman"/>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e>
                            <m:sub>
                              <m:r>
                                <w:rPr>
                                  <w:rFonts w:ascii="Cambria Math" w:eastAsia="Times New Roman" w:hAnsi="Cambria Math" w:cs="Times New Roman"/>
                                  <w:color w:val="000000" w:themeColor="text1"/>
                                  <w:sz w:val="24"/>
                                  <w:szCs w:val="24"/>
                                </w:rPr>
                                <m:t>1</m:t>
                              </m:r>
                            </m:sub>
                          </m:sSub>
                        </m:num>
                        <m:den>
                          <m:r>
                            <w:rPr>
                              <w:rFonts w:ascii="Cambria Math" w:eastAsia="Times New Roman" w:hAnsi="Cambria Math" w:cs="Times New Roman"/>
                              <w:color w:val="000000" w:themeColor="text1"/>
                              <w:sz w:val="24"/>
                              <w:szCs w:val="24"/>
                            </w:rPr>
                            <m:t>2</m:t>
                          </m:r>
                        </m:den>
                      </m:f>
                    </m:num>
                    <m:den>
                      <m:r>
                        <m:rPr>
                          <m:sty m:val="p"/>
                        </m:rPr>
                        <w:rPr>
                          <w:rFonts w:ascii="Cambria Math" w:eastAsia="Times New Roman" w:hAnsi="Cambria Math" w:cs="Times New Roman"/>
                          <w:color w:val="000000" w:themeColor="text1"/>
                          <w:sz w:val="24"/>
                          <w:szCs w:val="24"/>
                        </w:rPr>
                        <m:t>100</m:t>
                      </m:r>
                    </m:den>
                  </m:f>
                </m:e>
              </m:d>
              <m:r>
                <w:rPr>
                  <w:rFonts w:ascii="Cambria Math" w:eastAsia="Times New Roman" w:hAnsi="Cambria Math" w:cs="Times New Roman"/>
                  <w:color w:val="000000" w:themeColor="text1"/>
                  <w:sz w:val="24"/>
                  <w:szCs w:val="24"/>
                </w:rPr>
                <m:t>x</m:t>
              </m:r>
              <m:d>
                <m:dPr>
                  <m:ctrlPr>
                    <w:rPr>
                      <w:rFonts w:ascii="Cambria Math" w:eastAsia="Times New Roman" w:hAnsi="Cambria Math" w:cs="Times New Roman"/>
                      <w:i/>
                      <w:color w:val="000000" w:themeColor="text1"/>
                      <w:sz w:val="24"/>
                      <w:szCs w:val="24"/>
                    </w:rPr>
                  </m:ctrlPr>
                </m:dPr>
                <m:e>
                  <m:r>
                    <m:rPr>
                      <m:sty m:val="p"/>
                    </m:rPr>
                    <w:rPr>
                      <w:rFonts w:ascii="Cambria Math" w:eastAsia="Times New Roman" w:hAnsi="Cambria Math" w:cs="Times New Roman"/>
                      <w:color w:val="000000" w:themeColor="text1"/>
                      <w:sz w:val="24"/>
                      <w:szCs w:val="24"/>
                    </w:rPr>
                    <m:t>1+</m:t>
                  </m:r>
                  <m:f>
                    <m:fPr>
                      <m:ctrlPr>
                        <w:rPr>
                          <w:rFonts w:ascii="Cambria Math" w:eastAsia="Times New Roman" w:hAnsi="Cambria Math" w:cs="Times New Roman"/>
                          <w:color w:val="000000" w:themeColor="text1"/>
                          <w:sz w:val="24"/>
                          <w:szCs w:val="24"/>
                        </w:rPr>
                      </m:ctrlPr>
                    </m:fPr>
                    <m:num>
                      <m:f>
                        <m:fPr>
                          <m:ctrlPr>
                            <w:rPr>
                              <w:rFonts w:ascii="Cambria Math" w:eastAsia="Times New Roman" w:hAnsi="Cambria Math" w:cs="Times New Roman"/>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e>
                            <m:sub>
                              <m:r>
                                <w:rPr>
                                  <w:rFonts w:ascii="Cambria Math" w:eastAsia="Times New Roman" w:hAnsi="Cambria Math" w:cs="Times New Roman"/>
                                  <w:color w:val="000000" w:themeColor="text1"/>
                                  <w:sz w:val="24"/>
                                  <w:szCs w:val="24"/>
                                </w:rPr>
                                <m:t>2</m:t>
                              </m:r>
                            </m:sub>
                          </m:sSub>
                        </m:num>
                        <m:den>
                          <m:r>
                            <w:rPr>
                              <w:rFonts w:ascii="Cambria Math" w:eastAsia="Times New Roman" w:hAnsi="Cambria Math" w:cs="Times New Roman"/>
                              <w:color w:val="000000" w:themeColor="text1"/>
                              <w:sz w:val="24"/>
                              <w:szCs w:val="24"/>
                            </w:rPr>
                            <m:t>2</m:t>
                          </m:r>
                        </m:den>
                      </m:f>
                    </m:num>
                    <m:den>
                      <m:r>
                        <m:rPr>
                          <m:sty m:val="p"/>
                        </m:rPr>
                        <w:rPr>
                          <w:rFonts w:ascii="Cambria Math" w:eastAsia="Times New Roman" w:hAnsi="Cambria Math" w:cs="Times New Roman"/>
                          <w:color w:val="000000" w:themeColor="text1"/>
                          <w:sz w:val="24"/>
                          <w:szCs w:val="24"/>
                        </w:rPr>
                        <m:t>100</m:t>
                      </m:r>
                    </m:den>
                  </m:f>
                </m:e>
              </m:d>
              <m:r>
                <w:rPr>
                  <w:rFonts w:ascii="Cambria Math" w:eastAsia="Times New Roman" w:hAnsi="Cambria Math" w:cs="Times New Roman"/>
                  <w:color w:val="000000" w:themeColor="text1"/>
                  <w:sz w:val="24"/>
                  <w:szCs w:val="24"/>
                </w:rPr>
                <m:t>x</m:t>
              </m:r>
              <m:d>
                <m:dPr>
                  <m:ctrlPr>
                    <w:rPr>
                      <w:rFonts w:ascii="Cambria Math" w:eastAsia="Times New Roman" w:hAnsi="Cambria Math" w:cs="Times New Roman"/>
                      <w:i/>
                      <w:color w:val="000000" w:themeColor="text1"/>
                      <w:sz w:val="24"/>
                      <w:szCs w:val="24"/>
                    </w:rPr>
                  </m:ctrlPr>
                </m:dPr>
                <m:e>
                  <m:r>
                    <m:rPr>
                      <m:sty m:val="p"/>
                    </m:rPr>
                    <w:rPr>
                      <w:rFonts w:ascii="Cambria Math" w:eastAsia="Times New Roman" w:hAnsi="Cambria Math" w:cs="Times New Roman"/>
                      <w:color w:val="000000" w:themeColor="text1"/>
                      <w:sz w:val="24"/>
                      <w:szCs w:val="24"/>
                    </w:rPr>
                    <m:t>1+</m:t>
                  </m:r>
                  <m:f>
                    <m:fPr>
                      <m:ctrlPr>
                        <w:rPr>
                          <w:rFonts w:ascii="Cambria Math" w:eastAsia="Times New Roman" w:hAnsi="Cambria Math" w:cs="Times New Roman"/>
                          <w:color w:val="000000" w:themeColor="text1"/>
                          <w:sz w:val="24"/>
                          <w:szCs w:val="24"/>
                        </w:rPr>
                      </m:ctrlPr>
                    </m:fPr>
                    <m:num>
                      <m:f>
                        <m:fPr>
                          <m:ctrlPr>
                            <w:rPr>
                              <w:rFonts w:ascii="Cambria Math" w:eastAsia="Times New Roman" w:hAnsi="Cambria Math" w:cs="Times New Roman"/>
                              <w:color w:val="000000" w:themeColor="text1"/>
                              <w:sz w:val="24"/>
                              <w:szCs w:val="24"/>
                            </w:rPr>
                          </m:ctrlPr>
                        </m:fPr>
                        <m:num>
                          <m:sSub>
                            <m:sSubPr>
                              <m:ctrlPr>
                                <w:rPr>
                                  <w:rFonts w:ascii="Cambria Math" w:eastAsia="Times New Roman" w:hAnsi="Cambria Math" w:cs="Times New Roman"/>
                                  <w:i/>
                                  <w:color w:val="000000" w:themeColor="text1"/>
                                  <w:sz w:val="24"/>
                                  <w:szCs w:val="24"/>
                                </w:rPr>
                              </m:ctrlPr>
                            </m:sSubPr>
                            <m:e>
                              <m:r>
                                <w:rPr>
                                  <w:rFonts w:ascii="Cambria Math" w:eastAsia="Times New Roman" w:hAnsi="Cambria Math" w:cs="Times New Roman"/>
                                  <w:color w:val="000000" w:themeColor="text1"/>
                                  <w:sz w:val="24"/>
                                  <w:szCs w:val="24"/>
                                </w:rPr>
                                <m:t>P</m:t>
                              </m:r>
                            </m:e>
                            <m:sub>
                              <m:r>
                                <w:rPr>
                                  <w:rFonts w:ascii="Cambria Math" w:eastAsia="Times New Roman" w:hAnsi="Cambria Math" w:cs="Times New Roman"/>
                                  <w:color w:val="000000" w:themeColor="text1"/>
                                  <w:sz w:val="24"/>
                                  <w:szCs w:val="24"/>
                                </w:rPr>
                                <m:t>3</m:t>
                              </m:r>
                            </m:sub>
                          </m:sSub>
                        </m:num>
                        <m:den>
                          <m:r>
                            <w:rPr>
                              <w:rFonts w:ascii="Cambria Math" w:eastAsia="Times New Roman" w:hAnsi="Cambria Math" w:cs="Times New Roman"/>
                              <w:color w:val="000000" w:themeColor="text1"/>
                              <w:sz w:val="24"/>
                              <w:szCs w:val="24"/>
                            </w:rPr>
                            <m:t>2</m:t>
                          </m:r>
                        </m:den>
                      </m:f>
                    </m:num>
                    <m:den>
                      <m:r>
                        <m:rPr>
                          <m:sty m:val="p"/>
                        </m:rPr>
                        <w:rPr>
                          <w:rFonts w:ascii="Cambria Math" w:eastAsia="Times New Roman" w:hAnsi="Cambria Math" w:cs="Times New Roman"/>
                          <w:color w:val="000000" w:themeColor="text1"/>
                          <w:sz w:val="24"/>
                          <w:szCs w:val="24"/>
                        </w:rPr>
                        <m:t>100</m:t>
                      </m:r>
                    </m:den>
                  </m:f>
                </m:e>
              </m:d>
            </m:e>
          </m:d>
        </m:oMath>
      </m:oMathPara>
    </w:p>
    <w:p w14:paraId="6C2F372D" w14:textId="77777777" w:rsidR="00935425" w:rsidRPr="00F92CC6" w:rsidRDefault="00935425" w:rsidP="00F92CC6">
      <w:pPr>
        <w:spacing w:after="0" w:line="240" w:lineRule="auto"/>
        <w:jc w:val="both"/>
        <w:rPr>
          <w:rFonts w:ascii="Times New Roman" w:eastAsia="Times New Roman" w:hAnsi="Times New Roman" w:cs="Times New Roman"/>
          <w:color w:val="000000" w:themeColor="text1"/>
          <w:sz w:val="24"/>
          <w:szCs w:val="24"/>
        </w:rPr>
      </w:pPr>
    </w:p>
    <w:p w14:paraId="6C2F372E" w14:textId="77777777" w:rsidR="00935425" w:rsidRPr="00F92CC6" w:rsidRDefault="00935425" w:rsidP="00F92CC6">
      <w:pPr>
        <w:spacing w:after="0" w:line="240" w:lineRule="auto"/>
        <w:ind w:left="426"/>
        <w:jc w:val="both"/>
        <w:rPr>
          <w:rFonts w:ascii="Times New Roman" w:eastAsia="Times New Roman" w:hAnsi="Times New Roman" w:cs="Times New Roman"/>
          <w:color w:val="000000" w:themeColor="text1"/>
          <w:sz w:val="24"/>
          <w:szCs w:val="24"/>
        </w:rPr>
      </w:pPr>
      <w:r w:rsidRPr="00F92CC6">
        <w:rPr>
          <w:rFonts w:ascii="Times New Roman" w:eastAsia="Times New Roman" w:hAnsi="Times New Roman" w:cs="Times New Roman"/>
          <w:color w:val="000000" w:themeColor="text1"/>
          <w:sz w:val="24"/>
          <w:szCs w:val="24"/>
        </w:rPr>
        <w:t>K = faktor za usklađivanje stalnog i promjenjivog dijela koncesijske naknade za svaki trogodišnji period koji slijedi nakon zaključenja ugovora o koncesiji</w:t>
      </w:r>
    </w:p>
    <w:p w14:paraId="6C2F372F" w14:textId="77777777" w:rsidR="00935425" w:rsidRPr="00F92CC6" w:rsidRDefault="00935425" w:rsidP="00F92CC6">
      <w:pPr>
        <w:spacing w:after="0" w:line="240" w:lineRule="auto"/>
        <w:ind w:left="426"/>
        <w:jc w:val="both"/>
        <w:rPr>
          <w:rFonts w:ascii="Times New Roman" w:eastAsia="Times New Roman" w:hAnsi="Times New Roman" w:cs="Times New Roman"/>
          <w:color w:val="000000" w:themeColor="text1"/>
          <w:sz w:val="24"/>
          <w:szCs w:val="24"/>
        </w:rPr>
      </w:pPr>
      <w:r w:rsidRPr="00F92CC6">
        <w:rPr>
          <w:rFonts w:ascii="Times New Roman" w:eastAsia="Times New Roman" w:hAnsi="Times New Roman" w:cs="Times New Roman"/>
          <w:color w:val="000000" w:themeColor="text1"/>
          <w:sz w:val="24"/>
          <w:szCs w:val="24"/>
        </w:rPr>
        <w:t>P</w:t>
      </w:r>
      <w:r w:rsidRPr="00F92CC6">
        <w:rPr>
          <w:rFonts w:ascii="Times New Roman" w:eastAsia="Times New Roman" w:hAnsi="Times New Roman" w:cs="Times New Roman"/>
          <w:color w:val="000000" w:themeColor="text1"/>
          <w:sz w:val="24"/>
          <w:szCs w:val="24"/>
          <w:vertAlign w:val="subscript"/>
        </w:rPr>
        <w:t>1</w:t>
      </w:r>
      <w:r w:rsidRPr="00F92CC6">
        <w:rPr>
          <w:rFonts w:ascii="Times New Roman" w:eastAsia="Times New Roman" w:hAnsi="Times New Roman" w:cs="Times New Roman"/>
          <w:color w:val="000000" w:themeColor="text1"/>
          <w:sz w:val="24"/>
          <w:szCs w:val="24"/>
        </w:rPr>
        <w:t xml:space="preserve"> = stopa inflacije prve godine trogodišnjeg perioda</w:t>
      </w:r>
    </w:p>
    <w:p w14:paraId="6C2F3730" w14:textId="77777777" w:rsidR="00935425" w:rsidRPr="00F92CC6" w:rsidRDefault="00935425" w:rsidP="00F92CC6">
      <w:pPr>
        <w:spacing w:after="0" w:line="240" w:lineRule="auto"/>
        <w:ind w:left="426"/>
        <w:jc w:val="both"/>
        <w:rPr>
          <w:rFonts w:ascii="Times New Roman" w:eastAsia="Times New Roman" w:hAnsi="Times New Roman" w:cs="Times New Roman"/>
          <w:color w:val="000000" w:themeColor="text1"/>
          <w:sz w:val="24"/>
          <w:szCs w:val="24"/>
        </w:rPr>
      </w:pPr>
      <w:r w:rsidRPr="00F92CC6">
        <w:rPr>
          <w:rFonts w:ascii="Times New Roman" w:eastAsia="Times New Roman" w:hAnsi="Times New Roman" w:cs="Times New Roman"/>
          <w:color w:val="000000" w:themeColor="text1"/>
          <w:sz w:val="24"/>
          <w:szCs w:val="24"/>
        </w:rPr>
        <w:t>P</w:t>
      </w:r>
      <w:r w:rsidRPr="00F92CC6">
        <w:rPr>
          <w:rFonts w:ascii="Times New Roman" w:eastAsia="Times New Roman" w:hAnsi="Times New Roman" w:cs="Times New Roman"/>
          <w:color w:val="000000" w:themeColor="text1"/>
          <w:sz w:val="24"/>
          <w:szCs w:val="24"/>
          <w:vertAlign w:val="subscript"/>
        </w:rPr>
        <w:t>2</w:t>
      </w:r>
      <w:r w:rsidRPr="00F92CC6">
        <w:rPr>
          <w:rFonts w:ascii="Times New Roman" w:eastAsia="Times New Roman" w:hAnsi="Times New Roman" w:cs="Times New Roman"/>
          <w:color w:val="000000" w:themeColor="text1"/>
          <w:sz w:val="24"/>
          <w:szCs w:val="24"/>
        </w:rPr>
        <w:t xml:space="preserve"> = stopa inflacije druge godine trogodišnjeg perioda</w:t>
      </w:r>
    </w:p>
    <w:p w14:paraId="6C2F3731" w14:textId="77777777" w:rsidR="00935425" w:rsidRDefault="00935425" w:rsidP="00F92CC6">
      <w:pPr>
        <w:spacing w:after="0" w:line="240" w:lineRule="auto"/>
        <w:ind w:left="426"/>
        <w:jc w:val="both"/>
        <w:rPr>
          <w:rFonts w:ascii="Times New Roman" w:eastAsia="Times New Roman" w:hAnsi="Times New Roman" w:cs="Times New Roman"/>
          <w:color w:val="000000" w:themeColor="text1"/>
          <w:sz w:val="24"/>
          <w:szCs w:val="24"/>
        </w:rPr>
      </w:pPr>
      <w:r w:rsidRPr="00F92CC6">
        <w:rPr>
          <w:rFonts w:ascii="Times New Roman" w:eastAsia="Times New Roman" w:hAnsi="Times New Roman" w:cs="Times New Roman"/>
          <w:color w:val="000000" w:themeColor="text1"/>
          <w:sz w:val="24"/>
          <w:szCs w:val="24"/>
        </w:rPr>
        <w:t>P</w:t>
      </w:r>
      <w:r w:rsidRPr="00F92CC6">
        <w:rPr>
          <w:rFonts w:ascii="Times New Roman" w:eastAsia="Times New Roman" w:hAnsi="Times New Roman" w:cs="Times New Roman"/>
          <w:color w:val="000000" w:themeColor="text1"/>
          <w:sz w:val="24"/>
          <w:szCs w:val="24"/>
          <w:vertAlign w:val="subscript"/>
        </w:rPr>
        <w:t>3</w:t>
      </w:r>
      <w:r w:rsidRPr="00F92CC6">
        <w:rPr>
          <w:rFonts w:ascii="Times New Roman" w:eastAsia="Times New Roman" w:hAnsi="Times New Roman" w:cs="Times New Roman"/>
          <w:color w:val="000000" w:themeColor="text1"/>
          <w:sz w:val="24"/>
          <w:szCs w:val="24"/>
        </w:rPr>
        <w:t xml:space="preserve"> = stopa inflacije treće godine trogodišnjeg perioda</w:t>
      </w:r>
    </w:p>
    <w:p w14:paraId="6C2F3732" w14:textId="77777777" w:rsidR="00C66512" w:rsidRPr="00F92CC6" w:rsidRDefault="00C66512" w:rsidP="00F92CC6">
      <w:pPr>
        <w:spacing w:after="0" w:line="240" w:lineRule="auto"/>
        <w:ind w:left="426"/>
        <w:jc w:val="both"/>
        <w:rPr>
          <w:rFonts w:ascii="Times New Roman" w:eastAsia="Times New Roman" w:hAnsi="Times New Roman" w:cs="Times New Roman"/>
          <w:color w:val="000000" w:themeColor="text1"/>
          <w:sz w:val="24"/>
          <w:szCs w:val="24"/>
        </w:rPr>
      </w:pPr>
    </w:p>
    <w:p w14:paraId="6C2F3733" w14:textId="77777777" w:rsidR="00C3367C" w:rsidRDefault="00935425" w:rsidP="00C66512">
      <w:pPr>
        <w:spacing w:after="0" w:line="240" w:lineRule="auto"/>
        <w:ind w:firstLine="1440"/>
        <w:jc w:val="both"/>
        <w:rPr>
          <w:rFonts w:ascii="Times New Roman" w:eastAsia="Times New Roman" w:hAnsi="Times New Roman" w:cs="Times New Roman"/>
          <w:color w:val="000000" w:themeColor="text1"/>
          <w:sz w:val="24"/>
          <w:szCs w:val="24"/>
        </w:rPr>
      </w:pPr>
      <w:r w:rsidRPr="00F92CC6">
        <w:rPr>
          <w:rFonts w:ascii="Times New Roman" w:eastAsia="Times New Roman" w:hAnsi="Times New Roman" w:cs="Times New Roman"/>
          <w:color w:val="000000" w:themeColor="text1"/>
          <w:sz w:val="24"/>
          <w:szCs w:val="24"/>
        </w:rPr>
        <w:t>Neovisno o usklađivanju cijena vezano za inflatorna kretanja, a u slučaju da se za vrijeme trajanja koncesijskog ugovora promijeni srednji tečaj Hrvatske narodne banke za kunu u odnosu na euro i to za +/-3</w:t>
      </w:r>
      <w:r w:rsidR="00C66512">
        <w:rPr>
          <w:rFonts w:ascii="Times New Roman" w:eastAsia="Times New Roman" w:hAnsi="Times New Roman" w:cs="Times New Roman"/>
          <w:color w:val="000000" w:themeColor="text1"/>
          <w:sz w:val="24"/>
          <w:szCs w:val="24"/>
        </w:rPr>
        <w:t xml:space="preserve"> </w:t>
      </w:r>
      <w:r w:rsidRPr="00F92CC6">
        <w:rPr>
          <w:rFonts w:ascii="Times New Roman" w:eastAsia="Times New Roman" w:hAnsi="Times New Roman" w:cs="Times New Roman"/>
          <w:color w:val="000000" w:themeColor="text1"/>
          <w:sz w:val="24"/>
          <w:szCs w:val="24"/>
        </w:rPr>
        <w:t>%, mijenja se i iznos stalnog dijela koncesijske naknade sukladno promjeni tečaja.</w:t>
      </w:r>
    </w:p>
    <w:p w14:paraId="6C2F3734" w14:textId="77777777" w:rsidR="00C66512" w:rsidRPr="00F92CC6" w:rsidRDefault="00C66512" w:rsidP="00C66512">
      <w:pPr>
        <w:spacing w:after="0" w:line="240" w:lineRule="auto"/>
        <w:ind w:firstLine="1440"/>
        <w:jc w:val="both"/>
        <w:rPr>
          <w:rFonts w:ascii="Times New Roman" w:eastAsia="Times New Roman" w:hAnsi="Times New Roman" w:cs="Times New Roman"/>
          <w:color w:val="000000" w:themeColor="text1"/>
          <w:sz w:val="24"/>
          <w:szCs w:val="24"/>
        </w:rPr>
      </w:pPr>
    </w:p>
    <w:p w14:paraId="6C2F3735" w14:textId="77777777" w:rsidR="00C4579C" w:rsidRPr="00F92CC6" w:rsidRDefault="00C4579C" w:rsidP="00F92CC6">
      <w:pPr>
        <w:spacing w:after="0" w:line="240" w:lineRule="auto"/>
        <w:jc w:val="center"/>
        <w:rPr>
          <w:rFonts w:ascii="Times New Roman" w:eastAsia="Times New Roman" w:hAnsi="Times New Roman" w:cs="Times New Roman"/>
          <w:b/>
          <w:sz w:val="24"/>
          <w:szCs w:val="24"/>
          <w:lang w:eastAsia="hr-HR"/>
        </w:rPr>
      </w:pPr>
      <w:r w:rsidRPr="00F92CC6">
        <w:rPr>
          <w:rFonts w:ascii="Times New Roman" w:eastAsia="Times New Roman" w:hAnsi="Times New Roman" w:cs="Times New Roman"/>
          <w:b/>
          <w:sz w:val="24"/>
          <w:szCs w:val="24"/>
          <w:lang w:eastAsia="hr-HR"/>
        </w:rPr>
        <w:t>VIII.</w:t>
      </w:r>
    </w:p>
    <w:p w14:paraId="6C2F3736" w14:textId="77777777" w:rsidR="00C4579C" w:rsidRPr="00F92CC6" w:rsidRDefault="00C4579C" w:rsidP="00F92CC6">
      <w:pPr>
        <w:spacing w:after="0" w:line="240" w:lineRule="auto"/>
        <w:jc w:val="center"/>
        <w:rPr>
          <w:rFonts w:ascii="Times New Roman" w:eastAsia="Times New Roman" w:hAnsi="Times New Roman" w:cs="Times New Roman"/>
          <w:sz w:val="24"/>
          <w:szCs w:val="24"/>
          <w:lang w:eastAsia="hr-HR"/>
        </w:rPr>
      </w:pPr>
    </w:p>
    <w:p w14:paraId="6C2F3737" w14:textId="77777777" w:rsidR="00C4579C" w:rsidRPr="00F92CC6" w:rsidRDefault="00C4579C" w:rsidP="00C66512">
      <w:pPr>
        <w:spacing w:after="0" w:line="240" w:lineRule="auto"/>
        <w:ind w:firstLine="1440"/>
        <w:jc w:val="both"/>
        <w:rPr>
          <w:rFonts w:ascii="Times New Roman" w:eastAsia="Times New Roman" w:hAnsi="Times New Roman" w:cs="Times New Roman"/>
          <w:sz w:val="24"/>
          <w:szCs w:val="24"/>
          <w:lang w:eastAsia="hr-HR"/>
        </w:rPr>
      </w:pPr>
      <w:r w:rsidRPr="00F92CC6">
        <w:rPr>
          <w:rFonts w:ascii="Times New Roman" w:hAnsi="Times New Roman" w:cs="Times New Roman"/>
          <w:sz w:val="24"/>
          <w:szCs w:val="24"/>
        </w:rPr>
        <w:t>Na temelju ove Odluke ovlašćuje se ministar mora, prometa i infrastrukture sklopiti ugovor o koncesiji pomorskog dobra iz točke I</w:t>
      </w:r>
      <w:r w:rsidR="009F44BC" w:rsidRPr="00F92CC6">
        <w:rPr>
          <w:rFonts w:ascii="Times New Roman" w:hAnsi="Times New Roman" w:cs="Times New Roman"/>
          <w:sz w:val="24"/>
          <w:szCs w:val="24"/>
        </w:rPr>
        <w:t>I</w:t>
      </w:r>
      <w:r w:rsidRPr="00F92CC6">
        <w:rPr>
          <w:rFonts w:ascii="Times New Roman" w:hAnsi="Times New Roman" w:cs="Times New Roman"/>
          <w:sz w:val="24"/>
          <w:szCs w:val="24"/>
        </w:rPr>
        <w:t>. ove Odl</w:t>
      </w:r>
      <w:r w:rsidR="00E65379" w:rsidRPr="00F92CC6">
        <w:rPr>
          <w:rFonts w:ascii="Times New Roman" w:hAnsi="Times New Roman" w:cs="Times New Roman"/>
          <w:sz w:val="24"/>
          <w:szCs w:val="24"/>
        </w:rPr>
        <w:t xml:space="preserve">uke, u roku 60 dana </w:t>
      </w:r>
      <w:r w:rsidRPr="00F92CC6">
        <w:rPr>
          <w:rFonts w:ascii="Times New Roman" w:hAnsi="Times New Roman" w:cs="Times New Roman"/>
          <w:sz w:val="24"/>
          <w:szCs w:val="24"/>
        </w:rPr>
        <w:t xml:space="preserve">od dana objave ove Odluke </w:t>
      </w:r>
      <w:r w:rsidR="00C66512">
        <w:rPr>
          <w:rFonts w:ascii="Times New Roman" w:hAnsi="Times New Roman" w:cs="Times New Roman"/>
          <w:sz w:val="24"/>
          <w:szCs w:val="24"/>
        </w:rPr>
        <w:t>u Narodnim novinama</w:t>
      </w:r>
      <w:r w:rsidRPr="00F92CC6">
        <w:rPr>
          <w:rFonts w:ascii="Times New Roman" w:hAnsi="Times New Roman" w:cs="Times New Roman"/>
          <w:sz w:val="24"/>
          <w:szCs w:val="24"/>
        </w:rPr>
        <w:t>.</w:t>
      </w:r>
    </w:p>
    <w:p w14:paraId="6C2F3738" w14:textId="77777777" w:rsidR="00C4579C" w:rsidRPr="00F92CC6" w:rsidRDefault="00C4579C" w:rsidP="00F92CC6">
      <w:pPr>
        <w:spacing w:after="0" w:line="240" w:lineRule="auto"/>
        <w:jc w:val="center"/>
        <w:rPr>
          <w:rFonts w:ascii="Times New Roman" w:eastAsia="Times New Roman" w:hAnsi="Times New Roman" w:cs="Times New Roman"/>
          <w:sz w:val="24"/>
          <w:szCs w:val="24"/>
          <w:lang w:eastAsia="hr-HR"/>
        </w:rPr>
      </w:pPr>
    </w:p>
    <w:p w14:paraId="6C2F3739" w14:textId="77777777" w:rsidR="00C4579C" w:rsidRPr="00F92CC6" w:rsidRDefault="00C4579C" w:rsidP="00F92CC6">
      <w:pPr>
        <w:spacing w:after="0" w:line="240" w:lineRule="auto"/>
        <w:jc w:val="center"/>
        <w:rPr>
          <w:rFonts w:ascii="Times New Roman" w:eastAsia="Times New Roman" w:hAnsi="Times New Roman" w:cs="Times New Roman"/>
          <w:b/>
          <w:sz w:val="24"/>
          <w:szCs w:val="24"/>
          <w:lang w:eastAsia="hr-HR"/>
        </w:rPr>
      </w:pPr>
      <w:r w:rsidRPr="00F92CC6">
        <w:rPr>
          <w:rFonts w:ascii="Times New Roman" w:eastAsia="Times New Roman" w:hAnsi="Times New Roman" w:cs="Times New Roman"/>
          <w:b/>
          <w:sz w:val="24"/>
          <w:szCs w:val="24"/>
          <w:lang w:eastAsia="hr-HR"/>
        </w:rPr>
        <w:t>IX.</w:t>
      </w:r>
    </w:p>
    <w:p w14:paraId="6C2F373A" w14:textId="77777777" w:rsidR="00C4579C" w:rsidRPr="00F92CC6" w:rsidRDefault="00C4579C" w:rsidP="00F92CC6">
      <w:pPr>
        <w:spacing w:after="0" w:line="240" w:lineRule="auto"/>
        <w:jc w:val="both"/>
        <w:rPr>
          <w:rFonts w:ascii="Times New Roman" w:hAnsi="Times New Roman" w:cs="Times New Roman"/>
          <w:sz w:val="24"/>
          <w:szCs w:val="24"/>
        </w:rPr>
      </w:pPr>
    </w:p>
    <w:p w14:paraId="6C2F373B" w14:textId="77777777" w:rsidR="00C4579C" w:rsidRPr="00F92CC6" w:rsidRDefault="00C4579C" w:rsidP="00C66512">
      <w:pPr>
        <w:spacing w:after="0" w:line="240" w:lineRule="auto"/>
        <w:ind w:firstLine="1440"/>
        <w:jc w:val="both"/>
        <w:rPr>
          <w:rFonts w:ascii="Times New Roman" w:hAnsi="Times New Roman" w:cs="Times New Roman"/>
          <w:sz w:val="24"/>
          <w:szCs w:val="24"/>
        </w:rPr>
      </w:pPr>
      <w:r w:rsidRPr="00F92CC6">
        <w:rPr>
          <w:rFonts w:ascii="Times New Roman" w:hAnsi="Times New Roman" w:cs="Times New Roman"/>
          <w:sz w:val="24"/>
          <w:szCs w:val="24"/>
        </w:rPr>
        <w:t xml:space="preserve">Ovlaštenik koncesije dužan je prije sklapanja ugovora o koncesiji iz točke VIII. ove Odluke, Davatelju koncesije dostaviti zadužnice u korist Republike Hrvatske – Ministarstva mora, prometa i infrastrukture na iznos od dvije godišnje naknade za koncesiju, u ukupnom iznosu od </w:t>
      </w:r>
      <w:r w:rsidR="00960E21" w:rsidRPr="00F92CC6">
        <w:rPr>
          <w:rFonts w:ascii="Times New Roman" w:hAnsi="Times New Roman" w:cs="Times New Roman"/>
          <w:sz w:val="24"/>
          <w:szCs w:val="24"/>
        </w:rPr>
        <w:t>179.060</w:t>
      </w:r>
      <w:r w:rsidRPr="00F92CC6">
        <w:rPr>
          <w:rFonts w:ascii="Times New Roman" w:hAnsi="Times New Roman" w:cs="Times New Roman"/>
          <w:sz w:val="24"/>
          <w:szCs w:val="24"/>
        </w:rPr>
        <w:t>,00 kuna, kao instrumente osiguranja naplate naknade za koncesiju, te za naknadu štete koja može nastati zbog neispunjenja obveza iz ugovora o koncesiji.</w:t>
      </w:r>
    </w:p>
    <w:p w14:paraId="6C2F373C" w14:textId="77777777" w:rsidR="00372E15" w:rsidRPr="00F92CC6" w:rsidRDefault="00372E15" w:rsidP="00F92CC6">
      <w:pPr>
        <w:spacing w:after="0" w:line="240" w:lineRule="auto"/>
        <w:jc w:val="both"/>
        <w:rPr>
          <w:rFonts w:ascii="Times New Roman" w:hAnsi="Times New Roman" w:cs="Times New Roman"/>
          <w:sz w:val="24"/>
          <w:szCs w:val="24"/>
        </w:rPr>
      </w:pPr>
    </w:p>
    <w:p w14:paraId="6C2F373D" w14:textId="77777777" w:rsidR="00372E15" w:rsidRPr="00F92CC6" w:rsidRDefault="00372E15" w:rsidP="00C66512">
      <w:pPr>
        <w:spacing w:after="0" w:line="240" w:lineRule="auto"/>
        <w:ind w:firstLine="1440"/>
        <w:jc w:val="both"/>
        <w:rPr>
          <w:rFonts w:ascii="Times New Roman" w:hAnsi="Times New Roman" w:cs="Times New Roman"/>
          <w:sz w:val="24"/>
          <w:szCs w:val="24"/>
        </w:rPr>
      </w:pPr>
      <w:r w:rsidRPr="00F92CC6">
        <w:rPr>
          <w:rFonts w:ascii="Times New Roman" w:hAnsi="Times New Roman" w:cs="Times New Roman"/>
          <w:sz w:val="24"/>
          <w:szCs w:val="24"/>
        </w:rPr>
        <w:t xml:space="preserve">Nakon svakog </w:t>
      </w:r>
      <w:r w:rsidR="00193D35" w:rsidRPr="00F92CC6">
        <w:rPr>
          <w:rFonts w:ascii="Times New Roman" w:hAnsi="Times New Roman" w:cs="Times New Roman"/>
          <w:sz w:val="24"/>
          <w:szCs w:val="24"/>
        </w:rPr>
        <w:t xml:space="preserve">petogodišnjeg </w:t>
      </w:r>
      <w:r w:rsidRPr="00F92CC6">
        <w:rPr>
          <w:rFonts w:ascii="Times New Roman" w:hAnsi="Times New Roman" w:cs="Times New Roman"/>
          <w:sz w:val="24"/>
          <w:szCs w:val="24"/>
        </w:rPr>
        <w:t xml:space="preserve">povećanja koncesijske naknade Ovlaštenik koncesije dužan </w:t>
      </w:r>
      <w:r w:rsidR="00193D35" w:rsidRPr="00F92CC6">
        <w:rPr>
          <w:rFonts w:ascii="Times New Roman" w:hAnsi="Times New Roman" w:cs="Times New Roman"/>
          <w:sz w:val="24"/>
          <w:szCs w:val="24"/>
        </w:rPr>
        <w:t xml:space="preserve">je </w:t>
      </w:r>
      <w:r w:rsidRPr="00F92CC6">
        <w:rPr>
          <w:rFonts w:ascii="Times New Roman" w:hAnsi="Times New Roman" w:cs="Times New Roman"/>
          <w:sz w:val="24"/>
          <w:szCs w:val="24"/>
        </w:rPr>
        <w:t>dostaviti nove zadužnice na iznos od dvije godišnje naknade za koncesiju prema iznosima iz točke VII. stavka 2. ove Odluke.</w:t>
      </w:r>
    </w:p>
    <w:p w14:paraId="6C2F373E" w14:textId="77777777" w:rsidR="00C4579C" w:rsidRPr="00F92CC6" w:rsidRDefault="00C4579C" w:rsidP="00F92CC6">
      <w:pPr>
        <w:spacing w:after="0" w:line="240" w:lineRule="auto"/>
        <w:jc w:val="both"/>
        <w:rPr>
          <w:rFonts w:ascii="Times New Roman" w:hAnsi="Times New Roman" w:cs="Times New Roman"/>
          <w:sz w:val="24"/>
          <w:szCs w:val="24"/>
        </w:rPr>
      </w:pPr>
    </w:p>
    <w:p w14:paraId="6C2F373F" w14:textId="77777777" w:rsidR="00C4579C" w:rsidRPr="00F92CC6" w:rsidRDefault="00C4579C" w:rsidP="00F92CC6">
      <w:pPr>
        <w:spacing w:after="0" w:line="240" w:lineRule="auto"/>
        <w:jc w:val="center"/>
        <w:rPr>
          <w:rFonts w:ascii="Times New Roman" w:eastAsia="Times New Roman" w:hAnsi="Times New Roman" w:cs="Times New Roman"/>
          <w:b/>
          <w:sz w:val="24"/>
          <w:szCs w:val="24"/>
          <w:lang w:eastAsia="hr-HR"/>
        </w:rPr>
      </w:pPr>
      <w:r w:rsidRPr="00F92CC6">
        <w:rPr>
          <w:rFonts w:ascii="Times New Roman" w:eastAsia="Times New Roman" w:hAnsi="Times New Roman" w:cs="Times New Roman"/>
          <w:b/>
          <w:sz w:val="24"/>
          <w:szCs w:val="24"/>
          <w:lang w:eastAsia="hr-HR"/>
        </w:rPr>
        <w:t>X.</w:t>
      </w:r>
    </w:p>
    <w:p w14:paraId="6C2F3740" w14:textId="77777777" w:rsidR="00C4579C" w:rsidRPr="00F92CC6" w:rsidRDefault="00C4579C" w:rsidP="00F92CC6">
      <w:pPr>
        <w:spacing w:after="0" w:line="240" w:lineRule="auto"/>
        <w:jc w:val="center"/>
        <w:rPr>
          <w:rFonts w:ascii="Times New Roman" w:eastAsia="Times New Roman" w:hAnsi="Times New Roman" w:cs="Times New Roman"/>
          <w:sz w:val="24"/>
          <w:szCs w:val="24"/>
          <w:lang w:eastAsia="hr-HR"/>
        </w:rPr>
      </w:pPr>
    </w:p>
    <w:p w14:paraId="6C2F3741" w14:textId="77777777" w:rsidR="00C4579C" w:rsidRPr="00F92CC6" w:rsidRDefault="00C4579C" w:rsidP="00C66512">
      <w:pPr>
        <w:spacing w:after="0" w:line="240" w:lineRule="auto"/>
        <w:ind w:firstLine="1440"/>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Protiv ove Odluke žalba nije dopuštena, ali se može pokrenuti upravni spor podnošenjem tužbe Upravnom sudu u Zagrebu, u roku od 30 dana od dana objave ove Odluke</w:t>
      </w:r>
      <w:r w:rsidR="00C66512">
        <w:rPr>
          <w:rFonts w:ascii="Times New Roman" w:eastAsia="Times New Roman" w:hAnsi="Times New Roman" w:cs="Times New Roman"/>
          <w:sz w:val="24"/>
          <w:szCs w:val="24"/>
          <w:lang w:eastAsia="hr-HR"/>
        </w:rPr>
        <w:t xml:space="preserve"> u Narodnim novinama</w:t>
      </w:r>
      <w:r w:rsidRPr="00F92CC6">
        <w:rPr>
          <w:rFonts w:ascii="Times New Roman" w:eastAsia="Times New Roman" w:hAnsi="Times New Roman" w:cs="Times New Roman"/>
          <w:sz w:val="24"/>
          <w:szCs w:val="24"/>
          <w:lang w:eastAsia="hr-HR"/>
        </w:rPr>
        <w:t>.</w:t>
      </w:r>
    </w:p>
    <w:p w14:paraId="6C2F3742" w14:textId="77777777" w:rsidR="00C66512" w:rsidRDefault="00C66512" w:rsidP="00F92CC6">
      <w:pPr>
        <w:spacing w:after="0" w:line="240" w:lineRule="auto"/>
        <w:jc w:val="center"/>
        <w:rPr>
          <w:rFonts w:ascii="Times New Roman" w:eastAsia="Times New Roman" w:hAnsi="Times New Roman" w:cs="Times New Roman"/>
          <w:sz w:val="24"/>
          <w:szCs w:val="24"/>
          <w:lang w:eastAsia="hr-HR"/>
        </w:rPr>
      </w:pPr>
    </w:p>
    <w:p w14:paraId="6C2F3743" w14:textId="77777777" w:rsidR="00C66512" w:rsidRDefault="00C66512" w:rsidP="00F92CC6">
      <w:pPr>
        <w:spacing w:after="0" w:line="240" w:lineRule="auto"/>
        <w:jc w:val="center"/>
        <w:rPr>
          <w:rFonts w:ascii="Times New Roman" w:eastAsia="Times New Roman" w:hAnsi="Times New Roman" w:cs="Times New Roman"/>
          <w:sz w:val="24"/>
          <w:szCs w:val="24"/>
          <w:lang w:eastAsia="hr-HR"/>
        </w:rPr>
      </w:pPr>
    </w:p>
    <w:p w14:paraId="6C2F3744" w14:textId="77777777" w:rsidR="00C66512" w:rsidRDefault="00C66512" w:rsidP="00F92CC6">
      <w:pPr>
        <w:spacing w:after="0" w:line="240" w:lineRule="auto"/>
        <w:jc w:val="center"/>
        <w:rPr>
          <w:rFonts w:ascii="Times New Roman" w:eastAsia="Times New Roman" w:hAnsi="Times New Roman" w:cs="Times New Roman"/>
          <w:sz w:val="24"/>
          <w:szCs w:val="24"/>
          <w:lang w:eastAsia="hr-HR"/>
        </w:rPr>
      </w:pPr>
    </w:p>
    <w:p w14:paraId="6C2F3745" w14:textId="77777777" w:rsidR="00C66512" w:rsidRPr="00F92CC6" w:rsidRDefault="00C66512" w:rsidP="00F92CC6">
      <w:pPr>
        <w:spacing w:after="0" w:line="240" w:lineRule="auto"/>
        <w:jc w:val="center"/>
        <w:rPr>
          <w:rFonts w:ascii="Times New Roman" w:eastAsia="Times New Roman" w:hAnsi="Times New Roman" w:cs="Times New Roman"/>
          <w:sz w:val="24"/>
          <w:szCs w:val="24"/>
          <w:lang w:eastAsia="hr-HR"/>
        </w:rPr>
      </w:pPr>
    </w:p>
    <w:p w14:paraId="6C2F3746" w14:textId="77777777" w:rsidR="00C4579C" w:rsidRPr="00F92CC6" w:rsidRDefault="00C4579C" w:rsidP="00F92CC6">
      <w:pPr>
        <w:spacing w:after="0" w:line="240" w:lineRule="auto"/>
        <w:jc w:val="center"/>
        <w:rPr>
          <w:rFonts w:ascii="Times New Roman" w:eastAsia="Times New Roman" w:hAnsi="Times New Roman" w:cs="Times New Roman"/>
          <w:b/>
          <w:sz w:val="24"/>
          <w:szCs w:val="24"/>
          <w:lang w:eastAsia="hr-HR"/>
        </w:rPr>
      </w:pPr>
      <w:r w:rsidRPr="00F92CC6">
        <w:rPr>
          <w:rFonts w:ascii="Times New Roman" w:eastAsia="Times New Roman" w:hAnsi="Times New Roman" w:cs="Times New Roman"/>
          <w:b/>
          <w:sz w:val="24"/>
          <w:szCs w:val="24"/>
          <w:lang w:eastAsia="hr-HR"/>
        </w:rPr>
        <w:t>XI.</w:t>
      </w:r>
    </w:p>
    <w:p w14:paraId="6C2F3747" w14:textId="77777777" w:rsidR="00C4579C" w:rsidRPr="00F92CC6" w:rsidRDefault="00C4579C" w:rsidP="00F92CC6">
      <w:pPr>
        <w:spacing w:after="0" w:line="240" w:lineRule="auto"/>
        <w:jc w:val="center"/>
        <w:rPr>
          <w:rFonts w:ascii="Times New Roman" w:eastAsia="Times New Roman" w:hAnsi="Times New Roman" w:cs="Times New Roman"/>
          <w:sz w:val="24"/>
          <w:szCs w:val="24"/>
          <w:lang w:eastAsia="hr-HR"/>
        </w:rPr>
      </w:pPr>
    </w:p>
    <w:p w14:paraId="6C2F3748" w14:textId="77777777" w:rsidR="00C4579C" w:rsidRPr="00F92CC6" w:rsidRDefault="00C4579C" w:rsidP="00C66512">
      <w:pPr>
        <w:spacing w:after="0" w:line="240" w:lineRule="auto"/>
        <w:ind w:firstLine="1440"/>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Ova Odluka stupa na snagu danom donošenja, a objavit će se u Narodnim novinama.</w:t>
      </w:r>
    </w:p>
    <w:p w14:paraId="6C2F3749" w14:textId="77777777" w:rsidR="00C4579C" w:rsidRDefault="00C4579C" w:rsidP="00F92CC6">
      <w:pPr>
        <w:spacing w:after="0" w:line="240" w:lineRule="auto"/>
        <w:jc w:val="both"/>
        <w:rPr>
          <w:rFonts w:ascii="Times New Roman" w:eastAsia="Times New Roman" w:hAnsi="Times New Roman" w:cs="Times New Roman"/>
          <w:sz w:val="24"/>
          <w:szCs w:val="24"/>
          <w:lang w:eastAsia="hr-HR"/>
        </w:rPr>
      </w:pPr>
    </w:p>
    <w:p w14:paraId="6C2F374A" w14:textId="77777777" w:rsidR="00C66512" w:rsidRDefault="00C66512" w:rsidP="00F92CC6">
      <w:pPr>
        <w:spacing w:after="0" w:line="240" w:lineRule="auto"/>
        <w:jc w:val="both"/>
        <w:rPr>
          <w:rFonts w:ascii="Times New Roman" w:eastAsia="Times New Roman" w:hAnsi="Times New Roman" w:cs="Times New Roman"/>
          <w:sz w:val="24"/>
          <w:szCs w:val="24"/>
          <w:lang w:eastAsia="hr-HR"/>
        </w:rPr>
      </w:pPr>
    </w:p>
    <w:p w14:paraId="6C2F374B" w14:textId="77777777" w:rsidR="00C66512" w:rsidRPr="00F92CC6" w:rsidRDefault="00C66512" w:rsidP="00F92CC6">
      <w:pPr>
        <w:spacing w:after="0" w:line="240" w:lineRule="auto"/>
        <w:jc w:val="both"/>
        <w:rPr>
          <w:rFonts w:ascii="Times New Roman" w:eastAsia="Times New Roman" w:hAnsi="Times New Roman" w:cs="Times New Roman"/>
          <w:sz w:val="24"/>
          <w:szCs w:val="24"/>
          <w:lang w:eastAsia="hr-HR"/>
        </w:rPr>
      </w:pPr>
    </w:p>
    <w:p w14:paraId="6C2F374C" w14:textId="77777777" w:rsidR="00C4579C" w:rsidRPr="00F92CC6" w:rsidRDefault="00C4579C" w:rsidP="00F92CC6">
      <w:pPr>
        <w:spacing w:after="0" w:line="240" w:lineRule="auto"/>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 xml:space="preserve">Klasa: </w:t>
      </w:r>
    </w:p>
    <w:p w14:paraId="6C2F374D" w14:textId="77777777" w:rsidR="00C4579C" w:rsidRDefault="00C4579C" w:rsidP="00F92CC6">
      <w:pPr>
        <w:spacing w:after="0" w:line="240" w:lineRule="auto"/>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 xml:space="preserve">Urbroj: </w:t>
      </w:r>
    </w:p>
    <w:p w14:paraId="6C2F374E" w14:textId="77777777" w:rsidR="00C66512" w:rsidRDefault="00C66512" w:rsidP="00F92CC6">
      <w:pPr>
        <w:spacing w:after="0" w:line="240" w:lineRule="auto"/>
        <w:jc w:val="both"/>
        <w:rPr>
          <w:rFonts w:ascii="Times New Roman" w:eastAsia="Times New Roman" w:hAnsi="Times New Roman" w:cs="Times New Roman"/>
          <w:sz w:val="24"/>
          <w:szCs w:val="24"/>
          <w:lang w:eastAsia="hr-HR"/>
        </w:rPr>
      </w:pPr>
    </w:p>
    <w:p w14:paraId="6C2F374F" w14:textId="77777777" w:rsidR="00C66512" w:rsidRPr="00F92CC6" w:rsidRDefault="00C66512" w:rsidP="00F92CC6">
      <w:pPr>
        <w:spacing w:after="0" w:line="240" w:lineRule="auto"/>
        <w:jc w:val="both"/>
        <w:rPr>
          <w:rFonts w:ascii="Times New Roman" w:eastAsia="Times New Roman" w:hAnsi="Times New Roman" w:cs="Times New Roman"/>
          <w:sz w:val="24"/>
          <w:szCs w:val="24"/>
          <w:lang w:eastAsia="hr-HR"/>
        </w:rPr>
      </w:pPr>
    </w:p>
    <w:p w14:paraId="6C2F3750" w14:textId="77777777" w:rsidR="00C4579C" w:rsidRPr="00F92CC6" w:rsidRDefault="00C4579C" w:rsidP="00F92CC6">
      <w:pPr>
        <w:spacing w:after="0" w:line="240" w:lineRule="auto"/>
        <w:jc w:val="both"/>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 xml:space="preserve">Zagreb, </w:t>
      </w:r>
    </w:p>
    <w:p w14:paraId="6C2F3751" w14:textId="77777777" w:rsidR="00C4579C" w:rsidRPr="00F92CC6" w:rsidRDefault="00C4579C" w:rsidP="00F92CC6">
      <w:pPr>
        <w:spacing w:after="0" w:line="240" w:lineRule="auto"/>
        <w:jc w:val="both"/>
        <w:rPr>
          <w:rFonts w:ascii="Times New Roman" w:eastAsia="Times New Roman" w:hAnsi="Times New Roman" w:cs="Times New Roman"/>
          <w:sz w:val="24"/>
          <w:szCs w:val="24"/>
          <w:lang w:eastAsia="hr-HR"/>
        </w:rPr>
      </w:pPr>
    </w:p>
    <w:p w14:paraId="6C2F3752" w14:textId="77777777" w:rsidR="00C4579C" w:rsidRPr="00F92CC6" w:rsidRDefault="00C4579C" w:rsidP="00F92CC6">
      <w:pPr>
        <w:spacing w:after="0" w:line="240" w:lineRule="auto"/>
        <w:ind w:left="5529"/>
        <w:jc w:val="center"/>
        <w:rPr>
          <w:rFonts w:ascii="Times New Roman" w:eastAsia="Times New Roman" w:hAnsi="Times New Roman" w:cs="Times New Roman"/>
          <w:sz w:val="24"/>
          <w:szCs w:val="24"/>
          <w:lang w:eastAsia="hr-HR"/>
        </w:rPr>
      </w:pPr>
    </w:p>
    <w:p w14:paraId="6C2F3753" w14:textId="77777777" w:rsidR="00C4579C" w:rsidRPr="00F92CC6" w:rsidRDefault="00C66512" w:rsidP="00F92CC6">
      <w:pPr>
        <w:spacing w:after="0" w:line="240" w:lineRule="auto"/>
        <w:ind w:left="5529"/>
        <w:jc w:val="center"/>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PREDSJEDNIK</w:t>
      </w:r>
    </w:p>
    <w:p w14:paraId="6C2F3754" w14:textId="77777777" w:rsidR="00C4579C" w:rsidRDefault="00C4579C" w:rsidP="00F92CC6">
      <w:pPr>
        <w:spacing w:after="0" w:line="240" w:lineRule="auto"/>
        <w:ind w:left="5529"/>
        <w:jc w:val="center"/>
        <w:rPr>
          <w:rFonts w:ascii="Times New Roman" w:eastAsia="Times New Roman" w:hAnsi="Times New Roman" w:cs="Times New Roman"/>
          <w:sz w:val="24"/>
          <w:szCs w:val="24"/>
          <w:lang w:eastAsia="hr-HR"/>
        </w:rPr>
      </w:pPr>
    </w:p>
    <w:p w14:paraId="6C2F3755" w14:textId="77777777" w:rsidR="00C66512" w:rsidRPr="00F92CC6" w:rsidRDefault="00C66512" w:rsidP="00F92CC6">
      <w:pPr>
        <w:spacing w:after="0" w:line="240" w:lineRule="auto"/>
        <w:ind w:left="5529"/>
        <w:jc w:val="center"/>
        <w:rPr>
          <w:rFonts w:ascii="Times New Roman" w:eastAsia="Times New Roman" w:hAnsi="Times New Roman" w:cs="Times New Roman"/>
          <w:sz w:val="24"/>
          <w:szCs w:val="24"/>
          <w:lang w:eastAsia="hr-HR"/>
        </w:rPr>
      </w:pPr>
    </w:p>
    <w:p w14:paraId="6C2F3756" w14:textId="77777777" w:rsidR="00C4579C" w:rsidRPr="00F92CC6" w:rsidRDefault="00C4579C" w:rsidP="00F92CC6">
      <w:pPr>
        <w:spacing w:after="0" w:line="240" w:lineRule="auto"/>
        <w:ind w:left="5529"/>
        <w:jc w:val="center"/>
        <w:rPr>
          <w:rFonts w:ascii="Times New Roman" w:eastAsia="Times New Roman" w:hAnsi="Times New Roman" w:cs="Times New Roman"/>
          <w:sz w:val="24"/>
          <w:szCs w:val="24"/>
          <w:lang w:eastAsia="hr-HR"/>
        </w:rPr>
      </w:pPr>
      <w:r w:rsidRPr="00F92CC6">
        <w:rPr>
          <w:rFonts w:ascii="Times New Roman" w:eastAsia="Times New Roman" w:hAnsi="Times New Roman" w:cs="Times New Roman"/>
          <w:sz w:val="24"/>
          <w:szCs w:val="24"/>
          <w:lang w:eastAsia="hr-HR"/>
        </w:rPr>
        <w:t>mr. sc. Andrej Plenković</w:t>
      </w:r>
    </w:p>
    <w:p w14:paraId="6C2F3757" w14:textId="77777777" w:rsidR="00C4579C" w:rsidRPr="00F92CC6" w:rsidRDefault="00C4579C" w:rsidP="00F92CC6">
      <w:pPr>
        <w:spacing w:after="0" w:line="240" w:lineRule="auto"/>
        <w:ind w:left="5529"/>
        <w:jc w:val="center"/>
        <w:rPr>
          <w:rFonts w:ascii="Times New Roman" w:eastAsia="Times New Roman" w:hAnsi="Times New Roman" w:cs="Times New Roman"/>
          <w:sz w:val="24"/>
          <w:szCs w:val="24"/>
          <w:lang w:eastAsia="hr-HR"/>
        </w:rPr>
      </w:pPr>
    </w:p>
    <w:p w14:paraId="6C2F3758" w14:textId="77777777" w:rsidR="00C4579C" w:rsidRPr="00F92CC6" w:rsidRDefault="00C4579C" w:rsidP="00F92CC6">
      <w:pPr>
        <w:spacing w:after="0" w:line="240" w:lineRule="auto"/>
        <w:rPr>
          <w:rFonts w:ascii="Times New Roman" w:eastAsia="Times New Roman" w:hAnsi="Times New Roman" w:cs="Times New Roman"/>
          <w:sz w:val="24"/>
          <w:szCs w:val="24"/>
          <w:lang w:eastAsia="hr-HR"/>
        </w:rPr>
      </w:pPr>
    </w:p>
    <w:p w14:paraId="6C2F3759" w14:textId="77777777" w:rsidR="00C4579C" w:rsidRPr="00F92CC6" w:rsidRDefault="00C4579C" w:rsidP="00F92CC6">
      <w:pPr>
        <w:spacing w:after="0" w:line="240" w:lineRule="auto"/>
        <w:rPr>
          <w:rFonts w:ascii="Times New Roman" w:eastAsia="Times New Roman" w:hAnsi="Times New Roman" w:cs="Times New Roman"/>
          <w:sz w:val="24"/>
          <w:szCs w:val="24"/>
          <w:lang w:eastAsia="hr-HR"/>
        </w:rPr>
      </w:pPr>
    </w:p>
    <w:p w14:paraId="6C2F375A" w14:textId="77777777" w:rsidR="00C4579C" w:rsidRPr="00F92CC6" w:rsidRDefault="00C4579C" w:rsidP="00F92CC6">
      <w:pPr>
        <w:spacing w:after="0" w:line="240" w:lineRule="auto"/>
        <w:rPr>
          <w:rFonts w:ascii="Times New Roman" w:eastAsia="Times New Roman" w:hAnsi="Times New Roman" w:cs="Times New Roman"/>
          <w:sz w:val="24"/>
          <w:szCs w:val="24"/>
          <w:lang w:eastAsia="hr-HR"/>
        </w:rPr>
      </w:pPr>
    </w:p>
    <w:p w14:paraId="6C2F375B" w14:textId="77777777" w:rsidR="00C4579C" w:rsidRPr="00F92CC6" w:rsidRDefault="00C4579C" w:rsidP="00F92CC6">
      <w:pPr>
        <w:spacing w:after="0" w:line="240" w:lineRule="auto"/>
        <w:rPr>
          <w:rFonts w:ascii="Times New Roman" w:eastAsia="Times New Roman" w:hAnsi="Times New Roman" w:cs="Times New Roman"/>
          <w:sz w:val="24"/>
          <w:szCs w:val="24"/>
          <w:lang w:eastAsia="hr-HR"/>
        </w:rPr>
      </w:pPr>
    </w:p>
    <w:p w14:paraId="6C2F375C" w14:textId="77777777" w:rsidR="00960E21" w:rsidRPr="00F92CC6" w:rsidRDefault="00960E21" w:rsidP="00F92CC6">
      <w:pPr>
        <w:spacing w:after="0" w:line="240" w:lineRule="auto"/>
        <w:rPr>
          <w:rFonts w:ascii="Times New Roman" w:eastAsia="Times New Roman" w:hAnsi="Times New Roman" w:cs="Times New Roman"/>
          <w:sz w:val="24"/>
          <w:szCs w:val="24"/>
          <w:lang w:eastAsia="hr-HR"/>
        </w:rPr>
      </w:pPr>
    </w:p>
    <w:p w14:paraId="6C2F375D" w14:textId="77777777" w:rsidR="00960E21" w:rsidRPr="00F92CC6" w:rsidRDefault="00960E21" w:rsidP="00F92CC6">
      <w:pPr>
        <w:spacing w:after="0" w:line="240" w:lineRule="auto"/>
        <w:rPr>
          <w:rFonts w:ascii="Times New Roman" w:eastAsia="Times New Roman" w:hAnsi="Times New Roman" w:cs="Times New Roman"/>
          <w:sz w:val="24"/>
          <w:szCs w:val="24"/>
          <w:lang w:eastAsia="hr-HR"/>
        </w:rPr>
      </w:pPr>
    </w:p>
    <w:p w14:paraId="6C2F375E" w14:textId="77777777" w:rsidR="00960E21" w:rsidRPr="00F92CC6" w:rsidRDefault="00960E21" w:rsidP="00F92CC6">
      <w:pPr>
        <w:spacing w:after="0" w:line="240" w:lineRule="auto"/>
        <w:rPr>
          <w:rFonts w:ascii="Times New Roman" w:eastAsia="Times New Roman" w:hAnsi="Times New Roman" w:cs="Times New Roman"/>
          <w:sz w:val="24"/>
          <w:szCs w:val="24"/>
          <w:lang w:eastAsia="hr-HR"/>
        </w:rPr>
      </w:pPr>
    </w:p>
    <w:p w14:paraId="6C2F375F" w14:textId="77777777" w:rsidR="00960E21" w:rsidRPr="00F92CC6" w:rsidRDefault="00960E21" w:rsidP="00F92CC6">
      <w:pPr>
        <w:spacing w:after="0" w:line="240" w:lineRule="auto"/>
        <w:rPr>
          <w:rFonts w:ascii="Times New Roman" w:eastAsia="Times New Roman" w:hAnsi="Times New Roman" w:cs="Times New Roman"/>
          <w:sz w:val="24"/>
          <w:szCs w:val="24"/>
          <w:lang w:eastAsia="hr-HR"/>
        </w:rPr>
      </w:pPr>
    </w:p>
    <w:p w14:paraId="6C2F3760" w14:textId="77777777" w:rsidR="00C4579C" w:rsidRPr="00F92CC6" w:rsidRDefault="00C4579C" w:rsidP="00F92CC6">
      <w:pPr>
        <w:spacing w:after="0" w:line="240" w:lineRule="auto"/>
        <w:rPr>
          <w:rFonts w:ascii="Times New Roman" w:eastAsia="Times New Roman" w:hAnsi="Times New Roman" w:cs="Times New Roman"/>
          <w:sz w:val="24"/>
          <w:szCs w:val="24"/>
          <w:lang w:eastAsia="hr-HR"/>
        </w:rPr>
      </w:pPr>
    </w:p>
    <w:p w14:paraId="6C2F3761" w14:textId="77777777" w:rsidR="00C4579C" w:rsidRPr="00F92CC6" w:rsidRDefault="00C4579C" w:rsidP="00F92CC6">
      <w:pPr>
        <w:spacing w:after="0" w:line="240" w:lineRule="auto"/>
        <w:rPr>
          <w:rFonts w:ascii="Times New Roman" w:eastAsia="Times New Roman" w:hAnsi="Times New Roman" w:cs="Times New Roman"/>
          <w:sz w:val="24"/>
          <w:szCs w:val="24"/>
          <w:lang w:eastAsia="hr-HR"/>
        </w:rPr>
      </w:pPr>
    </w:p>
    <w:p w14:paraId="6C2F3762" w14:textId="77777777" w:rsidR="00C4579C" w:rsidRPr="00F92CC6" w:rsidRDefault="00C4579C" w:rsidP="00F92CC6">
      <w:pPr>
        <w:spacing w:after="0" w:line="240" w:lineRule="auto"/>
        <w:rPr>
          <w:rFonts w:ascii="Times New Roman" w:eastAsia="Times New Roman" w:hAnsi="Times New Roman" w:cs="Times New Roman"/>
          <w:sz w:val="24"/>
          <w:szCs w:val="24"/>
          <w:lang w:eastAsia="hr-HR"/>
        </w:rPr>
      </w:pPr>
    </w:p>
    <w:p w14:paraId="6C2F3763" w14:textId="77777777" w:rsidR="00C4579C" w:rsidRPr="00F92CC6" w:rsidRDefault="00C4579C" w:rsidP="00F92CC6">
      <w:pPr>
        <w:spacing w:after="0" w:line="240" w:lineRule="auto"/>
        <w:rPr>
          <w:rFonts w:ascii="Times New Roman" w:eastAsia="Times New Roman" w:hAnsi="Times New Roman" w:cs="Times New Roman"/>
          <w:sz w:val="24"/>
          <w:szCs w:val="24"/>
          <w:lang w:eastAsia="hr-HR"/>
        </w:rPr>
      </w:pPr>
    </w:p>
    <w:p w14:paraId="6C2F3764" w14:textId="77777777" w:rsidR="00C4579C" w:rsidRPr="00F92CC6" w:rsidRDefault="00C4579C" w:rsidP="00F92CC6">
      <w:pPr>
        <w:spacing w:after="0" w:line="240" w:lineRule="auto"/>
        <w:rPr>
          <w:rFonts w:ascii="Times New Roman" w:eastAsia="Times New Roman" w:hAnsi="Times New Roman" w:cs="Times New Roman"/>
          <w:sz w:val="24"/>
          <w:szCs w:val="24"/>
          <w:lang w:eastAsia="hr-HR"/>
        </w:rPr>
      </w:pPr>
    </w:p>
    <w:p w14:paraId="6C2F3765" w14:textId="77777777" w:rsidR="00C4579C" w:rsidRPr="00F92CC6" w:rsidRDefault="00C4579C" w:rsidP="00F92CC6">
      <w:pPr>
        <w:spacing w:after="0" w:line="240" w:lineRule="auto"/>
        <w:rPr>
          <w:rFonts w:ascii="Times New Roman" w:eastAsia="Times New Roman" w:hAnsi="Times New Roman" w:cs="Times New Roman"/>
          <w:sz w:val="24"/>
          <w:szCs w:val="24"/>
          <w:lang w:eastAsia="hr-HR"/>
        </w:rPr>
      </w:pPr>
    </w:p>
    <w:p w14:paraId="6C2F3766" w14:textId="77777777" w:rsidR="00C4579C" w:rsidRPr="00F92CC6" w:rsidRDefault="00C4579C" w:rsidP="00F92CC6">
      <w:pPr>
        <w:spacing w:after="0" w:line="240" w:lineRule="auto"/>
        <w:rPr>
          <w:rFonts w:ascii="Times New Roman" w:eastAsia="Times New Roman" w:hAnsi="Times New Roman" w:cs="Times New Roman"/>
          <w:sz w:val="24"/>
          <w:szCs w:val="24"/>
          <w:lang w:eastAsia="hr-HR"/>
        </w:rPr>
      </w:pPr>
    </w:p>
    <w:p w14:paraId="6C2F3767" w14:textId="77777777" w:rsidR="005E3646" w:rsidRPr="00F92CC6" w:rsidRDefault="005E3646" w:rsidP="00F92CC6">
      <w:pPr>
        <w:spacing w:after="0" w:line="240" w:lineRule="auto"/>
        <w:rPr>
          <w:rFonts w:ascii="Times New Roman" w:eastAsia="Times New Roman" w:hAnsi="Times New Roman" w:cs="Times New Roman"/>
          <w:sz w:val="24"/>
          <w:szCs w:val="24"/>
          <w:lang w:eastAsia="hr-HR"/>
        </w:rPr>
      </w:pPr>
    </w:p>
    <w:p w14:paraId="6C2F3768" w14:textId="77777777" w:rsidR="005E3646" w:rsidRPr="00F92CC6" w:rsidRDefault="005E3646" w:rsidP="00F92CC6">
      <w:pPr>
        <w:spacing w:after="0" w:line="240" w:lineRule="auto"/>
        <w:rPr>
          <w:rFonts w:ascii="Times New Roman" w:eastAsia="Times New Roman" w:hAnsi="Times New Roman" w:cs="Times New Roman"/>
          <w:sz w:val="24"/>
          <w:szCs w:val="24"/>
          <w:lang w:eastAsia="hr-HR"/>
        </w:rPr>
      </w:pPr>
    </w:p>
    <w:p w14:paraId="6C2F3769" w14:textId="77777777" w:rsidR="005E3646" w:rsidRPr="00F92CC6" w:rsidRDefault="005E3646" w:rsidP="00F92CC6">
      <w:pPr>
        <w:spacing w:after="0" w:line="240" w:lineRule="auto"/>
        <w:rPr>
          <w:rFonts w:ascii="Times New Roman" w:eastAsia="Times New Roman" w:hAnsi="Times New Roman" w:cs="Times New Roman"/>
          <w:sz w:val="24"/>
          <w:szCs w:val="24"/>
          <w:lang w:eastAsia="hr-HR"/>
        </w:rPr>
      </w:pPr>
    </w:p>
    <w:p w14:paraId="6C2F376A" w14:textId="77777777" w:rsidR="005E3646" w:rsidRPr="00F92CC6" w:rsidRDefault="005E3646" w:rsidP="00F92CC6">
      <w:pPr>
        <w:spacing w:after="0" w:line="240" w:lineRule="auto"/>
        <w:rPr>
          <w:rFonts w:ascii="Times New Roman" w:eastAsia="Times New Roman" w:hAnsi="Times New Roman" w:cs="Times New Roman"/>
          <w:sz w:val="24"/>
          <w:szCs w:val="24"/>
          <w:lang w:eastAsia="hr-HR"/>
        </w:rPr>
      </w:pPr>
    </w:p>
    <w:p w14:paraId="6C2F376B" w14:textId="77777777" w:rsidR="005E3646" w:rsidRPr="00F92CC6" w:rsidRDefault="005E3646" w:rsidP="00F92CC6">
      <w:pPr>
        <w:spacing w:after="0" w:line="240" w:lineRule="auto"/>
        <w:rPr>
          <w:rFonts w:ascii="Times New Roman" w:eastAsia="Times New Roman" w:hAnsi="Times New Roman" w:cs="Times New Roman"/>
          <w:sz w:val="24"/>
          <w:szCs w:val="24"/>
          <w:lang w:eastAsia="hr-HR"/>
        </w:rPr>
      </w:pPr>
    </w:p>
    <w:p w14:paraId="6C2F376C" w14:textId="77777777" w:rsidR="005E3646" w:rsidRPr="00F92CC6" w:rsidRDefault="005E3646" w:rsidP="00F92CC6">
      <w:pPr>
        <w:spacing w:after="0" w:line="240" w:lineRule="auto"/>
        <w:rPr>
          <w:rFonts w:ascii="Times New Roman" w:eastAsia="Times New Roman" w:hAnsi="Times New Roman" w:cs="Times New Roman"/>
          <w:sz w:val="24"/>
          <w:szCs w:val="24"/>
          <w:lang w:eastAsia="hr-HR"/>
        </w:rPr>
      </w:pPr>
    </w:p>
    <w:p w14:paraId="6C2F376D" w14:textId="77777777" w:rsidR="005E3646" w:rsidRPr="00F92CC6" w:rsidRDefault="005E3646" w:rsidP="00F92CC6">
      <w:pPr>
        <w:spacing w:after="0" w:line="240" w:lineRule="auto"/>
        <w:rPr>
          <w:rFonts w:ascii="Times New Roman" w:eastAsia="Times New Roman" w:hAnsi="Times New Roman" w:cs="Times New Roman"/>
          <w:sz w:val="24"/>
          <w:szCs w:val="24"/>
          <w:lang w:eastAsia="hr-HR"/>
        </w:rPr>
      </w:pPr>
    </w:p>
    <w:p w14:paraId="6C2F376E" w14:textId="77777777" w:rsidR="005E3646" w:rsidRDefault="005E3646" w:rsidP="00F92CC6">
      <w:pPr>
        <w:spacing w:after="0" w:line="240" w:lineRule="auto"/>
        <w:rPr>
          <w:rFonts w:ascii="Times New Roman" w:eastAsia="Times New Roman" w:hAnsi="Times New Roman" w:cs="Times New Roman"/>
          <w:sz w:val="24"/>
          <w:szCs w:val="24"/>
          <w:lang w:eastAsia="hr-HR"/>
        </w:rPr>
      </w:pPr>
    </w:p>
    <w:p w14:paraId="6C2F376F" w14:textId="77777777" w:rsidR="00C66512" w:rsidRDefault="00C66512" w:rsidP="00F92CC6">
      <w:pPr>
        <w:spacing w:after="0" w:line="240" w:lineRule="auto"/>
        <w:rPr>
          <w:rFonts w:ascii="Times New Roman" w:eastAsia="Times New Roman" w:hAnsi="Times New Roman" w:cs="Times New Roman"/>
          <w:sz w:val="24"/>
          <w:szCs w:val="24"/>
          <w:lang w:eastAsia="hr-HR"/>
        </w:rPr>
      </w:pPr>
    </w:p>
    <w:p w14:paraId="6C2F3770" w14:textId="77777777" w:rsidR="00C66512" w:rsidRDefault="00C66512" w:rsidP="00F92CC6">
      <w:pPr>
        <w:spacing w:after="0" w:line="240" w:lineRule="auto"/>
        <w:rPr>
          <w:rFonts w:ascii="Times New Roman" w:eastAsia="Times New Roman" w:hAnsi="Times New Roman" w:cs="Times New Roman"/>
          <w:sz w:val="24"/>
          <w:szCs w:val="24"/>
          <w:lang w:eastAsia="hr-HR"/>
        </w:rPr>
      </w:pPr>
    </w:p>
    <w:p w14:paraId="6C2F3771" w14:textId="77777777" w:rsidR="00C66512" w:rsidRDefault="00C66512" w:rsidP="00F92CC6">
      <w:pPr>
        <w:spacing w:after="0" w:line="240" w:lineRule="auto"/>
        <w:rPr>
          <w:rFonts w:ascii="Times New Roman" w:eastAsia="Times New Roman" w:hAnsi="Times New Roman" w:cs="Times New Roman"/>
          <w:sz w:val="24"/>
          <w:szCs w:val="24"/>
          <w:lang w:eastAsia="hr-HR"/>
        </w:rPr>
      </w:pPr>
    </w:p>
    <w:p w14:paraId="6C2F3772" w14:textId="77777777" w:rsidR="00C66512" w:rsidRDefault="00C66512" w:rsidP="00F92CC6">
      <w:pPr>
        <w:spacing w:after="0" w:line="240" w:lineRule="auto"/>
        <w:rPr>
          <w:rFonts w:ascii="Times New Roman" w:eastAsia="Times New Roman" w:hAnsi="Times New Roman" w:cs="Times New Roman"/>
          <w:sz w:val="24"/>
          <w:szCs w:val="24"/>
          <w:lang w:eastAsia="hr-HR"/>
        </w:rPr>
      </w:pPr>
    </w:p>
    <w:p w14:paraId="6C2F3773" w14:textId="77777777" w:rsidR="00C66512" w:rsidRDefault="00C66512" w:rsidP="00F92CC6">
      <w:pPr>
        <w:spacing w:after="0" w:line="240" w:lineRule="auto"/>
        <w:rPr>
          <w:rFonts w:ascii="Times New Roman" w:eastAsia="Times New Roman" w:hAnsi="Times New Roman" w:cs="Times New Roman"/>
          <w:sz w:val="24"/>
          <w:szCs w:val="24"/>
          <w:lang w:eastAsia="hr-HR"/>
        </w:rPr>
      </w:pPr>
    </w:p>
    <w:p w14:paraId="6C2F3774" w14:textId="77777777" w:rsidR="00C66512" w:rsidRDefault="00C66512" w:rsidP="00F92CC6">
      <w:pPr>
        <w:spacing w:after="0" w:line="240" w:lineRule="auto"/>
        <w:rPr>
          <w:rFonts w:ascii="Times New Roman" w:eastAsia="Times New Roman" w:hAnsi="Times New Roman" w:cs="Times New Roman"/>
          <w:sz w:val="24"/>
          <w:szCs w:val="24"/>
          <w:lang w:eastAsia="hr-HR"/>
        </w:rPr>
      </w:pPr>
    </w:p>
    <w:p w14:paraId="6C2F3775" w14:textId="77777777" w:rsidR="00C66512" w:rsidRDefault="00C66512" w:rsidP="00F92CC6">
      <w:pPr>
        <w:spacing w:after="0" w:line="240" w:lineRule="auto"/>
        <w:rPr>
          <w:rFonts w:ascii="Times New Roman" w:eastAsia="Times New Roman" w:hAnsi="Times New Roman" w:cs="Times New Roman"/>
          <w:sz w:val="24"/>
          <w:szCs w:val="24"/>
          <w:lang w:eastAsia="hr-HR"/>
        </w:rPr>
      </w:pPr>
    </w:p>
    <w:p w14:paraId="6C2F3776" w14:textId="77777777" w:rsidR="00C66512" w:rsidRDefault="00C66512" w:rsidP="00F92CC6">
      <w:pPr>
        <w:spacing w:after="0" w:line="240" w:lineRule="auto"/>
        <w:rPr>
          <w:rFonts w:ascii="Times New Roman" w:eastAsia="Times New Roman" w:hAnsi="Times New Roman" w:cs="Times New Roman"/>
          <w:sz w:val="24"/>
          <w:szCs w:val="24"/>
          <w:lang w:eastAsia="hr-HR"/>
        </w:rPr>
      </w:pPr>
    </w:p>
    <w:p w14:paraId="6C2F3777" w14:textId="77777777" w:rsidR="00C66512" w:rsidRDefault="00C66512" w:rsidP="00F92CC6">
      <w:pPr>
        <w:spacing w:after="0" w:line="240" w:lineRule="auto"/>
        <w:rPr>
          <w:rFonts w:ascii="Times New Roman" w:eastAsia="Times New Roman" w:hAnsi="Times New Roman" w:cs="Times New Roman"/>
          <w:sz w:val="24"/>
          <w:szCs w:val="24"/>
          <w:lang w:eastAsia="hr-HR"/>
        </w:rPr>
      </w:pPr>
    </w:p>
    <w:p w14:paraId="6C2F3778" w14:textId="77777777" w:rsidR="00C66512" w:rsidRPr="00F92CC6" w:rsidRDefault="00C66512" w:rsidP="00F92CC6">
      <w:pPr>
        <w:spacing w:after="0" w:line="240" w:lineRule="auto"/>
        <w:rPr>
          <w:rFonts w:ascii="Times New Roman" w:eastAsia="Times New Roman" w:hAnsi="Times New Roman" w:cs="Times New Roman"/>
          <w:sz w:val="24"/>
          <w:szCs w:val="24"/>
          <w:lang w:eastAsia="hr-HR"/>
        </w:rPr>
      </w:pPr>
    </w:p>
    <w:p w14:paraId="6C2F3779" w14:textId="77777777" w:rsidR="00C4579C" w:rsidRPr="00F92CC6" w:rsidRDefault="00C4579C" w:rsidP="00F92CC6">
      <w:pPr>
        <w:spacing w:after="0" w:line="240" w:lineRule="auto"/>
        <w:jc w:val="center"/>
        <w:rPr>
          <w:rFonts w:ascii="Times New Roman" w:eastAsia="Times New Roman" w:hAnsi="Times New Roman" w:cs="Times New Roman"/>
          <w:b/>
          <w:bCs/>
          <w:sz w:val="24"/>
          <w:szCs w:val="24"/>
        </w:rPr>
      </w:pPr>
      <w:r w:rsidRPr="00F92CC6">
        <w:rPr>
          <w:rFonts w:ascii="Times New Roman" w:eastAsia="Times New Roman" w:hAnsi="Times New Roman" w:cs="Times New Roman"/>
          <w:b/>
          <w:bCs/>
          <w:sz w:val="24"/>
          <w:szCs w:val="24"/>
        </w:rPr>
        <w:t>OBRAZLOŽENJE</w:t>
      </w:r>
    </w:p>
    <w:p w14:paraId="6C2F377A" w14:textId="77777777" w:rsidR="00C4579C" w:rsidRPr="00F92CC6" w:rsidRDefault="00C4579C" w:rsidP="00F92CC6">
      <w:pPr>
        <w:spacing w:after="0" w:line="240" w:lineRule="auto"/>
        <w:rPr>
          <w:rFonts w:ascii="Times New Roman" w:eastAsia="Times New Roman" w:hAnsi="Times New Roman" w:cs="Times New Roman"/>
          <w:bCs/>
          <w:sz w:val="24"/>
          <w:szCs w:val="24"/>
        </w:rPr>
      </w:pPr>
    </w:p>
    <w:p w14:paraId="6C2F377B" w14:textId="77777777" w:rsidR="00C4579C" w:rsidRPr="00F92CC6" w:rsidRDefault="00C4579C" w:rsidP="00F92CC6">
      <w:pPr>
        <w:spacing w:after="0" w:line="240" w:lineRule="auto"/>
        <w:jc w:val="both"/>
        <w:rPr>
          <w:rFonts w:ascii="Times New Roman" w:eastAsia="Times New Roman" w:hAnsi="Times New Roman" w:cs="Times New Roman"/>
          <w:sz w:val="24"/>
          <w:szCs w:val="24"/>
        </w:rPr>
      </w:pPr>
      <w:r w:rsidRPr="00F92CC6">
        <w:rPr>
          <w:rFonts w:ascii="Times New Roman" w:eastAsia="Times New Roman" w:hAnsi="Times New Roman" w:cs="Times New Roman"/>
          <w:sz w:val="24"/>
          <w:szCs w:val="24"/>
        </w:rPr>
        <w:t>Sukladno članku 17. stavku 2. Zakona o pomorskom dobru i morskim lukama („Narodne novine“, br. 158/03, 100/04, 141/06, 38/09, 123/11 i 56/16), koncesija za posebnu upotrebu pomorskog dobra daje se na zahtjev.  Posebnom upotrebom pomorskog dobra smatra se gradnja na pomorskom dobru građevina i drugih objekata infrastrukture (ceste, pruge, vodovodna, kanalizacijska, energetska, telefonska mreža i slično), građevine i drugi objekti za potrebe obrane, unutarnjih poslova, regulaciju rijeka i drugih sličnih infrastrukturnih objekata. Sukladno članku 19. stavku 2. Zakona o pomorskom dobru i morskim lukama koncesiju za posebnu upotrebu za objekte od državnog značaja donosi Vlada Republike Hrvatske.</w:t>
      </w:r>
    </w:p>
    <w:p w14:paraId="6C2F377C" w14:textId="77777777" w:rsidR="00C4579C" w:rsidRPr="00F92CC6" w:rsidRDefault="00C4579C" w:rsidP="00F92CC6">
      <w:pPr>
        <w:spacing w:after="0" w:line="240" w:lineRule="auto"/>
        <w:jc w:val="both"/>
        <w:rPr>
          <w:rFonts w:ascii="Times New Roman" w:eastAsia="Times New Roman" w:hAnsi="Times New Roman" w:cs="Times New Roman"/>
          <w:sz w:val="24"/>
          <w:szCs w:val="24"/>
        </w:rPr>
      </w:pPr>
    </w:p>
    <w:p w14:paraId="6C2F377D" w14:textId="77777777" w:rsidR="00C4579C" w:rsidRPr="00F92CC6" w:rsidRDefault="00C4579C" w:rsidP="00F92CC6">
      <w:pPr>
        <w:spacing w:after="0" w:line="240" w:lineRule="auto"/>
        <w:jc w:val="both"/>
        <w:rPr>
          <w:rFonts w:ascii="Times New Roman" w:eastAsia="Times New Roman" w:hAnsi="Times New Roman" w:cs="Times New Roman"/>
          <w:sz w:val="24"/>
          <w:szCs w:val="24"/>
        </w:rPr>
      </w:pPr>
      <w:r w:rsidRPr="00F92CC6">
        <w:rPr>
          <w:rFonts w:ascii="Times New Roman" w:eastAsia="Times New Roman" w:hAnsi="Times New Roman" w:cs="Times New Roman"/>
          <w:sz w:val="24"/>
          <w:szCs w:val="24"/>
        </w:rPr>
        <w:t xml:space="preserve">Trgovačko društvo Prinacro d.o.o. </w:t>
      </w:r>
      <w:r w:rsidR="00E85A73" w:rsidRPr="00F92CC6">
        <w:rPr>
          <w:rFonts w:ascii="Times New Roman" w:eastAsia="Times New Roman" w:hAnsi="Times New Roman" w:cs="Times New Roman"/>
          <w:sz w:val="24"/>
          <w:szCs w:val="24"/>
        </w:rPr>
        <w:t xml:space="preserve">je </w:t>
      </w:r>
      <w:r w:rsidRPr="00F92CC6">
        <w:rPr>
          <w:rFonts w:ascii="Times New Roman" w:eastAsia="Times New Roman" w:hAnsi="Times New Roman" w:cs="Times New Roman"/>
          <w:sz w:val="24"/>
          <w:szCs w:val="24"/>
        </w:rPr>
        <w:t>putem opunomoćenika Odvjetničkog društ</w:t>
      </w:r>
      <w:r w:rsidR="00E85A73" w:rsidRPr="00F92CC6">
        <w:rPr>
          <w:rFonts w:ascii="Times New Roman" w:eastAsia="Times New Roman" w:hAnsi="Times New Roman" w:cs="Times New Roman"/>
          <w:sz w:val="24"/>
          <w:szCs w:val="24"/>
        </w:rPr>
        <w:t>va Šeparović, Špehar i Gavranić</w:t>
      </w:r>
      <w:r w:rsidRPr="00F92CC6">
        <w:rPr>
          <w:rFonts w:ascii="Times New Roman" w:eastAsia="Times New Roman" w:hAnsi="Times New Roman" w:cs="Times New Roman"/>
          <w:sz w:val="24"/>
          <w:szCs w:val="24"/>
        </w:rPr>
        <w:t xml:space="preserve"> podnijelo zahtjev za davanjem koncesije za posebnu upotrebu pomorskog dobra u svrhu izgradnje i korištenja magistralnog plinovoda Zlobin-Omišalj DN 1000/100, na području Gr</w:t>
      </w:r>
      <w:r w:rsidR="005E3646" w:rsidRPr="00F92CC6">
        <w:rPr>
          <w:rFonts w:ascii="Times New Roman" w:eastAsia="Times New Roman" w:hAnsi="Times New Roman" w:cs="Times New Roman"/>
          <w:sz w:val="24"/>
          <w:szCs w:val="24"/>
        </w:rPr>
        <w:t>ada Kraljevice i Općine Omišalj,</w:t>
      </w:r>
      <w:r w:rsidRPr="00F92CC6">
        <w:rPr>
          <w:rFonts w:ascii="Times New Roman" w:eastAsia="Times New Roman" w:hAnsi="Times New Roman" w:cs="Times New Roman"/>
          <w:sz w:val="24"/>
          <w:szCs w:val="24"/>
        </w:rPr>
        <w:t xml:space="preserve"> </w:t>
      </w:r>
      <w:r w:rsidR="005E3646" w:rsidRPr="00F92CC6">
        <w:rPr>
          <w:rFonts w:ascii="Times New Roman" w:eastAsia="Times New Roman" w:hAnsi="Times New Roman" w:cs="Times New Roman"/>
          <w:sz w:val="24"/>
          <w:szCs w:val="24"/>
        </w:rPr>
        <w:t>na vremensko razdoblje od 30 godina.</w:t>
      </w:r>
    </w:p>
    <w:p w14:paraId="6C2F377E" w14:textId="77777777" w:rsidR="00C4579C" w:rsidRPr="00F92CC6" w:rsidRDefault="00C4579C" w:rsidP="00F92CC6">
      <w:pPr>
        <w:spacing w:after="0" w:line="240" w:lineRule="auto"/>
        <w:jc w:val="both"/>
        <w:rPr>
          <w:rFonts w:ascii="Times New Roman" w:eastAsia="Times New Roman" w:hAnsi="Times New Roman" w:cs="Times New Roman"/>
          <w:sz w:val="24"/>
          <w:szCs w:val="24"/>
        </w:rPr>
      </w:pPr>
    </w:p>
    <w:p w14:paraId="6C2F377F" w14:textId="77777777" w:rsidR="00C4579C" w:rsidRPr="00F92CC6" w:rsidRDefault="00C4579C" w:rsidP="00F92CC6">
      <w:pPr>
        <w:spacing w:after="0" w:line="240" w:lineRule="auto"/>
        <w:jc w:val="both"/>
        <w:rPr>
          <w:rFonts w:ascii="Times New Roman" w:eastAsia="Times New Roman" w:hAnsi="Times New Roman" w:cs="Times New Roman"/>
          <w:sz w:val="24"/>
          <w:szCs w:val="24"/>
        </w:rPr>
      </w:pPr>
      <w:r w:rsidRPr="00F92CC6">
        <w:rPr>
          <w:rFonts w:ascii="Times New Roman" w:eastAsia="Times New Roman" w:hAnsi="Times New Roman" w:cs="Times New Roman"/>
          <w:sz w:val="24"/>
          <w:szCs w:val="24"/>
        </w:rPr>
        <w:t xml:space="preserve">Navedeni plinovod od posebnog je značaja za Republiku Hrvatsku, jer je izgradnja istog planirana kako bi se osigurala otprema plina iz budućeg terminala za prirodni ukapljeni plin (strateški projekt LNG terminala na otoku Krku) prema hrvatskom i evropskom tržištu. </w:t>
      </w:r>
    </w:p>
    <w:p w14:paraId="6C2F3780" w14:textId="77777777" w:rsidR="00C4579C" w:rsidRPr="00F92CC6" w:rsidRDefault="00C4579C" w:rsidP="00F92CC6">
      <w:pPr>
        <w:spacing w:after="0" w:line="240" w:lineRule="auto"/>
        <w:jc w:val="both"/>
        <w:rPr>
          <w:rFonts w:ascii="Times New Roman" w:eastAsia="Times New Roman" w:hAnsi="Times New Roman" w:cs="Times New Roman"/>
          <w:sz w:val="24"/>
          <w:szCs w:val="24"/>
        </w:rPr>
      </w:pPr>
    </w:p>
    <w:p w14:paraId="6C2F3781" w14:textId="77777777" w:rsidR="00C4579C" w:rsidRPr="00F92CC6" w:rsidRDefault="00C4579C" w:rsidP="00F92CC6">
      <w:pPr>
        <w:spacing w:after="0" w:line="240" w:lineRule="auto"/>
        <w:jc w:val="both"/>
        <w:rPr>
          <w:rFonts w:ascii="Times New Roman" w:eastAsia="Times New Roman" w:hAnsi="Times New Roman" w:cs="Times New Roman"/>
          <w:sz w:val="24"/>
          <w:szCs w:val="24"/>
        </w:rPr>
      </w:pPr>
      <w:r w:rsidRPr="00F92CC6">
        <w:rPr>
          <w:rFonts w:ascii="Times New Roman" w:eastAsia="Times New Roman" w:hAnsi="Times New Roman" w:cs="Times New Roman"/>
          <w:sz w:val="24"/>
          <w:szCs w:val="24"/>
        </w:rPr>
        <w:t>Plinovod Zlobin–Omišalj povezat će se s postojećim plinovodnim sus</w:t>
      </w:r>
      <w:r w:rsidR="00FD6A97" w:rsidRPr="00F92CC6">
        <w:rPr>
          <w:rFonts w:ascii="Times New Roman" w:eastAsia="Times New Roman" w:hAnsi="Times New Roman" w:cs="Times New Roman"/>
          <w:sz w:val="24"/>
          <w:szCs w:val="24"/>
        </w:rPr>
        <w:t>tavom Republike Hrvatske na plins</w:t>
      </w:r>
      <w:r w:rsidRPr="00F92CC6">
        <w:rPr>
          <w:rFonts w:ascii="Times New Roman" w:eastAsia="Times New Roman" w:hAnsi="Times New Roman" w:cs="Times New Roman"/>
          <w:sz w:val="24"/>
          <w:szCs w:val="24"/>
        </w:rPr>
        <w:t xml:space="preserve">kom čvoru Zlobin, koji će se nalaziti na postojećem plinovodu Pula-Karlovac. Na završnoj točki na plinskom čvoru Omišalj će se preuzeti plin iz terminala za prirodni ukapljeni plin preko pripadajućeg priključnog plinovoda. Plinovod će se izgraditi od čeličnih cijevi i biti uglavnom položen na kopno, a jednom manjim dijelom, u dužini 700 metara, na morsko dno između kopna i otoka Krka. </w:t>
      </w:r>
    </w:p>
    <w:p w14:paraId="6C2F3782" w14:textId="77777777" w:rsidR="00C4579C" w:rsidRPr="00F92CC6" w:rsidRDefault="00C4579C" w:rsidP="00F92CC6">
      <w:pPr>
        <w:spacing w:after="0" w:line="240" w:lineRule="auto"/>
        <w:jc w:val="both"/>
        <w:rPr>
          <w:rFonts w:ascii="Times New Roman" w:eastAsia="Times New Roman" w:hAnsi="Times New Roman" w:cs="Times New Roman"/>
          <w:sz w:val="24"/>
          <w:szCs w:val="24"/>
        </w:rPr>
      </w:pPr>
    </w:p>
    <w:p w14:paraId="6C2F3783" w14:textId="77777777" w:rsidR="00C4579C" w:rsidRPr="00F92CC6" w:rsidRDefault="00C4579C" w:rsidP="00F92CC6">
      <w:pPr>
        <w:spacing w:after="0" w:line="240" w:lineRule="auto"/>
        <w:jc w:val="both"/>
        <w:rPr>
          <w:rFonts w:ascii="Times New Roman" w:eastAsia="Times New Roman" w:hAnsi="Times New Roman" w:cs="Times New Roman"/>
          <w:sz w:val="24"/>
          <w:szCs w:val="24"/>
        </w:rPr>
      </w:pPr>
      <w:r w:rsidRPr="00F92CC6">
        <w:rPr>
          <w:rFonts w:ascii="Times New Roman" w:eastAsia="Times New Roman" w:hAnsi="Times New Roman" w:cs="Times New Roman"/>
          <w:sz w:val="24"/>
          <w:szCs w:val="24"/>
        </w:rPr>
        <w:t>Plinovod s kopna u more ulazi sa čestice oznake k.č. br. 4220/6 k.o. Šmrika, a iz mora na otok Krk izlazi na čestici oznake k.č</w:t>
      </w:r>
      <w:r w:rsidR="00960E21" w:rsidRPr="00F92CC6">
        <w:rPr>
          <w:rFonts w:ascii="Times New Roman" w:eastAsia="Times New Roman" w:hAnsi="Times New Roman" w:cs="Times New Roman"/>
          <w:sz w:val="24"/>
          <w:szCs w:val="24"/>
        </w:rPr>
        <w:t>. br. 43 k.o. Omišalj-Njivice.</w:t>
      </w:r>
      <w:r w:rsidRPr="00F92CC6">
        <w:rPr>
          <w:rFonts w:ascii="Times New Roman" w:eastAsia="Times New Roman" w:hAnsi="Times New Roman" w:cs="Times New Roman"/>
          <w:sz w:val="24"/>
          <w:szCs w:val="24"/>
        </w:rPr>
        <w:t xml:space="preserve"> </w:t>
      </w:r>
      <w:r w:rsidR="00960E21" w:rsidRPr="00F92CC6">
        <w:rPr>
          <w:rFonts w:ascii="Times New Roman" w:eastAsia="Times New Roman" w:hAnsi="Times New Roman" w:cs="Times New Roman"/>
          <w:sz w:val="24"/>
          <w:szCs w:val="24"/>
        </w:rPr>
        <w:t>N</w:t>
      </w:r>
      <w:r w:rsidRPr="00F92CC6">
        <w:rPr>
          <w:rFonts w:ascii="Times New Roman" w:eastAsia="Times New Roman" w:hAnsi="Times New Roman" w:cs="Times New Roman"/>
          <w:sz w:val="24"/>
          <w:szCs w:val="24"/>
        </w:rPr>
        <w:t xml:space="preserve">avedene čestice upisane u zemljišnim knjigama kao pomorsko dobro. </w:t>
      </w:r>
      <w:r w:rsidR="00E85A73" w:rsidRPr="00F92CC6">
        <w:rPr>
          <w:rFonts w:ascii="Times New Roman" w:eastAsia="Times New Roman" w:hAnsi="Times New Roman" w:cs="Times New Roman"/>
          <w:sz w:val="24"/>
          <w:szCs w:val="24"/>
        </w:rPr>
        <w:t>Ukupna površina pomorskog dobra koje se daje u koncesiju iznosi 8.953 m</w:t>
      </w:r>
      <w:r w:rsidR="00E85A73" w:rsidRPr="00F92CC6">
        <w:rPr>
          <w:rFonts w:ascii="Times New Roman" w:eastAsia="Times New Roman" w:hAnsi="Times New Roman" w:cs="Times New Roman"/>
          <w:sz w:val="24"/>
          <w:szCs w:val="24"/>
          <w:vertAlign w:val="superscript"/>
        </w:rPr>
        <w:t>2</w:t>
      </w:r>
      <w:r w:rsidR="00E85A73" w:rsidRPr="00F92CC6">
        <w:rPr>
          <w:rFonts w:ascii="Times New Roman" w:eastAsia="Times New Roman" w:hAnsi="Times New Roman" w:cs="Times New Roman"/>
          <w:sz w:val="24"/>
          <w:szCs w:val="24"/>
        </w:rPr>
        <w:t>.</w:t>
      </w:r>
    </w:p>
    <w:p w14:paraId="6C2F3784" w14:textId="77777777" w:rsidR="00C4579C" w:rsidRPr="00F92CC6" w:rsidRDefault="00C4579C" w:rsidP="00F92CC6">
      <w:pPr>
        <w:spacing w:after="0" w:line="240" w:lineRule="auto"/>
        <w:jc w:val="both"/>
        <w:rPr>
          <w:rFonts w:ascii="Times New Roman" w:eastAsia="Times New Roman" w:hAnsi="Times New Roman" w:cs="Times New Roman"/>
          <w:sz w:val="24"/>
          <w:szCs w:val="24"/>
        </w:rPr>
      </w:pPr>
    </w:p>
    <w:p w14:paraId="6C2F3785" w14:textId="77777777" w:rsidR="00C4579C" w:rsidRPr="00F92CC6" w:rsidRDefault="00C4579C" w:rsidP="00F92CC6">
      <w:pPr>
        <w:spacing w:after="0" w:line="240" w:lineRule="auto"/>
        <w:jc w:val="both"/>
        <w:rPr>
          <w:rFonts w:ascii="Times New Roman" w:eastAsia="Times New Roman" w:hAnsi="Times New Roman" w:cs="Times New Roman"/>
          <w:sz w:val="24"/>
          <w:szCs w:val="24"/>
        </w:rPr>
      </w:pPr>
      <w:r w:rsidRPr="00F92CC6">
        <w:rPr>
          <w:rFonts w:ascii="Times New Roman" w:eastAsia="Times New Roman" w:hAnsi="Times New Roman" w:cs="Times New Roman"/>
          <w:sz w:val="24"/>
          <w:szCs w:val="24"/>
        </w:rPr>
        <w:t>Na dijelu k.č.br. 4220/6 k.o. Šmrika smješten je postojeći naftovod otok Krk-kopno koji je postavljen temeljem Koncesije u svrhu posebne upotrebe pomorskog dobra radi izgradnje i korištenja podmorskog prijelaza naftovoda otok Krk-kopno, na području Grada Kraljevice i Općine Omišalj iz 2012. godine. Ovlaštenik navedene koncesije je društvo Jadranski naftovod d.d. koje je u postupku ishođenja lokacijske dozvole za izgradnju plinovoda dalo posebne uvjete. Njima je detaljno određena minimalna udaljenost dijelova magistralnog plinovoda od osi Jadranskog naftovoda kod paralelnog vođenja cijevi u cilju zadovoljavanja sigurnosnih uvjeta.</w:t>
      </w:r>
    </w:p>
    <w:p w14:paraId="6C2F3786" w14:textId="77777777" w:rsidR="00C4579C" w:rsidRPr="00F92CC6" w:rsidRDefault="00C4579C" w:rsidP="00F92CC6">
      <w:pPr>
        <w:spacing w:after="0" w:line="240" w:lineRule="auto"/>
        <w:jc w:val="both"/>
        <w:rPr>
          <w:rFonts w:ascii="Times New Roman" w:eastAsia="Times New Roman" w:hAnsi="Times New Roman" w:cs="Times New Roman"/>
          <w:sz w:val="24"/>
          <w:szCs w:val="24"/>
        </w:rPr>
      </w:pPr>
    </w:p>
    <w:p w14:paraId="6C2F3787" w14:textId="77777777" w:rsidR="00C4579C" w:rsidRPr="00F92CC6" w:rsidRDefault="00C4579C" w:rsidP="00F92CC6">
      <w:pPr>
        <w:autoSpaceDE w:val="0"/>
        <w:autoSpaceDN w:val="0"/>
        <w:adjustRightInd w:val="0"/>
        <w:spacing w:after="0" w:line="240" w:lineRule="auto"/>
        <w:jc w:val="both"/>
        <w:rPr>
          <w:rFonts w:ascii="Times New Roman" w:eastAsia="Calibri" w:hAnsi="Times New Roman" w:cs="Times New Roman"/>
          <w:sz w:val="24"/>
          <w:szCs w:val="24"/>
        </w:rPr>
      </w:pPr>
      <w:r w:rsidRPr="00F92CC6">
        <w:rPr>
          <w:rFonts w:ascii="Times New Roman" w:eastAsia="Calibri" w:hAnsi="Times New Roman" w:cs="Times New Roman"/>
          <w:sz w:val="24"/>
          <w:szCs w:val="24"/>
        </w:rPr>
        <w:t xml:space="preserve">U odnosu na dozvole iz područja prostornog planiranja, u svrhu izgradnje plinovoda Zlobin–Omišalj društvo Plinacro d.o.o je ishodilo: </w:t>
      </w:r>
    </w:p>
    <w:p w14:paraId="6C2F3788" w14:textId="77777777" w:rsidR="00C4579C" w:rsidRPr="00F92CC6" w:rsidRDefault="00C4579C" w:rsidP="00F92CC6">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92CC6">
        <w:rPr>
          <w:rFonts w:ascii="Times New Roman" w:eastAsia="Calibri" w:hAnsi="Times New Roman" w:cs="Times New Roman"/>
          <w:sz w:val="24"/>
          <w:szCs w:val="24"/>
        </w:rPr>
        <w:t xml:space="preserve">pravomoćnu lokacijsku dozvolu Ministarstva zaštite okoliša, prostornoga uređenja i graditeljstva, Uprave za prostorno uređenje, klase: UP/I-350-05/11-01/107, urbroja: 531-06-11-23NK, od 5. prosinca 2011. godine, </w:t>
      </w:r>
    </w:p>
    <w:p w14:paraId="6C2F3789" w14:textId="77777777" w:rsidR="00C4579C" w:rsidRPr="00F92CC6" w:rsidRDefault="00C4579C" w:rsidP="00F92CC6">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92CC6">
        <w:rPr>
          <w:rFonts w:ascii="Times New Roman" w:eastAsia="Calibri" w:hAnsi="Times New Roman" w:cs="Times New Roman"/>
          <w:sz w:val="24"/>
          <w:szCs w:val="24"/>
        </w:rPr>
        <w:t xml:space="preserve">Rješenje Ministarstva graditeljstva i prostornoga uređenja, Uprave za prostorno uređenje, klase: UP/I-350-05/14-01/3, urbroja: 531-05-14-2, od 30. siječnja 2014. godine, kojom se produžuje rok važenja lokacijske dozvole do 8. siječnja 2016. godine, </w:t>
      </w:r>
    </w:p>
    <w:p w14:paraId="6C2F378A" w14:textId="77777777" w:rsidR="00C4579C" w:rsidRPr="00F92CC6" w:rsidRDefault="00C4579C" w:rsidP="00F92CC6">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92CC6">
        <w:rPr>
          <w:rFonts w:ascii="Times New Roman" w:eastAsia="Calibri" w:hAnsi="Times New Roman" w:cs="Times New Roman"/>
          <w:sz w:val="24"/>
          <w:szCs w:val="24"/>
        </w:rPr>
        <w:t xml:space="preserve">I. Izmjenu i dopunu lokacijske dozvole Ministarstva graditeljstva i prostornoga uređenja, Uprave za dozvole državnog značaja, klase: UP/I-350-05/15-01/000129, urbroja: 531-06-1-1-1-15-0004 od 21. listopada 2015. godine, </w:t>
      </w:r>
    </w:p>
    <w:p w14:paraId="6C2F378B" w14:textId="77777777" w:rsidR="00C4579C" w:rsidRPr="00F92CC6" w:rsidRDefault="00C4579C" w:rsidP="00F92CC6">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92CC6">
        <w:rPr>
          <w:rFonts w:ascii="Times New Roman" w:eastAsia="Calibri" w:hAnsi="Times New Roman" w:cs="Times New Roman"/>
          <w:sz w:val="24"/>
          <w:szCs w:val="24"/>
        </w:rPr>
        <w:t>II. Izmjenu i dopunu lokacijske dozvole Ministarstva graditeljstva i prostornoga uređenja, Uprave za dozvole državnog značaja, klase: UP/I-350-05/16-01/000171, urbroja: 531-06-1-1-1-17-0007 od 7. travnja 2017. godine,</w:t>
      </w:r>
    </w:p>
    <w:p w14:paraId="6C2F378C" w14:textId="77777777" w:rsidR="00CA328F" w:rsidRPr="00F92CC6" w:rsidRDefault="00C4579C" w:rsidP="00F92CC6">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92CC6">
        <w:rPr>
          <w:rFonts w:ascii="Times New Roman" w:eastAsia="Calibri" w:hAnsi="Times New Roman" w:cs="Times New Roman"/>
          <w:sz w:val="24"/>
          <w:szCs w:val="24"/>
        </w:rPr>
        <w:t>III. Izmjenu i dopunu lokacijske dozvole Ministarstva graditeljstva i prostornoga uređenja, Uprave za dozvole državnog značaja, klase: UP/I-350-05/17-01/000018, urbroja: 531-06-1-1-1-17-0</w:t>
      </w:r>
      <w:r w:rsidR="00FE6493" w:rsidRPr="00F92CC6">
        <w:rPr>
          <w:rFonts w:ascii="Times New Roman" w:eastAsia="Calibri" w:hAnsi="Times New Roman" w:cs="Times New Roman"/>
          <w:sz w:val="24"/>
          <w:szCs w:val="24"/>
        </w:rPr>
        <w:t>004 od 12. svibnja 2017. godine</w:t>
      </w:r>
    </w:p>
    <w:p w14:paraId="6C2F378D" w14:textId="77777777" w:rsidR="007321CF" w:rsidRPr="00F92CC6" w:rsidRDefault="007321CF" w:rsidP="00F92CC6">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6C2F378E" w14:textId="77777777" w:rsidR="00FE6493" w:rsidRPr="00F92CC6" w:rsidRDefault="00FE6493" w:rsidP="00F92CC6">
      <w:pPr>
        <w:autoSpaceDE w:val="0"/>
        <w:autoSpaceDN w:val="0"/>
        <w:adjustRightInd w:val="0"/>
        <w:spacing w:after="0" w:line="240" w:lineRule="auto"/>
        <w:contextualSpacing/>
        <w:jc w:val="both"/>
        <w:rPr>
          <w:rFonts w:ascii="Times New Roman" w:eastAsia="Calibri" w:hAnsi="Times New Roman" w:cs="Times New Roman"/>
          <w:sz w:val="24"/>
          <w:szCs w:val="24"/>
        </w:rPr>
      </w:pPr>
      <w:r w:rsidRPr="00F92CC6">
        <w:rPr>
          <w:rFonts w:ascii="Times New Roman" w:eastAsia="Calibri" w:hAnsi="Times New Roman" w:cs="Times New Roman"/>
          <w:sz w:val="24"/>
          <w:szCs w:val="24"/>
        </w:rPr>
        <w:t>Građevinska dozvola je podijeljena u tri faze, a zahtjev za ishođenjem građevinske dozvole za prvu fazu je podnesen dana 5. siječnja 2016. godine čime je zadovoljen rok iz lokacijske dozvole. Građevinske dozvole za I i II</w:t>
      </w:r>
      <w:r w:rsidR="007321CF" w:rsidRPr="00F92CC6">
        <w:rPr>
          <w:rFonts w:ascii="Times New Roman" w:eastAsia="Calibri" w:hAnsi="Times New Roman" w:cs="Times New Roman"/>
          <w:sz w:val="24"/>
          <w:szCs w:val="24"/>
        </w:rPr>
        <w:t>I. fazu su već ishođene, a prethodno pitanje za</w:t>
      </w:r>
      <w:r w:rsidRPr="00F92CC6">
        <w:rPr>
          <w:rFonts w:ascii="Times New Roman" w:eastAsia="Calibri" w:hAnsi="Times New Roman" w:cs="Times New Roman"/>
          <w:sz w:val="24"/>
          <w:szCs w:val="24"/>
        </w:rPr>
        <w:t xml:space="preserve"> </w:t>
      </w:r>
      <w:r w:rsidR="007321CF" w:rsidRPr="00F92CC6">
        <w:rPr>
          <w:rFonts w:ascii="Times New Roman" w:eastAsia="Calibri" w:hAnsi="Times New Roman" w:cs="Times New Roman"/>
          <w:sz w:val="24"/>
          <w:szCs w:val="24"/>
        </w:rPr>
        <w:t>ishođenje Građevinske dozvole za II fazu je ugovor o koncesiji koji će se sklopiti nakon donošenja ove Odluke.</w:t>
      </w:r>
    </w:p>
    <w:p w14:paraId="6C2F378F" w14:textId="77777777" w:rsidR="005E3646" w:rsidRPr="00F92CC6" w:rsidRDefault="00C4579C" w:rsidP="00F92CC6">
      <w:pPr>
        <w:spacing w:after="0" w:line="240" w:lineRule="auto"/>
        <w:jc w:val="both"/>
        <w:rPr>
          <w:rFonts w:ascii="Times New Roman" w:eastAsia="Calibri" w:hAnsi="Times New Roman" w:cs="Times New Roman"/>
          <w:sz w:val="24"/>
          <w:szCs w:val="24"/>
        </w:rPr>
      </w:pPr>
      <w:r w:rsidRPr="00F92CC6">
        <w:rPr>
          <w:rFonts w:ascii="Times New Roman" w:eastAsia="Calibri" w:hAnsi="Times New Roman" w:cs="Times New Roman"/>
          <w:sz w:val="24"/>
          <w:szCs w:val="24"/>
        </w:rPr>
        <w:t xml:space="preserve">Sukladno članku 28. stavku 3. Zakona o pomorskom dobru i morskim lukama, naknada za koncesiju dana radi posebne upotrebe pomorskog dobra određuje se u simboličnom iznosu, osim za koncesije gradnje infrastrukture (vodovodna, kanalizacijska, energetska i telefonska) u kojem slučaju se naknada utvrđuje kao za gospodarsku upotrebu pomorskog dobra. </w:t>
      </w:r>
    </w:p>
    <w:p w14:paraId="6C2F3790" w14:textId="77777777" w:rsidR="00E85A73" w:rsidRPr="00F92CC6" w:rsidRDefault="00C4579C" w:rsidP="00F92CC6">
      <w:pPr>
        <w:spacing w:after="0" w:line="240" w:lineRule="auto"/>
        <w:jc w:val="both"/>
        <w:rPr>
          <w:rFonts w:ascii="Times New Roman" w:eastAsia="Calibri" w:hAnsi="Times New Roman" w:cs="Times New Roman"/>
          <w:sz w:val="24"/>
          <w:szCs w:val="24"/>
        </w:rPr>
      </w:pPr>
      <w:r w:rsidRPr="00F92CC6">
        <w:rPr>
          <w:rFonts w:ascii="Times New Roman" w:eastAsia="Calibri" w:hAnsi="Times New Roman" w:cs="Times New Roman"/>
          <w:sz w:val="24"/>
          <w:szCs w:val="24"/>
        </w:rPr>
        <w:t xml:space="preserve">U predmetnoj slučaju naknada za koncesiju će se obračunavati razmjerno vremenskom razdoblju na koji se daje koncesija za posebnu upotrebu pomorskog dobra, s time da se naknada za koncesiju uvećava </w:t>
      </w:r>
      <w:r w:rsidR="00E85A73" w:rsidRPr="00F92CC6">
        <w:rPr>
          <w:rFonts w:ascii="Times New Roman" w:eastAsia="Calibri" w:hAnsi="Times New Roman" w:cs="Times New Roman"/>
          <w:sz w:val="24"/>
          <w:szCs w:val="24"/>
        </w:rPr>
        <w:t xml:space="preserve">za </w:t>
      </w:r>
      <w:r w:rsidR="005E3646" w:rsidRPr="00F92CC6">
        <w:rPr>
          <w:rFonts w:ascii="Times New Roman" w:eastAsia="Calibri" w:hAnsi="Times New Roman" w:cs="Times New Roman"/>
          <w:sz w:val="24"/>
          <w:szCs w:val="24"/>
        </w:rPr>
        <w:t>7</w:t>
      </w:r>
      <w:r w:rsidR="00E85A73" w:rsidRPr="00F92CC6">
        <w:rPr>
          <w:rFonts w:ascii="Times New Roman" w:eastAsia="Calibri" w:hAnsi="Times New Roman" w:cs="Times New Roman"/>
          <w:sz w:val="24"/>
          <w:szCs w:val="24"/>
        </w:rPr>
        <w:t xml:space="preserve"> kuna svakih 5 godina trajanja koncesije </w:t>
      </w:r>
      <w:r w:rsidR="00960E21" w:rsidRPr="00F92CC6">
        <w:rPr>
          <w:rFonts w:ascii="Times New Roman" w:eastAsia="Calibri" w:hAnsi="Times New Roman" w:cs="Times New Roman"/>
          <w:sz w:val="24"/>
          <w:szCs w:val="24"/>
        </w:rPr>
        <w:t>s početnih 10 kn/m</w:t>
      </w:r>
      <w:r w:rsidR="00960E21" w:rsidRPr="00F92CC6">
        <w:rPr>
          <w:rFonts w:ascii="Times New Roman" w:eastAsia="Calibri" w:hAnsi="Times New Roman" w:cs="Times New Roman"/>
          <w:sz w:val="24"/>
          <w:szCs w:val="24"/>
          <w:vertAlign w:val="superscript"/>
        </w:rPr>
        <w:t>2</w:t>
      </w:r>
      <w:r w:rsidR="00E85A73" w:rsidRPr="00F92CC6">
        <w:rPr>
          <w:rFonts w:ascii="Times New Roman" w:eastAsia="Calibri" w:hAnsi="Times New Roman" w:cs="Times New Roman"/>
          <w:sz w:val="24"/>
          <w:szCs w:val="24"/>
        </w:rPr>
        <w:t>.</w:t>
      </w:r>
      <w:r w:rsidR="005E3646" w:rsidRPr="00F92CC6">
        <w:rPr>
          <w:rFonts w:ascii="Times New Roman" w:eastAsia="Calibri" w:hAnsi="Times New Roman" w:cs="Times New Roman"/>
          <w:sz w:val="24"/>
          <w:szCs w:val="24"/>
        </w:rPr>
        <w:t xml:space="preserve"> Promjenjivi dio koncesijske naknade iznosi 6,00 kn/GWh plina isporučenog u transportni sustav iz terminala za LNG, pri čemu neovisno o količinama isporučenog plina iznos promjenjivog dijela koncesijske naknade</w:t>
      </w:r>
      <w:r w:rsidR="007321CF" w:rsidRPr="00F92CC6">
        <w:rPr>
          <w:rFonts w:ascii="Times New Roman" w:eastAsia="Calibri" w:hAnsi="Times New Roman" w:cs="Times New Roman"/>
          <w:sz w:val="24"/>
          <w:szCs w:val="24"/>
        </w:rPr>
        <w:t xml:space="preserve"> može iznositi najviše 40.000,0</w:t>
      </w:r>
      <w:r w:rsidR="005E3646" w:rsidRPr="00F92CC6">
        <w:rPr>
          <w:rFonts w:ascii="Times New Roman" w:eastAsia="Calibri" w:hAnsi="Times New Roman" w:cs="Times New Roman"/>
          <w:sz w:val="24"/>
          <w:szCs w:val="24"/>
        </w:rPr>
        <w:t>0 kn godišnje.</w:t>
      </w:r>
    </w:p>
    <w:p w14:paraId="6C2F3791" w14:textId="77777777" w:rsidR="005E3646" w:rsidRPr="00F92CC6" w:rsidRDefault="005E3646" w:rsidP="00F92CC6">
      <w:pPr>
        <w:spacing w:after="0" w:line="240" w:lineRule="auto"/>
        <w:jc w:val="both"/>
        <w:rPr>
          <w:rFonts w:ascii="Times New Roman" w:eastAsia="Calibri" w:hAnsi="Times New Roman" w:cs="Times New Roman"/>
          <w:sz w:val="24"/>
          <w:szCs w:val="24"/>
        </w:rPr>
      </w:pPr>
    </w:p>
    <w:p w14:paraId="6C2F3792" w14:textId="77777777" w:rsidR="00C4579C" w:rsidRPr="00F92CC6" w:rsidRDefault="00C4579C" w:rsidP="00F92CC6">
      <w:pPr>
        <w:spacing w:after="0" w:line="240" w:lineRule="auto"/>
        <w:jc w:val="both"/>
        <w:rPr>
          <w:rFonts w:ascii="Times New Roman" w:eastAsia="Calibri" w:hAnsi="Times New Roman" w:cs="Times New Roman"/>
          <w:sz w:val="24"/>
          <w:szCs w:val="24"/>
        </w:rPr>
      </w:pPr>
      <w:r w:rsidRPr="00F92CC6">
        <w:rPr>
          <w:rFonts w:ascii="Times New Roman" w:eastAsia="Times New Roman" w:hAnsi="Times New Roman" w:cs="Times New Roman"/>
          <w:sz w:val="24"/>
          <w:szCs w:val="24"/>
        </w:rPr>
        <w:t xml:space="preserve">Slijedom navedenog, postupajući po zahtjevu društva Plinacro d.o.o, a temeljem članka 19. stavku 2. Zakona o pomorskom dobru i morskim lukama, ovo Ministarstvo izradilo je prijedlog Odluke o davanju koncesije za posebnu upotrebu pomorskog dobra u svrhu izgradnje i korištenja magistralnog plinovoda Zlobin-Omišalj DN 1000/100, na području Grada Kraljevice i Općine Omišalj. </w:t>
      </w:r>
    </w:p>
    <w:p w14:paraId="6C2F3793" w14:textId="77777777" w:rsidR="00C4579C" w:rsidRPr="00F92CC6" w:rsidRDefault="00C4579C" w:rsidP="00F92CC6">
      <w:pPr>
        <w:spacing w:after="0" w:line="240" w:lineRule="auto"/>
        <w:rPr>
          <w:rFonts w:ascii="Times New Roman" w:eastAsia="Calibri" w:hAnsi="Times New Roman" w:cs="Times New Roman"/>
          <w:sz w:val="24"/>
          <w:szCs w:val="24"/>
        </w:rPr>
      </w:pPr>
    </w:p>
    <w:p w14:paraId="6C2F3794" w14:textId="77777777" w:rsidR="00C4579C" w:rsidRPr="00F92CC6" w:rsidRDefault="00C4579C" w:rsidP="00F92CC6">
      <w:pPr>
        <w:spacing w:after="0" w:line="240" w:lineRule="auto"/>
        <w:rPr>
          <w:rFonts w:ascii="Times New Roman" w:eastAsia="Calibri" w:hAnsi="Times New Roman" w:cs="Times New Roman"/>
          <w:sz w:val="24"/>
          <w:szCs w:val="24"/>
        </w:rPr>
      </w:pPr>
    </w:p>
    <w:p w14:paraId="6C2F3795" w14:textId="77777777" w:rsidR="00C4579C" w:rsidRPr="00F92CC6" w:rsidRDefault="00C4579C" w:rsidP="00F92CC6">
      <w:pPr>
        <w:spacing w:after="0" w:line="240" w:lineRule="auto"/>
        <w:rPr>
          <w:rFonts w:ascii="Times New Roman" w:eastAsia="Times New Roman" w:hAnsi="Times New Roman" w:cs="Times New Roman"/>
          <w:sz w:val="24"/>
          <w:szCs w:val="24"/>
          <w:lang w:eastAsia="hr-HR"/>
        </w:rPr>
      </w:pPr>
    </w:p>
    <w:p w14:paraId="6C2F3796" w14:textId="77777777" w:rsidR="00776390" w:rsidRPr="00F92CC6" w:rsidRDefault="00776390" w:rsidP="00F92CC6">
      <w:pPr>
        <w:spacing w:after="0" w:line="240" w:lineRule="auto"/>
        <w:rPr>
          <w:rFonts w:ascii="Times New Roman" w:hAnsi="Times New Roman" w:cs="Times New Roman"/>
          <w:sz w:val="24"/>
          <w:szCs w:val="24"/>
        </w:rPr>
      </w:pPr>
    </w:p>
    <w:sectPr w:rsidR="00776390" w:rsidRPr="00F92CC6" w:rsidSect="00C66512">
      <w:headerReference w:type="default" r:id="rId11"/>
      <w:footerReference w:type="default" r:id="rId12"/>
      <w:pgSz w:w="11906" w:h="16838"/>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F379B" w14:textId="77777777" w:rsidR="0049160D" w:rsidRDefault="0049160D" w:rsidP="005D2C09">
      <w:pPr>
        <w:spacing w:after="0" w:line="240" w:lineRule="auto"/>
      </w:pPr>
      <w:r>
        <w:separator/>
      </w:r>
    </w:p>
  </w:endnote>
  <w:endnote w:type="continuationSeparator" w:id="0">
    <w:p w14:paraId="6C2F379C" w14:textId="77777777" w:rsidR="0049160D" w:rsidRDefault="0049160D" w:rsidP="005D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379D" w14:textId="77777777" w:rsidR="0009138A" w:rsidRPr="00CE78D1" w:rsidRDefault="0009138A"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37A2" w14:textId="77777777" w:rsidR="00802FBB" w:rsidRDefault="00066E52">
    <w:pPr>
      <w:pStyle w:val="Footer"/>
      <w:jc w:val="center"/>
    </w:pPr>
  </w:p>
  <w:p w14:paraId="6C2F37A3" w14:textId="77777777" w:rsidR="00802FBB" w:rsidRDefault="00066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F3799" w14:textId="77777777" w:rsidR="0049160D" w:rsidRDefault="0049160D" w:rsidP="005D2C09">
      <w:pPr>
        <w:spacing w:after="0" w:line="240" w:lineRule="auto"/>
      </w:pPr>
      <w:r>
        <w:separator/>
      </w:r>
    </w:p>
  </w:footnote>
  <w:footnote w:type="continuationSeparator" w:id="0">
    <w:p w14:paraId="6C2F379A" w14:textId="77777777" w:rsidR="0049160D" w:rsidRDefault="0049160D" w:rsidP="005D2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009267"/>
      <w:docPartObj>
        <w:docPartGallery w:val="Page Numbers (Top of Page)"/>
        <w:docPartUnique/>
      </w:docPartObj>
    </w:sdtPr>
    <w:sdtEndPr/>
    <w:sdtContent>
      <w:p w14:paraId="6C2F379E" w14:textId="0DBABAD6" w:rsidR="00C66512" w:rsidRDefault="00C66512">
        <w:pPr>
          <w:pStyle w:val="Header"/>
          <w:jc w:val="center"/>
        </w:pPr>
        <w:r>
          <w:fldChar w:fldCharType="begin"/>
        </w:r>
        <w:r>
          <w:instrText>PAGE   \* MERGEFORMAT</w:instrText>
        </w:r>
        <w:r>
          <w:fldChar w:fldCharType="separate"/>
        </w:r>
        <w:r w:rsidR="00066E52">
          <w:rPr>
            <w:noProof/>
          </w:rPr>
          <w:t>1</w:t>
        </w:r>
        <w:r>
          <w:fldChar w:fldCharType="end"/>
        </w:r>
      </w:p>
    </w:sdtContent>
  </w:sdt>
  <w:p w14:paraId="6C2F379F" w14:textId="77777777" w:rsidR="00C66512" w:rsidRDefault="00C66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665415"/>
      <w:docPartObj>
        <w:docPartGallery w:val="Page Numbers (Top of Page)"/>
        <w:docPartUnique/>
      </w:docPartObj>
    </w:sdtPr>
    <w:sdtEndPr>
      <w:rPr>
        <w:rFonts w:ascii="Times New Roman" w:hAnsi="Times New Roman" w:cs="Times New Roman"/>
        <w:sz w:val="24"/>
        <w:szCs w:val="24"/>
      </w:rPr>
    </w:sdtEndPr>
    <w:sdtContent>
      <w:p w14:paraId="6C2F37A0" w14:textId="77777777" w:rsidR="00C66512" w:rsidRPr="00C66512" w:rsidRDefault="00C66512">
        <w:pPr>
          <w:pStyle w:val="Header"/>
          <w:jc w:val="center"/>
          <w:rPr>
            <w:rFonts w:ascii="Times New Roman" w:hAnsi="Times New Roman" w:cs="Times New Roman"/>
            <w:sz w:val="24"/>
            <w:szCs w:val="24"/>
          </w:rPr>
        </w:pPr>
        <w:r w:rsidRPr="00C66512">
          <w:rPr>
            <w:rFonts w:ascii="Times New Roman" w:hAnsi="Times New Roman" w:cs="Times New Roman"/>
            <w:sz w:val="24"/>
            <w:szCs w:val="24"/>
          </w:rPr>
          <w:fldChar w:fldCharType="begin"/>
        </w:r>
        <w:r w:rsidRPr="00C66512">
          <w:rPr>
            <w:rFonts w:ascii="Times New Roman" w:hAnsi="Times New Roman" w:cs="Times New Roman"/>
            <w:sz w:val="24"/>
            <w:szCs w:val="24"/>
          </w:rPr>
          <w:instrText>PAGE   \* MERGEFORMAT</w:instrText>
        </w:r>
        <w:r w:rsidRPr="00C66512">
          <w:rPr>
            <w:rFonts w:ascii="Times New Roman" w:hAnsi="Times New Roman" w:cs="Times New Roman"/>
            <w:sz w:val="24"/>
            <w:szCs w:val="24"/>
          </w:rPr>
          <w:fldChar w:fldCharType="separate"/>
        </w:r>
        <w:r>
          <w:rPr>
            <w:rFonts w:ascii="Times New Roman" w:hAnsi="Times New Roman" w:cs="Times New Roman"/>
            <w:noProof/>
            <w:sz w:val="24"/>
            <w:szCs w:val="24"/>
          </w:rPr>
          <w:t>8</w:t>
        </w:r>
        <w:r w:rsidRPr="00C66512">
          <w:rPr>
            <w:rFonts w:ascii="Times New Roman" w:hAnsi="Times New Roman" w:cs="Times New Roman"/>
            <w:sz w:val="24"/>
            <w:szCs w:val="24"/>
          </w:rPr>
          <w:fldChar w:fldCharType="end"/>
        </w:r>
      </w:p>
    </w:sdtContent>
  </w:sdt>
  <w:p w14:paraId="6C2F37A1" w14:textId="77777777" w:rsidR="00802FBB" w:rsidRDefault="00066E52">
    <w:pPr>
      <w:pStyle w:val="Zaglavlje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C35"/>
    <w:multiLevelType w:val="hybridMultilevel"/>
    <w:tmpl w:val="FA229A50"/>
    <w:lvl w:ilvl="0" w:tplc="95D822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92864"/>
    <w:multiLevelType w:val="hybridMultilevel"/>
    <w:tmpl w:val="F0A0D03A"/>
    <w:lvl w:ilvl="0" w:tplc="041A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6872466"/>
    <w:multiLevelType w:val="hybridMultilevel"/>
    <w:tmpl w:val="5F583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500D3"/>
    <w:multiLevelType w:val="hybridMultilevel"/>
    <w:tmpl w:val="95823A3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D427F"/>
    <w:multiLevelType w:val="hybridMultilevel"/>
    <w:tmpl w:val="6D98E8D6"/>
    <w:lvl w:ilvl="0" w:tplc="95D822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75872"/>
    <w:multiLevelType w:val="hybridMultilevel"/>
    <w:tmpl w:val="8A765480"/>
    <w:lvl w:ilvl="0" w:tplc="95D822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36FB9"/>
    <w:multiLevelType w:val="hybridMultilevel"/>
    <w:tmpl w:val="ADEE00A6"/>
    <w:lvl w:ilvl="0" w:tplc="95D822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51AB1"/>
    <w:multiLevelType w:val="hybridMultilevel"/>
    <w:tmpl w:val="5C42CA98"/>
    <w:lvl w:ilvl="0" w:tplc="041A0017">
      <w:start w:val="1"/>
      <w:numFmt w:val="low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9C"/>
    <w:rsid w:val="00066E52"/>
    <w:rsid w:val="0009138A"/>
    <w:rsid w:val="00152213"/>
    <w:rsid w:val="00176523"/>
    <w:rsid w:val="00193D35"/>
    <w:rsid w:val="001F4DF9"/>
    <w:rsid w:val="001F7E81"/>
    <w:rsid w:val="00214FF6"/>
    <w:rsid w:val="00312412"/>
    <w:rsid w:val="00372E15"/>
    <w:rsid w:val="003C6638"/>
    <w:rsid w:val="0049160D"/>
    <w:rsid w:val="004B0AEB"/>
    <w:rsid w:val="0054270C"/>
    <w:rsid w:val="00552829"/>
    <w:rsid w:val="005D2C09"/>
    <w:rsid w:val="005D6B69"/>
    <w:rsid w:val="005E3646"/>
    <w:rsid w:val="00641A06"/>
    <w:rsid w:val="00657C00"/>
    <w:rsid w:val="007321CF"/>
    <w:rsid w:val="00776390"/>
    <w:rsid w:val="007D020F"/>
    <w:rsid w:val="00802825"/>
    <w:rsid w:val="00935425"/>
    <w:rsid w:val="009457A8"/>
    <w:rsid w:val="00960E21"/>
    <w:rsid w:val="00963620"/>
    <w:rsid w:val="009F44BC"/>
    <w:rsid w:val="00B12DB4"/>
    <w:rsid w:val="00B96E7A"/>
    <w:rsid w:val="00BB4B61"/>
    <w:rsid w:val="00BE5C66"/>
    <w:rsid w:val="00C3367C"/>
    <w:rsid w:val="00C4579C"/>
    <w:rsid w:val="00C66512"/>
    <w:rsid w:val="00CA328F"/>
    <w:rsid w:val="00CD3B48"/>
    <w:rsid w:val="00D008FF"/>
    <w:rsid w:val="00E62138"/>
    <w:rsid w:val="00E65379"/>
    <w:rsid w:val="00E83EC5"/>
    <w:rsid w:val="00E85A73"/>
    <w:rsid w:val="00F92CC6"/>
    <w:rsid w:val="00FD6A97"/>
    <w:rsid w:val="00FE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3605"/>
  <w15:docId w15:val="{CEC5A196-137B-48A3-8B97-5A18E7D4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glavlje1">
    <w:name w:val="Zaglavlje1"/>
    <w:basedOn w:val="Normal"/>
    <w:next w:val="Header"/>
    <w:link w:val="ZaglavljeChar"/>
    <w:uiPriority w:val="99"/>
    <w:unhideWhenUsed/>
    <w:rsid w:val="00C4579C"/>
    <w:pPr>
      <w:tabs>
        <w:tab w:val="center" w:pos="4536"/>
        <w:tab w:val="right" w:pos="9072"/>
      </w:tabs>
      <w:spacing w:after="0" w:line="240" w:lineRule="auto"/>
    </w:pPr>
  </w:style>
  <w:style w:type="character" w:customStyle="1" w:styleId="ZaglavljeChar">
    <w:name w:val="Zaglavlje Char"/>
    <w:basedOn w:val="DefaultParagraphFont"/>
    <w:link w:val="Zaglavlje1"/>
    <w:uiPriority w:val="99"/>
    <w:rsid w:val="00C4579C"/>
    <w:rPr>
      <w:lang w:val="hr-HR"/>
    </w:rPr>
  </w:style>
  <w:style w:type="paragraph" w:customStyle="1" w:styleId="Podnoje1">
    <w:name w:val="Podnožje1"/>
    <w:basedOn w:val="Normal"/>
    <w:next w:val="Footer"/>
    <w:link w:val="PodnojeChar"/>
    <w:uiPriority w:val="99"/>
    <w:unhideWhenUsed/>
    <w:rsid w:val="00C4579C"/>
    <w:pPr>
      <w:tabs>
        <w:tab w:val="center" w:pos="4536"/>
        <w:tab w:val="right" w:pos="9072"/>
      </w:tabs>
      <w:spacing w:after="0" w:line="240" w:lineRule="auto"/>
    </w:pPr>
  </w:style>
  <w:style w:type="character" w:customStyle="1" w:styleId="PodnojeChar">
    <w:name w:val="Podnožje Char"/>
    <w:basedOn w:val="DefaultParagraphFont"/>
    <w:link w:val="Podnoje1"/>
    <w:uiPriority w:val="99"/>
    <w:rsid w:val="00C4579C"/>
    <w:rPr>
      <w:lang w:val="hr-HR"/>
    </w:rPr>
  </w:style>
  <w:style w:type="paragraph" w:styleId="Footer">
    <w:name w:val="footer"/>
    <w:basedOn w:val="Normal"/>
    <w:link w:val="FooterChar"/>
    <w:uiPriority w:val="99"/>
    <w:unhideWhenUsed/>
    <w:rsid w:val="00C457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79C"/>
    <w:rPr>
      <w:lang w:val="hr-HR"/>
    </w:rPr>
  </w:style>
  <w:style w:type="table" w:styleId="TableGrid">
    <w:name w:val="Table Grid"/>
    <w:basedOn w:val="TableNormal"/>
    <w:uiPriority w:val="59"/>
    <w:rsid w:val="00C4579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79C"/>
    <w:pPr>
      <w:ind w:left="720"/>
      <w:contextualSpacing/>
    </w:pPr>
  </w:style>
  <w:style w:type="paragraph" w:styleId="Header">
    <w:name w:val="header"/>
    <w:basedOn w:val="Normal"/>
    <w:link w:val="HeaderChar"/>
    <w:uiPriority w:val="99"/>
    <w:unhideWhenUsed/>
    <w:rsid w:val="00C4579C"/>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579C"/>
    <w:rPr>
      <w:lang w:val="hr-HR"/>
    </w:rPr>
  </w:style>
  <w:style w:type="paragraph" w:styleId="BalloonText">
    <w:name w:val="Balloon Text"/>
    <w:basedOn w:val="Normal"/>
    <w:link w:val="BalloonTextChar"/>
    <w:uiPriority w:val="99"/>
    <w:semiHidden/>
    <w:unhideWhenUsed/>
    <w:rsid w:val="0093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425"/>
    <w:rPr>
      <w:rFonts w:ascii="Tahoma" w:hAnsi="Tahoma" w:cs="Tahoma"/>
      <w:sz w:val="16"/>
      <w:szCs w:val="16"/>
      <w:lang w:val="hr-HR"/>
    </w:rPr>
  </w:style>
  <w:style w:type="table" w:customStyle="1" w:styleId="TableGrid1">
    <w:name w:val="Table Grid1"/>
    <w:basedOn w:val="TableNormal"/>
    <w:next w:val="TableGrid"/>
    <w:rsid w:val="0009138A"/>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7D2F2-57DC-4AE6-8D0F-B8AB7372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2393</Words>
  <Characters>13646</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Vlatka Šelimber</cp:lastModifiedBy>
  <cp:revision>2</cp:revision>
  <cp:lastPrinted>2019-02-01T15:10:00Z</cp:lastPrinted>
  <dcterms:created xsi:type="dcterms:W3CDTF">2019-02-21T08:15:00Z</dcterms:created>
  <dcterms:modified xsi:type="dcterms:W3CDTF">2019-02-21T08:15:00Z</dcterms:modified>
</cp:coreProperties>
</file>