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16411">
        <w:t xml:space="preserve">28. veljače </w:t>
      </w:r>
      <w:r w:rsidRPr="003A2F05">
        <w:t>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16411" w:rsidP="000350D9">
            <w:pPr>
              <w:spacing w:line="360" w:lineRule="auto"/>
            </w:pPr>
            <w:r>
              <w:t>Ministarstvo poljoprivrede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116411" w:rsidRPr="00116411" w:rsidRDefault="00776C24" w:rsidP="00116411">
            <w:pPr>
              <w:jc w:val="both"/>
            </w:pPr>
            <w:r>
              <w:t>Nacrt prijedloga z</w:t>
            </w:r>
            <w:r w:rsidR="00116411" w:rsidRPr="00116411">
              <w:t>akona o izmjenama Zakona o provedbi Uredbe (EZ) br. 1107/2009 o stavljanju na tržište sredstava za zaštitu bilja,</w:t>
            </w:r>
            <w:r>
              <w:t xml:space="preserve"> s Nacrtom konačnog prijedloga z</w:t>
            </w:r>
            <w:r w:rsidR="00116411" w:rsidRPr="00116411">
              <w:t>akona</w:t>
            </w:r>
          </w:p>
          <w:p w:rsidR="000350D9" w:rsidRDefault="000350D9" w:rsidP="000350D9">
            <w:pPr>
              <w:spacing w:line="360" w:lineRule="auto"/>
            </w:pP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</w:t>
      </w:r>
      <w:r w:rsidR="00116411">
        <w:t>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D97A09" w:rsidRDefault="00D97A09" w:rsidP="00CE78D1"/>
    <w:p w:rsidR="00304714" w:rsidRDefault="00304714" w:rsidP="0030471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304714" w:rsidRPr="00D97A09" w:rsidRDefault="00304714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jc w:val="center"/>
        <w:rPr>
          <w:b/>
        </w:rPr>
      </w:pPr>
      <w:r w:rsidRPr="00D97A09">
        <w:rPr>
          <w:b/>
        </w:rPr>
        <w:t>MINISTARSTVO POLJOPRIVREDE</w:t>
      </w:r>
    </w:p>
    <w:p w:rsidR="00D97A09" w:rsidRPr="00D97A09" w:rsidRDefault="00D97A09" w:rsidP="00D97A09">
      <w:pPr>
        <w:rPr>
          <w:b/>
        </w:rPr>
      </w:pPr>
      <w:r w:rsidRPr="00D97A09">
        <w:rPr>
          <w:b/>
        </w:rPr>
        <w:t>___________________________________________________________________________</w:t>
      </w: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ind w:left="6372"/>
        <w:jc w:val="center"/>
        <w:rPr>
          <w:b/>
        </w:rPr>
      </w:pPr>
      <w:r w:rsidRPr="00D97A09">
        <w:rPr>
          <w:b/>
        </w:rPr>
        <w:t>NACRT</w:t>
      </w: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  <w:r w:rsidRPr="00D97A09">
        <w:rPr>
          <w:b/>
        </w:rPr>
        <w:t xml:space="preserve"> </w:t>
      </w: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jc w:val="center"/>
        <w:rPr>
          <w:rFonts w:eastAsia="Calibri"/>
          <w:b/>
          <w:lang w:eastAsia="en-US"/>
        </w:rPr>
      </w:pPr>
      <w:r w:rsidRPr="00D97A09">
        <w:rPr>
          <w:rFonts w:eastAsia="Calibri"/>
          <w:b/>
          <w:lang w:eastAsia="en-US"/>
        </w:rPr>
        <w:t>PRIJEDLOG ZAKONA O IZMJENAMA ZAKONA O PROVEDBI UREDBE (EZ) BR. 1107/2009 O STAVLJANJU NA TRŽIŠTE SREDSTAVA ZA ZAŠTITU BILJA, S KONAČNIM PRIJEDLOGOM ZAKONA</w:t>
      </w:r>
    </w:p>
    <w:p w:rsidR="00D97A09" w:rsidRPr="00D97A09" w:rsidRDefault="00D97A09" w:rsidP="00D97A09">
      <w:pPr>
        <w:jc w:val="center"/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jc w:val="center"/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/>
    <w:p w:rsidR="00D97A09" w:rsidRPr="00D97A09" w:rsidRDefault="00D97A09" w:rsidP="00D97A09"/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rPr>
          <w:b/>
        </w:rPr>
      </w:pPr>
      <w:r w:rsidRPr="00D97A09">
        <w:rPr>
          <w:b/>
        </w:rPr>
        <w:t>__________________________________________________________________________</w:t>
      </w:r>
    </w:p>
    <w:p w:rsidR="00D97A09" w:rsidRPr="00D97A09" w:rsidRDefault="00116411" w:rsidP="00D97A09">
      <w:pPr>
        <w:jc w:val="center"/>
        <w:rPr>
          <w:b/>
        </w:rPr>
      </w:pPr>
      <w:r>
        <w:rPr>
          <w:b/>
        </w:rPr>
        <w:t>Zagreb, veljača</w:t>
      </w:r>
      <w:r w:rsidR="00D97A09" w:rsidRPr="00D97A09">
        <w:rPr>
          <w:b/>
        </w:rPr>
        <w:t xml:space="preserve"> 2019.</w:t>
      </w:r>
    </w:p>
    <w:p w:rsidR="00D97A09" w:rsidRPr="00D97A09" w:rsidRDefault="00D97A09" w:rsidP="00D97A09">
      <w:pPr>
        <w:jc w:val="center"/>
        <w:rPr>
          <w:b/>
        </w:rPr>
      </w:pPr>
    </w:p>
    <w:p w:rsidR="00D97A09" w:rsidRPr="00D97A09" w:rsidRDefault="00D97A09" w:rsidP="00D97A09">
      <w:pPr>
        <w:jc w:val="center"/>
        <w:rPr>
          <w:rFonts w:eastAsia="Calibri"/>
          <w:b/>
        </w:rPr>
      </w:pPr>
      <w:r w:rsidRPr="00D97A09">
        <w:rPr>
          <w:rFonts w:eastAsia="Calibri"/>
          <w:b/>
        </w:rPr>
        <w:lastRenderedPageBreak/>
        <w:t>PRIJEDLOG ZAKONA O IZMJENAMA ZAKONA O PROVEDBI UREDBE (EZ) BR. 1107/2009 O STAVLJANJU NA TRŽIŠTE SREDSTAVA ZA ZAŠTITU BILJA</w:t>
      </w:r>
    </w:p>
    <w:p w:rsidR="00D97A09" w:rsidRPr="00D97A09" w:rsidRDefault="00D97A09" w:rsidP="00D97A09">
      <w:pPr>
        <w:jc w:val="both"/>
        <w:rPr>
          <w:b/>
        </w:rPr>
      </w:pPr>
    </w:p>
    <w:p w:rsidR="00D97A09" w:rsidRPr="00D97A09" w:rsidRDefault="00D97A09" w:rsidP="00D97A09">
      <w:pPr>
        <w:jc w:val="both"/>
        <w:rPr>
          <w:b/>
        </w:rPr>
      </w:pPr>
    </w:p>
    <w:p w:rsidR="00D97A09" w:rsidRPr="00D97A09" w:rsidRDefault="00D97A09" w:rsidP="00D97A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7A09">
        <w:rPr>
          <w:rFonts w:eastAsia="Calibri"/>
          <w:b/>
          <w:lang w:eastAsia="en-US"/>
        </w:rPr>
        <w:t>USTAVNA OSNOVA ZA DONOŠENJE ZAKONA</w:t>
      </w:r>
    </w:p>
    <w:p w:rsidR="00D97A09" w:rsidRPr="00D97A09" w:rsidRDefault="00D97A09" w:rsidP="00D97A09">
      <w:pPr>
        <w:spacing w:after="360"/>
        <w:ind w:firstLine="360"/>
        <w:jc w:val="both"/>
      </w:pPr>
      <w:r w:rsidRPr="00D97A09">
        <w:t>Ustavna osnova za donošenje ovoga Zakona sadržana je u članku 2. stavku 4. podstavku Ustava Republike Hrvatske (Narodne novine</w:t>
      </w:r>
      <w:r w:rsidRPr="00D97A09">
        <w:rPr>
          <w:rFonts w:eastAsia="Calibri"/>
        </w:rPr>
        <w:t xml:space="preserve">, </w:t>
      </w:r>
      <w:r w:rsidR="00742A8B">
        <w:t>br.</w:t>
      </w:r>
      <w:r w:rsidRPr="00D97A09">
        <w:t xml:space="preserve"> 85/10 – pročišćeni tekst i 5/14 – Odluka Ustavnog suda Republike Hrvatske).</w:t>
      </w:r>
    </w:p>
    <w:p w:rsidR="00D97A09" w:rsidRPr="00D97A09" w:rsidRDefault="00D97A09" w:rsidP="00D97A0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97A09">
        <w:rPr>
          <w:rFonts w:eastAsia="Calibri"/>
          <w:b/>
          <w:lang w:eastAsia="en-US"/>
        </w:rPr>
        <w:t>OCJENA STANJA I OSNOVNA PITANJA KOJA SE TREBAJU UREDITI ZAKONOM TE POSLJEDICE KOJE ĆE DONOŠENJEM ZAKONA PROISTEĆI</w:t>
      </w:r>
    </w:p>
    <w:p w:rsidR="00D97A09" w:rsidRPr="00D97A09" w:rsidRDefault="00D97A09" w:rsidP="00D97A09">
      <w:pPr>
        <w:spacing w:before="360" w:after="360"/>
        <w:jc w:val="both"/>
        <w:rPr>
          <w:b/>
        </w:rPr>
      </w:pPr>
      <w:r w:rsidRPr="00D97A09">
        <w:rPr>
          <w:b/>
        </w:rPr>
        <w:t>Ocjena stanja i osnovna pitanja koja se trebaju urediti Zakonom</w:t>
      </w:r>
    </w:p>
    <w:p w:rsidR="00532F6D" w:rsidRDefault="00D97A09" w:rsidP="00D97A09">
      <w:pPr>
        <w:jc w:val="both"/>
      </w:pPr>
      <w:r w:rsidRPr="00D97A09">
        <w:t xml:space="preserve">     U skladu s Nacionalnim programom reformi 2018. kojim je određena mjera 1.3.3. Racionalizacija sustava pravnih osoba s javnim ovlastima, Vlada Republike Hrvatske je na sjednici održanoj 2. kolovoza 2018.</w:t>
      </w:r>
      <w:r w:rsidR="00532F6D">
        <w:t xml:space="preserve"> godine donijela Zaključak Klase</w:t>
      </w:r>
      <w:r w:rsidRPr="00D97A09">
        <w:t>: 022-03/18-07/35</w:t>
      </w:r>
      <w:r w:rsidR="00532F6D">
        <w:t>5, Urbroja</w:t>
      </w:r>
      <w:r w:rsidRPr="00D97A09">
        <w:t xml:space="preserve">: 50301-25/06-18-2, kojim se prihvaća Prijedlog smanjenja broja agencija, zavoda, fondova, instituta, zaklada, trgovačkih društava i drugih pravnih osoba s javnim ovlastima, te se zadužuju nadležna tijela državne uprave za provedbu svih aktivnosti radi provedbe navedenog akta. </w:t>
      </w:r>
    </w:p>
    <w:p w:rsidR="00D97A09" w:rsidRPr="00D97A09" w:rsidRDefault="00532F6D" w:rsidP="00532F6D">
      <w:pPr>
        <w:tabs>
          <w:tab w:val="left" w:pos="426"/>
        </w:tabs>
        <w:jc w:val="both"/>
      </w:pPr>
      <w:r>
        <w:t xml:space="preserve">     </w:t>
      </w:r>
      <w:r w:rsidR="00D97A09" w:rsidRPr="00D97A09">
        <w:t>Radi provedbe navedenog Zaključka i promjene naziva Hrvatskog centra za poljoprivredu, hranu i selo u Hrvatsku agenciju za poljoprivr</w:t>
      </w:r>
      <w:r>
        <w:t>edu i hranu potrebno je izmijeniti Zakon o</w:t>
      </w:r>
      <w:r w:rsidR="00D97A09" w:rsidRPr="00D97A09">
        <w:t xml:space="preserve"> provedbi Uredbe (EZ) br. 1107/2009 o  stavljanju na tržište sredstava za zaštitu bilja.</w:t>
      </w:r>
    </w:p>
    <w:p w:rsidR="00D97A09" w:rsidRPr="00D97A09" w:rsidRDefault="00D97A09" w:rsidP="00D97A09">
      <w:pPr>
        <w:jc w:val="both"/>
      </w:pPr>
      <w:r w:rsidRPr="00D97A09">
        <w:t xml:space="preserve">     Nadalje, radi provedbe reformske mjere 1.1.5.</w:t>
      </w:r>
      <w:r w:rsidR="00AC5B76">
        <w:t xml:space="preserve"> iz Nacionalnog programa reformi</w:t>
      </w:r>
      <w:r w:rsidRPr="00D97A09">
        <w:t xml:space="preserve"> ustrojava se Državni inspektorat koji će preuzeti inspekcijske poslove iz djelokruga Ministarstva poljoprivrede.</w:t>
      </w:r>
      <w:r w:rsidR="00AC5B76">
        <w:t xml:space="preserve"> Stoga je potrebno</w:t>
      </w:r>
      <w:r w:rsidRPr="00D97A09">
        <w:t xml:space="preserve"> izmijeniti predmetni Zakon </w:t>
      </w:r>
      <w:r w:rsidR="00AC5B76">
        <w:t>na način da</w:t>
      </w:r>
      <w:r w:rsidRPr="00D97A09">
        <w:t xml:space="preserve"> Državni inspektorat preuzima inspekcijske poslove iz djelokruga poljoprivredne inspekcije s </w:t>
      </w:r>
      <w:r w:rsidR="00AC5B76">
        <w:t>1. trav</w:t>
      </w:r>
      <w:r w:rsidRPr="00D97A09">
        <w:t>nja 2019.</w:t>
      </w:r>
      <w:r w:rsidR="00AC5B76">
        <w:t xml:space="preserve"> godine</w:t>
      </w:r>
      <w:r w:rsidRPr="00D97A09">
        <w:t>, sukladno odredbama Zakona o državnom inspektoratu (</w:t>
      </w:r>
      <w:r w:rsidR="00AC5B76">
        <w:t>Narodne novine</w:t>
      </w:r>
      <w:r w:rsidRPr="00D97A09">
        <w:t>, br. 115/18).</w:t>
      </w:r>
    </w:p>
    <w:p w:rsidR="00D97A09" w:rsidRPr="00D97A09" w:rsidRDefault="00D97A09" w:rsidP="00D97A09">
      <w:pPr>
        <w:spacing w:before="360" w:after="360"/>
        <w:jc w:val="both"/>
        <w:rPr>
          <w:b/>
        </w:rPr>
      </w:pPr>
      <w:r w:rsidRPr="00D97A09">
        <w:rPr>
          <w:b/>
        </w:rPr>
        <w:t>Posljedice koje će donošenjem Zakona proisteći</w:t>
      </w:r>
    </w:p>
    <w:p w:rsidR="00D97A09" w:rsidRPr="00D97A09" w:rsidRDefault="00D97A09" w:rsidP="00D97A09">
      <w:pPr>
        <w:ind w:firstLine="360"/>
        <w:jc w:val="both"/>
      </w:pPr>
      <w:r w:rsidRPr="00D97A09">
        <w:t xml:space="preserve">Donošenjem ovoga Zakona uskladit će se naziv stručne institucije Hrvatskog centra za poljoprivredu, hranu i selo u Hrvatsku agenciju za poljoprivredu i hranu te će se osigurati pravna sigurnost i nesmetana provedba Zakona u dijelu koji se odnosi na rad poljoprivredne inspekcije.    </w:t>
      </w:r>
    </w:p>
    <w:p w:rsidR="00D97A09" w:rsidRPr="00D97A09" w:rsidRDefault="00D97A09" w:rsidP="00D97A09">
      <w:pPr>
        <w:ind w:firstLine="360"/>
        <w:jc w:val="both"/>
      </w:pPr>
      <w:r w:rsidRPr="00D97A09">
        <w:t xml:space="preserve">    </w:t>
      </w:r>
    </w:p>
    <w:p w:rsidR="00D97A09" w:rsidRPr="00D97A09" w:rsidRDefault="00D97A09" w:rsidP="00D97A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7A09">
        <w:rPr>
          <w:rFonts w:eastAsia="Calibri"/>
          <w:b/>
          <w:lang w:eastAsia="en-US"/>
        </w:rPr>
        <w:t>OCJENA I IZVORI POTREBNIH SREDSTAVA ZA PROVOĐENJE ZAKONA</w:t>
      </w:r>
    </w:p>
    <w:p w:rsidR="00D97A09" w:rsidRPr="00D97A09" w:rsidRDefault="00D97A09" w:rsidP="00D97A09">
      <w:pPr>
        <w:ind w:firstLine="360"/>
        <w:jc w:val="both"/>
      </w:pPr>
      <w:r w:rsidRPr="00D97A09">
        <w:t xml:space="preserve">Za provođenje ovoga Zakona  neće biti potrebno osigurati dodatna sredstva u državnom proračunu Republike Hrvatske. </w:t>
      </w:r>
    </w:p>
    <w:p w:rsidR="00D97A09" w:rsidRPr="00D97A09" w:rsidRDefault="00D97A09" w:rsidP="00D97A09">
      <w:pPr>
        <w:ind w:firstLine="708"/>
        <w:jc w:val="both"/>
      </w:pPr>
    </w:p>
    <w:p w:rsidR="00D97A09" w:rsidRPr="00D97A09" w:rsidRDefault="00D97A09" w:rsidP="00D97A09">
      <w:pPr>
        <w:ind w:firstLine="708"/>
        <w:jc w:val="both"/>
      </w:pPr>
    </w:p>
    <w:p w:rsidR="00D97A09" w:rsidRPr="00D97A09" w:rsidRDefault="00D97A09" w:rsidP="00D97A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7A09">
        <w:rPr>
          <w:rFonts w:eastAsia="Calibri"/>
          <w:b/>
          <w:lang w:eastAsia="en-US"/>
        </w:rPr>
        <w:t>PRIJEDLOG ZA DONOŠENJEA ZAKONA PO HITNOM POSTUPKU</w:t>
      </w:r>
    </w:p>
    <w:p w:rsidR="00D97A09" w:rsidRPr="00D97A09" w:rsidRDefault="00D97A09" w:rsidP="00D97A09">
      <w:pPr>
        <w:ind w:firstLine="360"/>
        <w:jc w:val="both"/>
      </w:pPr>
      <w:r w:rsidRPr="00D97A09">
        <w:t>U skladu s člankom 204.</w:t>
      </w:r>
      <w:r w:rsidR="00532CC4">
        <w:t xml:space="preserve"> stavka 1.</w:t>
      </w:r>
      <w:r w:rsidRPr="00D97A09">
        <w:t xml:space="preserve"> Poslovnika Hrvatskog</w:t>
      </w:r>
      <w:r w:rsidR="00532CC4">
        <w:t>a</w:t>
      </w:r>
      <w:r w:rsidRPr="00D97A09">
        <w:t xml:space="preserve"> sabora (Nar</w:t>
      </w:r>
      <w:r w:rsidR="00532CC4">
        <w:t>odne novine</w:t>
      </w:r>
      <w:r w:rsidRPr="00D97A09">
        <w:t xml:space="preserve">, br. 81/13, 113/16, 69/17 i 29/18) predlaže se donošenje ovoga Zakona po hitnom postupku s obzirom da se prema Zaključku Vlade Republike Hrvatske od 2. kolovoza 2018. godine radi o racionalizaciji pravnih osoba s javnim ovlastima i racionalnijem trošenju sredstava državnog proračuna. Nacionalnim programom reformi </w:t>
      </w:r>
      <w:r w:rsidR="00532CC4">
        <w:t xml:space="preserve">za 2018. godinu </w:t>
      </w:r>
      <w:r w:rsidRPr="00D97A09">
        <w:t xml:space="preserve">je utvrđena i reformska mjera </w:t>
      </w:r>
      <w:r w:rsidRPr="00D97A09">
        <w:lastRenderedPageBreak/>
        <w:t>objedinjavanja inspekcija u Državni inspektorat kao temelj za učinkovitije obavljanje inspekcijskih poslova koji se sada obavljaju u središnjim tijelima državne uprave.</w:t>
      </w:r>
    </w:p>
    <w:p w:rsidR="00D97A09" w:rsidRPr="00D97A09" w:rsidRDefault="00532CC4" w:rsidP="00D97A09">
      <w:pPr>
        <w:ind w:firstLine="360"/>
        <w:jc w:val="both"/>
      </w:pPr>
      <w:r>
        <w:t xml:space="preserve">Stoga se predlaže </w:t>
      </w:r>
      <w:r w:rsidR="00D97A09" w:rsidRPr="00D97A09">
        <w:t>donošenje ovoga Zakona po hitnom postupku.</w:t>
      </w:r>
    </w:p>
    <w:p w:rsidR="00D97A09" w:rsidRPr="00D97A09" w:rsidRDefault="00D97A09" w:rsidP="00D97A09">
      <w:pPr>
        <w:ind w:firstLine="360"/>
      </w:pPr>
    </w:p>
    <w:p w:rsidR="00D97A09" w:rsidRPr="00D97A09" w:rsidRDefault="00D97A09" w:rsidP="00D97A09">
      <w:pPr>
        <w:ind w:firstLine="360"/>
        <w:jc w:val="both"/>
      </w:pPr>
    </w:p>
    <w:p w:rsidR="00D97A09" w:rsidRPr="00D97A09" w:rsidRDefault="00D97A09" w:rsidP="00D97A09">
      <w:pPr>
        <w:ind w:firstLine="360"/>
        <w:jc w:val="both"/>
      </w:pPr>
    </w:p>
    <w:p w:rsidR="00D97A09" w:rsidRDefault="00D97A09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9D00DA" w:rsidRDefault="009D00DA" w:rsidP="00D97A09">
      <w:pPr>
        <w:rPr>
          <w:rFonts w:eastAsia="Calibri"/>
          <w:b/>
        </w:rPr>
      </w:pPr>
    </w:p>
    <w:p w:rsidR="00D97A09" w:rsidRPr="00D97A09" w:rsidRDefault="00D97A09" w:rsidP="00D97A09">
      <w:pPr>
        <w:rPr>
          <w:rFonts w:eastAsia="Calibri"/>
          <w:b/>
        </w:rPr>
      </w:pPr>
    </w:p>
    <w:p w:rsidR="00D97A09" w:rsidRPr="00D97A09" w:rsidRDefault="00D97A09" w:rsidP="00D97A09">
      <w:pPr>
        <w:jc w:val="center"/>
        <w:rPr>
          <w:rFonts w:eastAsia="Calibri"/>
          <w:b/>
        </w:rPr>
      </w:pPr>
      <w:r w:rsidRPr="00D97A09">
        <w:rPr>
          <w:rFonts w:eastAsia="Calibri"/>
          <w:b/>
        </w:rPr>
        <w:lastRenderedPageBreak/>
        <w:t>KONAČNI PRIJEDLOG ZAKONA O IZMJENAMA ZAKONA O PROVEDBI UREDBE (EZ) BR. 1107/2009 O STAVLJANJU NA TRŽIŠTE SREDSTAVA ZA ZAŠTITU BILJA</w:t>
      </w:r>
    </w:p>
    <w:p w:rsidR="00D97A09" w:rsidRPr="00D97A09" w:rsidRDefault="00D97A09" w:rsidP="00D97A09">
      <w:pPr>
        <w:jc w:val="center"/>
        <w:rPr>
          <w:rFonts w:eastAsia="Calibri"/>
          <w:b/>
        </w:rPr>
      </w:pPr>
    </w:p>
    <w:p w:rsidR="00D97A09" w:rsidRPr="00F20099" w:rsidRDefault="00D97A09" w:rsidP="00D97A09">
      <w:pPr>
        <w:jc w:val="center"/>
        <w:rPr>
          <w:rFonts w:eastAsia="Calibri"/>
          <w:b/>
        </w:rPr>
      </w:pPr>
      <w:r w:rsidRPr="00F20099">
        <w:rPr>
          <w:rFonts w:eastAsia="Calibri"/>
          <w:b/>
        </w:rPr>
        <w:t>Članak 1.</w:t>
      </w:r>
    </w:p>
    <w:p w:rsidR="00D97A09" w:rsidRPr="00D97A09" w:rsidRDefault="00D97A09" w:rsidP="00D97A09">
      <w:pPr>
        <w:jc w:val="center"/>
        <w:rPr>
          <w:rFonts w:eastAsia="Calibri"/>
          <w:b/>
        </w:rPr>
      </w:pPr>
    </w:p>
    <w:p w:rsidR="00D97A09" w:rsidRPr="00D97A09" w:rsidRDefault="00D97A09" w:rsidP="00D97A09">
      <w:pPr>
        <w:ind w:firstLine="708"/>
        <w:jc w:val="both"/>
        <w:rPr>
          <w:rFonts w:eastAsia="Calibri"/>
        </w:rPr>
      </w:pPr>
      <w:r w:rsidRPr="00D97A09">
        <w:rPr>
          <w:rFonts w:eastAsia="Calibri"/>
        </w:rPr>
        <w:t>U Zakonu o provedbi Uredbe (EZ) br. 1107/2009 o stavljanju na tržiš</w:t>
      </w:r>
      <w:r w:rsidR="00F20099">
        <w:rPr>
          <w:rFonts w:eastAsia="Calibri"/>
        </w:rPr>
        <w:t>te sredstava za zaštitu bilja (Narodne novine</w:t>
      </w:r>
      <w:r w:rsidRPr="00D97A09">
        <w:rPr>
          <w:rFonts w:eastAsia="Calibri"/>
        </w:rPr>
        <w:t>, br. 80/13)</w:t>
      </w:r>
      <w:r w:rsidR="00F20099">
        <w:rPr>
          <w:rFonts w:eastAsia="Calibri"/>
        </w:rPr>
        <w:t>,</w:t>
      </w:r>
      <w:r w:rsidRPr="00D97A09">
        <w:rPr>
          <w:rFonts w:eastAsia="Calibri"/>
        </w:rPr>
        <w:t xml:space="preserve"> u članku 5. stav</w:t>
      </w:r>
      <w:r w:rsidR="00F20099">
        <w:rPr>
          <w:rFonts w:eastAsia="Calibri"/>
        </w:rPr>
        <w:t>ku 1. podstavak 1. mijenja se i</w:t>
      </w:r>
      <w:r w:rsidRPr="00D97A09">
        <w:rPr>
          <w:rFonts w:eastAsia="Calibri"/>
        </w:rPr>
        <w:t xml:space="preserve"> glasi:</w:t>
      </w:r>
    </w:p>
    <w:p w:rsidR="00D97A09" w:rsidRPr="00D97A09" w:rsidRDefault="00306885" w:rsidP="00D97A09">
      <w:pPr>
        <w:ind w:firstLine="708"/>
        <w:jc w:val="both"/>
        <w:rPr>
          <w:rFonts w:eastAsia="Calibri"/>
        </w:rPr>
      </w:pPr>
      <w:r w:rsidRPr="00D97A09">
        <w:rPr>
          <w:rFonts w:eastAsia="Calibri"/>
        </w:rPr>
        <w:t>»</w:t>
      </w:r>
      <w:r w:rsidR="00D97A09" w:rsidRPr="00D97A09">
        <w:rPr>
          <w:rFonts w:eastAsia="Calibri"/>
        </w:rPr>
        <w:t>- Hrvatska age</w:t>
      </w:r>
      <w:r>
        <w:rPr>
          <w:rFonts w:eastAsia="Calibri"/>
        </w:rPr>
        <w:t>ncija za poljoprivredu i hranu,</w:t>
      </w:r>
      <w:r w:rsidRPr="00D97A09">
        <w:rPr>
          <w:rFonts w:eastAsia="Calibri"/>
        </w:rPr>
        <w:t>«</w:t>
      </w:r>
      <w:r w:rsidR="00D97A09" w:rsidRPr="00D97A09">
        <w:rPr>
          <w:rFonts w:eastAsia="Calibri"/>
        </w:rPr>
        <w:t>.</w:t>
      </w:r>
    </w:p>
    <w:p w:rsidR="00D97A09" w:rsidRPr="00D97A09" w:rsidRDefault="00D97A09" w:rsidP="00D97A09">
      <w:pPr>
        <w:jc w:val="both"/>
        <w:rPr>
          <w:rFonts w:eastAsia="Calibri"/>
        </w:rPr>
      </w:pPr>
    </w:p>
    <w:p w:rsidR="00D97A09" w:rsidRPr="00D97A09" w:rsidRDefault="00D97A09" w:rsidP="00D97A09">
      <w:pPr>
        <w:jc w:val="both"/>
        <w:rPr>
          <w:rFonts w:eastAsia="Calibri"/>
        </w:rPr>
      </w:pPr>
    </w:p>
    <w:p w:rsidR="00D97A09" w:rsidRPr="00F20099" w:rsidRDefault="00D97A09" w:rsidP="00D97A09">
      <w:pPr>
        <w:jc w:val="center"/>
        <w:rPr>
          <w:rFonts w:eastAsia="Calibri"/>
          <w:b/>
        </w:rPr>
      </w:pPr>
      <w:r w:rsidRPr="00F20099">
        <w:rPr>
          <w:rFonts w:eastAsia="Calibri"/>
          <w:b/>
        </w:rPr>
        <w:t>Članak 2.</w:t>
      </w:r>
    </w:p>
    <w:p w:rsidR="00D97A09" w:rsidRPr="00D97A09" w:rsidRDefault="00D97A09" w:rsidP="00D97A09">
      <w:pPr>
        <w:jc w:val="center"/>
        <w:rPr>
          <w:rFonts w:eastAsia="Calibri"/>
        </w:rPr>
      </w:pPr>
    </w:p>
    <w:p w:rsidR="00D97A09" w:rsidRDefault="00D97A09" w:rsidP="00D97A09">
      <w:pPr>
        <w:ind w:firstLine="708"/>
        <w:jc w:val="both"/>
        <w:rPr>
          <w:rFonts w:eastAsia="Calibri"/>
        </w:rPr>
      </w:pPr>
      <w:r w:rsidRPr="00D97A09">
        <w:rPr>
          <w:rFonts w:eastAsia="Calibri"/>
        </w:rPr>
        <w:t>U članku 9. stavku 5. riječi: »Povjerenstvu za žalbe« zamjenjuju se riječima: »Državnom inspektoratu«.</w:t>
      </w:r>
    </w:p>
    <w:p w:rsidR="00306885" w:rsidRPr="00D97A09" w:rsidRDefault="00306885" w:rsidP="00D97A09">
      <w:pPr>
        <w:ind w:firstLine="708"/>
        <w:jc w:val="both"/>
        <w:rPr>
          <w:rFonts w:eastAsia="Calibri"/>
        </w:rPr>
      </w:pPr>
    </w:p>
    <w:p w:rsidR="00D97A09" w:rsidRPr="00D97A09" w:rsidRDefault="00D97A09" w:rsidP="00D97A09">
      <w:pPr>
        <w:ind w:firstLine="708"/>
        <w:jc w:val="both"/>
        <w:rPr>
          <w:rFonts w:eastAsia="Calibri"/>
        </w:rPr>
      </w:pPr>
      <w:r w:rsidRPr="00D97A09">
        <w:rPr>
          <w:rFonts w:eastAsia="Calibri"/>
        </w:rPr>
        <w:t>Stavci 7., 8. i 9. brišu se.</w:t>
      </w:r>
    </w:p>
    <w:p w:rsidR="00D97A09" w:rsidRPr="00D97A09" w:rsidRDefault="00D97A09" w:rsidP="00D97A09">
      <w:pPr>
        <w:jc w:val="both"/>
        <w:rPr>
          <w:rFonts w:eastAsia="Calibri"/>
        </w:rPr>
      </w:pPr>
    </w:p>
    <w:p w:rsidR="00D97A09" w:rsidRPr="00D97A09" w:rsidRDefault="00D97A09" w:rsidP="00D97A09">
      <w:pPr>
        <w:jc w:val="both"/>
        <w:rPr>
          <w:rFonts w:eastAsia="Calibri"/>
        </w:rPr>
      </w:pPr>
    </w:p>
    <w:p w:rsidR="00D97A09" w:rsidRPr="006A71E7" w:rsidRDefault="00D97A09" w:rsidP="00D97A09">
      <w:pPr>
        <w:jc w:val="center"/>
        <w:rPr>
          <w:rFonts w:eastAsia="Calibri"/>
          <w:b/>
        </w:rPr>
      </w:pPr>
      <w:r w:rsidRPr="006A71E7">
        <w:rPr>
          <w:rFonts w:eastAsia="Calibri"/>
          <w:b/>
        </w:rPr>
        <w:t>Članak 3.</w:t>
      </w:r>
    </w:p>
    <w:p w:rsidR="00D97A09" w:rsidRPr="00D97A09" w:rsidRDefault="00D97A09" w:rsidP="00D97A09">
      <w:pPr>
        <w:rPr>
          <w:rFonts w:eastAsia="Calibri"/>
          <w:color w:val="000000"/>
        </w:rPr>
      </w:pPr>
    </w:p>
    <w:p w:rsidR="00D97A09" w:rsidRDefault="00D97A09" w:rsidP="00D97A09">
      <w:pPr>
        <w:ind w:firstLine="708"/>
        <w:rPr>
          <w:rFonts w:eastAsia="Calibri"/>
        </w:rPr>
      </w:pPr>
      <w:r w:rsidRPr="00D97A09">
        <w:rPr>
          <w:rFonts w:eastAsia="Calibri"/>
          <w:color w:val="000000"/>
        </w:rPr>
        <w:t xml:space="preserve">Ovaj Zakon objavit će se u </w:t>
      </w:r>
      <w:r w:rsidR="006A71E7">
        <w:rPr>
          <w:rFonts w:eastAsia="Calibri"/>
        </w:rPr>
        <w:t>Narodnim novinama</w:t>
      </w:r>
      <w:r w:rsidRPr="00D97A09">
        <w:rPr>
          <w:rFonts w:eastAsia="Calibri"/>
        </w:rPr>
        <w:t>, a stupa na snagu 1. travnja 2019.</w:t>
      </w:r>
      <w:r w:rsidR="006A71E7">
        <w:rPr>
          <w:rFonts w:eastAsia="Calibri"/>
        </w:rPr>
        <w:t xml:space="preserve"> godine.</w:t>
      </w: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Default="006A71E7" w:rsidP="00D97A09">
      <w:pPr>
        <w:ind w:firstLine="708"/>
        <w:rPr>
          <w:rFonts w:eastAsia="Calibri"/>
        </w:rPr>
      </w:pPr>
    </w:p>
    <w:p w:rsidR="006A71E7" w:rsidRPr="00D97A09" w:rsidRDefault="006A71E7" w:rsidP="00D97A09">
      <w:pPr>
        <w:ind w:firstLine="708"/>
        <w:rPr>
          <w:color w:val="FF0000"/>
        </w:rPr>
      </w:pPr>
    </w:p>
    <w:p w:rsidR="00D97A09" w:rsidRPr="00D97A09" w:rsidRDefault="00D97A09" w:rsidP="00D97A09">
      <w:pPr>
        <w:rPr>
          <w:color w:val="FF0000"/>
        </w:rPr>
      </w:pP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jc w:val="center"/>
        <w:rPr>
          <w:b/>
        </w:rPr>
      </w:pPr>
      <w:r w:rsidRPr="00D97A09">
        <w:rPr>
          <w:b/>
        </w:rPr>
        <w:lastRenderedPageBreak/>
        <w:t>OBRAZLOŽENJE</w:t>
      </w:r>
    </w:p>
    <w:p w:rsidR="00D97A09" w:rsidRPr="00D97A09" w:rsidRDefault="00D97A09" w:rsidP="00D97A09">
      <w:pPr>
        <w:rPr>
          <w:b/>
        </w:rPr>
      </w:pPr>
    </w:p>
    <w:p w:rsidR="00D97A09" w:rsidRPr="00D97A09" w:rsidRDefault="00D97A09" w:rsidP="00D97A09">
      <w:pPr>
        <w:jc w:val="both"/>
        <w:rPr>
          <w:rFonts w:eastAsia="Calibri"/>
          <w:b/>
          <w:color w:val="000000"/>
        </w:rPr>
      </w:pPr>
      <w:r w:rsidRPr="00D97A09">
        <w:rPr>
          <w:rFonts w:eastAsia="Calibri"/>
          <w:b/>
          <w:color w:val="000000"/>
        </w:rPr>
        <w:t>Uz članak 1.</w:t>
      </w:r>
    </w:p>
    <w:p w:rsidR="006A71E7" w:rsidRPr="00D97A09" w:rsidRDefault="00D97A09" w:rsidP="00D97A09">
      <w:pPr>
        <w:jc w:val="both"/>
        <w:rPr>
          <w:rFonts w:eastAsia="Calibri"/>
          <w:color w:val="000000"/>
        </w:rPr>
      </w:pPr>
      <w:r w:rsidRPr="00D97A09">
        <w:rPr>
          <w:rFonts w:eastAsia="Calibri"/>
          <w:color w:val="000000"/>
        </w:rPr>
        <w:t>Ovim člankom mijenja se naziv Hrvatskog centra za poljoprivredu, hranu i selo – Zavod za zaštitu bilja kao stručne institucije za obavljanje stručnih poslova i zadaća iz područja sredstava za zaštitu bilja i pomoćnih sredstava koje im dodijeli Ministarstvo poljoprivrede  u svrhu provedbe Uredbe (EZ) br. 1107/2009 u naziv: Hrvatska age</w:t>
      </w:r>
      <w:r w:rsidR="006A71E7">
        <w:rPr>
          <w:rFonts w:eastAsia="Calibri"/>
          <w:color w:val="000000"/>
        </w:rPr>
        <w:t>ncija za poljoprivredu i hranu budući da je Zaključkom Vlade</w:t>
      </w:r>
      <w:r w:rsidR="006A71E7" w:rsidRPr="006A71E7">
        <w:rPr>
          <w:rFonts w:eastAsia="Calibri"/>
          <w:color w:val="000000"/>
        </w:rPr>
        <w:t xml:space="preserve"> Republike Hrvatske</w:t>
      </w:r>
      <w:r w:rsidR="006A71E7">
        <w:rPr>
          <w:rFonts w:eastAsia="Calibri"/>
          <w:color w:val="000000"/>
        </w:rPr>
        <w:t xml:space="preserve"> ukinut Hrvatski</w:t>
      </w:r>
      <w:r w:rsidR="006A71E7" w:rsidRPr="006A71E7">
        <w:rPr>
          <w:rFonts w:eastAsia="Calibri"/>
          <w:color w:val="000000"/>
        </w:rPr>
        <w:t xml:space="preserve"> cent</w:t>
      </w:r>
      <w:r w:rsidR="006A71E7">
        <w:rPr>
          <w:rFonts w:eastAsia="Calibri"/>
          <w:color w:val="000000"/>
        </w:rPr>
        <w:t>ar</w:t>
      </w:r>
      <w:r w:rsidR="006A71E7" w:rsidRPr="006A71E7">
        <w:rPr>
          <w:rFonts w:eastAsia="Calibri"/>
          <w:color w:val="000000"/>
        </w:rPr>
        <w:t xml:space="preserve"> za poljoprivredu, hranu i selo</w:t>
      </w:r>
      <w:r w:rsidR="006A71E7">
        <w:rPr>
          <w:rFonts w:eastAsia="Calibri"/>
          <w:color w:val="000000"/>
        </w:rPr>
        <w:t>.</w:t>
      </w:r>
    </w:p>
    <w:p w:rsidR="00D97A09" w:rsidRPr="00D97A09" w:rsidRDefault="00D97A09" w:rsidP="00D97A09">
      <w:pPr>
        <w:jc w:val="both"/>
        <w:rPr>
          <w:rFonts w:eastAsia="Calibri"/>
          <w:color w:val="000000"/>
        </w:rPr>
      </w:pPr>
    </w:p>
    <w:p w:rsidR="00D97A09" w:rsidRPr="00D97A09" w:rsidRDefault="00D97A09" w:rsidP="00D97A09">
      <w:pPr>
        <w:jc w:val="both"/>
        <w:rPr>
          <w:rFonts w:eastAsia="Calibri"/>
          <w:b/>
          <w:color w:val="000000"/>
        </w:rPr>
      </w:pPr>
      <w:r w:rsidRPr="00D97A09">
        <w:rPr>
          <w:rFonts w:eastAsia="Calibri"/>
          <w:b/>
          <w:color w:val="000000"/>
        </w:rPr>
        <w:t>Uz članak 2.</w:t>
      </w:r>
    </w:p>
    <w:p w:rsidR="00D97A09" w:rsidRPr="00D97A09" w:rsidRDefault="00D97A09" w:rsidP="00D97A09">
      <w:pPr>
        <w:jc w:val="both"/>
        <w:rPr>
          <w:rFonts w:eastAsia="Calibri"/>
          <w:color w:val="000000"/>
        </w:rPr>
      </w:pPr>
      <w:r w:rsidRPr="00D97A09">
        <w:rPr>
          <w:rFonts w:eastAsia="Calibri"/>
          <w:color w:val="000000"/>
        </w:rPr>
        <w:t>Ovim člankom propisuje se da se žalba protiv rješenja  poljoprivrednih inspektora izjavljuje Državnom inspektoratu i s tim u vezi potrebno je brisati odredbe</w:t>
      </w:r>
      <w:r w:rsidRPr="00D97A09">
        <w:rPr>
          <w:rFonts w:eastAsia="Calibri"/>
        </w:rPr>
        <w:t xml:space="preserve"> s</w:t>
      </w:r>
      <w:r w:rsidRPr="00D97A09">
        <w:rPr>
          <w:rFonts w:eastAsia="Calibri"/>
          <w:color w:val="000000"/>
        </w:rPr>
        <w:t>tavaka 7., 8. i 9. članka 9.</w:t>
      </w:r>
    </w:p>
    <w:p w:rsidR="00D97A09" w:rsidRPr="00D97A09" w:rsidRDefault="00D97A09" w:rsidP="00D97A09">
      <w:pPr>
        <w:jc w:val="both"/>
        <w:rPr>
          <w:rFonts w:eastAsia="Calibri"/>
          <w:color w:val="000000"/>
        </w:rPr>
      </w:pPr>
    </w:p>
    <w:p w:rsidR="00D97A09" w:rsidRPr="00D97A09" w:rsidRDefault="00D97A09" w:rsidP="00D97A09">
      <w:pPr>
        <w:jc w:val="both"/>
        <w:rPr>
          <w:rFonts w:eastAsia="Calibri"/>
          <w:b/>
          <w:color w:val="000000"/>
        </w:rPr>
      </w:pPr>
      <w:r w:rsidRPr="00D97A09">
        <w:rPr>
          <w:rFonts w:eastAsia="Calibri"/>
          <w:b/>
          <w:color w:val="000000"/>
        </w:rPr>
        <w:t>Uz članak 3.</w:t>
      </w:r>
    </w:p>
    <w:p w:rsidR="00D97A09" w:rsidRPr="00D97A09" w:rsidRDefault="00D97A09" w:rsidP="00D97A09">
      <w:pPr>
        <w:jc w:val="both"/>
        <w:rPr>
          <w:rFonts w:eastAsia="Calibri"/>
          <w:color w:val="000000"/>
        </w:rPr>
      </w:pPr>
      <w:r w:rsidRPr="00D97A09">
        <w:rPr>
          <w:rFonts w:eastAsia="Calibri"/>
          <w:color w:val="000000"/>
        </w:rPr>
        <w:t xml:space="preserve">Ovim člankom propisuje se </w:t>
      </w:r>
      <w:r w:rsidR="006A71E7">
        <w:rPr>
          <w:rFonts w:eastAsia="Calibri"/>
          <w:color w:val="000000"/>
        </w:rPr>
        <w:t>stupanje na snagu</w:t>
      </w:r>
      <w:r w:rsidRPr="00D97A09">
        <w:rPr>
          <w:rFonts w:eastAsia="Calibri"/>
          <w:color w:val="000000"/>
        </w:rPr>
        <w:t xml:space="preserve"> Zakona.</w:t>
      </w:r>
    </w:p>
    <w:p w:rsidR="00D97A09" w:rsidRDefault="00D97A09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Default="00B54752" w:rsidP="00D97A09"/>
    <w:p w:rsidR="00B54752" w:rsidRPr="00D97A09" w:rsidRDefault="00B54752" w:rsidP="00D97A09"/>
    <w:p w:rsidR="00D97A09" w:rsidRPr="00D97A09" w:rsidRDefault="00D97A09" w:rsidP="00D97A09"/>
    <w:p w:rsidR="00D97A09" w:rsidRPr="00D97A09" w:rsidRDefault="00D97A09" w:rsidP="00D97A09"/>
    <w:p w:rsidR="00D97A09" w:rsidRPr="00D97A09" w:rsidRDefault="00D97A09" w:rsidP="00D97A09"/>
    <w:p w:rsidR="00D97A09" w:rsidRPr="00D97A09" w:rsidRDefault="00B54752" w:rsidP="00B54752">
      <w:p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ODREDBE</w:t>
      </w:r>
      <w:r w:rsidR="00D97A09" w:rsidRPr="00D97A09">
        <w:rPr>
          <w:rFonts w:eastAsia="Calibri"/>
          <w:b/>
          <w:lang w:eastAsia="en-US"/>
        </w:rPr>
        <w:t xml:space="preserve"> VAŽEĆEG ZAKONA KOJE SE MIJENJAJU</w:t>
      </w:r>
    </w:p>
    <w:p w:rsidR="00D97A09" w:rsidRPr="00D97A09" w:rsidRDefault="00D97A09" w:rsidP="00D97A09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D97A09" w:rsidRPr="00D97A09" w:rsidRDefault="00D97A09" w:rsidP="00D97A09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jc w:val="center"/>
        <w:rPr>
          <w:rFonts w:eastAsia="Calibri"/>
          <w:i/>
          <w:lang w:eastAsia="en-US"/>
        </w:rPr>
      </w:pPr>
      <w:r w:rsidRPr="00D97A09">
        <w:rPr>
          <w:rFonts w:eastAsia="Calibri"/>
          <w:i/>
          <w:lang w:eastAsia="en-US"/>
        </w:rPr>
        <w:t>Stručne institucije</w:t>
      </w: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</w:p>
    <w:p w:rsidR="00D97A09" w:rsidRPr="00D97A09" w:rsidRDefault="00D97A09" w:rsidP="00D97A09">
      <w:pPr>
        <w:jc w:val="center"/>
        <w:rPr>
          <w:rFonts w:eastAsia="Calibri"/>
          <w:lang w:eastAsia="en-US"/>
        </w:rPr>
      </w:pPr>
      <w:r w:rsidRPr="00D97A09">
        <w:rPr>
          <w:rFonts w:eastAsia="Calibri"/>
          <w:lang w:eastAsia="en-US"/>
        </w:rPr>
        <w:t>Članak 5.</w:t>
      </w: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  <w:r w:rsidRPr="00D97A09">
        <w:rPr>
          <w:rFonts w:eastAsia="Calibri"/>
          <w:lang w:eastAsia="en-US"/>
        </w:rPr>
        <w:t xml:space="preserve">(1) Znanstvene i stručne poslove i zadatke za provedbu Uredbe (EZ) br. 1107/2009 i ovoga Zakona obavljaju sljedeće institucije: </w:t>
      </w: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  <w:r w:rsidRPr="00D97A09">
        <w:rPr>
          <w:rFonts w:eastAsia="Calibri"/>
          <w:lang w:eastAsia="en-US"/>
        </w:rPr>
        <w:t>- Hrvatski centar za poljoprivredu, hranu i selo – Zavod za zaštitu bilja,</w:t>
      </w: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  <w:r w:rsidRPr="00D97A09">
        <w:rPr>
          <w:rFonts w:eastAsia="Calibri"/>
          <w:lang w:eastAsia="en-US"/>
        </w:rPr>
        <w:t>- Institut za medicinska istraživanja i medicinu rada,</w:t>
      </w: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  <w:r w:rsidRPr="00D97A09">
        <w:rPr>
          <w:rFonts w:eastAsia="Calibri"/>
          <w:lang w:eastAsia="en-US"/>
        </w:rPr>
        <w:t>- Hrvatski šumarski institut.</w:t>
      </w: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  <w:r w:rsidRPr="00D97A09">
        <w:rPr>
          <w:rFonts w:eastAsia="Calibri"/>
          <w:lang w:eastAsia="en-US"/>
        </w:rPr>
        <w:t>(2) U slučaju potrebe ministar može ovlastiti i druge znanstvene i stručne institucije za provođenje znanstvenih i stručnih poslova i zadataka iz područja sredstava za zaštitu bilja i pomoćnih sredstava u svrhu provedbe Uredbe (EZ) br. 1107/2009 i ovoga Zakona.</w:t>
      </w: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</w:p>
    <w:p w:rsidR="00D97A09" w:rsidRPr="00D97A09" w:rsidRDefault="00D97A09" w:rsidP="00D97A09">
      <w:pPr>
        <w:jc w:val="both"/>
        <w:rPr>
          <w:rFonts w:eastAsia="Calibri"/>
          <w:lang w:eastAsia="en-US"/>
        </w:rPr>
      </w:pPr>
    </w:p>
    <w:p w:rsidR="00D97A09" w:rsidRPr="00D97A09" w:rsidRDefault="00D97A09" w:rsidP="00D97A09">
      <w:pPr>
        <w:jc w:val="center"/>
        <w:rPr>
          <w:i/>
          <w:iCs/>
        </w:rPr>
      </w:pPr>
      <w:r w:rsidRPr="00D97A09">
        <w:rPr>
          <w:i/>
          <w:iCs/>
        </w:rPr>
        <w:t>Inspekcijski nadzor</w:t>
      </w:r>
    </w:p>
    <w:p w:rsidR="00D97A09" w:rsidRPr="00D97A09" w:rsidRDefault="00D97A09" w:rsidP="00D97A09">
      <w:pPr>
        <w:jc w:val="center"/>
        <w:rPr>
          <w:i/>
          <w:iCs/>
        </w:rPr>
      </w:pPr>
    </w:p>
    <w:p w:rsidR="00D97A09" w:rsidRPr="00D97A09" w:rsidRDefault="00D97A09" w:rsidP="00D97A09">
      <w:pPr>
        <w:jc w:val="center"/>
      </w:pPr>
      <w:r w:rsidRPr="00D97A09">
        <w:t>Članak 9.</w:t>
      </w:r>
    </w:p>
    <w:p w:rsidR="00D97A09" w:rsidRPr="00D97A09" w:rsidRDefault="00D97A09" w:rsidP="00D97A09">
      <w:pPr>
        <w:jc w:val="center"/>
      </w:pPr>
    </w:p>
    <w:p w:rsidR="00D97A09" w:rsidRPr="00D97A09" w:rsidRDefault="00D97A09" w:rsidP="00D97A09">
      <w:pPr>
        <w:jc w:val="both"/>
      </w:pPr>
      <w:r w:rsidRPr="00D97A09">
        <w:t>(1) Inspekcijski nadzor nad provedbom Uredbe (EZ) br. 1107/2009 i ovoga Zakona obavlja poljoprivredna inspekcija sukladno propisima kojima je uređen djelokrug rada i ovlasti poljoprivredne inspekcije te nadzor nad sredstvima za zaštitu bilja.</w:t>
      </w:r>
    </w:p>
    <w:p w:rsidR="00D97A09" w:rsidRPr="00D97A09" w:rsidRDefault="00D97A09" w:rsidP="00D97A09">
      <w:pPr>
        <w:jc w:val="both"/>
      </w:pPr>
      <w:r w:rsidRPr="00D97A09">
        <w:t>(2) Sukladno članku 68. stavku 1. Uredbe (EZ) br. 1107/2009 poljoprivredna inspekcija izrađuje i dostavlja Europskoj komisiji izvještaj o provedenom nadzoru.</w:t>
      </w:r>
    </w:p>
    <w:p w:rsidR="00D97A09" w:rsidRPr="00D97A09" w:rsidRDefault="00D97A09" w:rsidP="00D97A09">
      <w:pPr>
        <w:jc w:val="both"/>
      </w:pPr>
      <w:r w:rsidRPr="00D97A09">
        <w:t>(3) Pored ovlaštenja navedenih u stavcima 1. i 2. ovoga članka poljoprivredna inspekcija ima na temelju ovoga Zakona i sljedeće ovlasti:</w:t>
      </w:r>
    </w:p>
    <w:p w:rsidR="00D97A09" w:rsidRPr="00D97A09" w:rsidRDefault="00D97A09" w:rsidP="00D97A09">
      <w:pPr>
        <w:jc w:val="both"/>
      </w:pPr>
      <w:r w:rsidRPr="00D97A09">
        <w:t>- zabraniti stavljanje na tržište i uporabu sredstva za zaštitu bilja i pomoćnog sredstva koje nije registrirano ili za koje nije izdana odgovarajuća dozvola u skladu s Uredbom (EZ) br. 1107/2009,</w:t>
      </w:r>
    </w:p>
    <w:p w:rsidR="00D97A09" w:rsidRPr="00D97A09" w:rsidRDefault="00D97A09" w:rsidP="00D97A09">
      <w:pPr>
        <w:jc w:val="both"/>
      </w:pPr>
      <w:r w:rsidRPr="00D97A09">
        <w:t>- zabraniti stavljanje na tržište i uporabu sredstva za zaštitu bilja i pomoćnog sredstva koje ne udovoljava uvjetima iz rješenja o registraciji ili dozvoli koje je izdano u skladu s Uredbom (EZ) br. 1107/2009,</w:t>
      </w:r>
    </w:p>
    <w:p w:rsidR="00D97A09" w:rsidRPr="00D97A09" w:rsidRDefault="00D97A09" w:rsidP="00D97A09">
      <w:pPr>
        <w:jc w:val="both"/>
      </w:pPr>
      <w:r w:rsidRPr="00D97A09">
        <w:t>- zabraniti stavljanje na tržište sredstva za zaštitu bilja i pomoćnog sredstva koje je pakirano na način da se zabunom može zamijeniti za hranu, piće ili hranu za životinje,</w:t>
      </w:r>
    </w:p>
    <w:p w:rsidR="00D97A09" w:rsidRPr="00D97A09" w:rsidRDefault="00D97A09" w:rsidP="00D97A09">
      <w:pPr>
        <w:jc w:val="both"/>
      </w:pPr>
      <w:r w:rsidRPr="00D97A09">
        <w:t>- zabraniti stavljanje na tržište sredstva za zaštitu bilja i pomoćnog sredstva koje nije ispravno označeno, pakirano i razvrstano,</w:t>
      </w:r>
    </w:p>
    <w:p w:rsidR="00D97A09" w:rsidRPr="00D97A09" w:rsidRDefault="00D97A09" w:rsidP="00D97A09">
      <w:pPr>
        <w:jc w:val="both"/>
      </w:pPr>
      <w:r w:rsidRPr="00D97A09">
        <w:t>- poduzeti odgovarajuće mjere ako utvrdi da sredstvo za zaštitu bilja nije pravilno primijenjeno u skladu s člankom 55. Uredbe (EZ) br. 1107/2009,</w:t>
      </w:r>
    </w:p>
    <w:p w:rsidR="00D97A09" w:rsidRPr="00D97A09" w:rsidRDefault="00D97A09" w:rsidP="00D97A09">
      <w:pPr>
        <w:jc w:val="both"/>
      </w:pPr>
      <w:r w:rsidRPr="00D97A09">
        <w:t>- poduzeti odgovarajuće mjere ako utvrdi da vlasnik registracije nije obavijestio o potencijalno štetnim i neprihvatljivim učincima u skladu s člankom 56. Uredbe (EZ) br. 1107/2009,</w:t>
      </w:r>
    </w:p>
    <w:p w:rsidR="00D97A09" w:rsidRPr="00D97A09" w:rsidRDefault="00D97A09" w:rsidP="00D97A09">
      <w:pPr>
        <w:jc w:val="both"/>
      </w:pPr>
      <w:r w:rsidRPr="00D97A09">
        <w:t>- provjeriti vođenje evidencije o stavljanju na tržište i uporabi sredstava za zaštitu bilja,</w:t>
      </w:r>
    </w:p>
    <w:p w:rsidR="00D97A09" w:rsidRPr="00D97A09" w:rsidRDefault="00D97A09" w:rsidP="00D97A09">
      <w:pPr>
        <w:jc w:val="both"/>
      </w:pPr>
      <w:r w:rsidRPr="00D97A09">
        <w:t>- poduzeti odgovarajuće mjere ako utvrdi nepravilno oglašavanje sredstava za zaštitu bilja,</w:t>
      </w:r>
    </w:p>
    <w:p w:rsidR="00D97A09" w:rsidRPr="00D97A09" w:rsidRDefault="00D97A09" w:rsidP="00D97A09">
      <w:pPr>
        <w:jc w:val="both"/>
      </w:pPr>
      <w:r w:rsidRPr="00D97A09">
        <w:lastRenderedPageBreak/>
        <w:t>- uzeti uzorke sredstava za zaštitu bilja u svrhu postregistracijskog nadzora registriranih sredstava za zaštitu bilja i sredstava za zaštitu bilja kojima je izdana dozvola za paralelnu trgovinu,</w:t>
      </w:r>
    </w:p>
    <w:p w:rsidR="00D97A09" w:rsidRPr="00D97A09" w:rsidRDefault="00D97A09" w:rsidP="00D97A09">
      <w:pPr>
        <w:jc w:val="both"/>
      </w:pPr>
      <w:r w:rsidRPr="00D97A09">
        <w:t>- uzeti uzorke bilja, biljnih proizvoda, hrane i hrane za životinje u svrhu utvrđivanja pravilne primjene sredstava za zaštitu bilja i ostataka pesticida,</w:t>
      </w:r>
    </w:p>
    <w:p w:rsidR="00D97A09" w:rsidRPr="00D97A09" w:rsidRDefault="00D97A09" w:rsidP="00D97A09">
      <w:pPr>
        <w:jc w:val="both"/>
      </w:pPr>
      <w:r w:rsidRPr="00D97A09">
        <w:t>- obavlja druge radnje i poduzima druge mjere potrebne za provedbu Uredbe (EZ) br. 1107/2009 i ovoga Zakona.</w:t>
      </w:r>
    </w:p>
    <w:p w:rsidR="00D97A09" w:rsidRPr="00D97A09" w:rsidRDefault="00D97A09" w:rsidP="00D97A09">
      <w:pPr>
        <w:autoSpaceDE w:val="0"/>
        <w:autoSpaceDN w:val="0"/>
        <w:adjustRightInd w:val="0"/>
        <w:contextualSpacing/>
        <w:jc w:val="both"/>
        <w:rPr>
          <w:lang w:val="sl-SI" w:eastAsia="sl-SI"/>
        </w:rPr>
      </w:pPr>
      <w:r w:rsidRPr="00D97A09">
        <w:rPr>
          <w:lang w:eastAsia="en-US"/>
        </w:rPr>
        <w:t>(4)</w:t>
      </w:r>
      <w:r w:rsidRPr="00D97A09">
        <w:rPr>
          <w:rFonts w:ascii="Calibri" w:hAnsi="Calibri"/>
          <w:sz w:val="22"/>
          <w:szCs w:val="22"/>
          <w:lang w:eastAsia="en-US"/>
        </w:rPr>
        <w:t xml:space="preserve"> </w:t>
      </w:r>
      <w:r w:rsidRPr="00D97A09">
        <w:rPr>
          <w:lang w:val="sl-SI" w:eastAsia="sl-SI"/>
        </w:rPr>
        <w:t>Mjere iz stavaka 1., 2. i 3. ovoga članka naređuju se pisanim rješenjem donesenim u upravnom postupku.</w:t>
      </w:r>
    </w:p>
    <w:p w:rsidR="00D97A09" w:rsidRPr="00D97A09" w:rsidRDefault="00D97A09" w:rsidP="00D97A09">
      <w:pPr>
        <w:autoSpaceDE w:val="0"/>
        <w:autoSpaceDN w:val="0"/>
        <w:adjustRightInd w:val="0"/>
        <w:contextualSpacing/>
        <w:jc w:val="both"/>
        <w:rPr>
          <w:lang w:val="sl-SI" w:eastAsia="sl-SI"/>
        </w:rPr>
      </w:pPr>
      <w:r w:rsidRPr="00D97A09">
        <w:rPr>
          <w:lang w:val="sl-SI" w:eastAsia="sl-SI"/>
        </w:rPr>
        <w:t>(5) Protiv rješenja iz stavka 4. ovoga članka može se u roku od 15 dana od zaprimanja rješenja izjaviti žalba Povjerenstvu za žalbe.</w:t>
      </w:r>
    </w:p>
    <w:p w:rsidR="00D97A09" w:rsidRPr="00D97A09" w:rsidRDefault="00D97A09" w:rsidP="00D97A09">
      <w:pPr>
        <w:autoSpaceDE w:val="0"/>
        <w:autoSpaceDN w:val="0"/>
        <w:adjustRightInd w:val="0"/>
        <w:contextualSpacing/>
        <w:jc w:val="both"/>
        <w:rPr>
          <w:lang w:val="sl-SI" w:eastAsia="sl-SI"/>
        </w:rPr>
      </w:pPr>
      <w:r w:rsidRPr="00D97A09">
        <w:rPr>
          <w:lang w:val="sl-SI" w:eastAsia="sl-SI"/>
        </w:rPr>
        <w:t>(6) Žalba protiv rješenja donesenih na temelju odredbi ovoga članka ne odgađa izvršenje rješenja.</w:t>
      </w:r>
    </w:p>
    <w:p w:rsidR="00D97A09" w:rsidRPr="00D97A09" w:rsidRDefault="00D97A09" w:rsidP="00D97A09">
      <w:pPr>
        <w:spacing w:line="0" w:lineRule="atLeast"/>
        <w:jc w:val="both"/>
        <w:rPr>
          <w:rFonts w:eastAsia="Calibri"/>
          <w:b/>
          <w:bCs/>
          <w:lang w:eastAsia="en-US"/>
        </w:rPr>
      </w:pPr>
      <w:r w:rsidRPr="00D97A09">
        <w:rPr>
          <w:rFonts w:eastAsia="Calibri"/>
          <w:lang w:val="sl-SI" w:eastAsia="en-US"/>
        </w:rPr>
        <w:t>(7) O žalbama na rješenja iz stavka 4.</w:t>
      </w:r>
      <w:r w:rsidRPr="00D97A09">
        <w:rPr>
          <w:rFonts w:eastAsia="Calibri"/>
          <w:lang w:eastAsia="en-US"/>
        </w:rPr>
        <w:t xml:space="preserve"> ovoga članka rješava posebno Povjerenstvo Ministarstva čije članove imenuje Vlada Republike Hrvatske.</w:t>
      </w:r>
    </w:p>
    <w:p w:rsidR="00D97A09" w:rsidRPr="00D97A09" w:rsidRDefault="00D97A09" w:rsidP="00D97A09">
      <w:pPr>
        <w:spacing w:line="0" w:lineRule="atLeast"/>
        <w:jc w:val="both"/>
        <w:rPr>
          <w:rFonts w:eastAsia="Calibri"/>
          <w:b/>
          <w:bCs/>
          <w:lang w:eastAsia="en-US"/>
        </w:rPr>
      </w:pPr>
      <w:r w:rsidRPr="00D97A09">
        <w:rPr>
          <w:rFonts w:eastAsia="Calibri"/>
          <w:bCs/>
          <w:lang w:eastAsia="en-US"/>
        </w:rPr>
        <w:t>(8)</w:t>
      </w:r>
      <w:r w:rsidRPr="00D97A09">
        <w:rPr>
          <w:rFonts w:eastAsia="Calibri"/>
          <w:b/>
          <w:bCs/>
          <w:lang w:eastAsia="en-US"/>
        </w:rPr>
        <w:t xml:space="preserve"> </w:t>
      </w:r>
      <w:r w:rsidRPr="00D97A09">
        <w:rPr>
          <w:rFonts w:eastAsia="Calibri"/>
          <w:lang w:eastAsia="en-US"/>
        </w:rPr>
        <w:t>Povjerenstvo iz stavka 7. ovoga članka čine tri člana od kojih su dva iz reda poljoprivrednih inspektora Ministarstva, a jedan član iz reda državnih službenika u Ministarstvu koji ima završen najmanje diplomski studij pravne struke.</w:t>
      </w:r>
    </w:p>
    <w:p w:rsidR="00D97A09" w:rsidRPr="00D97A09" w:rsidRDefault="00D97A09" w:rsidP="00D97A09">
      <w:pPr>
        <w:spacing w:line="0" w:lineRule="atLeast"/>
        <w:jc w:val="both"/>
        <w:rPr>
          <w:rFonts w:eastAsia="Calibri"/>
          <w:lang w:eastAsia="en-US"/>
        </w:rPr>
      </w:pPr>
      <w:r w:rsidRPr="00D97A09">
        <w:rPr>
          <w:rFonts w:eastAsia="Calibri"/>
          <w:lang w:eastAsia="en-US"/>
        </w:rPr>
        <w:t>(9) Povjerenstvo iz stavka 7. ovoga članka donosi Poslovnik o radu.</w:t>
      </w:r>
    </w:p>
    <w:p w:rsidR="00D97A09" w:rsidRPr="00D97A09" w:rsidRDefault="00D97A09" w:rsidP="00D97A09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</w:p>
    <w:p w:rsidR="00D97A09" w:rsidRPr="00D97A09" w:rsidRDefault="00D97A09" w:rsidP="00D97A09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D97A09" w:rsidRPr="00D97A09" w:rsidRDefault="00D97A09" w:rsidP="00D97A09">
      <w:pPr>
        <w:rPr>
          <w:color w:val="000000"/>
        </w:rPr>
      </w:pPr>
    </w:p>
    <w:p w:rsidR="00D97A09" w:rsidRPr="00D97A09" w:rsidRDefault="00D97A09" w:rsidP="00D97A09">
      <w:pPr>
        <w:rPr>
          <w:color w:val="000000"/>
        </w:rPr>
      </w:pPr>
    </w:p>
    <w:p w:rsidR="00D97A09" w:rsidRPr="00D97A09" w:rsidRDefault="00D97A09" w:rsidP="00D97A09">
      <w:pPr>
        <w:rPr>
          <w:color w:val="000000"/>
        </w:rPr>
      </w:pPr>
    </w:p>
    <w:bookmarkStart w:id="1" w:name="Naziv_primatelja"/>
    <w:p w:rsidR="00D97A09" w:rsidRPr="00D97A09" w:rsidRDefault="00D97A09" w:rsidP="00D97A09">
      <w:pPr>
        <w:ind w:left="3540"/>
        <w:jc w:val="center"/>
        <w:rPr>
          <w:color w:val="000000"/>
        </w:rPr>
      </w:pPr>
      <w:r w:rsidRPr="00D97A09"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D97A09">
        <w:rPr>
          <w:color w:val="000000"/>
        </w:rPr>
        <w:instrText xml:space="preserve"> FORMTEXT </w:instrText>
      </w:r>
      <w:r w:rsidR="00225289">
        <w:rPr>
          <w:color w:val="000000"/>
        </w:rPr>
      </w:r>
      <w:r w:rsidR="00225289">
        <w:rPr>
          <w:color w:val="000000"/>
        </w:rPr>
        <w:fldChar w:fldCharType="separate"/>
      </w:r>
      <w:r w:rsidRPr="00D97A09">
        <w:rPr>
          <w:color w:val="000000"/>
        </w:rPr>
        <w:fldChar w:fldCharType="end"/>
      </w:r>
      <w:bookmarkEnd w:id="1"/>
      <w:r w:rsidRPr="00D97A09">
        <w:rPr>
          <w:color w:val="000000"/>
        </w:rPr>
        <w:br/>
      </w:r>
      <w:bookmarkStart w:id="2" w:name="Adresa_primatelja"/>
      <w:r w:rsidRPr="00D97A09"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D97A09">
        <w:rPr>
          <w:color w:val="000000"/>
        </w:rPr>
        <w:instrText xml:space="preserve"> FORMTEXT </w:instrText>
      </w:r>
      <w:r w:rsidR="00225289">
        <w:rPr>
          <w:color w:val="000000"/>
        </w:rPr>
      </w:r>
      <w:r w:rsidR="00225289">
        <w:rPr>
          <w:color w:val="000000"/>
        </w:rPr>
        <w:fldChar w:fldCharType="separate"/>
      </w:r>
      <w:r w:rsidRPr="00D97A09">
        <w:rPr>
          <w:color w:val="000000"/>
        </w:rPr>
        <w:fldChar w:fldCharType="end"/>
      </w:r>
      <w:bookmarkEnd w:id="2"/>
      <w:r w:rsidRPr="00D97A09">
        <w:rPr>
          <w:color w:val="000000"/>
        </w:rPr>
        <w:br/>
      </w:r>
    </w:p>
    <w:p w:rsidR="00D97A09" w:rsidRPr="00CE78D1" w:rsidRDefault="00D97A09" w:rsidP="00CE78D1"/>
    <w:sectPr w:rsidR="00D97A09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89" w:rsidRDefault="00225289" w:rsidP="0011560A">
      <w:r>
        <w:separator/>
      </w:r>
    </w:p>
  </w:endnote>
  <w:endnote w:type="continuationSeparator" w:id="0">
    <w:p w:rsidR="00225289" w:rsidRDefault="0022528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89" w:rsidRDefault="00225289" w:rsidP="0011560A">
      <w:r>
        <w:separator/>
      </w:r>
    </w:p>
  </w:footnote>
  <w:footnote w:type="continuationSeparator" w:id="0">
    <w:p w:rsidR="00225289" w:rsidRDefault="0022528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6844"/>
      <w:docPartObj>
        <w:docPartGallery w:val="Page Numbers (Top of Page)"/>
        <w:docPartUnique/>
      </w:docPartObj>
    </w:sdtPr>
    <w:sdtEndPr/>
    <w:sdtContent>
      <w:p w:rsidR="00340E18" w:rsidRDefault="00340E1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E6">
          <w:rPr>
            <w:noProof/>
          </w:rPr>
          <w:t>1</w:t>
        </w:r>
        <w:r>
          <w:fldChar w:fldCharType="end"/>
        </w:r>
      </w:p>
    </w:sdtContent>
  </w:sdt>
  <w:p w:rsidR="00340E18" w:rsidRDefault="00340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269C"/>
    <w:multiLevelType w:val="hybridMultilevel"/>
    <w:tmpl w:val="EE34F5D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482E"/>
    <w:rsid w:val="000350D9"/>
    <w:rsid w:val="00057310"/>
    <w:rsid w:val="00063520"/>
    <w:rsid w:val="00086A6C"/>
    <w:rsid w:val="000A1D60"/>
    <w:rsid w:val="000A3A3B"/>
    <w:rsid w:val="000D1A50"/>
    <w:rsid w:val="000D79E6"/>
    <w:rsid w:val="001015C6"/>
    <w:rsid w:val="00110E6C"/>
    <w:rsid w:val="0011560A"/>
    <w:rsid w:val="00116411"/>
    <w:rsid w:val="00135F1A"/>
    <w:rsid w:val="00146B79"/>
    <w:rsid w:val="00147DE9"/>
    <w:rsid w:val="00170226"/>
    <w:rsid w:val="001741AA"/>
    <w:rsid w:val="001917B2"/>
    <w:rsid w:val="001A13E7"/>
    <w:rsid w:val="001A62EC"/>
    <w:rsid w:val="001B7A97"/>
    <w:rsid w:val="001E7218"/>
    <w:rsid w:val="002179F8"/>
    <w:rsid w:val="00220956"/>
    <w:rsid w:val="00225289"/>
    <w:rsid w:val="0023763F"/>
    <w:rsid w:val="0024460E"/>
    <w:rsid w:val="00246033"/>
    <w:rsid w:val="002542AB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04714"/>
    <w:rsid w:val="00306885"/>
    <w:rsid w:val="00323C77"/>
    <w:rsid w:val="00334B52"/>
    <w:rsid w:val="00336EE7"/>
    <w:rsid w:val="00340E18"/>
    <w:rsid w:val="0034351C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40D6D"/>
    <w:rsid w:val="00442367"/>
    <w:rsid w:val="00461188"/>
    <w:rsid w:val="004A776B"/>
    <w:rsid w:val="004C1375"/>
    <w:rsid w:val="004C33C4"/>
    <w:rsid w:val="004C5354"/>
    <w:rsid w:val="004E1300"/>
    <w:rsid w:val="004E4E34"/>
    <w:rsid w:val="00504248"/>
    <w:rsid w:val="005146D6"/>
    <w:rsid w:val="00532CC4"/>
    <w:rsid w:val="00532F6D"/>
    <w:rsid w:val="00535E09"/>
    <w:rsid w:val="00562C8C"/>
    <w:rsid w:val="0056365A"/>
    <w:rsid w:val="00571F6C"/>
    <w:rsid w:val="005861F2"/>
    <w:rsid w:val="00587D04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A71E7"/>
    <w:rsid w:val="006B7800"/>
    <w:rsid w:val="006C0CC3"/>
    <w:rsid w:val="006E14A9"/>
    <w:rsid w:val="006E611E"/>
    <w:rsid w:val="007010C7"/>
    <w:rsid w:val="00726165"/>
    <w:rsid w:val="00731AC4"/>
    <w:rsid w:val="00742A8B"/>
    <w:rsid w:val="007638D8"/>
    <w:rsid w:val="00776C24"/>
    <w:rsid w:val="00777CAA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0DA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40CB"/>
    <w:rsid w:val="00AC5B76"/>
    <w:rsid w:val="00AD2F06"/>
    <w:rsid w:val="00AD4D7C"/>
    <w:rsid w:val="00AE59DF"/>
    <w:rsid w:val="00B32578"/>
    <w:rsid w:val="00B42E00"/>
    <w:rsid w:val="00B462AB"/>
    <w:rsid w:val="00B54752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3F3F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7A09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20099"/>
    <w:rsid w:val="00F3220D"/>
    <w:rsid w:val="00F322B3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32229D-45AA-4608-B96B-4481C60D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8B7E-A5D8-463F-9046-D364897D76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60ED20-71D3-40C1-84E7-81F1AF3B5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099B1-A710-4C5E-97C9-014F4D40B3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19D276-6054-463D-A050-DB678B7A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17B5C2-1C11-4B58-9105-321A8515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1394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2019-02-27T14:04:00Z</dcterms:created>
  <dcterms:modified xsi:type="dcterms:W3CDTF">2019-02-27T14:04:00Z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