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73CE4">
        <w:t>4</w:t>
      </w:r>
      <w:r w:rsidR="001A66C5">
        <w:t xml:space="preserve">. </w:t>
      </w:r>
      <w:r w:rsidR="00C73CE4">
        <w:t>lip</w:t>
      </w:r>
      <w:r w:rsidR="001A66C5">
        <w:t>nja</w:t>
      </w:r>
      <w:r w:rsidRPr="003A2F05">
        <w:t xml:space="preserve"> 20</w:t>
      </w:r>
      <w:r w:rsidR="001A66C5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C73CE4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AC3D44" w:rsidP="00AC3D44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C73CE4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B6EDB" w:rsidP="000350D9">
            <w:pPr>
              <w:spacing w:line="360" w:lineRule="auto"/>
            </w:pPr>
            <w:r w:rsidRPr="004B6EDB">
              <w:t xml:space="preserve">Prijedlog odluke </w:t>
            </w:r>
            <w:r w:rsidR="00C73CE4" w:rsidRPr="00C73CE4">
              <w:rPr>
                <w:bCs/>
                <w:snapToGrid w:val="0"/>
                <w:lang w:eastAsia="en-US"/>
              </w:rPr>
              <w:t>o davanju suglasnosti na davanje u potkoncesiju dijela pomorskog dobra u luci posebne namjene - Brodogradilištu 3. Maj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73CE4" w:rsidRDefault="00C73CE4" w:rsidP="00CE78D1"/>
    <w:p w:rsidR="00C73CE4" w:rsidRDefault="00C73CE4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F31E0B" w:rsidRDefault="00F31E0B" w:rsidP="00CE78D1"/>
    <w:p w:rsidR="00F31E0B" w:rsidRDefault="00F31E0B" w:rsidP="00CE78D1"/>
    <w:p w:rsidR="00C73CE4" w:rsidRPr="00CE78D1" w:rsidRDefault="00C73CE4" w:rsidP="00C73CE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:rsidR="00C73CE4" w:rsidRPr="00C73CE4" w:rsidRDefault="00C73CE4" w:rsidP="00C73CE4">
      <w:pPr>
        <w:pStyle w:val="t-9-8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</w:rPr>
      </w:pPr>
      <w:r w:rsidRPr="00C73CE4">
        <w:rPr>
          <w:b/>
          <w:color w:val="000000"/>
        </w:rPr>
        <w:lastRenderedPageBreak/>
        <w:t>Prijedlog</w:t>
      </w:r>
    </w:p>
    <w:p w:rsidR="00C73CE4" w:rsidRDefault="00C73CE4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73CE4" w:rsidRDefault="00C73CE4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73CE4" w:rsidRDefault="00C73CE4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73CE4" w:rsidRDefault="00C73CE4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73CE4" w:rsidRDefault="00C73CE4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  <w:r w:rsidRPr="00C73CE4">
        <w:rPr>
          <w:color w:val="000000"/>
        </w:rPr>
        <w:t xml:space="preserve">Na temelju članka 35. Zakona o pomorskom dobru i morskim lukama </w:t>
      </w:r>
      <w:r w:rsidR="00C73CE4">
        <w:t>(Narodne novine</w:t>
      </w:r>
      <w:r w:rsidRPr="00C73CE4">
        <w:t>, br. 158/03, 100/04, 141/06, 38/09, 123/11 – Odluka Ustavnog suda Republike Hrvatske, 56/16 i 98/19)</w:t>
      </w:r>
      <w:r w:rsidRPr="00C73CE4">
        <w:rPr>
          <w:color w:val="000000"/>
        </w:rPr>
        <w:t xml:space="preserve">, a u vezi s člankom 68. stavkom 1. Zakona o koncesijama </w:t>
      </w:r>
      <w:r w:rsidR="00C73CE4">
        <w:t>(Narodne novine</w:t>
      </w:r>
      <w:r w:rsidRPr="00C73CE4">
        <w:t>, broj: 69/17)</w:t>
      </w:r>
      <w:r w:rsidRPr="00C73CE4">
        <w:rPr>
          <w:color w:val="000000"/>
        </w:rPr>
        <w:t>,</w:t>
      </w:r>
      <w:r w:rsidRPr="00C73CE4">
        <w:t xml:space="preserve"> člankom 31. stavkom 2. Zako</w:t>
      </w:r>
      <w:r w:rsidR="00C73CE4">
        <w:t>na o Vladi Republike Hrvatske (Narodne novine</w:t>
      </w:r>
      <w:r w:rsidRPr="00C73CE4">
        <w:t xml:space="preserve">, br. 150/11, 119/14, 93/16 i 116/18) </w:t>
      </w:r>
      <w:r w:rsidRPr="00C73CE4">
        <w:rPr>
          <w:color w:val="000000"/>
          <w:shd w:val="clear" w:color="auto" w:fill="FFFFFF"/>
        </w:rPr>
        <w:t>te člankom 6. Uredbe o postupku davanja</w:t>
      </w:r>
      <w:r w:rsidR="00C73CE4">
        <w:rPr>
          <w:color w:val="000000"/>
          <w:shd w:val="clear" w:color="auto" w:fill="FFFFFF"/>
        </w:rPr>
        <w:t xml:space="preserve"> koncesije na pomorskom dobru (Narodne novine</w:t>
      </w:r>
      <w:r w:rsidRPr="00C73CE4">
        <w:rPr>
          <w:color w:val="000000"/>
          <w:shd w:val="clear" w:color="auto" w:fill="FFFFFF"/>
        </w:rPr>
        <w:t>, br. 23/04, 101/04, 39/06, 63/08, 125/10, 102/11, 83/12 i 10/17),</w:t>
      </w:r>
      <w:r w:rsidRPr="00C73CE4">
        <w:rPr>
          <w:color w:val="000000"/>
        </w:rPr>
        <w:t xml:space="preserve"> Vlada Republike Hrvatske je na sjednici održa</w:t>
      </w:r>
      <w:r w:rsidR="007E2639">
        <w:rPr>
          <w:color w:val="000000"/>
        </w:rPr>
        <w:t>noj _______________ 2020.</w:t>
      </w:r>
      <w:r w:rsidRPr="00C73CE4">
        <w:rPr>
          <w:color w:val="000000"/>
        </w:rPr>
        <w:t xml:space="preserve"> donijela</w:t>
      </w: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Default="004B6EDB" w:rsidP="00C73CE4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73CE4">
        <w:rPr>
          <w:b/>
          <w:bCs/>
          <w:color w:val="000000"/>
        </w:rPr>
        <w:t>O</w:t>
      </w:r>
      <w:r w:rsidR="00C73CE4">
        <w:rPr>
          <w:b/>
          <w:bCs/>
          <w:color w:val="000000"/>
        </w:rPr>
        <w:t xml:space="preserve"> </w:t>
      </w:r>
      <w:r w:rsidRPr="00C73CE4">
        <w:rPr>
          <w:b/>
          <w:bCs/>
          <w:color w:val="000000"/>
        </w:rPr>
        <w:t>D</w:t>
      </w:r>
      <w:r w:rsidR="00C73CE4">
        <w:rPr>
          <w:b/>
          <w:bCs/>
          <w:color w:val="000000"/>
        </w:rPr>
        <w:t xml:space="preserve"> </w:t>
      </w:r>
      <w:r w:rsidRPr="00C73CE4">
        <w:rPr>
          <w:b/>
          <w:bCs/>
          <w:color w:val="000000"/>
        </w:rPr>
        <w:t>L</w:t>
      </w:r>
      <w:r w:rsidR="00C73CE4">
        <w:rPr>
          <w:b/>
          <w:bCs/>
          <w:color w:val="000000"/>
        </w:rPr>
        <w:t xml:space="preserve"> </w:t>
      </w:r>
      <w:r w:rsidRPr="00C73CE4">
        <w:rPr>
          <w:b/>
          <w:bCs/>
          <w:color w:val="000000"/>
        </w:rPr>
        <w:t>U</w:t>
      </w:r>
      <w:r w:rsidR="00C73CE4">
        <w:rPr>
          <w:b/>
          <w:bCs/>
          <w:color w:val="000000"/>
        </w:rPr>
        <w:t xml:space="preserve"> </w:t>
      </w:r>
      <w:r w:rsidRPr="00C73CE4">
        <w:rPr>
          <w:b/>
          <w:bCs/>
          <w:color w:val="000000"/>
        </w:rPr>
        <w:t>K</w:t>
      </w:r>
      <w:r w:rsidR="00C73CE4">
        <w:rPr>
          <w:b/>
          <w:bCs/>
          <w:color w:val="000000"/>
        </w:rPr>
        <w:t xml:space="preserve"> </w:t>
      </w:r>
      <w:r w:rsidRPr="00C73CE4">
        <w:rPr>
          <w:b/>
          <w:bCs/>
          <w:color w:val="000000"/>
        </w:rPr>
        <w:t>U</w:t>
      </w:r>
    </w:p>
    <w:p w:rsidR="00C73CE4" w:rsidRPr="00C73CE4" w:rsidRDefault="00C73CE4" w:rsidP="00C73CE4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C73CE4" w:rsidRDefault="00C73CE4" w:rsidP="00C73CE4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73CE4">
        <w:rPr>
          <w:b/>
          <w:bCs/>
          <w:color w:val="000000"/>
        </w:rPr>
        <w:t xml:space="preserve">o davanju suglasnosti na davanje u potkoncesiju dijela pomorskog dobra </w:t>
      </w:r>
    </w:p>
    <w:p w:rsidR="004B6EDB" w:rsidRDefault="00C73CE4" w:rsidP="00C73CE4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C73CE4">
        <w:rPr>
          <w:b/>
          <w:bCs/>
          <w:color w:val="000000"/>
        </w:rPr>
        <w:t>u luci posebne namjene - Brodogradilištu 3. Maj</w:t>
      </w:r>
    </w:p>
    <w:p w:rsidR="00C73CE4" w:rsidRPr="00C73CE4" w:rsidRDefault="00C73CE4" w:rsidP="00C73CE4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4B6EDB" w:rsidRPr="00C73CE4" w:rsidRDefault="004B6EDB" w:rsidP="00C73CE4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73CE4">
        <w:rPr>
          <w:b/>
          <w:color w:val="000000"/>
        </w:rPr>
        <w:t>I.</w:t>
      </w:r>
    </w:p>
    <w:p w:rsidR="00C73CE4" w:rsidRPr="00C73CE4" w:rsidRDefault="00C73CE4" w:rsidP="00C73CE4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  <w:r w:rsidRPr="00C73CE4">
        <w:rPr>
          <w:color w:val="000000"/>
        </w:rPr>
        <w:t xml:space="preserve">Daje se suglasnost na davanje u potkoncesiju dijela pomorskog dobra, luke posebne namjene – Brodogradilišta 3. maj, danog u koncesiju trgovačkom društvu </w:t>
      </w:r>
      <w:r w:rsidRPr="00C73CE4">
        <w:rPr>
          <w:color w:val="000000"/>
          <w:shd w:val="clear" w:color="auto" w:fill="FFFFFF"/>
        </w:rPr>
        <w:t> 3. MAJ BRODOGRADILIŠTE d.d.</w:t>
      </w:r>
      <w:r w:rsidRPr="00C73CE4">
        <w:rPr>
          <w:color w:val="000000"/>
        </w:rPr>
        <w:t>, temeljem Odluke o koncesiji pomorskog dobra u svrhu gospodarskog korištenja luke posebne namjene – Brodogradilišta 3. maj</w:t>
      </w:r>
      <w:r w:rsidR="00C73CE4">
        <w:rPr>
          <w:color w:val="000000"/>
        </w:rPr>
        <w:t xml:space="preserve"> (Narodne novine</w:t>
      </w:r>
      <w:r w:rsidRPr="00C73CE4">
        <w:rPr>
          <w:color w:val="000000"/>
        </w:rPr>
        <w:t xml:space="preserve">, br. 95/99, 19/11 i 61/14) i Ugovora o koncesiji pomorskog dobra u svrhu gospodarskog korištenja luke posebne namjene </w:t>
      </w:r>
      <w:r w:rsidR="00C73CE4">
        <w:rPr>
          <w:color w:val="000000"/>
        </w:rPr>
        <w:t>– Brodogradilišta 3</w:t>
      </w:r>
      <w:r w:rsidR="007E2639">
        <w:rPr>
          <w:color w:val="000000"/>
        </w:rPr>
        <w:t>.</w:t>
      </w:r>
      <w:r w:rsidR="00C73CE4">
        <w:rPr>
          <w:color w:val="000000"/>
        </w:rPr>
        <w:t xml:space="preserve"> maj od </w:t>
      </w:r>
      <w:r w:rsidR="007E2639">
        <w:rPr>
          <w:color w:val="000000"/>
        </w:rPr>
        <w:t>4. listopada 1999.</w:t>
      </w:r>
      <w:r w:rsidRPr="00C73CE4">
        <w:rPr>
          <w:color w:val="000000"/>
        </w:rPr>
        <w:t>, Dodatka broj 1 Ug</w:t>
      </w:r>
      <w:r w:rsidR="007E2639">
        <w:rPr>
          <w:color w:val="000000"/>
        </w:rPr>
        <w:t>ovoru od 11. veljače 2011.</w:t>
      </w:r>
      <w:r w:rsidR="00014B6C" w:rsidRPr="00C73CE4">
        <w:rPr>
          <w:color w:val="000000"/>
        </w:rPr>
        <w:t xml:space="preserve"> i Dodatka broj 2 Ugovoru od 7. kolovoza</w:t>
      </w:r>
      <w:r w:rsidR="007E2639">
        <w:rPr>
          <w:color w:val="000000"/>
        </w:rPr>
        <w:t xml:space="preserve"> 2014.</w:t>
      </w:r>
      <w:r w:rsidRPr="00C73CE4">
        <w:rPr>
          <w:color w:val="000000"/>
        </w:rPr>
        <w:t>, trgovačkom društvu MKM YACHTS d.o.o., pod istim uvjetima pod kojima je dana koncesija, a na rok od 10 godina.</w:t>
      </w: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Pr="00C73CE4" w:rsidRDefault="004B6EDB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73CE4">
        <w:rPr>
          <w:b/>
          <w:color w:val="000000"/>
        </w:rPr>
        <w:t>II.</w:t>
      </w:r>
    </w:p>
    <w:p w:rsidR="004B6EDB" w:rsidRPr="00C73CE4" w:rsidRDefault="004B6EDB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  <w:r w:rsidRPr="00C73CE4">
        <w:rPr>
          <w:color w:val="000000"/>
        </w:rPr>
        <w:t>Na temelju ove Odluke trgovačko društvo 3. MAJ BRODOGRADILIŠTE d.d., kao Ovlaštenik koncesije i trgovačko društvo MKM YACHTS d.o.o., dužni su u roku 30 dana od dana objave ove Odluke, sklopiti ugovor o potkoncesiji i dostaviti ga Ministarstvu mora, prometa i infrastrukture, na znanje.</w:t>
      </w: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Pr="00C73CE4" w:rsidRDefault="004B6EDB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73CE4">
        <w:rPr>
          <w:b/>
          <w:color w:val="000000"/>
        </w:rPr>
        <w:t>III.</w:t>
      </w:r>
    </w:p>
    <w:p w:rsidR="004B6EDB" w:rsidRPr="00C73CE4" w:rsidRDefault="004B6EDB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  <w:r w:rsidRPr="00C73CE4">
        <w:rPr>
          <w:color w:val="000000"/>
        </w:rPr>
        <w:t>Područje koje se daje u potkoncesiju obuhvaća kopneni i morski dio pomorskog dobra površine 21</w:t>
      </w:r>
      <w:r w:rsidR="00C73CE4">
        <w:rPr>
          <w:color w:val="000000"/>
        </w:rPr>
        <w:t>.</w:t>
      </w:r>
      <w:r w:rsidRPr="00C73CE4">
        <w:rPr>
          <w:color w:val="000000"/>
        </w:rPr>
        <w:t>493 m², a sve kako je prikazano na grafičkoj podlozi koja čini Prilog I. ove Odluke i ne objavljuje se u Narodnim novinama.</w:t>
      </w: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Pr="00C73CE4" w:rsidRDefault="004B6EDB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73CE4">
        <w:rPr>
          <w:b/>
          <w:color w:val="000000"/>
        </w:rPr>
        <w:t>IV.</w:t>
      </w:r>
    </w:p>
    <w:p w:rsidR="004B6EDB" w:rsidRPr="00C73CE4" w:rsidRDefault="004B6EDB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  <w:r w:rsidRPr="00C73CE4">
        <w:rPr>
          <w:color w:val="000000"/>
        </w:rPr>
        <w:t>Ukoliko se u roku i na način određen u točkama I., II. i III. ove Odluke, ne sklopi ugovor o potkoncesiji, ova Odluka prestaje važiti.</w:t>
      </w: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46B56" w:rsidRPr="00C73CE4" w:rsidRDefault="00446B56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B6EDB" w:rsidRPr="00C73CE4" w:rsidRDefault="004B6EDB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C73CE4">
        <w:rPr>
          <w:b/>
          <w:color w:val="000000"/>
        </w:rPr>
        <w:lastRenderedPageBreak/>
        <w:t>V.</w:t>
      </w:r>
    </w:p>
    <w:p w:rsidR="004B6EDB" w:rsidRPr="00C73CE4" w:rsidRDefault="004B6EDB" w:rsidP="00C73CE4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B6EDB" w:rsidRPr="00C73CE4" w:rsidRDefault="004B6EDB" w:rsidP="00C73CE4">
      <w:pPr>
        <w:pStyle w:val="t-9-8"/>
        <w:shd w:val="clear" w:color="auto" w:fill="FFFFFF"/>
        <w:spacing w:before="0" w:beforeAutospacing="0" w:after="0" w:afterAutospacing="0"/>
        <w:ind w:firstLine="1416"/>
        <w:jc w:val="both"/>
        <w:textAlignment w:val="baseline"/>
        <w:rPr>
          <w:color w:val="000000"/>
        </w:rPr>
      </w:pPr>
      <w:r w:rsidRPr="00C73CE4">
        <w:rPr>
          <w:color w:val="000000"/>
        </w:rPr>
        <w:t>Ova Odluka stupa na snagu dano</w:t>
      </w:r>
      <w:r w:rsidR="00C73CE4">
        <w:rPr>
          <w:color w:val="000000"/>
        </w:rPr>
        <w:t>m donošenja, a objavit će se u Narodnim novinama</w:t>
      </w:r>
      <w:r w:rsidRPr="00C73CE4">
        <w:rPr>
          <w:color w:val="000000"/>
        </w:rPr>
        <w:t>.</w:t>
      </w:r>
    </w:p>
    <w:p w:rsidR="004B6EDB" w:rsidRPr="00C73CE4" w:rsidRDefault="004B6EDB" w:rsidP="00C73CE4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Default="004B6EDB" w:rsidP="00C73CE4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73CE4" w:rsidRDefault="00C73CE4" w:rsidP="00C73CE4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73CE4" w:rsidRPr="00C73CE4" w:rsidRDefault="00C73CE4" w:rsidP="00C73CE4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Pr="00C73CE4" w:rsidRDefault="004B6EDB" w:rsidP="00C73CE4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73CE4">
        <w:rPr>
          <w:color w:val="000000"/>
        </w:rPr>
        <w:t xml:space="preserve">KLASA: </w:t>
      </w:r>
    </w:p>
    <w:p w:rsidR="004B6EDB" w:rsidRDefault="004B6EDB" w:rsidP="00C73CE4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73CE4">
        <w:rPr>
          <w:color w:val="000000"/>
        </w:rPr>
        <w:t xml:space="preserve">URBROJ: </w:t>
      </w:r>
    </w:p>
    <w:p w:rsidR="00C73CE4" w:rsidRPr="00C73CE4" w:rsidRDefault="00C73CE4" w:rsidP="00C73CE4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B6EDB" w:rsidRPr="00C73CE4" w:rsidRDefault="004B6EDB" w:rsidP="00C73CE4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73CE4">
        <w:rPr>
          <w:color w:val="000000"/>
        </w:rPr>
        <w:t xml:space="preserve">Zagreb, </w:t>
      </w:r>
    </w:p>
    <w:p w:rsidR="00C73CE4" w:rsidRDefault="00C73CE4" w:rsidP="00C73CE4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b/>
          <w:color w:val="000000"/>
        </w:rPr>
      </w:pPr>
    </w:p>
    <w:p w:rsidR="00C73CE4" w:rsidRDefault="00C73CE4" w:rsidP="00C73CE4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b/>
          <w:color w:val="000000"/>
        </w:rPr>
      </w:pPr>
    </w:p>
    <w:p w:rsidR="004B6EDB" w:rsidRPr="00C73CE4" w:rsidRDefault="00C73CE4" w:rsidP="00C73CE4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color w:val="000000"/>
        </w:rPr>
      </w:pPr>
      <w:r w:rsidRPr="00C73CE4">
        <w:rPr>
          <w:color w:val="000000"/>
        </w:rPr>
        <w:t>PREDSJEDNIK</w:t>
      </w:r>
    </w:p>
    <w:p w:rsidR="004B6EDB" w:rsidRPr="00C73CE4" w:rsidRDefault="004B6EDB" w:rsidP="00C73CE4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color w:val="000000"/>
        </w:rPr>
      </w:pPr>
    </w:p>
    <w:p w:rsidR="00C73CE4" w:rsidRPr="00C73CE4" w:rsidRDefault="00C73CE4" w:rsidP="00C73CE4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color w:val="000000"/>
        </w:rPr>
      </w:pPr>
    </w:p>
    <w:p w:rsidR="004B6EDB" w:rsidRPr="00C73CE4" w:rsidRDefault="00C73CE4" w:rsidP="00C73CE4">
      <w:pPr>
        <w:pStyle w:val="t-9-8-potpis"/>
        <w:shd w:val="clear" w:color="auto" w:fill="FFFFFF"/>
        <w:spacing w:before="0" w:beforeAutospacing="0" w:after="0" w:afterAutospacing="0"/>
        <w:ind w:left="6464"/>
        <w:jc w:val="center"/>
        <w:textAlignment w:val="baseline"/>
        <w:rPr>
          <w:color w:val="000000"/>
        </w:rPr>
      </w:pPr>
      <w:r w:rsidRPr="00C73CE4">
        <w:rPr>
          <w:color w:val="000000"/>
        </w:rPr>
        <w:t xml:space="preserve">mr. sc. </w:t>
      </w:r>
      <w:r w:rsidR="004B6EDB" w:rsidRPr="00C73CE4">
        <w:rPr>
          <w:color w:val="000000"/>
        </w:rPr>
        <w:t>Andrej Plenković</w:t>
      </w:r>
    </w:p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/>
    <w:p w:rsidR="004B6EDB" w:rsidRDefault="004B6EDB" w:rsidP="00C73CE4"/>
    <w:p w:rsidR="0030155F" w:rsidRDefault="0030155F" w:rsidP="00C73CE4"/>
    <w:p w:rsidR="0030155F" w:rsidRPr="00C73CE4" w:rsidRDefault="0030155F" w:rsidP="00C73CE4"/>
    <w:p w:rsidR="004B6EDB" w:rsidRPr="00C73CE4" w:rsidRDefault="004B6EDB" w:rsidP="00C73CE4"/>
    <w:p w:rsidR="004B6EDB" w:rsidRPr="00C73CE4" w:rsidRDefault="004B6EDB" w:rsidP="00C73CE4"/>
    <w:p w:rsidR="004B6EDB" w:rsidRPr="00C73CE4" w:rsidRDefault="004B6EDB" w:rsidP="00C73CE4">
      <w:pPr>
        <w:jc w:val="center"/>
        <w:rPr>
          <w:b/>
        </w:rPr>
      </w:pPr>
      <w:r w:rsidRPr="00C73CE4">
        <w:rPr>
          <w:b/>
        </w:rPr>
        <w:lastRenderedPageBreak/>
        <w:t>OBRAZLOŽENJE</w:t>
      </w:r>
    </w:p>
    <w:p w:rsidR="004B6EDB" w:rsidRPr="00C73CE4" w:rsidRDefault="004B6EDB" w:rsidP="00C73CE4">
      <w:pPr>
        <w:jc w:val="center"/>
        <w:rPr>
          <w:b/>
        </w:rPr>
      </w:pPr>
    </w:p>
    <w:p w:rsidR="004B6EDB" w:rsidRPr="00C73CE4" w:rsidRDefault="004B6EDB" w:rsidP="00C73CE4">
      <w:pPr>
        <w:jc w:val="both"/>
      </w:pPr>
      <w:r w:rsidRPr="00C73CE4">
        <w:t>Sukladno članku 35. Zakona o pomorskom dobru i morskim lukama koncesija se može dati dijelom u potkoncesiju u istom opsegu i pod istim uvjetima pod kojima je i dana, uz suglasnost davatelja koncesije. Člankom 6. Uredbe o postupku davanja koncesije na pomorskom dobru propisano je kako ovlaštenik koncesije može podnijeti  davatelju koncesije pisani obrazloženi prijedlog za davanje dijela koncesije u potkoncesiju pravnoj osobi ili fizičkoj osobi registriranoj za obavljanje obrta, ukoliko iz organizacijsko-tehnoloških, financijskih ili drugih opravdanih razloga više nije u mogućnosti u cijelosti koristiti koncesiju i izvršavati obveze i prava iz ugovora o koncesiji, odnosno ako smatra da bi obavljanje djelatnosti za koju je dobio koncesiju bilo učinkovitije davanjem dijela u potkoncesiju. Na sadržaj prijedloga za davanje dijela koncesije u potkoncesiju smisleno se primjenjuju Uredbe koje se odnose na prijedlog za prijenos koncesije</w:t>
      </w:r>
      <w:r w:rsidR="008C38CB" w:rsidRPr="00C73CE4">
        <w:t>, i</w:t>
      </w:r>
      <w:r w:rsidRPr="00C73CE4">
        <w:t xml:space="preserve">z čega slijedi kako </w:t>
      </w:r>
      <w:r w:rsidR="008C38CB" w:rsidRPr="00C73CE4">
        <w:t>u</w:t>
      </w:r>
      <w:r w:rsidRPr="00C73CE4">
        <w:t xml:space="preserve"> prij</w:t>
      </w:r>
      <w:r w:rsidR="008C38CB" w:rsidRPr="00C73CE4">
        <w:t>edlogu mora biti naveden razlog</w:t>
      </w:r>
      <w:r w:rsidRPr="00C73CE4">
        <w:t xml:space="preserve"> da se koncesija prenese upravo na tu osobu, mora biti priložena pisana izjava osobe na koju bi se prenijela koncesija, ovjerena kod javnog bilježnika, kojom ona pristaje na prijenos, kao i svi dokazi iz članka 17. stavka 3. Zakona, koji se odnose na tu osobu, radi ocjene da li ta osoba udovoljava uvjetima potrebnim za davanje koncesije.</w:t>
      </w:r>
    </w:p>
    <w:p w:rsidR="004B6EDB" w:rsidRPr="00C73CE4" w:rsidRDefault="004B6EDB" w:rsidP="00C73CE4">
      <w:pPr>
        <w:jc w:val="both"/>
      </w:pPr>
    </w:p>
    <w:p w:rsidR="004B6EDB" w:rsidRPr="00C73CE4" w:rsidRDefault="004B6EDB" w:rsidP="00C73CE4">
      <w:pPr>
        <w:jc w:val="both"/>
        <w:rPr>
          <w:color w:val="000000"/>
          <w:shd w:val="clear" w:color="auto" w:fill="FFFFFF"/>
        </w:rPr>
      </w:pPr>
      <w:r w:rsidRPr="00C73CE4">
        <w:t xml:space="preserve">Trgovačko društvo </w:t>
      </w:r>
      <w:r w:rsidRPr="00C73CE4">
        <w:rPr>
          <w:color w:val="000000"/>
          <w:shd w:val="clear" w:color="auto" w:fill="FFFFFF"/>
        </w:rPr>
        <w:t xml:space="preserve">3. MAJ BRODOGRADILIŠTE d.d., ovlaštenik </w:t>
      </w:r>
      <w:r w:rsidR="00F935BB" w:rsidRPr="00C73CE4">
        <w:rPr>
          <w:color w:val="000000"/>
          <w:shd w:val="clear" w:color="auto" w:fill="FFFFFF"/>
        </w:rPr>
        <w:t xml:space="preserve"> je </w:t>
      </w:r>
      <w:r w:rsidRPr="00C73CE4">
        <w:rPr>
          <w:color w:val="000000"/>
          <w:shd w:val="clear" w:color="auto" w:fill="FFFFFF"/>
        </w:rPr>
        <w:t>koncesije u svrhu gospodarskog korištenja luke posebn</w:t>
      </w:r>
      <w:r w:rsidR="00F935BB" w:rsidRPr="00C73CE4">
        <w:rPr>
          <w:color w:val="000000"/>
          <w:shd w:val="clear" w:color="auto" w:fill="FFFFFF"/>
        </w:rPr>
        <w:t>e namjene – Brodogradilišta 3. Maj na rok od 32 godine</w:t>
      </w:r>
      <w:r w:rsidR="002D001B" w:rsidRPr="00C73CE4">
        <w:rPr>
          <w:color w:val="000000"/>
          <w:shd w:val="clear" w:color="auto" w:fill="FFFFFF"/>
        </w:rPr>
        <w:t>, koja ističe 19. rujna 2031. godine</w:t>
      </w:r>
      <w:r w:rsidR="00F935BB" w:rsidRPr="00C73CE4">
        <w:rPr>
          <w:color w:val="000000"/>
          <w:shd w:val="clear" w:color="auto" w:fill="FFFFFF"/>
        </w:rPr>
        <w:t>. Područje koje je dano u koncesiju iznosi 303.649 m² kopnenog dijela i 209.165 m² akvatorija. Koncesionar je podnio</w:t>
      </w:r>
      <w:r w:rsidRPr="00C73CE4">
        <w:rPr>
          <w:color w:val="000000"/>
          <w:shd w:val="clear" w:color="auto" w:fill="FFFFFF"/>
        </w:rPr>
        <w:t xml:space="preserve"> zahtjev za davanjem suglasnosti na davanje dijela koncesije u potkoncesiju trgovačkom društvu MKM YACHTS d.o.o.</w:t>
      </w:r>
      <w:r w:rsidR="002D001B" w:rsidRPr="00C73CE4">
        <w:rPr>
          <w:color w:val="000000"/>
          <w:shd w:val="clear" w:color="auto" w:fill="FFFFFF"/>
        </w:rPr>
        <w:t xml:space="preserve">. Zahtjev je predan s dokumentacijom kojom se dokazuje ispunjenje uvjeta za potkoncesionara, a uvjeti pod kojima koncesionar predlaže dati dio pomorskog dobra u potkoncesiju isti su kao i za koncesiju – stalni dio iznosi 3 kune po metru kvadratnom zauzete površine, a promjenjivi dio koncesijske naknade iznosi 1% ukupnog godišnje prihoda brodogradilišta, sukladno Uredbi o postupku davanja koncesije na pomorskom dobru. </w:t>
      </w:r>
      <w:r w:rsidR="00014B6C" w:rsidRPr="00C73CE4">
        <w:rPr>
          <w:color w:val="000000"/>
          <w:shd w:val="clear" w:color="auto" w:fill="FFFFFF"/>
        </w:rPr>
        <w:t xml:space="preserve"> Prihod od potkoncesije uračunava se u prihod koncesionara, na temelju kojeg se obračunava promijenjivi dio koncesijske naknade. </w:t>
      </w:r>
      <w:r w:rsidR="002D001B" w:rsidRPr="00C73CE4">
        <w:rPr>
          <w:color w:val="000000"/>
          <w:shd w:val="clear" w:color="auto" w:fill="FFFFFF"/>
        </w:rPr>
        <w:t xml:space="preserve">Područje koje se daje u potkoncesiju iznosi 21.493 metra kvadratna zauzete površine i daje se na rok od 10 godina, a </w:t>
      </w:r>
      <w:r w:rsidRPr="00C73CE4">
        <w:rPr>
          <w:color w:val="000000"/>
          <w:shd w:val="clear" w:color="auto" w:fill="FFFFFF"/>
        </w:rPr>
        <w:t>u cilju povećanja učinkovitosti u obavljanju koncesijske djelatnosti kroz popunjavan</w:t>
      </w:r>
      <w:r w:rsidR="008C38CB" w:rsidRPr="00C73CE4">
        <w:rPr>
          <w:color w:val="000000"/>
          <w:shd w:val="clear" w:color="auto" w:fill="FFFFFF"/>
        </w:rPr>
        <w:t>je knjige narudžbi društva s na</w:t>
      </w:r>
      <w:r w:rsidRPr="00C73CE4">
        <w:rPr>
          <w:color w:val="000000"/>
          <w:shd w:val="clear" w:color="auto" w:fill="FFFFFF"/>
        </w:rPr>
        <w:t>j</w:t>
      </w:r>
      <w:r w:rsidR="008C38CB" w:rsidRPr="00C73CE4">
        <w:rPr>
          <w:color w:val="000000"/>
          <w:shd w:val="clear" w:color="auto" w:fill="FFFFFF"/>
        </w:rPr>
        <w:t>manje</w:t>
      </w:r>
      <w:r w:rsidRPr="00C73CE4">
        <w:rPr>
          <w:color w:val="000000"/>
          <w:shd w:val="clear" w:color="auto" w:fill="FFFFFF"/>
        </w:rPr>
        <w:t xml:space="preserve"> 5 visokovrijednih novogradnji, otvaranje mogućnosti da djelatnost opremanja i unutarnjeg uređenja putničkih brodova na području brodogradilišta obavlja, pored ovlaštenika koncesije, trgovačko društvo koje posjeduje iskustvo te financijske i organizacijske sposobnosti u sektoru luksuznih putničkih brodova za egzotična krstarenja te u cilju otvaranja novih tržišta luksuznih putničkih brodova.</w:t>
      </w:r>
    </w:p>
    <w:p w:rsidR="004B6EDB" w:rsidRPr="00C73CE4" w:rsidRDefault="004B6EDB" w:rsidP="00C73CE4">
      <w:pPr>
        <w:jc w:val="both"/>
        <w:rPr>
          <w:color w:val="000000"/>
          <w:shd w:val="clear" w:color="auto" w:fill="FFFFFF"/>
        </w:rPr>
      </w:pPr>
    </w:p>
    <w:p w:rsidR="002D001B" w:rsidRPr="00C73CE4" w:rsidRDefault="002D001B" w:rsidP="00C73CE4">
      <w:pPr>
        <w:jc w:val="both"/>
        <w:rPr>
          <w:color w:val="000000"/>
          <w:shd w:val="clear" w:color="auto" w:fill="FFFFFF"/>
        </w:rPr>
      </w:pPr>
      <w:r w:rsidRPr="00C73CE4">
        <w:rPr>
          <w:color w:val="000000"/>
          <w:shd w:val="clear" w:color="auto" w:fill="FFFFFF"/>
        </w:rPr>
        <w:t>Ovlaštenik koncesije ima pravo samostalno odabrati trgovačko društvo s kojim želi sklopiti ugovor o potkoncesiji. Za isto nije potrebno raspisivati javni natječaj. Međutim, potrebna je suglasnost davatelja koncesije. Davatelj koncesije provjerava ispunjava li društvo – izabrani potkoncesionar uvjete kojima mora udovoljavati koncesionar te, ako su ispunjeni, odlučuje o davanju suglasnosti.</w:t>
      </w:r>
    </w:p>
    <w:p w:rsidR="002D001B" w:rsidRPr="00C73CE4" w:rsidRDefault="002D001B" w:rsidP="00C73CE4">
      <w:pPr>
        <w:jc w:val="both"/>
        <w:rPr>
          <w:color w:val="000000"/>
          <w:shd w:val="clear" w:color="auto" w:fill="FFFFFF"/>
        </w:rPr>
      </w:pPr>
    </w:p>
    <w:p w:rsidR="00F935BB" w:rsidRPr="00C73CE4" w:rsidRDefault="009A7187" w:rsidP="00C73CE4">
      <w:pPr>
        <w:jc w:val="both"/>
        <w:rPr>
          <w:color w:val="000000"/>
          <w:shd w:val="clear" w:color="auto" w:fill="FFFFFF"/>
        </w:rPr>
      </w:pPr>
      <w:r w:rsidRPr="00C73CE4">
        <w:rPr>
          <w:color w:val="000000"/>
          <w:shd w:val="clear" w:color="auto" w:fill="FFFFFF"/>
        </w:rPr>
        <w:t>Trgovačko društvo MKM YACHTS</w:t>
      </w:r>
      <w:r w:rsidR="004B6EDB" w:rsidRPr="00C73CE4">
        <w:rPr>
          <w:color w:val="000000"/>
          <w:shd w:val="clear" w:color="auto" w:fill="FFFFFF"/>
        </w:rPr>
        <w:t xml:space="preserve"> d.o.o. je novoosnovano društvo sa sjedištem u Republici Hrvatskoj u neizravnom vlasništvu osnivača i vlasnika Scenic Grupe, gospodina Glena Moroneya. Scenic Grupa je jedan od vodećih svjetskih putničkih brodara specijaliziranih za luksuzna i egzotična krstarenja, a jedno od društava u sastavu iste, društvo PEC Limited, je od društva Uljanik d.d. u stečaju naručilo putnički brod „Scenic Eclipse“, koji se pokazao kvalitetnim i hvaljenim hrvatskim proizvodom, stoga je Scenic Grupa zainteresirana izgraditi </w:t>
      </w:r>
      <w:r w:rsidR="004B6EDB" w:rsidRPr="00C73CE4">
        <w:rPr>
          <w:color w:val="000000"/>
          <w:shd w:val="clear" w:color="auto" w:fill="FFFFFF"/>
        </w:rPr>
        <w:lastRenderedPageBreak/>
        <w:t xml:space="preserve">seriju brodova iste </w:t>
      </w:r>
      <w:r w:rsidR="00363DEF" w:rsidRPr="00C73CE4">
        <w:rPr>
          <w:color w:val="000000"/>
          <w:shd w:val="clear" w:color="auto" w:fill="FFFFFF"/>
        </w:rPr>
        <w:t>namjene u Brodogradilištu 3 maj</w:t>
      </w:r>
      <w:r w:rsidRPr="00C73CE4">
        <w:rPr>
          <w:color w:val="000000"/>
          <w:shd w:val="clear" w:color="auto" w:fill="FFFFFF"/>
        </w:rPr>
        <w:t>, a rok realizacije ukupnih ulaganja do kraja 2021. godine iznosit će 3.030.000, EUR.</w:t>
      </w:r>
      <w:r w:rsidR="00F935BB" w:rsidRPr="00C73CE4">
        <w:t xml:space="preserve"> </w:t>
      </w:r>
    </w:p>
    <w:p w:rsidR="004B6EDB" w:rsidRPr="00C73CE4" w:rsidRDefault="004B6EDB" w:rsidP="00C73CE4">
      <w:pPr>
        <w:jc w:val="both"/>
        <w:rPr>
          <w:color w:val="000000"/>
          <w:shd w:val="clear" w:color="auto" w:fill="FFFFFF"/>
        </w:rPr>
      </w:pPr>
    </w:p>
    <w:p w:rsidR="004B6EDB" w:rsidRPr="00C73CE4" w:rsidRDefault="004B6EDB" w:rsidP="00C73CE4">
      <w:pPr>
        <w:jc w:val="both"/>
        <w:rPr>
          <w:color w:val="000000"/>
          <w:shd w:val="clear" w:color="auto" w:fill="FFFFFF"/>
        </w:rPr>
      </w:pPr>
    </w:p>
    <w:p w:rsidR="004B6EDB" w:rsidRPr="00C73CE4" w:rsidRDefault="004B6EDB" w:rsidP="00C73CE4">
      <w:pPr>
        <w:jc w:val="both"/>
      </w:pPr>
      <w:r w:rsidRPr="00C73CE4">
        <w:rPr>
          <w:color w:val="000000"/>
          <w:shd w:val="clear" w:color="auto" w:fill="FFFFFF"/>
        </w:rPr>
        <w:t>Mišljenje je Ministarstva mora, prometa i infrastrukture kako bi davanje suglasnosti na potkoncesiju osiguralo učinkovitije obavljanje djelatnosti za je koncesija dana te doprinijelo revitalizaciji brodogradnje u Hrvatskoj, stoga ocjenjuje zahtjev opravdanim.</w:t>
      </w:r>
    </w:p>
    <w:p w:rsidR="00F31E0B" w:rsidRPr="00C73CE4" w:rsidRDefault="00F31E0B" w:rsidP="00C73CE4"/>
    <w:sectPr w:rsidR="00F31E0B" w:rsidRPr="00C73CE4" w:rsidSect="00C73CE4"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78" w:rsidRDefault="00EC3478" w:rsidP="0011560A">
      <w:r>
        <w:separator/>
      </w:r>
    </w:p>
  </w:endnote>
  <w:endnote w:type="continuationSeparator" w:id="0">
    <w:p w:rsidR="00EC3478" w:rsidRDefault="00EC347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78" w:rsidRDefault="00EC3478" w:rsidP="0011560A">
      <w:r>
        <w:separator/>
      </w:r>
    </w:p>
  </w:footnote>
  <w:footnote w:type="continuationSeparator" w:id="0">
    <w:p w:rsidR="00EC3478" w:rsidRDefault="00EC3478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4B6C"/>
    <w:rsid w:val="000350D9"/>
    <w:rsid w:val="00057310"/>
    <w:rsid w:val="00063520"/>
    <w:rsid w:val="00082EFE"/>
    <w:rsid w:val="00086A6C"/>
    <w:rsid w:val="000959D5"/>
    <w:rsid w:val="000A1D60"/>
    <w:rsid w:val="000A3A3B"/>
    <w:rsid w:val="000D1A50"/>
    <w:rsid w:val="001015C6"/>
    <w:rsid w:val="00110E6C"/>
    <w:rsid w:val="0011560A"/>
    <w:rsid w:val="0012264D"/>
    <w:rsid w:val="00135F1A"/>
    <w:rsid w:val="00146B79"/>
    <w:rsid w:val="00147DE9"/>
    <w:rsid w:val="00170226"/>
    <w:rsid w:val="001741AA"/>
    <w:rsid w:val="001917B2"/>
    <w:rsid w:val="001A13E7"/>
    <w:rsid w:val="001A66C5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001B"/>
    <w:rsid w:val="002D1256"/>
    <w:rsid w:val="002D6C51"/>
    <w:rsid w:val="002D7C91"/>
    <w:rsid w:val="0030155F"/>
    <w:rsid w:val="003033E4"/>
    <w:rsid w:val="00304232"/>
    <w:rsid w:val="00323C77"/>
    <w:rsid w:val="003314AA"/>
    <w:rsid w:val="00336EE7"/>
    <w:rsid w:val="0034351C"/>
    <w:rsid w:val="00363DEF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46B56"/>
    <w:rsid w:val="00461188"/>
    <w:rsid w:val="004A776B"/>
    <w:rsid w:val="004B6ED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4A71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A0D3F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2639"/>
    <w:rsid w:val="007E3965"/>
    <w:rsid w:val="00801EF1"/>
    <w:rsid w:val="008137B5"/>
    <w:rsid w:val="00833808"/>
    <w:rsid w:val="008353A1"/>
    <w:rsid w:val="008365FD"/>
    <w:rsid w:val="00881BBB"/>
    <w:rsid w:val="0089283D"/>
    <w:rsid w:val="008C0768"/>
    <w:rsid w:val="008C1D0A"/>
    <w:rsid w:val="008C38CB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A7187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73CE4"/>
    <w:rsid w:val="00C969CC"/>
    <w:rsid w:val="00CA4F84"/>
    <w:rsid w:val="00CD1639"/>
    <w:rsid w:val="00CD3EFA"/>
    <w:rsid w:val="00CE3768"/>
    <w:rsid w:val="00CE3D00"/>
    <w:rsid w:val="00CE78D1"/>
    <w:rsid w:val="00CF7BB4"/>
    <w:rsid w:val="00CF7EEC"/>
    <w:rsid w:val="00D02683"/>
    <w:rsid w:val="00D07290"/>
    <w:rsid w:val="00D1127C"/>
    <w:rsid w:val="00D14240"/>
    <w:rsid w:val="00D1614C"/>
    <w:rsid w:val="00D62C4D"/>
    <w:rsid w:val="00D8016C"/>
    <w:rsid w:val="00D92A3D"/>
    <w:rsid w:val="00D94571"/>
    <w:rsid w:val="00DB0A6B"/>
    <w:rsid w:val="00DB28EB"/>
    <w:rsid w:val="00DB6366"/>
    <w:rsid w:val="00E25569"/>
    <w:rsid w:val="00E601A2"/>
    <w:rsid w:val="00E613EC"/>
    <w:rsid w:val="00E74E36"/>
    <w:rsid w:val="00E77198"/>
    <w:rsid w:val="00E83E23"/>
    <w:rsid w:val="00E940B2"/>
    <w:rsid w:val="00EA3AD1"/>
    <w:rsid w:val="00EB1248"/>
    <w:rsid w:val="00EC08EF"/>
    <w:rsid w:val="00EC3478"/>
    <w:rsid w:val="00ED236E"/>
    <w:rsid w:val="00ED3BEE"/>
    <w:rsid w:val="00EE03CA"/>
    <w:rsid w:val="00EE7199"/>
    <w:rsid w:val="00F31E0B"/>
    <w:rsid w:val="00F3220D"/>
    <w:rsid w:val="00F764AD"/>
    <w:rsid w:val="00F935BB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D62274-A0DF-445D-8F40-D96C23A2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6EDB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4B6EDB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4B6EDB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4B6EDB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4B6EDB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4B6EDB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4B6E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28E3-0C5E-4DC5-8F30-2E92A2551E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1BDA9A-A088-4D00-B61E-2862535B3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2155E-FC45-4846-B03A-9F9EDCD3B6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82EBD1-4795-4BD5-84A6-2475492AF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93054F-7FA0-4F25-942D-C3697D21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2020-05-18T15:13:00Z</cp:lastPrinted>
  <dcterms:created xsi:type="dcterms:W3CDTF">2020-06-04T07:34:00Z</dcterms:created>
  <dcterms:modified xsi:type="dcterms:W3CDTF">2020-06-04T07:34:00Z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