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478D" w14:textId="77777777" w:rsidR="001726E9" w:rsidRPr="004D6C9A" w:rsidRDefault="001726E9" w:rsidP="001726E9">
      <w:pPr>
        <w:jc w:val="center"/>
        <w:rPr>
          <w:rFonts w:ascii="Times New Roman" w:hAnsi="Times New Roman"/>
          <w:sz w:val="24"/>
          <w:szCs w:val="24"/>
        </w:rPr>
      </w:pPr>
      <w:r w:rsidRPr="004D6C9A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01015" cy="691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A9D9B" w14:textId="77777777" w:rsidR="001726E9" w:rsidRPr="004D6C9A" w:rsidRDefault="001726E9" w:rsidP="001726E9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4D6C9A">
        <w:rPr>
          <w:rFonts w:ascii="Times New Roman" w:hAnsi="Times New Roman"/>
          <w:sz w:val="24"/>
          <w:szCs w:val="24"/>
        </w:rPr>
        <w:t>VLADA REPUBLIKE HRVATSKE</w:t>
      </w:r>
    </w:p>
    <w:p w14:paraId="02CCEB53" w14:textId="77777777" w:rsidR="001726E9" w:rsidRPr="004D6C9A" w:rsidRDefault="001726E9" w:rsidP="001726E9">
      <w:pPr>
        <w:jc w:val="both"/>
        <w:rPr>
          <w:rFonts w:ascii="Times New Roman" w:hAnsi="Times New Roman"/>
          <w:sz w:val="24"/>
          <w:szCs w:val="24"/>
        </w:rPr>
      </w:pPr>
    </w:p>
    <w:p w14:paraId="0A6C8DFC" w14:textId="77777777" w:rsidR="001726E9" w:rsidRPr="004D6C9A" w:rsidRDefault="001726E9" w:rsidP="001726E9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4D6C9A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="004D6C9A" w:rsidRPr="004D6C9A">
        <w:rPr>
          <w:rFonts w:ascii="Times New Roman" w:hAnsi="Times New Roman"/>
          <w:sz w:val="24"/>
          <w:szCs w:val="24"/>
          <w:lang w:val="hr-HR"/>
        </w:rPr>
        <w:t>2</w:t>
      </w:r>
      <w:r w:rsidR="003664D6">
        <w:rPr>
          <w:rFonts w:ascii="Times New Roman" w:hAnsi="Times New Roman"/>
          <w:sz w:val="24"/>
          <w:szCs w:val="24"/>
          <w:lang w:val="hr-HR"/>
        </w:rPr>
        <w:t>5</w:t>
      </w:r>
      <w:r w:rsidR="00074C90" w:rsidRPr="004D6C9A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3664D6">
        <w:rPr>
          <w:rFonts w:ascii="Times New Roman" w:hAnsi="Times New Roman"/>
          <w:sz w:val="24"/>
          <w:szCs w:val="24"/>
          <w:lang w:val="hr-HR"/>
        </w:rPr>
        <w:t>lipnja</w:t>
      </w:r>
      <w:r w:rsidR="00074C90" w:rsidRPr="004D6C9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D6C9A">
        <w:rPr>
          <w:rFonts w:ascii="Times New Roman" w:hAnsi="Times New Roman"/>
          <w:sz w:val="24"/>
          <w:szCs w:val="24"/>
          <w:lang w:val="hr-HR"/>
        </w:rPr>
        <w:t>2020.</w:t>
      </w:r>
    </w:p>
    <w:p w14:paraId="018FA893" w14:textId="77777777" w:rsidR="001726E9" w:rsidRPr="004D6C9A" w:rsidRDefault="001726E9" w:rsidP="001726E9">
      <w:pPr>
        <w:jc w:val="right"/>
        <w:rPr>
          <w:rFonts w:ascii="Times New Roman" w:hAnsi="Times New Roman"/>
          <w:sz w:val="24"/>
          <w:szCs w:val="24"/>
        </w:rPr>
      </w:pPr>
    </w:p>
    <w:p w14:paraId="7F42BBB6" w14:textId="77777777" w:rsidR="001726E9" w:rsidRPr="004D6C9A" w:rsidRDefault="001726E9" w:rsidP="001726E9">
      <w:pPr>
        <w:jc w:val="right"/>
        <w:rPr>
          <w:rFonts w:ascii="Times New Roman" w:hAnsi="Times New Roman"/>
          <w:sz w:val="24"/>
          <w:szCs w:val="24"/>
        </w:rPr>
      </w:pPr>
    </w:p>
    <w:p w14:paraId="3E2823C7" w14:textId="77777777" w:rsidR="001726E9" w:rsidRPr="004D6C9A" w:rsidRDefault="001726E9" w:rsidP="001726E9">
      <w:pPr>
        <w:jc w:val="right"/>
        <w:rPr>
          <w:rFonts w:ascii="Times New Roman" w:hAnsi="Times New Roman"/>
          <w:sz w:val="24"/>
          <w:szCs w:val="24"/>
        </w:rPr>
      </w:pPr>
    </w:p>
    <w:p w14:paraId="24F16A54" w14:textId="77777777" w:rsidR="001726E9" w:rsidRPr="004D6C9A" w:rsidRDefault="001726E9" w:rsidP="001726E9">
      <w:pPr>
        <w:jc w:val="right"/>
        <w:rPr>
          <w:rFonts w:ascii="Times New Roman" w:hAnsi="Times New Roman"/>
          <w:sz w:val="24"/>
          <w:szCs w:val="24"/>
        </w:rPr>
      </w:pPr>
    </w:p>
    <w:p w14:paraId="5C88D49B" w14:textId="77777777" w:rsidR="001726E9" w:rsidRPr="004D6C9A" w:rsidRDefault="001726E9" w:rsidP="001726E9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08513214" w14:textId="77777777" w:rsidR="001726E9" w:rsidRPr="004D6C9A" w:rsidRDefault="001726E9" w:rsidP="001726E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D6C9A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D6C9A" w:rsidRPr="004D6C9A" w14:paraId="7F16CA7F" w14:textId="77777777" w:rsidTr="001726E9">
        <w:tc>
          <w:tcPr>
            <w:tcW w:w="1951" w:type="dxa"/>
            <w:hideMark/>
          </w:tcPr>
          <w:p w14:paraId="2DFACEBB" w14:textId="77777777" w:rsidR="001726E9" w:rsidRPr="004D6C9A" w:rsidRDefault="001726E9" w:rsidP="004D6C9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6C9A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4D6C9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09D9AEE2" w14:textId="77777777" w:rsidR="001726E9" w:rsidRPr="004D6C9A" w:rsidRDefault="001726E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6C9A">
              <w:rPr>
                <w:rFonts w:ascii="Times New Roman" w:hAnsi="Times New Roman"/>
                <w:sz w:val="24"/>
                <w:szCs w:val="24"/>
                <w:lang w:val="hr-HR"/>
              </w:rPr>
              <w:t>Ministarstvo zaštite okoliša i energetike</w:t>
            </w:r>
          </w:p>
        </w:tc>
      </w:tr>
    </w:tbl>
    <w:p w14:paraId="28636565" w14:textId="77777777" w:rsidR="001726E9" w:rsidRPr="004D6C9A" w:rsidRDefault="001726E9" w:rsidP="001726E9">
      <w:p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D6C9A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D6C9A" w:rsidRPr="004D6C9A" w14:paraId="198103CF" w14:textId="77777777" w:rsidTr="001726E9">
        <w:tc>
          <w:tcPr>
            <w:tcW w:w="1951" w:type="dxa"/>
            <w:hideMark/>
          </w:tcPr>
          <w:p w14:paraId="0835A5E4" w14:textId="77777777" w:rsidR="001726E9" w:rsidRPr="004D6C9A" w:rsidRDefault="001726E9" w:rsidP="004D6C9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6C9A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4D6C9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0D29D946" w14:textId="0D96EED7" w:rsidR="001726E9" w:rsidRPr="004D6C9A" w:rsidRDefault="004D6C9A" w:rsidP="005717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D6C9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zaključka u vezi s </w:t>
            </w:r>
            <w:r w:rsidR="00643C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daljnjom </w:t>
            </w:r>
            <w:bookmarkStart w:id="0" w:name="_GoBack"/>
            <w:bookmarkEnd w:id="0"/>
            <w:r w:rsidRPr="004D6C9A">
              <w:rPr>
                <w:rFonts w:ascii="Times New Roman" w:hAnsi="Times New Roman"/>
                <w:sz w:val="24"/>
                <w:szCs w:val="24"/>
                <w:lang w:val="hr-HR"/>
              </w:rPr>
              <w:t>pripremom i realizacijom vodno-komunalnih projekata</w:t>
            </w:r>
          </w:p>
        </w:tc>
      </w:tr>
    </w:tbl>
    <w:p w14:paraId="057BEA94" w14:textId="77777777" w:rsidR="001726E9" w:rsidRPr="004D6C9A" w:rsidRDefault="001726E9" w:rsidP="001726E9">
      <w:p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D6C9A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7DE2E317" w14:textId="77777777" w:rsidR="001726E9" w:rsidRPr="004D6C9A" w:rsidRDefault="001726E9" w:rsidP="001726E9">
      <w:pPr>
        <w:jc w:val="both"/>
        <w:rPr>
          <w:rFonts w:ascii="Times New Roman" w:hAnsi="Times New Roman"/>
          <w:lang w:val="hr-HR"/>
        </w:rPr>
      </w:pPr>
    </w:p>
    <w:p w14:paraId="042ED375" w14:textId="77777777" w:rsidR="001726E9" w:rsidRPr="004D6C9A" w:rsidRDefault="001726E9" w:rsidP="001726E9">
      <w:pPr>
        <w:jc w:val="both"/>
        <w:rPr>
          <w:rFonts w:ascii="Times New Roman" w:hAnsi="Times New Roman"/>
          <w:lang w:val="hr-HR"/>
        </w:rPr>
      </w:pPr>
    </w:p>
    <w:p w14:paraId="1372EAC6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3AA57B68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797C1793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28A15798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50AA18FE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288D99A6" w14:textId="77777777" w:rsidR="001726E9" w:rsidRDefault="001726E9" w:rsidP="001726E9">
      <w:pPr>
        <w:jc w:val="both"/>
        <w:rPr>
          <w:rFonts w:ascii="Times New Roman" w:hAnsi="Times New Roman"/>
        </w:rPr>
      </w:pPr>
    </w:p>
    <w:p w14:paraId="5B4C32D2" w14:textId="77777777" w:rsidR="001726E9" w:rsidRDefault="001726E9" w:rsidP="001726E9">
      <w:pPr>
        <w:pStyle w:val="Header"/>
      </w:pPr>
    </w:p>
    <w:p w14:paraId="15468100" w14:textId="77777777" w:rsidR="001726E9" w:rsidRDefault="001726E9" w:rsidP="001726E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CCFA741" w14:textId="77777777" w:rsidR="003A1430" w:rsidRDefault="003A1430" w:rsidP="001726E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555042AD" w14:textId="77777777" w:rsidR="004D6C9A" w:rsidRDefault="004D6C9A" w:rsidP="001726E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031ACD6E" w14:textId="77777777" w:rsidR="004D6C9A" w:rsidRDefault="004D6C9A" w:rsidP="001726E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36479BA0" w14:textId="77777777" w:rsidR="003A1430" w:rsidRDefault="003A1430" w:rsidP="003A1430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</w:p>
    <w:p w14:paraId="742A1879" w14:textId="77777777" w:rsidR="003A1430" w:rsidRPr="002F412C" w:rsidRDefault="002F412C" w:rsidP="002F41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2F412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Prijedlog -</w:t>
      </w:r>
      <w:r w:rsidR="003A1430" w:rsidRPr="002F412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14:paraId="0DF9D884" w14:textId="77777777" w:rsidR="003A1430" w:rsidRPr="003A1430" w:rsidRDefault="003A1430" w:rsidP="003A143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4F3EB7D" w14:textId="77777777" w:rsidR="003A1430" w:rsidRPr="003A1430" w:rsidRDefault="003A1430" w:rsidP="003A143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C9DE257" w14:textId="77777777" w:rsidR="003A1430" w:rsidRPr="003A1430" w:rsidRDefault="003A1430" w:rsidP="003A143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0010BD5" w14:textId="77777777" w:rsidR="003A1430" w:rsidRPr="003A1430" w:rsidRDefault="003A1430" w:rsidP="00CC5D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Na temelju članka 31. stavka 3. Zakona o Vladi Republike Hrvatske (Narodne novine, broj 150/11, 119/14, 93/16 i 116/18), Vlada Republike Hrvatske je na sjednici održanoj </w:t>
      </w:r>
      <w:r w:rsidRPr="003A1430"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  <w:t xml:space="preserve">________ 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>2020. donijela</w:t>
      </w:r>
    </w:p>
    <w:p w14:paraId="332FB742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48962064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426565C2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46FD9D9D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0A947D95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DA28608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5EFCD6FE" w14:textId="77777777" w:rsidR="003A1430" w:rsidRPr="003A1430" w:rsidRDefault="003A1430" w:rsidP="003A14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 w:rsidRPr="003A1430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Z A K L</w:t>
      </w:r>
      <w:r w:rsidR="004D6C9A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 </w:t>
      </w:r>
      <w:r w:rsidRPr="003A1430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J U Č A K</w:t>
      </w:r>
    </w:p>
    <w:p w14:paraId="24D0B24E" w14:textId="77777777" w:rsidR="003A1430" w:rsidRPr="003A1430" w:rsidRDefault="003A1430" w:rsidP="003A14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555209E" w14:textId="77777777" w:rsidR="003A1430" w:rsidRPr="003A1430" w:rsidRDefault="003A1430" w:rsidP="003A14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5DD135C6" w14:textId="77777777" w:rsidR="003A1430" w:rsidRPr="003A1430" w:rsidRDefault="003A1430" w:rsidP="003A14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3E08C7D1" w14:textId="77777777" w:rsidR="003A1430" w:rsidRPr="003A1430" w:rsidRDefault="003A1430" w:rsidP="003A14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1E6836D" w14:textId="77777777" w:rsidR="003A1430" w:rsidRPr="003A1430" w:rsidRDefault="003A1430" w:rsidP="003A14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334CD905" w14:textId="77777777" w:rsidR="003A1430" w:rsidRPr="003A1430" w:rsidRDefault="003A1430" w:rsidP="003A1430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>Podržava se daljnja priprema i realizacija vodno-komunalnih projekata</w:t>
      </w:r>
      <w:r w:rsidRPr="003A1430">
        <w:rPr>
          <w:rFonts w:ascii="Times New Roman" w:eastAsiaTheme="minorHAnsi" w:hAnsi="Times New Roman"/>
          <w:bCs/>
          <w:sz w:val="24"/>
          <w:szCs w:val="24"/>
          <w:lang w:val="hr-HR"/>
        </w:rPr>
        <w:t xml:space="preserve"> Sušine-Đurđenovac, Biograd, Ludbreg, 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3A1430">
        <w:rPr>
          <w:rFonts w:ascii="Times New Roman" w:eastAsiaTheme="minorHAnsi" w:hAnsi="Times New Roman"/>
          <w:bCs/>
          <w:sz w:val="24"/>
          <w:szCs w:val="24"/>
          <w:lang w:val="hr-HR"/>
        </w:rPr>
        <w:t>Slavonski Brod 2, Preko-Kali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>,</w:t>
      </w:r>
      <w:r w:rsidRPr="003A1430">
        <w:rPr>
          <w:rFonts w:ascii="Times New Roman" w:eastAsiaTheme="minorHAnsi" w:hAnsi="Times New Roman"/>
          <w:bCs/>
          <w:sz w:val="24"/>
          <w:szCs w:val="24"/>
          <w:lang w:val="hr-HR"/>
        </w:rPr>
        <w:t xml:space="preserve"> Krapina, 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3A1430">
        <w:rPr>
          <w:rFonts w:ascii="Times New Roman" w:eastAsia="Times New Roman" w:hAnsi="Times New Roman"/>
          <w:sz w:val="24"/>
          <w:szCs w:val="24"/>
          <w:lang w:val="hr-HR" w:eastAsia="en-GB"/>
        </w:rPr>
        <w:t>Kutjevo-Velika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, </w:t>
      </w:r>
      <w:r w:rsidRPr="003A1430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Pirovac-Tisno-Jezera, 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3A1430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Rogoznica, Špišić Bukovica-Suhopolje-Gradina, 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3A1430">
        <w:rPr>
          <w:rFonts w:ascii="Times New Roman" w:eastAsia="Times New Roman" w:hAnsi="Times New Roman"/>
          <w:sz w:val="24"/>
          <w:szCs w:val="24"/>
          <w:lang w:val="hr-HR" w:eastAsia="en-GB"/>
        </w:rPr>
        <w:t>Otočac i Zagreb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za sufinanciranje iz sredstava EU fondova.</w:t>
      </w:r>
    </w:p>
    <w:p w14:paraId="262E685D" w14:textId="77777777" w:rsidR="003A1430" w:rsidRPr="003A1430" w:rsidRDefault="003A1430" w:rsidP="003A1430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D667F91" w14:textId="77777777" w:rsidR="003A1430" w:rsidRPr="003A1430" w:rsidRDefault="003A1430" w:rsidP="003A1430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>Zadužuje se Ministarstvo zaštite okoliša i energetike da u suradnji s  Hrvatskim vodama, a uz podršku Ministarstva regionalnog</w:t>
      </w:r>
      <w:r w:rsidR="004D6C9A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razvoja i fondova Europske unije koordinira pripremu i realizaciju projekata iz točke 1. ovoga Zaključka.</w:t>
      </w:r>
    </w:p>
    <w:p w14:paraId="4038B7F7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5AF653D9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36FB92DC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6C3DD264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tbl>
      <w:tblPr>
        <w:tblStyle w:val="Reetkatablice2"/>
        <w:tblpPr w:leftFromText="180" w:rightFromText="180" w:vertAnchor="text" w:horzAnchor="margin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796"/>
      </w:tblGrid>
      <w:tr w:rsidR="003A1430" w:rsidRPr="003A1430" w14:paraId="708B94EE" w14:textId="77777777" w:rsidTr="00B04E8D">
        <w:tc>
          <w:tcPr>
            <w:tcW w:w="988" w:type="dxa"/>
          </w:tcPr>
          <w:p w14:paraId="1ABD49AE" w14:textId="77777777" w:rsidR="003A1430" w:rsidRPr="003A1430" w:rsidRDefault="003A1430" w:rsidP="003A14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3A1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KLASA:</w:t>
            </w:r>
          </w:p>
        </w:tc>
        <w:tc>
          <w:tcPr>
            <w:tcW w:w="7796" w:type="dxa"/>
          </w:tcPr>
          <w:p w14:paraId="6AC05BB8" w14:textId="77777777" w:rsidR="003A1430" w:rsidRPr="003A1430" w:rsidRDefault="003A1430" w:rsidP="003A14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3A1430" w:rsidRPr="003A1430" w14:paraId="7E3CD238" w14:textId="77777777" w:rsidTr="00B04E8D">
        <w:tc>
          <w:tcPr>
            <w:tcW w:w="988" w:type="dxa"/>
          </w:tcPr>
          <w:p w14:paraId="35DD6EAA" w14:textId="77777777" w:rsidR="003A1430" w:rsidRPr="003A1430" w:rsidRDefault="003A1430" w:rsidP="003A14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3A1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URBROJ:</w:t>
            </w:r>
          </w:p>
        </w:tc>
        <w:tc>
          <w:tcPr>
            <w:tcW w:w="7796" w:type="dxa"/>
          </w:tcPr>
          <w:p w14:paraId="0AEB4182" w14:textId="77777777" w:rsidR="003A1430" w:rsidRPr="003A1430" w:rsidRDefault="003A1430" w:rsidP="003A14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3A1430" w:rsidRPr="003A1430" w14:paraId="15E8319A" w14:textId="77777777" w:rsidTr="00B04E8D">
        <w:tc>
          <w:tcPr>
            <w:tcW w:w="988" w:type="dxa"/>
          </w:tcPr>
          <w:p w14:paraId="7E599ECF" w14:textId="77777777" w:rsidR="003A1430" w:rsidRPr="003A1430" w:rsidRDefault="003A1430" w:rsidP="003A14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</w:p>
          <w:p w14:paraId="4F2E5DC4" w14:textId="77777777" w:rsidR="003A1430" w:rsidRPr="003A1430" w:rsidRDefault="003A1430" w:rsidP="003A14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3A1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Zagreb,</w:t>
            </w:r>
          </w:p>
        </w:tc>
        <w:tc>
          <w:tcPr>
            <w:tcW w:w="7796" w:type="dxa"/>
          </w:tcPr>
          <w:p w14:paraId="40CFF7B4" w14:textId="77777777" w:rsidR="003A1430" w:rsidRPr="003A1430" w:rsidRDefault="003A1430" w:rsidP="003A14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14:paraId="055E8385" w14:textId="77777777" w:rsidR="003A1430" w:rsidRPr="003A1430" w:rsidRDefault="003A1430" w:rsidP="003A14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3A1430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_______ 2020</w:t>
            </w:r>
            <w:r w:rsidRPr="003A14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</w:tbl>
    <w:p w14:paraId="07C3A1D6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7244DC1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46C7DC19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C539600" w14:textId="77777777" w:rsidR="003A1430" w:rsidRPr="003A1430" w:rsidRDefault="003A1430" w:rsidP="003A1430">
      <w:pPr>
        <w:spacing w:after="0" w:line="240" w:lineRule="auto"/>
        <w:ind w:left="5387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2DAE85EC" w14:textId="77777777" w:rsidR="003A1430" w:rsidRPr="003A1430" w:rsidRDefault="003A1430" w:rsidP="003A143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>PREDSJEDNIK</w:t>
      </w:r>
    </w:p>
    <w:p w14:paraId="1B547565" w14:textId="77777777" w:rsidR="003A1430" w:rsidRPr="003A1430" w:rsidRDefault="003A1430" w:rsidP="003A143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1228622F" w14:textId="77777777" w:rsidR="003A1430" w:rsidRPr="003A1430" w:rsidRDefault="003A1430" w:rsidP="003A143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24B6B48" w14:textId="77777777" w:rsidR="003A1430" w:rsidRPr="003A1430" w:rsidRDefault="003A1430" w:rsidP="003A143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>mr. sc. Andrej Plenković</w:t>
      </w:r>
    </w:p>
    <w:p w14:paraId="125F8A91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653953E" w14:textId="77777777" w:rsid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F91710B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09AAA737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72DD91F7" w14:textId="77777777" w:rsidR="00CC5D1C" w:rsidRDefault="00CC5D1C" w:rsidP="003A14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9359848" w14:textId="77777777" w:rsidR="003A1430" w:rsidRPr="003A1430" w:rsidRDefault="003A1430" w:rsidP="003A14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3A1430">
        <w:rPr>
          <w:rFonts w:ascii="Times New Roman" w:eastAsia="Times New Roman" w:hAnsi="Times New Roman"/>
          <w:sz w:val="24"/>
          <w:szCs w:val="24"/>
          <w:lang w:val="hr-HR" w:eastAsia="hr-HR"/>
        </w:rPr>
        <w:t>OBRAZLOŽENJE</w:t>
      </w:r>
    </w:p>
    <w:p w14:paraId="581FDD31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5975953D" w14:textId="77777777" w:rsidR="003A1430" w:rsidRPr="003A1430" w:rsidRDefault="003A1430" w:rsidP="003A1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0EEB2958" w14:textId="77777777" w:rsidR="003A1430" w:rsidRPr="003A1430" w:rsidRDefault="003A1430" w:rsidP="003A143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3A1430">
        <w:rPr>
          <w:rFonts w:ascii="Times New Roman" w:eastAsiaTheme="minorHAnsi" w:hAnsi="Times New Roman"/>
          <w:sz w:val="24"/>
          <w:szCs w:val="24"/>
          <w:lang w:val="hr-HR"/>
        </w:rPr>
        <w:t xml:space="preserve">U okviru Operativnog programa „Konkurentnost i kohezija“ 2014. – 2020. Prioritetne osi 6 Zaštita okoliša i održivost resursa, Specifičnih ciljeva 6ii1 i 6ii2, za financiranje vodno-komunalnih projekata na raspolaganju je 1,049 milijardi EUR-a (oko 7,97 milijardi HRK) EU sredstava iz Kohezijskog fonda. Ministarstvo regionalnog razvoja i fondova Europske unije kao Upravljačko tijelo je dopisom KLASA: 910-04/16-02/36, URBROJ: 538-05-5/197-19-304 od 13. lipnja 2019. godine dozvolilo odobravanje projekata iznad raspoložive alokacije u okviru specifičnih ciljeva 6ii1 i 6ii2 do 200% dostupne alokacije, što uključuje i 300 milijuna EUR-a (oko 2,28 milijardi HRK) rezerviranih za pokrivanje razlike u cijenama za već odobrene projekte. Do sada je odobreno 59 projekata čime je dostignuto 170,75% dostupne alokacije. Ministarstvo zaštite okoliša i energetike (MZOE) kao Posredničko tijelo razine 1 (PT1) uputilo je  službeni poziv na dostavu aplikacijskog paketa dokumenata za još 4 projekta te je u tijeku pregled dostavljene dokumentacije od strane MZOE kao PT1 i Hrvatskih voda kao PT2.  </w:t>
      </w:r>
    </w:p>
    <w:p w14:paraId="6E9DC2D3" w14:textId="77777777" w:rsidR="003A1430" w:rsidRPr="003A1430" w:rsidRDefault="003A1430" w:rsidP="003A14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3547F8C9" w14:textId="77777777" w:rsidR="003A1430" w:rsidRPr="003A1430" w:rsidRDefault="003A1430" w:rsidP="003A143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3A1430">
        <w:rPr>
          <w:rFonts w:ascii="Times New Roman" w:eastAsiaTheme="minorHAnsi" w:hAnsi="Times New Roman"/>
          <w:sz w:val="24"/>
          <w:szCs w:val="24"/>
          <w:lang w:val="hr-HR"/>
        </w:rPr>
        <w:t xml:space="preserve">Provedba vodno-komunalnih infrastrukturnih projekata obveza je koja proizlazi iz  Ugovora o pristupanju Republike Hrvatske Europskoj uniji vezano za ispunjenje zahtjeva vodno-komunalnih direktiva, prvenstveno Direktive Vijeća 91/271/EEZ od 21. svibnja 1991. o pročišćavanju komunalnih otpadnih voda i Direktive Vijeća 98/83/EZ od 3. studenoga 1998. o kvaliteti vode namijenjene za ljudsku potrošnju, a podrazumijeva izgradnju/rekonstrukciju/sanaciju sustava javne vodoopskrbe, javne odvodnje te pročišćavanja komunalnih otpadnih voda. Rokovi za ispunjenje ovih zahtjeva su, u ovisnosti o veličini aglomeracije te osjetljivosti prijemnika otpadnih voda, do kraja 2018., 2020. i 2023. godine. Posljedica neispunjenja ovih zahtjeva je plaćanje penala, a čija visina između ostaloga ovisi o do sada poduzetim aktivnostima stoga je nužno nastaviti pripremati i provoditi ovu vrstu projekata. </w:t>
      </w:r>
    </w:p>
    <w:p w14:paraId="252012A9" w14:textId="77777777" w:rsidR="003A1430" w:rsidRPr="003A1430" w:rsidRDefault="003A1430" w:rsidP="003A143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</w:p>
    <w:p w14:paraId="5A78967D" w14:textId="77777777" w:rsidR="003A1430" w:rsidRDefault="003A1430" w:rsidP="003A143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3A1430">
        <w:rPr>
          <w:rFonts w:ascii="Times New Roman" w:eastAsiaTheme="minorHAnsi" w:hAnsi="Times New Roman"/>
          <w:sz w:val="24"/>
          <w:szCs w:val="24"/>
          <w:lang w:val="hr-HR"/>
        </w:rPr>
        <w:t xml:space="preserve">Infrastrukturni vodno-komunalni projekti su kompleksni te je njihova priprema i provedba dugotrajna i zahtjevna (8-10 godina). Priprema uključuje proces projektiranja, provođenje postupaka ishođenja neophodnih okolišnih dokumenata, ishođenje dozvola za građenje,   rješavanje imovinsko-pravnih odnosa, izradu studijske dokumentacije kao i cjelovitog aplikacijskog paketa dokumenata. Priprema projektno-studijske dokumentacije projekata iz točke 1. Zaključka sufinancirana je sredstvima EU fondova u okviru programskog razdoblja 2007. – 2013. Navedeni projekti su u visokom stupnju spremnosti što podrazumijeva da isti mogu krenuti s provedbom vrlo brzo po odobrenju. Ukupna procijenjena vrijednost ovih projekata iznosi 4,6 milijarde HRK (bez PDV-a), od čega procijenjena vrijednost EU bespovratnih sredstava iznosi 3,3 milijarde HRK. </w:t>
      </w:r>
      <w:r w:rsidRPr="003A1430"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  <w:t xml:space="preserve">Slijedom navedenog, potrebno je koordinirati </w:t>
      </w:r>
      <w:r w:rsidRPr="003A1430">
        <w:rPr>
          <w:rFonts w:ascii="Times New Roman" w:eastAsiaTheme="minorHAnsi" w:hAnsi="Times New Roman"/>
          <w:sz w:val="24"/>
          <w:szCs w:val="24"/>
          <w:lang w:val="hr-HR"/>
        </w:rPr>
        <w:t xml:space="preserve">daljnju pripremu i provedbu predmetnih projekata. </w:t>
      </w:r>
    </w:p>
    <w:p w14:paraId="5F3222FC" w14:textId="77777777" w:rsidR="003A1430" w:rsidRPr="003A1430" w:rsidRDefault="003A1430" w:rsidP="003A143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</w:p>
    <w:p w14:paraId="2174F4C4" w14:textId="77777777" w:rsidR="003A1430" w:rsidRPr="003A1430" w:rsidRDefault="003A1430" w:rsidP="003A143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3A1430">
        <w:rPr>
          <w:rFonts w:ascii="Times New Roman" w:eastAsiaTheme="minorHAnsi" w:hAnsi="Times New Roman"/>
          <w:sz w:val="24"/>
          <w:szCs w:val="24"/>
          <w:lang w:val="hr-HR"/>
        </w:rPr>
        <w:t>S obzirom na očekivanu realizaciju do sada odobrenih projekata u okviru Specifičnih ciljeva 6ii1 i 6ii2, Operativnog programa „Konkurentnost i kohezija“ 2014. – 2020. te uzimajući u obzir nacrt regulative za naredno programsko razdoblje u kojem je navedena mogućnost financiranja projekata kroz dva programska razdoblja, postoji prostor dodatnog odobravanja spremnih projekata. Sredstva za financiranje vodno-komunalnih projekata u okviru Operativnog programa „Konkurentnost i kohezija“ 2014. – 2020. planirana su u Državnom proračunu Republike Hrvatske na poziciji K784038 OP KONKURENTNOST I KOHEZIJA 2014-2020 PRIORITETI 5 I 6. Slijedom navedenog, Vlada Republike Hrvatske podržava nastavak pripreme i realizacije projekata iz točke 1. Zaključka</w:t>
      </w:r>
    </w:p>
    <w:p w14:paraId="1EDEC72A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638B666E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75E5716F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7E3DA99B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1EA089EF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0FD85B96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7A3E4116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4153E0A7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49DE43A7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6ED64777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2D808C5A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379536BB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72617C32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20E68952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472ECBB5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6949AC14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4A5B667D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2F77A07A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1B5444B6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0ADCAC2C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4EC5D459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1670354C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69B96BB7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096633C9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30DD5381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35D93928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69727D55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683F22DB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59292ADC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1B5E2B11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06A6E94C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4C50ABFA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4DE26578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015B89A9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2FBCBC70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7695D653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6D4C17FC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1B412173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2CACF8D8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02D33590" w14:textId="77777777" w:rsidR="003A1430" w:rsidRDefault="003A1430" w:rsidP="003A1430">
      <w:pPr>
        <w:spacing w:after="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r-HR"/>
        </w:rPr>
      </w:pPr>
    </w:p>
    <w:p w14:paraId="7BBA8689" w14:textId="77777777" w:rsidR="003A1430" w:rsidRPr="003A1430" w:rsidRDefault="003A1430" w:rsidP="003A143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</w:p>
    <w:sectPr w:rsidR="003A1430" w:rsidRPr="003A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7D13" w14:textId="77777777" w:rsidR="008B09EC" w:rsidRDefault="008B09EC" w:rsidP="003A1430">
      <w:pPr>
        <w:spacing w:after="0" w:line="240" w:lineRule="auto"/>
      </w:pPr>
      <w:r>
        <w:separator/>
      </w:r>
    </w:p>
  </w:endnote>
  <w:endnote w:type="continuationSeparator" w:id="0">
    <w:p w14:paraId="275D251C" w14:textId="77777777" w:rsidR="008B09EC" w:rsidRDefault="008B09EC" w:rsidP="003A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456D" w14:textId="77777777" w:rsidR="008B09EC" w:rsidRDefault="008B09EC" w:rsidP="003A1430">
      <w:pPr>
        <w:spacing w:after="0" w:line="240" w:lineRule="auto"/>
      </w:pPr>
      <w:r>
        <w:separator/>
      </w:r>
    </w:p>
  </w:footnote>
  <w:footnote w:type="continuationSeparator" w:id="0">
    <w:p w14:paraId="0F2A3EDE" w14:textId="77777777" w:rsidR="008B09EC" w:rsidRDefault="008B09EC" w:rsidP="003A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279"/>
    <w:multiLevelType w:val="hybridMultilevel"/>
    <w:tmpl w:val="209A1314"/>
    <w:lvl w:ilvl="0" w:tplc="8EBC6722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6E0B7A2D"/>
    <w:multiLevelType w:val="hybridMultilevel"/>
    <w:tmpl w:val="D48EFA38"/>
    <w:lvl w:ilvl="0" w:tplc="86EED834">
      <w:numFmt w:val="bullet"/>
      <w:lvlText w:val="-"/>
      <w:lvlJc w:val="left"/>
      <w:pPr>
        <w:ind w:left="69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47" w:hanging="360"/>
      </w:pPr>
      <w:rPr>
        <w:rFonts w:ascii="Wingdings" w:hAnsi="Wingdings" w:hint="default"/>
      </w:rPr>
    </w:lvl>
  </w:abstractNum>
  <w:abstractNum w:abstractNumId="2" w15:restartNumberingAfterBreak="0">
    <w:nsid w:val="735C5EE6"/>
    <w:multiLevelType w:val="hybridMultilevel"/>
    <w:tmpl w:val="B10CB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B"/>
    <w:rsid w:val="00074C90"/>
    <w:rsid w:val="001726E9"/>
    <w:rsid w:val="002B19FA"/>
    <w:rsid w:val="002C72D7"/>
    <w:rsid w:val="002F412C"/>
    <w:rsid w:val="00361D46"/>
    <w:rsid w:val="003664D6"/>
    <w:rsid w:val="003A1430"/>
    <w:rsid w:val="004879F1"/>
    <w:rsid w:val="00493B80"/>
    <w:rsid w:val="004D6C9A"/>
    <w:rsid w:val="00530201"/>
    <w:rsid w:val="00571754"/>
    <w:rsid w:val="005B7C5F"/>
    <w:rsid w:val="0060228A"/>
    <w:rsid w:val="0061103D"/>
    <w:rsid w:val="00643C8D"/>
    <w:rsid w:val="00682687"/>
    <w:rsid w:val="006C4ED2"/>
    <w:rsid w:val="006D7698"/>
    <w:rsid w:val="00755263"/>
    <w:rsid w:val="008839AA"/>
    <w:rsid w:val="008B09EC"/>
    <w:rsid w:val="00B3579B"/>
    <w:rsid w:val="00BB6202"/>
    <w:rsid w:val="00C50250"/>
    <w:rsid w:val="00C65502"/>
    <w:rsid w:val="00C66368"/>
    <w:rsid w:val="00C856DE"/>
    <w:rsid w:val="00CC5D1C"/>
    <w:rsid w:val="00DB2579"/>
    <w:rsid w:val="00DC483B"/>
    <w:rsid w:val="00DF5010"/>
    <w:rsid w:val="00F532E4"/>
    <w:rsid w:val="00F7720D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2CA"/>
  <w15:chartTrackingRefBased/>
  <w15:docId w15:val="{3CD4E591-EBD0-4855-B286-87F25C9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9B"/>
    <w:pPr>
      <w:spacing w:line="254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579B"/>
    <w:pPr>
      <w:spacing w:after="0" w:line="240" w:lineRule="auto"/>
    </w:pPr>
    <w:rPr>
      <w:rFonts w:ascii="Calibri" w:eastAsiaTheme="minorHAnsi" w:hAnsi="Calibri" w:cstheme="minorBid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79B"/>
    <w:rPr>
      <w:rFonts w:ascii="Calibri" w:hAnsi="Calibri"/>
      <w:szCs w:val="21"/>
    </w:rPr>
  </w:style>
  <w:style w:type="paragraph" w:customStyle="1" w:styleId="t-9-8">
    <w:name w:val="t-9-8"/>
    <w:basedOn w:val="Normal"/>
    <w:rsid w:val="00B35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17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726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2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726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72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table" w:styleId="TableGrid">
    <w:name w:val="Table Grid"/>
    <w:basedOn w:val="TableNormal"/>
    <w:rsid w:val="0017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3A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430"/>
    <w:pPr>
      <w:spacing w:after="0" w:line="240" w:lineRule="auto"/>
    </w:pPr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30"/>
    <w:rPr>
      <w:rFonts w:ascii="Segoe UI" w:hAnsi="Segoe UI" w:cs="Segoe UI"/>
      <w:sz w:val="18"/>
      <w:szCs w:val="18"/>
    </w:rPr>
  </w:style>
  <w:style w:type="table" w:customStyle="1" w:styleId="Reetkatablice2">
    <w:name w:val="Rešetka tablice2"/>
    <w:basedOn w:val="TableNormal"/>
    <w:next w:val="TableGrid"/>
    <w:uiPriority w:val="59"/>
    <w:rsid w:val="003A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86C6-4CA1-4535-B9AF-1B2A6350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Gregić Biondić</dc:creator>
  <cp:keywords/>
  <dc:description/>
  <cp:lastModifiedBy>Sanja Duspara</cp:lastModifiedBy>
  <cp:revision>5</cp:revision>
  <cp:lastPrinted>2020-06-24T11:43:00Z</cp:lastPrinted>
  <dcterms:created xsi:type="dcterms:W3CDTF">2020-06-23T09:05:00Z</dcterms:created>
  <dcterms:modified xsi:type="dcterms:W3CDTF">2020-06-24T13:43:00Z</dcterms:modified>
</cp:coreProperties>
</file>