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43816" w14:textId="77777777" w:rsidR="001E2B22" w:rsidRDefault="001E2B22" w:rsidP="001E2B22">
      <w:pPr>
        <w:jc w:val="center"/>
        <w:rPr>
          <w:sz w:val="22"/>
          <w:szCs w:val="22"/>
        </w:rPr>
      </w:pPr>
      <w:r>
        <w:rPr>
          <w:noProof/>
        </w:rPr>
        <w:drawing>
          <wp:inline distT="0" distB="0" distL="0" distR="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6A86DDF" w14:textId="77777777" w:rsidR="001E2B22" w:rsidRDefault="001E2B22" w:rsidP="001E2B22">
      <w:pPr>
        <w:spacing w:before="60" w:after="1680"/>
        <w:jc w:val="center"/>
        <w:rPr>
          <w:sz w:val="28"/>
        </w:rPr>
      </w:pPr>
      <w:r>
        <w:rPr>
          <w:sz w:val="28"/>
        </w:rPr>
        <w:t>VLADA REPUBLIKE HRVATSKE</w:t>
      </w:r>
    </w:p>
    <w:p w14:paraId="768BE198" w14:textId="77777777" w:rsidR="001E2B22" w:rsidRDefault="001E2B22" w:rsidP="001E2B22">
      <w:pPr>
        <w:jc w:val="both"/>
      </w:pPr>
    </w:p>
    <w:p w14:paraId="6F5A7F66" w14:textId="4590FA76" w:rsidR="001E2B22" w:rsidRDefault="00A82C13" w:rsidP="001E2B22">
      <w:pPr>
        <w:jc w:val="right"/>
      </w:pPr>
      <w:r>
        <w:t>Zagreb, 25. lipnja</w:t>
      </w:r>
      <w:r w:rsidR="001E2B22">
        <w:t>.2019.</w:t>
      </w:r>
    </w:p>
    <w:p w14:paraId="7DD65D91" w14:textId="77777777" w:rsidR="001E2B22" w:rsidRDefault="001E2B22" w:rsidP="001E2B22">
      <w:pPr>
        <w:jc w:val="right"/>
      </w:pPr>
    </w:p>
    <w:p w14:paraId="23D08B13" w14:textId="77777777" w:rsidR="001E2B22" w:rsidRDefault="001E2B22" w:rsidP="001E2B22">
      <w:pPr>
        <w:jc w:val="right"/>
      </w:pPr>
    </w:p>
    <w:p w14:paraId="12741413" w14:textId="77777777" w:rsidR="001E2B22" w:rsidRDefault="001E2B22" w:rsidP="001E2B22">
      <w:pPr>
        <w:jc w:val="right"/>
      </w:pPr>
    </w:p>
    <w:p w14:paraId="0A32CAE9" w14:textId="77777777" w:rsidR="001E2B22" w:rsidRDefault="001E2B22" w:rsidP="001E2B22">
      <w:pPr>
        <w:jc w:val="both"/>
      </w:pPr>
      <w: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E2B22" w14:paraId="172736B2" w14:textId="77777777" w:rsidTr="001E2B22">
        <w:tc>
          <w:tcPr>
            <w:tcW w:w="1951" w:type="dxa"/>
            <w:hideMark/>
          </w:tcPr>
          <w:p w14:paraId="599F145A" w14:textId="77777777" w:rsidR="001E2B22" w:rsidRDefault="001E2B22">
            <w:pPr>
              <w:spacing w:line="360" w:lineRule="auto"/>
              <w:jc w:val="right"/>
            </w:pPr>
            <w:r>
              <w:t xml:space="preserve"> </w:t>
            </w:r>
            <w:r>
              <w:rPr>
                <w:b/>
                <w:smallCaps/>
              </w:rPr>
              <w:t>Predlagatelj</w:t>
            </w:r>
            <w:r>
              <w:rPr>
                <w:b/>
              </w:rPr>
              <w:t>:</w:t>
            </w:r>
          </w:p>
        </w:tc>
        <w:tc>
          <w:tcPr>
            <w:tcW w:w="7229" w:type="dxa"/>
            <w:hideMark/>
          </w:tcPr>
          <w:p w14:paraId="46DC9404" w14:textId="77777777" w:rsidR="001E2B22" w:rsidRDefault="001E2B22" w:rsidP="001E2B22">
            <w:pPr>
              <w:spacing w:line="360" w:lineRule="auto"/>
            </w:pPr>
            <w:r>
              <w:t>Ministarstvo poljoprivrede</w:t>
            </w:r>
          </w:p>
        </w:tc>
      </w:tr>
    </w:tbl>
    <w:p w14:paraId="566A0AF4" w14:textId="77777777" w:rsidR="001E2B22" w:rsidRDefault="001E2B22" w:rsidP="001E2B22">
      <w:pPr>
        <w:jc w:val="both"/>
        <w:rPr>
          <w:lang w:eastAsia="en-US"/>
        </w:rPr>
      </w:pPr>
      <w: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E2B22" w14:paraId="3070E4FA" w14:textId="77777777" w:rsidTr="001E2B22">
        <w:tc>
          <w:tcPr>
            <w:tcW w:w="1951" w:type="dxa"/>
            <w:hideMark/>
          </w:tcPr>
          <w:p w14:paraId="3D3306A3" w14:textId="77777777" w:rsidR="001E2B22" w:rsidRDefault="001E2B22">
            <w:pPr>
              <w:spacing w:line="360" w:lineRule="auto"/>
              <w:jc w:val="right"/>
            </w:pPr>
            <w:r>
              <w:rPr>
                <w:b/>
                <w:smallCaps/>
              </w:rPr>
              <w:t>Predmet</w:t>
            </w:r>
            <w:r>
              <w:rPr>
                <w:b/>
              </w:rPr>
              <w:t>:</w:t>
            </w:r>
          </w:p>
        </w:tc>
        <w:tc>
          <w:tcPr>
            <w:tcW w:w="7229" w:type="dxa"/>
            <w:hideMark/>
          </w:tcPr>
          <w:p w14:paraId="69926671" w14:textId="65B8CA81" w:rsidR="001E2B22" w:rsidRDefault="001E2B22" w:rsidP="006F6AC3">
            <w:pPr>
              <w:spacing w:line="360" w:lineRule="auto"/>
              <w:jc w:val="both"/>
            </w:pPr>
            <w:r>
              <w:t>Pri</w:t>
            </w:r>
            <w:r w:rsidR="00A82C13">
              <w:t>jedlog odluke o donošenju I</w:t>
            </w:r>
            <w:bookmarkStart w:id="0" w:name="_GoBack"/>
            <w:bookmarkEnd w:id="0"/>
            <w:r>
              <w:t xml:space="preserve">zmjena i dopuna Nacionalnog programa pomoći sektoru vina za razdoblje od 2019. do 2023. </w:t>
            </w:r>
            <w:r w:rsidR="003E5970">
              <w:t>godine</w:t>
            </w:r>
          </w:p>
        </w:tc>
      </w:tr>
    </w:tbl>
    <w:p w14:paraId="760D222F" w14:textId="77777777" w:rsidR="001E2B22" w:rsidRDefault="001E2B22" w:rsidP="001E2B22">
      <w:pPr>
        <w:jc w:val="both"/>
        <w:rPr>
          <w:lang w:eastAsia="en-US"/>
        </w:rPr>
      </w:pPr>
      <w:r>
        <w:t>__________________________________________________________________________</w:t>
      </w:r>
    </w:p>
    <w:p w14:paraId="70E55D55" w14:textId="77777777" w:rsidR="001E2B22" w:rsidRDefault="001E2B22" w:rsidP="001E2B22">
      <w:pPr>
        <w:jc w:val="both"/>
      </w:pPr>
    </w:p>
    <w:p w14:paraId="2A3A7440" w14:textId="77777777" w:rsidR="001E2B22" w:rsidRDefault="001E2B22" w:rsidP="001E2B22">
      <w:pPr>
        <w:jc w:val="both"/>
      </w:pPr>
    </w:p>
    <w:p w14:paraId="1F8A8428" w14:textId="77777777" w:rsidR="001E2B22" w:rsidRDefault="001E2B22" w:rsidP="001E2B22">
      <w:pPr>
        <w:jc w:val="both"/>
      </w:pPr>
    </w:p>
    <w:p w14:paraId="1FFCC242" w14:textId="77777777" w:rsidR="001E2B22" w:rsidRDefault="001E2B22" w:rsidP="001E2B22">
      <w:pPr>
        <w:jc w:val="both"/>
      </w:pPr>
    </w:p>
    <w:p w14:paraId="3EB51BA5" w14:textId="77777777" w:rsidR="001E2B22" w:rsidRDefault="001E2B22" w:rsidP="001E2B22">
      <w:pPr>
        <w:jc w:val="both"/>
      </w:pPr>
    </w:p>
    <w:p w14:paraId="44F24F39" w14:textId="77777777" w:rsidR="001E2B22" w:rsidRDefault="001E2B22" w:rsidP="001E2B22">
      <w:pPr>
        <w:jc w:val="both"/>
      </w:pPr>
    </w:p>
    <w:p w14:paraId="1ED62616" w14:textId="77777777" w:rsidR="001E2B22" w:rsidRDefault="001E2B22" w:rsidP="001E2B22">
      <w:pPr>
        <w:jc w:val="both"/>
      </w:pPr>
    </w:p>
    <w:p w14:paraId="187FCE72" w14:textId="77777777" w:rsidR="001E2B22" w:rsidRDefault="001E2B22" w:rsidP="001E2B22">
      <w:pPr>
        <w:jc w:val="both"/>
      </w:pPr>
    </w:p>
    <w:p w14:paraId="7A1FA495" w14:textId="77777777" w:rsidR="001E2B22" w:rsidRDefault="001E2B22" w:rsidP="001E2B22">
      <w:pPr>
        <w:jc w:val="both"/>
      </w:pPr>
    </w:p>
    <w:p w14:paraId="2AF9D8AC" w14:textId="77777777" w:rsidR="001E2B22" w:rsidRDefault="001E2B22" w:rsidP="001E2B22">
      <w:pPr>
        <w:jc w:val="both"/>
      </w:pPr>
    </w:p>
    <w:p w14:paraId="4DFA11BB" w14:textId="77777777" w:rsidR="001E2B22" w:rsidRDefault="001E2B22" w:rsidP="001E2B22">
      <w:pPr>
        <w:jc w:val="both"/>
      </w:pPr>
    </w:p>
    <w:p w14:paraId="0D870535" w14:textId="77777777" w:rsidR="001E2B22" w:rsidRDefault="001E2B22" w:rsidP="001E2B22">
      <w:pPr>
        <w:jc w:val="both"/>
      </w:pPr>
    </w:p>
    <w:p w14:paraId="0FDF86AB" w14:textId="77777777" w:rsidR="001E2B22" w:rsidRDefault="001E2B22" w:rsidP="001E2B22">
      <w:pPr>
        <w:jc w:val="both"/>
      </w:pPr>
    </w:p>
    <w:p w14:paraId="0D3DFB62" w14:textId="77777777" w:rsidR="001E2B22" w:rsidRDefault="001E2B22" w:rsidP="001E2B22">
      <w:pPr>
        <w:jc w:val="both"/>
      </w:pPr>
    </w:p>
    <w:p w14:paraId="1DE186FE" w14:textId="77777777" w:rsidR="001E2B22" w:rsidRDefault="001E2B22" w:rsidP="001E2B22">
      <w:pPr>
        <w:jc w:val="both"/>
      </w:pPr>
    </w:p>
    <w:p w14:paraId="70046E13" w14:textId="77777777" w:rsidR="001E2B22" w:rsidRDefault="001E2B22" w:rsidP="001E2B22">
      <w:pPr>
        <w:jc w:val="both"/>
      </w:pPr>
    </w:p>
    <w:p w14:paraId="74FFCAC2" w14:textId="77777777" w:rsidR="001E2B22" w:rsidRDefault="001E2B22" w:rsidP="001E2B22">
      <w:pPr>
        <w:jc w:val="both"/>
      </w:pPr>
    </w:p>
    <w:p w14:paraId="1412580F" w14:textId="77777777" w:rsidR="001E2B22" w:rsidRDefault="001E2B22" w:rsidP="001E2B22">
      <w:pPr>
        <w:jc w:val="both"/>
      </w:pPr>
    </w:p>
    <w:p w14:paraId="1EC8FA5D" w14:textId="77777777" w:rsidR="001E2B22" w:rsidRDefault="001E2B22" w:rsidP="001E2B22">
      <w:pPr>
        <w:jc w:val="both"/>
      </w:pPr>
    </w:p>
    <w:p w14:paraId="1F397D21" w14:textId="77777777" w:rsidR="001E2B22" w:rsidRDefault="001E2B22" w:rsidP="001E2B22">
      <w:pPr>
        <w:jc w:val="both"/>
      </w:pPr>
    </w:p>
    <w:p w14:paraId="7B822F6E" w14:textId="77777777" w:rsidR="001E2B22" w:rsidRDefault="001E2B22" w:rsidP="001E2B22">
      <w:pPr>
        <w:pStyle w:val="Header"/>
        <w:rPr>
          <w:rFonts w:asciiTheme="minorHAnsi" w:hAnsiTheme="minorHAnsi" w:cstheme="minorBidi"/>
          <w:sz w:val="22"/>
          <w:szCs w:val="22"/>
        </w:rPr>
      </w:pPr>
    </w:p>
    <w:p w14:paraId="4C628400" w14:textId="77777777" w:rsidR="001E2B22" w:rsidRDefault="001E2B22" w:rsidP="001E2B22"/>
    <w:p w14:paraId="7A6EC359" w14:textId="77777777" w:rsidR="001E2B22" w:rsidRDefault="001E2B22" w:rsidP="001E2B22">
      <w:pPr>
        <w:pStyle w:val="Footer"/>
      </w:pPr>
    </w:p>
    <w:p w14:paraId="064914E3" w14:textId="77777777" w:rsidR="001E2B22" w:rsidRDefault="001E2B22" w:rsidP="001E2B22"/>
    <w:p w14:paraId="3CB2FD24" w14:textId="77777777" w:rsidR="001E2B22" w:rsidRDefault="001E2B22" w:rsidP="001E2B22">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  | 10000 Zagreb | tel. 01 4569 222 | vlada.gov.hr</w:t>
      </w:r>
    </w:p>
    <w:p w14:paraId="39A61C27" w14:textId="77777777" w:rsidR="001E2B22" w:rsidRDefault="001E2B22" w:rsidP="001E2B22">
      <w:pPr>
        <w:pStyle w:val="ListParagraph"/>
        <w:spacing w:after="0"/>
        <w:rPr>
          <w:szCs w:val="24"/>
        </w:rPr>
      </w:pPr>
    </w:p>
    <w:p w14:paraId="3492E859" w14:textId="77777777" w:rsidR="001E2B22" w:rsidRDefault="001E2B22">
      <w:pPr>
        <w:spacing w:after="160" w:line="259" w:lineRule="auto"/>
        <w:rPr>
          <w:rFonts w:eastAsia="Calibri"/>
          <w:color w:val="000000"/>
        </w:rPr>
      </w:pPr>
      <w:r>
        <w:rPr>
          <w:rFonts w:eastAsia="Calibri"/>
          <w:color w:val="000000"/>
        </w:rPr>
        <w:br w:type="page"/>
      </w:r>
    </w:p>
    <w:p w14:paraId="02E8728E" w14:textId="77777777" w:rsidR="009142E8" w:rsidRPr="00DC74E5" w:rsidRDefault="009142E8" w:rsidP="009142E8">
      <w:pPr>
        <w:autoSpaceDE w:val="0"/>
        <w:autoSpaceDN w:val="0"/>
        <w:jc w:val="right"/>
        <w:rPr>
          <w:rFonts w:eastAsia="Calibri"/>
          <w:b/>
          <w:i/>
          <w:color w:val="000000"/>
        </w:rPr>
      </w:pPr>
      <w:r w:rsidRPr="00DC74E5">
        <w:rPr>
          <w:rFonts w:eastAsia="Calibri"/>
          <w:b/>
          <w:i/>
          <w:color w:val="000000"/>
        </w:rPr>
        <w:lastRenderedPageBreak/>
        <w:t>PRIJEDLOG</w:t>
      </w:r>
    </w:p>
    <w:p w14:paraId="2A7F6B5B" w14:textId="77777777" w:rsidR="009142E8" w:rsidRPr="00DD78D2" w:rsidRDefault="009142E8" w:rsidP="009142E8">
      <w:pPr>
        <w:autoSpaceDE w:val="0"/>
        <w:autoSpaceDN w:val="0"/>
        <w:adjustRightInd w:val="0"/>
        <w:jc w:val="both"/>
      </w:pPr>
    </w:p>
    <w:p w14:paraId="75465D9F" w14:textId="77777777" w:rsidR="009142E8" w:rsidRDefault="009142E8" w:rsidP="009142E8">
      <w:pPr>
        <w:autoSpaceDE w:val="0"/>
        <w:autoSpaceDN w:val="0"/>
        <w:adjustRightInd w:val="0"/>
        <w:ind w:firstLine="708"/>
        <w:jc w:val="both"/>
      </w:pPr>
    </w:p>
    <w:p w14:paraId="27828C42" w14:textId="77777777" w:rsidR="009142E8" w:rsidRDefault="009142E8" w:rsidP="009142E8">
      <w:pPr>
        <w:autoSpaceDE w:val="0"/>
        <w:autoSpaceDN w:val="0"/>
        <w:adjustRightInd w:val="0"/>
        <w:ind w:firstLine="708"/>
        <w:jc w:val="both"/>
      </w:pPr>
    </w:p>
    <w:p w14:paraId="564B7E3E" w14:textId="77777777" w:rsidR="009142E8" w:rsidRDefault="009142E8" w:rsidP="009142E8">
      <w:pPr>
        <w:autoSpaceDE w:val="0"/>
        <w:autoSpaceDN w:val="0"/>
        <w:adjustRightInd w:val="0"/>
        <w:ind w:firstLine="708"/>
        <w:jc w:val="both"/>
      </w:pPr>
    </w:p>
    <w:p w14:paraId="2936E831" w14:textId="77777777" w:rsidR="009142E8" w:rsidRDefault="009142E8" w:rsidP="009142E8">
      <w:pPr>
        <w:autoSpaceDE w:val="0"/>
        <w:autoSpaceDN w:val="0"/>
        <w:adjustRightInd w:val="0"/>
        <w:ind w:firstLine="708"/>
        <w:jc w:val="both"/>
      </w:pPr>
    </w:p>
    <w:p w14:paraId="3A766735" w14:textId="77777777" w:rsidR="009142E8" w:rsidRDefault="009142E8" w:rsidP="009142E8">
      <w:pPr>
        <w:autoSpaceDE w:val="0"/>
        <w:autoSpaceDN w:val="0"/>
        <w:adjustRightInd w:val="0"/>
        <w:ind w:firstLine="708"/>
        <w:jc w:val="both"/>
      </w:pPr>
    </w:p>
    <w:p w14:paraId="6B623A10" w14:textId="77777777" w:rsidR="009142E8" w:rsidRDefault="009142E8" w:rsidP="009142E8">
      <w:pPr>
        <w:autoSpaceDE w:val="0"/>
        <w:autoSpaceDN w:val="0"/>
        <w:adjustRightInd w:val="0"/>
        <w:ind w:firstLine="708"/>
        <w:jc w:val="both"/>
      </w:pPr>
    </w:p>
    <w:p w14:paraId="325A618A" w14:textId="77777777" w:rsidR="009142E8" w:rsidRPr="00DD78D2" w:rsidRDefault="009142E8" w:rsidP="009142E8">
      <w:pPr>
        <w:autoSpaceDE w:val="0"/>
        <w:autoSpaceDN w:val="0"/>
        <w:adjustRightInd w:val="0"/>
        <w:ind w:firstLine="708"/>
        <w:jc w:val="both"/>
      </w:pPr>
      <w:r w:rsidRPr="00DD78D2">
        <w:t xml:space="preserve">Na temelju članka </w:t>
      </w:r>
      <w:r>
        <w:t>4</w:t>
      </w:r>
      <w:r w:rsidRPr="00DD78D2">
        <w:t xml:space="preserve">9. stavka 2. Zakona o poljoprivredi </w:t>
      </w:r>
      <w:r>
        <w:t>(</w:t>
      </w:r>
      <w:r w:rsidR="00A37ED3">
        <w:t>»</w:t>
      </w:r>
      <w:r>
        <w:t>Narodne novine</w:t>
      </w:r>
      <w:r w:rsidR="00A37ED3">
        <w:t>«</w:t>
      </w:r>
      <w:r w:rsidRPr="00DD78D2">
        <w:t>, br</w:t>
      </w:r>
      <w:r>
        <w:t>oj 118/18</w:t>
      </w:r>
      <w:r w:rsidR="00CB2F56">
        <w:t xml:space="preserve"> i 42/20</w:t>
      </w:r>
      <w:r w:rsidRPr="00DD78D2">
        <w:t>), Vlada Republike Hrvatske je na sjednici o</w:t>
      </w:r>
      <w:r>
        <w:t>držanoj  __________________ 2020</w:t>
      </w:r>
      <w:r w:rsidRPr="00DD78D2">
        <w:t>. godine donijela</w:t>
      </w:r>
    </w:p>
    <w:p w14:paraId="505CA9FF" w14:textId="77777777" w:rsidR="009142E8" w:rsidRPr="00DD78D2" w:rsidRDefault="009142E8" w:rsidP="009142E8">
      <w:pPr>
        <w:autoSpaceDE w:val="0"/>
        <w:autoSpaceDN w:val="0"/>
        <w:adjustRightInd w:val="0"/>
        <w:jc w:val="both"/>
      </w:pPr>
    </w:p>
    <w:p w14:paraId="0DF284B1" w14:textId="77777777" w:rsidR="009142E8" w:rsidRDefault="009142E8" w:rsidP="009142E8">
      <w:pPr>
        <w:autoSpaceDE w:val="0"/>
        <w:autoSpaceDN w:val="0"/>
        <w:adjustRightInd w:val="0"/>
        <w:jc w:val="center"/>
        <w:rPr>
          <w:b/>
          <w:bCs/>
        </w:rPr>
      </w:pPr>
    </w:p>
    <w:p w14:paraId="2BD920BE" w14:textId="77777777" w:rsidR="009142E8" w:rsidRDefault="009142E8" w:rsidP="009142E8">
      <w:pPr>
        <w:autoSpaceDE w:val="0"/>
        <w:autoSpaceDN w:val="0"/>
        <w:adjustRightInd w:val="0"/>
        <w:jc w:val="center"/>
        <w:rPr>
          <w:b/>
          <w:bCs/>
        </w:rPr>
      </w:pPr>
    </w:p>
    <w:p w14:paraId="43C9D378" w14:textId="77777777" w:rsidR="009142E8" w:rsidRPr="00AD6ACC" w:rsidRDefault="009142E8" w:rsidP="009142E8">
      <w:pPr>
        <w:jc w:val="center"/>
        <w:rPr>
          <w:b/>
        </w:rPr>
      </w:pPr>
      <w:r w:rsidRPr="00AD6ACC">
        <w:rPr>
          <w:b/>
        </w:rPr>
        <w:t xml:space="preserve">O D L U K U </w:t>
      </w:r>
    </w:p>
    <w:p w14:paraId="30C27025" w14:textId="5C19CA0F" w:rsidR="009142E8" w:rsidRPr="00DD78D2" w:rsidRDefault="009142E8" w:rsidP="009142E8">
      <w:pPr>
        <w:autoSpaceDE w:val="0"/>
        <w:autoSpaceDN w:val="0"/>
        <w:adjustRightInd w:val="0"/>
        <w:jc w:val="center"/>
        <w:rPr>
          <w:b/>
          <w:bCs/>
        </w:rPr>
      </w:pPr>
      <w:r>
        <w:t>o donošenju Izmjena i dopuna</w:t>
      </w:r>
      <w:r w:rsidRPr="00CD4E1A">
        <w:t xml:space="preserve"> Nacionalnog programa pomoći sektoru vina za razdoblje od 2019. do 2023. </w:t>
      </w:r>
      <w:r w:rsidR="003E5970">
        <w:t>godine</w:t>
      </w:r>
    </w:p>
    <w:p w14:paraId="2E551535" w14:textId="77777777" w:rsidR="009142E8" w:rsidRDefault="009142E8" w:rsidP="009142E8">
      <w:pPr>
        <w:autoSpaceDE w:val="0"/>
        <w:autoSpaceDN w:val="0"/>
        <w:adjustRightInd w:val="0"/>
        <w:jc w:val="center"/>
        <w:rPr>
          <w:b/>
          <w:bCs/>
        </w:rPr>
      </w:pPr>
    </w:p>
    <w:p w14:paraId="111B5CF6" w14:textId="77777777" w:rsidR="009142E8" w:rsidRDefault="009142E8" w:rsidP="009142E8">
      <w:pPr>
        <w:autoSpaceDE w:val="0"/>
        <w:autoSpaceDN w:val="0"/>
        <w:adjustRightInd w:val="0"/>
        <w:jc w:val="center"/>
        <w:rPr>
          <w:b/>
          <w:bCs/>
        </w:rPr>
      </w:pPr>
    </w:p>
    <w:p w14:paraId="61CA0083" w14:textId="77777777" w:rsidR="009142E8" w:rsidRPr="00DD78D2" w:rsidRDefault="009142E8" w:rsidP="009142E8">
      <w:pPr>
        <w:autoSpaceDE w:val="0"/>
        <w:autoSpaceDN w:val="0"/>
        <w:adjustRightInd w:val="0"/>
        <w:jc w:val="center"/>
        <w:rPr>
          <w:b/>
          <w:bCs/>
        </w:rPr>
      </w:pPr>
      <w:r w:rsidRPr="00DD78D2">
        <w:rPr>
          <w:b/>
          <w:bCs/>
        </w:rPr>
        <w:t>I.</w:t>
      </w:r>
    </w:p>
    <w:p w14:paraId="1D8295CE" w14:textId="77777777" w:rsidR="009142E8" w:rsidRPr="00DD78D2" w:rsidRDefault="009142E8" w:rsidP="009142E8">
      <w:pPr>
        <w:autoSpaceDE w:val="0"/>
        <w:autoSpaceDN w:val="0"/>
        <w:adjustRightInd w:val="0"/>
        <w:jc w:val="center"/>
        <w:rPr>
          <w:b/>
          <w:bCs/>
        </w:rPr>
      </w:pPr>
    </w:p>
    <w:p w14:paraId="35B9CF1C" w14:textId="7234D097" w:rsidR="009142E8" w:rsidRPr="00DD78D2" w:rsidRDefault="009142E8" w:rsidP="009142E8">
      <w:pPr>
        <w:autoSpaceDE w:val="0"/>
        <w:autoSpaceDN w:val="0"/>
        <w:adjustRightInd w:val="0"/>
        <w:ind w:firstLine="708"/>
        <w:jc w:val="both"/>
      </w:pPr>
      <w:r>
        <w:t>Donose</w:t>
      </w:r>
      <w:r w:rsidRPr="00DD78D2">
        <w:t xml:space="preserve"> se </w:t>
      </w:r>
      <w:r w:rsidRPr="00CD4E1A">
        <w:t>Izmjen</w:t>
      </w:r>
      <w:r w:rsidR="00A002C9">
        <w:t>e</w:t>
      </w:r>
      <w:r w:rsidRPr="00CD4E1A">
        <w:t xml:space="preserve"> i dopun</w:t>
      </w:r>
      <w:r w:rsidR="00A002C9">
        <w:t>e</w:t>
      </w:r>
      <w:r w:rsidRPr="00CD4E1A">
        <w:t xml:space="preserve"> Nacionalnog programa pomoći sektoru vina za razdoblje od 2019. do 2023. </w:t>
      </w:r>
      <w:r w:rsidR="003E5970">
        <w:t xml:space="preserve">godine </w:t>
      </w:r>
      <w:r w:rsidRPr="00DD78D2">
        <w:t xml:space="preserve">(u daljnjem tekstu: </w:t>
      </w:r>
      <w:r w:rsidRPr="00E926A3">
        <w:t>Izmjene i dopun</w:t>
      </w:r>
      <w:r w:rsidR="00A002C9">
        <w:t xml:space="preserve">e </w:t>
      </w:r>
      <w:r w:rsidRPr="00DD78D2">
        <w:t>Program</w:t>
      </w:r>
      <w:r>
        <w:t>a</w:t>
      </w:r>
      <w:r w:rsidRPr="00DD78D2">
        <w:t xml:space="preserve">) </w:t>
      </w:r>
      <w:r>
        <w:t xml:space="preserve">u tekstu koji je Vladi Republike Hrvatske dostavilo Ministarstvo poljoprivrede aktom, </w:t>
      </w:r>
      <w:r w:rsidR="00A002C9">
        <w:t>KLASA</w:t>
      </w:r>
      <w:r>
        <w:t xml:space="preserve">:__________, </w:t>
      </w:r>
      <w:r w:rsidR="00A002C9">
        <w:t>URBROJ</w:t>
      </w:r>
      <w:r>
        <w:t>: _______________, od __________ 2020. godine.</w:t>
      </w:r>
    </w:p>
    <w:p w14:paraId="1929E334" w14:textId="77777777" w:rsidR="000F3178" w:rsidRDefault="000F3178" w:rsidP="009142E8">
      <w:pPr>
        <w:autoSpaceDE w:val="0"/>
        <w:autoSpaceDN w:val="0"/>
        <w:adjustRightInd w:val="0"/>
        <w:jc w:val="center"/>
        <w:rPr>
          <w:b/>
          <w:bCs/>
        </w:rPr>
      </w:pPr>
    </w:p>
    <w:p w14:paraId="46BFDC1F" w14:textId="59226FDA" w:rsidR="009142E8" w:rsidRPr="00DD78D2" w:rsidRDefault="009142E8" w:rsidP="009142E8">
      <w:pPr>
        <w:autoSpaceDE w:val="0"/>
        <w:autoSpaceDN w:val="0"/>
        <w:adjustRightInd w:val="0"/>
        <w:jc w:val="center"/>
        <w:rPr>
          <w:b/>
          <w:bCs/>
        </w:rPr>
      </w:pPr>
      <w:r w:rsidRPr="00DD78D2">
        <w:rPr>
          <w:b/>
          <w:bCs/>
        </w:rPr>
        <w:t>II.</w:t>
      </w:r>
    </w:p>
    <w:p w14:paraId="496C7764" w14:textId="77777777" w:rsidR="009142E8" w:rsidRPr="00DD78D2" w:rsidRDefault="009142E8" w:rsidP="009142E8">
      <w:pPr>
        <w:autoSpaceDE w:val="0"/>
        <w:autoSpaceDN w:val="0"/>
        <w:adjustRightInd w:val="0"/>
        <w:jc w:val="center"/>
        <w:rPr>
          <w:b/>
          <w:bCs/>
        </w:rPr>
      </w:pPr>
    </w:p>
    <w:p w14:paraId="612D00E8" w14:textId="138AC685" w:rsidR="009142E8" w:rsidRDefault="009142E8" w:rsidP="009142E8">
      <w:pPr>
        <w:autoSpaceDE w:val="0"/>
        <w:autoSpaceDN w:val="0"/>
        <w:adjustRightInd w:val="0"/>
        <w:ind w:firstLine="708"/>
        <w:jc w:val="both"/>
      </w:pPr>
      <w:r w:rsidRPr="006F592A">
        <w:t xml:space="preserve">Ministarstvo poljoprivrede osiguralo je sredstva za provedbu Nacionalnog programa pomoći sektoru vina </w:t>
      </w:r>
      <w:r>
        <w:t xml:space="preserve">za razdoblje od </w:t>
      </w:r>
      <w:r w:rsidRPr="006F592A">
        <w:t xml:space="preserve">2019. </w:t>
      </w:r>
      <w:r>
        <w:t>do</w:t>
      </w:r>
      <w:r w:rsidRPr="006F592A">
        <w:t xml:space="preserve"> 2023.</w:t>
      </w:r>
      <w:r>
        <w:t xml:space="preserve"> (u daljnjem tekstu: Nacionalni program),</w:t>
      </w:r>
      <w:r w:rsidRPr="006F592A">
        <w:t xml:space="preserve"> u Državnom proračunu Republike Hrvatske</w:t>
      </w:r>
      <w:r>
        <w:t xml:space="preserve">. </w:t>
      </w:r>
      <w:r w:rsidRPr="006F592A">
        <w:t xml:space="preserve">Sredstva za 2020. </w:t>
      </w:r>
      <w:r>
        <w:t xml:space="preserve">u iznosu </w:t>
      </w:r>
      <w:r w:rsidRPr="006F592A">
        <w:t xml:space="preserve">od </w:t>
      </w:r>
      <w:r>
        <w:t>9</w:t>
      </w:r>
      <w:r w:rsidRPr="006F592A">
        <w:t>3.190.750,00 k</w:t>
      </w:r>
      <w:r>
        <w:t>una</w:t>
      </w:r>
      <w:r w:rsidRPr="006F592A">
        <w:t xml:space="preserve"> planirana su u Državnom proračunu Republike Hrvatske za 20</w:t>
      </w:r>
      <w:r>
        <w:t>20</w:t>
      </w:r>
      <w:r w:rsidRPr="006F592A">
        <w:t>. godinu i projekcijama za 20</w:t>
      </w:r>
      <w:r>
        <w:t>21</w:t>
      </w:r>
      <w:r w:rsidRPr="006F592A">
        <w:t>. i 202</w:t>
      </w:r>
      <w:r>
        <w:t>2</w:t>
      </w:r>
      <w:r w:rsidRPr="006F592A">
        <w:t xml:space="preserve">. godinu </w:t>
      </w:r>
      <w:r w:rsidR="00A37ED3">
        <w:t>(»Narodne novine«</w:t>
      </w:r>
      <w:r w:rsidR="00A37ED3" w:rsidRPr="00DD78D2">
        <w:t>,</w:t>
      </w:r>
      <w:r w:rsidR="00A37ED3" w:rsidRPr="006F592A" w:rsidDel="00A37ED3">
        <w:t xml:space="preserve"> </w:t>
      </w:r>
      <w:r w:rsidRPr="006F592A">
        <w:t>br. 1</w:t>
      </w:r>
      <w:r>
        <w:t>17</w:t>
      </w:r>
      <w:r w:rsidRPr="006F592A">
        <w:t>/1</w:t>
      </w:r>
      <w:r>
        <w:t>9 i 58/20),</w:t>
      </w:r>
      <w:r w:rsidRPr="006F592A">
        <w:t xml:space="preserve"> </w:t>
      </w:r>
      <w:r>
        <w:t xml:space="preserve">u </w:t>
      </w:r>
      <w:r w:rsidRPr="006F592A">
        <w:t xml:space="preserve">okviru razdjela 060 Ministarstva poljoprivrede, na proračunskoj poziciji A821058 - ZPP - mjere uređenja tržišta poljoprivrednih proizvoda, </w:t>
      </w:r>
      <w:r>
        <w:t xml:space="preserve">a </w:t>
      </w:r>
      <w:r w:rsidRPr="006F592A">
        <w:t>u projekcijama za 20</w:t>
      </w:r>
      <w:r>
        <w:t>2</w:t>
      </w:r>
      <w:r w:rsidRPr="006F592A">
        <w:t>1. i 202</w:t>
      </w:r>
      <w:r>
        <w:t>2</w:t>
      </w:r>
      <w:r w:rsidRPr="006F592A">
        <w:t>. u iznosu od 83.190.750,00 k</w:t>
      </w:r>
      <w:r>
        <w:t>una</w:t>
      </w:r>
      <w:r w:rsidRPr="006F592A">
        <w:t xml:space="preserve"> godišnje.</w:t>
      </w:r>
      <w:r w:rsidR="00096D06">
        <w:t xml:space="preserve"> </w:t>
      </w:r>
    </w:p>
    <w:p w14:paraId="1688AC5C" w14:textId="77777777" w:rsidR="009142E8" w:rsidRPr="00906ECA" w:rsidRDefault="009142E8" w:rsidP="009142E8">
      <w:pPr>
        <w:autoSpaceDE w:val="0"/>
        <w:autoSpaceDN w:val="0"/>
        <w:adjustRightInd w:val="0"/>
        <w:jc w:val="both"/>
      </w:pPr>
    </w:p>
    <w:p w14:paraId="1449045D" w14:textId="77777777" w:rsidR="009142E8" w:rsidRDefault="009142E8" w:rsidP="009142E8">
      <w:pPr>
        <w:autoSpaceDE w:val="0"/>
        <w:autoSpaceDN w:val="0"/>
        <w:adjustRightInd w:val="0"/>
        <w:jc w:val="center"/>
        <w:rPr>
          <w:b/>
          <w:bCs/>
        </w:rPr>
      </w:pPr>
    </w:p>
    <w:p w14:paraId="50392D70" w14:textId="77777777" w:rsidR="009142E8" w:rsidRDefault="009142E8" w:rsidP="009142E8">
      <w:pPr>
        <w:autoSpaceDE w:val="0"/>
        <w:autoSpaceDN w:val="0"/>
        <w:adjustRightInd w:val="0"/>
        <w:jc w:val="center"/>
        <w:rPr>
          <w:b/>
          <w:bCs/>
        </w:rPr>
      </w:pPr>
      <w:r w:rsidRPr="00DD78D2">
        <w:rPr>
          <w:b/>
          <w:bCs/>
        </w:rPr>
        <w:t>III.</w:t>
      </w:r>
    </w:p>
    <w:p w14:paraId="3C9110BB" w14:textId="77777777" w:rsidR="006554C0" w:rsidRDefault="006554C0" w:rsidP="009142E8">
      <w:pPr>
        <w:autoSpaceDE w:val="0"/>
        <w:autoSpaceDN w:val="0"/>
        <w:adjustRightInd w:val="0"/>
        <w:jc w:val="center"/>
        <w:rPr>
          <w:b/>
          <w:bCs/>
        </w:rPr>
      </w:pPr>
    </w:p>
    <w:p w14:paraId="243BB71E" w14:textId="77777777" w:rsidR="009142E8" w:rsidRDefault="009142E8" w:rsidP="009142E8">
      <w:pPr>
        <w:spacing w:after="200"/>
        <w:ind w:firstLine="708"/>
        <w:jc w:val="both"/>
      </w:pPr>
      <w:r w:rsidRPr="009476CE">
        <w:t>Ministar nadležan za poljoprivredu može s ciljem maksimalnog iskorištenja raspoloživih sredstava, imajući u vidu interese korisnika Nacionalnog programa, raspodijeliti sredstva između pojedinih mjera/podmjera Nacionalnog programa pod uvjetom da se ne prelazi ukupno predviđeni iznos u godini provedbe Nacionalnog programa utvrđen Općom financijskom tablicom Prilog II - Točka F. Programa.</w:t>
      </w:r>
    </w:p>
    <w:p w14:paraId="21ECC3EE" w14:textId="77777777" w:rsidR="000E4064" w:rsidRDefault="000E4064" w:rsidP="009142E8">
      <w:pPr>
        <w:spacing w:after="200"/>
        <w:ind w:firstLine="708"/>
        <w:jc w:val="both"/>
      </w:pPr>
      <w:r>
        <w:lastRenderedPageBreak/>
        <w:t xml:space="preserve">Sukladno stavku 1. ove </w:t>
      </w:r>
      <w:r w:rsidR="007B0E09">
        <w:t>točke</w:t>
      </w:r>
      <w:r>
        <w:t xml:space="preserve"> </w:t>
      </w:r>
      <w:r w:rsidR="00830C89">
        <w:t>m</w:t>
      </w:r>
      <w:r>
        <w:t>inistar može</w:t>
      </w:r>
      <w:r w:rsidR="0046251F">
        <w:t xml:space="preserve"> u slučaju </w:t>
      </w:r>
      <w:r w:rsidR="005F3E43">
        <w:t>ne iskorištenja</w:t>
      </w:r>
      <w:r w:rsidR="0046251F">
        <w:t xml:space="preserve"> kvota u mjerama </w:t>
      </w:r>
      <w:r w:rsidR="0046251F" w:rsidRPr="004A705B">
        <w:rPr>
          <w:rStyle w:val="naslov3Char"/>
          <w:b w:val="0"/>
          <w:bCs/>
          <w:sz w:val="24"/>
          <w:szCs w:val="24"/>
        </w:rPr>
        <w:t>Destilacija vina u kriznim slučajevima i</w:t>
      </w:r>
      <w:r w:rsidR="0046251F" w:rsidRPr="004A705B">
        <w:rPr>
          <w:rStyle w:val="naslov3Char"/>
          <w:bCs/>
          <w:sz w:val="24"/>
          <w:szCs w:val="24"/>
        </w:rPr>
        <w:t xml:space="preserve"> </w:t>
      </w:r>
      <w:r w:rsidR="0046251F" w:rsidRPr="004A705B">
        <w:t xml:space="preserve">Potpora za krizno skladištenje vina, </w:t>
      </w:r>
      <w:r w:rsidR="005F3E43" w:rsidRPr="004A705B">
        <w:t>izvršiti</w:t>
      </w:r>
      <w:r w:rsidR="0076068F" w:rsidRPr="004A705B">
        <w:t xml:space="preserve"> odgovarajuće</w:t>
      </w:r>
      <w:r w:rsidR="005F3E43" w:rsidRPr="004A705B">
        <w:t xml:space="preserve"> povećanje</w:t>
      </w:r>
      <w:r w:rsidR="0076068F" w:rsidRPr="004A705B">
        <w:t>,</w:t>
      </w:r>
      <w:r w:rsidR="005F3E43" w:rsidRPr="004A705B">
        <w:t xml:space="preserve"> odnosno </w:t>
      </w:r>
      <w:r w:rsidR="0076068F" w:rsidRPr="004A705B">
        <w:t xml:space="preserve">odgovarajuće </w:t>
      </w:r>
      <w:r w:rsidR="005F3E43" w:rsidRPr="004A705B">
        <w:t>smanjen</w:t>
      </w:r>
      <w:r w:rsidR="0076068F" w:rsidRPr="004A705B">
        <w:t>j</w:t>
      </w:r>
      <w:r w:rsidR="005F3E43" w:rsidRPr="004A705B">
        <w:t>e</w:t>
      </w:r>
      <w:r w:rsidR="0076068F" w:rsidRPr="004A705B">
        <w:t>,</w:t>
      </w:r>
      <w:r w:rsidR="005F3E43" w:rsidRPr="004A705B">
        <w:t xml:space="preserve"> utvrđenih količinskih kvota vina </w:t>
      </w:r>
      <w:r w:rsidR="0076068F" w:rsidRPr="004A705B">
        <w:t>predviđenog za destilaciju</w:t>
      </w:r>
      <w:r w:rsidR="0076068F">
        <w:t xml:space="preserve"> i krizno skladištenje, a ovisno o neiskorištenim financijskim sredstvima koja proizlaze iz određene neiskorištene kvote.</w:t>
      </w:r>
    </w:p>
    <w:p w14:paraId="1325469F" w14:textId="77777777" w:rsidR="009142E8" w:rsidRPr="00DD78D2" w:rsidRDefault="0076068F" w:rsidP="0076068F">
      <w:pPr>
        <w:spacing w:after="200"/>
        <w:ind w:firstLine="708"/>
        <w:jc w:val="both"/>
        <w:rPr>
          <w:b/>
          <w:bCs/>
        </w:rPr>
      </w:pPr>
      <w:r>
        <w:t>U provedbi preraspodjele sredstava</w:t>
      </w:r>
      <w:r w:rsidR="006554C0">
        <w:t>,</w:t>
      </w:r>
      <w:r>
        <w:t xml:space="preserve"> </w:t>
      </w:r>
      <w:r w:rsidR="00703971">
        <w:t>iz</w:t>
      </w:r>
      <w:r>
        <w:t xml:space="preserve"> stavk</w:t>
      </w:r>
      <w:r w:rsidR="00703971">
        <w:t>a</w:t>
      </w:r>
      <w:r>
        <w:t xml:space="preserve"> 2. ove točke</w:t>
      </w:r>
      <w:r w:rsidR="006554C0">
        <w:t>,</w:t>
      </w:r>
      <w:r>
        <w:t xml:space="preserve"> provodi se </w:t>
      </w:r>
      <w:r w:rsidR="000F2E47">
        <w:t xml:space="preserve">odgovarajuće </w:t>
      </w:r>
      <w:r>
        <w:t>povećanje</w:t>
      </w:r>
      <w:r w:rsidR="000F2E47">
        <w:t>,</w:t>
      </w:r>
      <w:r>
        <w:t xml:space="preserve"> odnosno smanjenje</w:t>
      </w:r>
      <w:r w:rsidR="000F2E47">
        <w:t>,</w:t>
      </w:r>
      <w:r>
        <w:t xml:space="preserve"> planiranih financijskih sredstava za pojedine </w:t>
      </w:r>
      <w:r w:rsidR="000F2E47">
        <w:t xml:space="preserve">potpore te u skladu s time i utvrđenih količinskih kvota vina za destilaciju ili krizno skladištenje, a </w:t>
      </w:r>
      <w:r>
        <w:t xml:space="preserve">bez povećanja nominalnog iznosa potpore u tim mjerama. </w:t>
      </w:r>
    </w:p>
    <w:p w14:paraId="18130E57" w14:textId="77777777" w:rsidR="009142E8" w:rsidRDefault="009142E8" w:rsidP="009142E8">
      <w:pPr>
        <w:autoSpaceDE w:val="0"/>
        <w:autoSpaceDN w:val="0"/>
        <w:adjustRightInd w:val="0"/>
        <w:jc w:val="center"/>
        <w:rPr>
          <w:b/>
          <w:bCs/>
        </w:rPr>
      </w:pPr>
    </w:p>
    <w:p w14:paraId="2E19EB82" w14:textId="77777777" w:rsidR="00E0331A" w:rsidRDefault="00611B5F" w:rsidP="00E0331A">
      <w:pPr>
        <w:autoSpaceDE w:val="0"/>
        <w:autoSpaceDN w:val="0"/>
        <w:adjustRightInd w:val="0"/>
        <w:jc w:val="center"/>
        <w:rPr>
          <w:b/>
          <w:bCs/>
        </w:rPr>
      </w:pPr>
      <w:r>
        <w:rPr>
          <w:b/>
          <w:bCs/>
        </w:rPr>
        <w:t xml:space="preserve">IV. </w:t>
      </w:r>
    </w:p>
    <w:p w14:paraId="336CB424" w14:textId="77777777" w:rsidR="006554C0" w:rsidRPr="00DD78D2" w:rsidRDefault="006554C0" w:rsidP="009142E8">
      <w:pPr>
        <w:autoSpaceDE w:val="0"/>
        <w:autoSpaceDN w:val="0"/>
        <w:adjustRightInd w:val="0"/>
        <w:jc w:val="center"/>
        <w:rPr>
          <w:b/>
          <w:bCs/>
        </w:rPr>
      </w:pPr>
    </w:p>
    <w:p w14:paraId="6C47A1B7" w14:textId="77777777" w:rsidR="009142E8" w:rsidRPr="00DD78D2" w:rsidRDefault="009142E8" w:rsidP="009142E8">
      <w:pPr>
        <w:autoSpaceDE w:val="0"/>
        <w:autoSpaceDN w:val="0"/>
        <w:adjustRightInd w:val="0"/>
        <w:ind w:firstLine="708"/>
        <w:jc w:val="both"/>
      </w:pPr>
      <w:r w:rsidRPr="00DD78D2">
        <w:t>Zadužuje se Ministarstvo poljoprivrede da o donošenju ove Odluke izvijesti Agenciju za plaćanja u poljoprivredi, ribarstvu i ruralnom razvoju.</w:t>
      </w:r>
    </w:p>
    <w:p w14:paraId="1313E51D" w14:textId="77777777" w:rsidR="009142E8" w:rsidRPr="00DD78D2" w:rsidRDefault="009142E8" w:rsidP="009142E8">
      <w:pPr>
        <w:autoSpaceDE w:val="0"/>
        <w:autoSpaceDN w:val="0"/>
        <w:adjustRightInd w:val="0"/>
        <w:jc w:val="both"/>
      </w:pPr>
    </w:p>
    <w:p w14:paraId="7D495848" w14:textId="77777777" w:rsidR="009142E8" w:rsidRPr="00DD78D2" w:rsidRDefault="009142E8" w:rsidP="009142E8">
      <w:pPr>
        <w:autoSpaceDE w:val="0"/>
        <w:autoSpaceDN w:val="0"/>
        <w:adjustRightInd w:val="0"/>
        <w:jc w:val="center"/>
        <w:rPr>
          <w:b/>
          <w:bCs/>
        </w:rPr>
      </w:pPr>
      <w:r w:rsidRPr="00DD78D2">
        <w:rPr>
          <w:b/>
          <w:bCs/>
        </w:rPr>
        <w:t>V.</w:t>
      </w:r>
    </w:p>
    <w:p w14:paraId="01CCBEB1" w14:textId="77777777" w:rsidR="009142E8" w:rsidRPr="00DD78D2" w:rsidRDefault="009142E8" w:rsidP="009142E8">
      <w:pPr>
        <w:autoSpaceDE w:val="0"/>
        <w:autoSpaceDN w:val="0"/>
        <w:adjustRightInd w:val="0"/>
        <w:jc w:val="center"/>
        <w:rPr>
          <w:b/>
          <w:bCs/>
        </w:rPr>
      </w:pPr>
    </w:p>
    <w:p w14:paraId="26BC3B95" w14:textId="77777777" w:rsidR="009142E8" w:rsidRPr="00DD78D2" w:rsidRDefault="009142E8" w:rsidP="009142E8">
      <w:pPr>
        <w:autoSpaceDE w:val="0"/>
        <w:autoSpaceDN w:val="0"/>
        <w:adjustRightInd w:val="0"/>
        <w:ind w:firstLine="708"/>
        <w:jc w:val="both"/>
      </w:pPr>
      <w:r w:rsidRPr="00DD78D2">
        <w:t xml:space="preserve">Zadužuje se Ministarstvo poljoprivrede da na svojim mrežnim stranicama objavi </w:t>
      </w:r>
      <w:r>
        <w:t xml:space="preserve">Izmjene i dopunu </w:t>
      </w:r>
      <w:r w:rsidRPr="00DD78D2">
        <w:t>Program</w:t>
      </w:r>
      <w:r>
        <w:t>a</w:t>
      </w:r>
      <w:r w:rsidRPr="00DD78D2">
        <w:t xml:space="preserve"> iz točke I. ove Odluke.</w:t>
      </w:r>
    </w:p>
    <w:p w14:paraId="1E468E36" w14:textId="77777777" w:rsidR="009142E8" w:rsidRPr="00DD78D2" w:rsidRDefault="009142E8" w:rsidP="009142E8">
      <w:pPr>
        <w:autoSpaceDE w:val="0"/>
        <w:autoSpaceDN w:val="0"/>
        <w:adjustRightInd w:val="0"/>
        <w:jc w:val="both"/>
        <w:rPr>
          <w:b/>
          <w:bCs/>
        </w:rPr>
      </w:pPr>
    </w:p>
    <w:p w14:paraId="13CA7840" w14:textId="77777777" w:rsidR="009142E8" w:rsidRPr="00DD78D2" w:rsidRDefault="009142E8" w:rsidP="009142E8">
      <w:pPr>
        <w:autoSpaceDE w:val="0"/>
        <w:autoSpaceDN w:val="0"/>
        <w:adjustRightInd w:val="0"/>
        <w:jc w:val="center"/>
        <w:rPr>
          <w:b/>
          <w:bCs/>
        </w:rPr>
      </w:pPr>
      <w:r w:rsidRPr="00DD78D2">
        <w:rPr>
          <w:b/>
          <w:bCs/>
        </w:rPr>
        <w:t>V</w:t>
      </w:r>
      <w:r>
        <w:rPr>
          <w:b/>
          <w:bCs/>
        </w:rPr>
        <w:t>I</w:t>
      </w:r>
      <w:r w:rsidRPr="00DD78D2">
        <w:rPr>
          <w:b/>
          <w:bCs/>
        </w:rPr>
        <w:t>.</w:t>
      </w:r>
    </w:p>
    <w:p w14:paraId="5973DF6D" w14:textId="77777777" w:rsidR="009142E8" w:rsidRPr="00DD78D2" w:rsidRDefault="009142E8" w:rsidP="009142E8">
      <w:pPr>
        <w:jc w:val="both"/>
      </w:pPr>
    </w:p>
    <w:p w14:paraId="4D4F50EF" w14:textId="77777777" w:rsidR="009142E8" w:rsidRPr="00DD78D2" w:rsidRDefault="009142E8" w:rsidP="009142E8">
      <w:pPr>
        <w:ind w:firstLine="708"/>
        <w:jc w:val="both"/>
      </w:pPr>
      <w:r w:rsidRPr="00DD78D2">
        <w:t>Ova Odluka stupa na snagu danom donošenja.</w:t>
      </w:r>
    </w:p>
    <w:p w14:paraId="76E0AFB8" w14:textId="77777777" w:rsidR="009142E8" w:rsidRPr="00DD78D2" w:rsidRDefault="009142E8" w:rsidP="009142E8">
      <w:pPr>
        <w:jc w:val="both"/>
      </w:pPr>
    </w:p>
    <w:p w14:paraId="24C23050" w14:textId="77777777" w:rsidR="009142E8" w:rsidRPr="00DD78D2" w:rsidRDefault="009142E8" w:rsidP="009142E8">
      <w:pPr>
        <w:jc w:val="both"/>
      </w:pPr>
    </w:p>
    <w:p w14:paraId="48C43A50" w14:textId="77777777" w:rsidR="009142E8" w:rsidRPr="00DD78D2" w:rsidRDefault="009142E8" w:rsidP="009142E8">
      <w:pPr>
        <w:ind w:left="4956" w:firstLine="708"/>
        <w:jc w:val="center"/>
      </w:pPr>
      <w:r w:rsidRPr="00DD78D2">
        <w:t>PREDSJEDNIK</w:t>
      </w:r>
    </w:p>
    <w:p w14:paraId="2AFDF351" w14:textId="77777777" w:rsidR="009142E8" w:rsidRPr="00DD78D2" w:rsidRDefault="009142E8" w:rsidP="009142E8"/>
    <w:p w14:paraId="6B6C459C" w14:textId="77777777" w:rsidR="009142E8" w:rsidRPr="00DD78D2" w:rsidRDefault="009142E8" w:rsidP="009142E8">
      <w:pPr>
        <w:ind w:left="4956" w:firstLine="708"/>
        <w:jc w:val="center"/>
      </w:pPr>
      <w:r w:rsidRPr="00DD78D2">
        <w:t>mr. sc. Andrej Plenković</w:t>
      </w:r>
    </w:p>
    <w:p w14:paraId="33B7740C" w14:textId="77777777" w:rsidR="009142E8" w:rsidRPr="00DD78D2" w:rsidRDefault="006554C0" w:rsidP="009142E8">
      <w:pPr>
        <w:jc w:val="both"/>
      </w:pPr>
      <w:r w:rsidRPr="00DD78D2">
        <w:t>KLASA</w:t>
      </w:r>
      <w:r w:rsidR="009142E8" w:rsidRPr="00DD78D2">
        <w:t xml:space="preserve">: </w:t>
      </w:r>
    </w:p>
    <w:p w14:paraId="1FEBCC4C" w14:textId="77777777" w:rsidR="009142E8" w:rsidRPr="00DD78D2" w:rsidRDefault="006554C0" w:rsidP="009142E8">
      <w:pPr>
        <w:jc w:val="both"/>
      </w:pPr>
      <w:r w:rsidRPr="00DD78D2">
        <w:t>URBROJ</w:t>
      </w:r>
      <w:r w:rsidR="009142E8" w:rsidRPr="00DD78D2">
        <w:t xml:space="preserve">: </w:t>
      </w:r>
    </w:p>
    <w:p w14:paraId="34095494" w14:textId="77777777" w:rsidR="009142E8" w:rsidRPr="00DD78D2" w:rsidRDefault="009142E8" w:rsidP="009142E8">
      <w:pPr>
        <w:jc w:val="both"/>
      </w:pPr>
      <w:r w:rsidRPr="00DD78D2">
        <w:t xml:space="preserve">Zagreb, </w:t>
      </w:r>
    </w:p>
    <w:p w14:paraId="64FE8ADA" w14:textId="77777777" w:rsidR="009142E8" w:rsidRDefault="009142E8">
      <w:pPr>
        <w:spacing w:after="160" w:line="259" w:lineRule="auto"/>
        <w:rPr>
          <w:b/>
        </w:rPr>
      </w:pPr>
      <w:r>
        <w:rPr>
          <w:b/>
        </w:rPr>
        <w:br w:type="page"/>
      </w:r>
    </w:p>
    <w:p w14:paraId="1421CC47" w14:textId="77777777" w:rsidR="009142E8" w:rsidRDefault="009142E8" w:rsidP="008A4CA2">
      <w:pPr>
        <w:jc w:val="both"/>
        <w:rPr>
          <w:b/>
        </w:rPr>
      </w:pPr>
    </w:p>
    <w:p w14:paraId="6FA675AA" w14:textId="77777777" w:rsidR="009142E8" w:rsidRPr="00DD78D2" w:rsidRDefault="009142E8" w:rsidP="00795EE4">
      <w:pPr>
        <w:jc w:val="center"/>
        <w:rPr>
          <w:b/>
        </w:rPr>
      </w:pPr>
      <w:r w:rsidRPr="00DD78D2">
        <w:rPr>
          <w:b/>
        </w:rPr>
        <w:t>OBRAZLOŽENJE</w:t>
      </w:r>
    </w:p>
    <w:p w14:paraId="5FFCEB99" w14:textId="77777777" w:rsidR="0034148A" w:rsidRPr="00547E50" w:rsidRDefault="0034148A" w:rsidP="008A4CA2">
      <w:pPr>
        <w:jc w:val="both"/>
      </w:pPr>
    </w:p>
    <w:p w14:paraId="04E73BB4" w14:textId="77777777" w:rsidR="00DA1B63" w:rsidRPr="002263C5" w:rsidRDefault="00DA1B63" w:rsidP="008A4CA2">
      <w:pPr>
        <w:jc w:val="both"/>
      </w:pPr>
      <w:r w:rsidRPr="002263C5">
        <w:t xml:space="preserve">Izmjene i dopune Nacionalnog programa pomoći sektoru vina za razdoblje od 2019. do 2023. godine </w:t>
      </w:r>
      <w:r w:rsidR="0062232F" w:rsidRPr="002263C5">
        <w:t>(u daljnjem tekstu: Nacionalni program)</w:t>
      </w:r>
      <w:r w:rsidR="0062232F">
        <w:t xml:space="preserve"> </w:t>
      </w:r>
      <w:r w:rsidRPr="002263C5">
        <w:t>donos</w:t>
      </w:r>
      <w:r w:rsidR="00AA731B">
        <w:t>e</w:t>
      </w:r>
      <w:r w:rsidRPr="002263C5">
        <w:t xml:space="preserve"> se u skladu s člankom 41. Uredbe (EU) br. 1308/2013. </w:t>
      </w:r>
    </w:p>
    <w:p w14:paraId="35EA2A2E" w14:textId="77777777" w:rsidR="00DA1B63" w:rsidRPr="002263C5" w:rsidRDefault="00DA1B63" w:rsidP="008A4CA2">
      <w:pPr>
        <w:jc w:val="both"/>
        <w:rPr>
          <w:rFonts w:eastAsiaTheme="minorHAnsi"/>
        </w:rPr>
      </w:pPr>
      <w:r w:rsidRPr="002263C5">
        <w:t>Slijedom potrebnih prilagodbi koje su nastale uslijed promjene tržišnih uvjeta, a uslijed velikih tržišnih poremećaja uvjetovanih pojavom pandemije bolesti COVID – 19 Europska Komisija je donijela niz uredbi kojima se mijenjaju ili dopunjuju postojeće mogućnosti programiranja mjera u okviru programa potpore sektoru vina uređenih Uredbom (EU) br. 1308/2013</w:t>
      </w:r>
      <w:r w:rsidR="009B38A8" w:rsidRPr="002263C5">
        <w:t xml:space="preserve">. </w:t>
      </w:r>
      <w:r w:rsidRPr="002263C5">
        <w:t xml:space="preserve"> </w:t>
      </w:r>
    </w:p>
    <w:p w14:paraId="7360EC9E" w14:textId="77777777" w:rsidR="009B38A8" w:rsidRPr="002263C5" w:rsidRDefault="009B38A8" w:rsidP="008A4CA2">
      <w:pPr>
        <w:jc w:val="both"/>
      </w:pPr>
      <w:r w:rsidRPr="002263C5">
        <w:t>Ovim uredbama utvrđen</w:t>
      </w:r>
      <w:r w:rsidR="00AA731B">
        <w:t>a</w:t>
      </w:r>
      <w:r w:rsidRPr="002263C5">
        <w:t xml:space="preserve"> su nova pravila za kontrole na terenu kako bi se odvijala daljnja primjena Nacionalnog program</w:t>
      </w:r>
      <w:r w:rsidR="0062232F">
        <w:t>a</w:t>
      </w:r>
      <w:r w:rsidRPr="002263C5">
        <w:t xml:space="preserve"> te isplata završenih projekat</w:t>
      </w:r>
      <w:r w:rsidR="002263C5">
        <w:t>a</w:t>
      </w:r>
      <w:r w:rsidRPr="002263C5">
        <w:t xml:space="preserve"> i odobravanje novih, te je otvor</w:t>
      </w:r>
      <w:r w:rsidR="002263C5">
        <w:t>e</w:t>
      </w:r>
      <w:r w:rsidRPr="002263C5">
        <w:t>na mogućnost izmjene Nacionalnog programa</w:t>
      </w:r>
      <w:r w:rsidR="00AA731B">
        <w:t>.</w:t>
      </w:r>
    </w:p>
    <w:p w14:paraId="6862554B" w14:textId="77777777" w:rsidR="00DA1B63" w:rsidRPr="002263C5" w:rsidRDefault="00DA1B63" w:rsidP="008A4CA2">
      <w:pPr>
        <w:spacing w:before="120"/>
        <w:jc w:val="both"/>
      </w:pPr>
      <w:r w:rsidRPr="002263C5">
        <w:t>Ministarstvo poljoprivrede raspravilo je sa predstavnicima proizvođača i ostalim zainteresiranim dionicima u provedbi ovog Programa prijedloge izmjena i dopuna Nacionalnog programa.</w:t>
      </w:r>
    </w:p>
    <w:p w14:paraId="1F6F0DAB" w14:textId="77777777" w:rsidR="009B38A8" w:rsidRPr="002263C5" w:rsidRDefault="009B38A8" w:rsidP="008A4CA2">
      <w:pPr>
        <w:jc w:val="both"/>
      </w:pPr>
    </w:p>
    <w:p w14:paraId="026C106C" w14:textId="77777777" w:rsidR="0034148A" w:rsidRPr="002263C5" w:rsidRDefault="009B38A8" w:rsidP="008A4CA2">
      <w:pPr>
        <w:jc w:val="both"/>
      </w:pPr>
      <w:r w:rsidRPr="002263C5">
        <w:t>U s</w:t>
      </w:r>
      <w:r w:rsidR="00C57098" w:rsidRPr="002263C5">
        <w:t>k</w:t>
      </w:r>
      <w:r w:rsidRPr="002263C5">
        <w:t xml:space="preserve">ladu s prijedlozima </w:t>
      </w:r>
      <w:r w:rsidR="00C57098" w:rsidRPr="002263C5">
        <w:t xml:space="preserve">proizvođača te mogućnostima koje daju </w:t>
      </w:r>
      <w:r w:rsidR="00DA1B63" w:rsidRPr="002263C5">
        <w:t>uredb</w:t>
      </w:r>
      <w:r w:rsidR="00C57098" w:rsidRPr="002263C5">
        <w:t>e</w:t>
      </w:r>
      <w:r w:rsidR="00DA1B63" w:rsidRPr="002263C5">
        <w:t xml:space="preserve"> </w:t>
      </w:r>
      <w:r w:rsidR="00C57098" w:rsidRPr="002263C5">
        <w:t xml:space="preserve">pripremljene su </w:t>
      </w:r>
      <w:r w:rsidRPr="002263C5">
        <w:t>interventne</w:t>
      </w:r>
      <w:r w:rsidR="0034148A" w:rsidRPr="002263C5">
        <w:t xml:space="preserve"> mjere u sklopu </w:t>
      </w:r>
      <w:r w:rsidR="00DA1B63" w:rsidRPr="002263C5">
        <w:t>Nacionalnog</w:t>
      </w:r>
      <w:r w:rsidR="0034148A" w:rsidRPr="002263C5">
        <w:t xml:space="preserve"> program</w:t>
      </w:r>
      <w:r w:rsidR="0062232F">
        <w:t>a</w:t>
      </w:r>
      <w:r w:rsidR="0034148A" w:rsidRPr="002263C5">
        <w:t xml:space="preserve"> pomoći sektoru vina i to kroz:</w:t>
      </w:r>
    </w:p>
    <w:p w14:paraId="06BEB4A9" w14:textId="77777777" w:rsidR="00AA731B" w:rsidRDefault="00AA731B" w:rsidP="008A4CA2">
      <w:pPr>
        <w:jc w:val="both"/>
        <w:rPr>
          <w:rFonts w:eastAsiaTheme="minorHAnsi"/>
          <w:b/>
          <w:u w:val="single"/>
        </w:rPr>
      </w:pPr>
    </w:p>
    <w:p w14:paraId="5D257E6D" w14:textId="77777777" w:rsidR="0034148A" w:rsidRDefault="0034148A" w:rsidP="008A4CA2">
      <w:pPr>
        <w:jc w:val="both"/>
        <w:rPr>
          <w:rFonts w:eastAsiaTheme="minorHAnsi"/>
        </w:rPr>
      </w:pPr>
      <w:r w:rsidRPr="002263C5">
        <w:rPr>
          <w:rFonts w:eastAsiaTheme="minorHAnsi"/>
          <w:b/>
          <w:u w:val="single"/>
        </w:rPr>
        <w:t xml:space="preserve">Povećanje intenziteta potpore </w:t>
      </w:r>
      <w:r w:rsidRPr="00E27EE3">
        <w:rPr>
          <w:rFonts w:eastAsiaTheme="minorHAnsi"/>
          <w:bCs/>
        </w:rPr>
        <w:t>za</w:t>
      </w:r>
      <w:r w:rsidRPr="002263C5">
        <w:rPr>
          <w:rFonts w:eastAsiaTheme="minorHAnsi"/>
        </w:rPr>
        <w:t xml:space="preserve"> projekte koji će se u natječajima odobriti u razdoblju trajanja </w:t>
      </w:r>
      <w:r w:rsidR="00AA731B">
        <w:rPr>
          <w:rFonts w:eastAsiaTheme="minorHAnsi"/>
        </w:rPr>
        <w:t xml:space="preserve">bolesti </w:t>
      </w:r>
      <w:r w:rsidRPr="002263C5">
        <w:rPr>
          <w:rFonts w:eastAsiaTheme="minorHAnsi"/>
        </w:rPr>
        <w:t>COVID-</w:t>
      </w:r>
      <w:r w:rsidR="00AA731B">
        <w:rPr>
          <w:rFonts w:eastAsiaTheme="minorHAnsi"/>
        </w:rPr>
        <w:t>19</w:t>
      </w:r>
      <w:r w:rsidR="006C5AC1">
        <w:rPr>
          <w:rFonts w:eastAsiaTheme="minorHAnsi"/>
        </w:rPr>
        <w:t>,</w:t>
      </w:r>
      <w:r w:rsidR="00AA731B" w:rsidRPr="002263C5">
        <w:rPr>
          <w:rFonts w:eastAsiaTheme="minorHAnsi"/>
        </w:rPr>
        <w:t xml:space="preserve"> </w:t>
      </w:r>
      <w:r w:rsidRPr="002263C5">
        <w:rPr>
          <w:rFonts w:eastAsiaTheme="minorHAnsi"/>
        </w:rPr>
        <w:t xml:space="preserve">odnosno </w:t>
      </w:r>
      <w:r w:rsidR="006C5AC1" w:rsidRPr="00E27EE3">
        <w:rPr>
          <w:rFonts w:eastAsiaTheme="minorHAnsi"/>
        </w:rPr>
        <w:t>nakon</w:t>
      </w:r>
      <w:r w:rsidR="006C5AC1" w:rsidRPr="002263C5">
        <w:rPr>
          <w:rFonts w:eastAsiaTheme="minorHAnsi"/>
        </w:rPr>
        <w:t xml:space="preserve"> </w:t>
      </w:r>
      <w:r w:rsidR="008223E8">
        <w:rPr>
          <w:rFonts w:eastAsiaTheme="minorHAnsi"/>
        </w:rPr>
        <w:t xml:space="preserve">4. svibnja 2020 kada je uredba </w:t>
      </w:r>
      <w:r w:rsidRPr="002263C5">
        <w:rPr>
          <w:rFonts w:eastAsiaTheme="minorHAnsi"/>
        </w:rPr>
        <w:t>stup</w:t>
      </w:r>
      <w:r w:rsidR="008223E8">
        <w:rPr>
          <w:rFonts w:eastAsiaTheme="minorHAnsi"/>
        </w:rPr>
        <w:t xml:space="preserve">ila na snagu </w:t>
      </w:r>
      <w:r w:rsidRPr="002263C5">
        <w:rPr>
          <w:rFonts w:eastAsiaTheme="minorHAnsi"/>
        </w:rPr>
        <w:t xml:space="preserve">, a </w:t>
      </w:r>
      <w:r w:rsidR="006C5AC1">
        <w:rPr>
          <w:rFonts w:eastAsiaTheme="minorHAnsi"/>
        </w:rPr>
        <w:t xml:space="preserve">najkasnije </w:t>
      </w:r>
      <w:r w:rsidRPr="002263C5">
        <w:rPr>
          <w:rFonts w:eastAsiaTheme="minorHAnsi"/>
        </w:rPr>
        <w:t>do 15. listopada o.g. u mjeri:</w:t>
      </w:r>
    </w:p>
    <w:p w14:paraId="027013ED" w14:textId="77777777" w:rsidR="006C5AC1" w:rsidRPr="002263C5" w:rsidRDefault="006C5AC1" w:rsidP="008A4CA2">
      <w:pPr>
        <w:jc w:val="both"/>
        <w:rPr>
          <w:rFonts w:eastAsiaTheme="minorHAnsi"/>
        </w:rPr>
      </w:pPr>
    </w:p>
    <w:p w14:paraId="20B92AB7" w14:textId="77777777" w:rsidR="0034148A" w:rsidRPr="002263C5" w:rsidRDefault="006C5AC1" w:rsidP="00E27EE3">
      <w:pPr>
        <w:pStyle w:val="ListParagraph"/>
        <w:numPr>
          <w:ilvl w:val="1"/>
          <w:numId w:val="5"/>
        </w:numPr>
        <w:rPr>
          <w:rFonts w:eastAsiaTheme="minorHAnsi"/>
          <w:szCs w:val="24"/>
        </w:rPr>
      </w:pPr>
      <w:r w:rsidRPr="006C5AC1">
        <w:rPr>
          <w:rFonts w:eastAsiaTheme="minorHAnsi"/>
          <w:szCs w:val="24"/>
        </w:rPr>
        <w:t xml:space="preserve">Ulaganja u vinarije i marketing vina </w:t>
      </w:r>
      <w:r w:rsidR="0034148A" w:rsidRPr="002263C5">
        <w:rPr>
          <w:rFonts w:eastAsiaTheme="minorHAnsi"/>
          <w:szCs w:val="24"/>
        </w:rPr>
        <w:t xml:space="preserve">s 50% na 60%, </w:t>
      </w:r>
    </w:p>
    <w:p w14:paraId="7AA86A1F" w14:textId="77777777" w:rsidR="0034148A" w:rsidRPr="002263C5" w:rsidRDefault="0034148A" w:rsidP="00E27EE3">
      <w:pPr>
        <w:pStyle w:val="ListParagraph"/>
        <w:numPr>
          <w:ilvl w:val="1"/>
          <w:numId w:val="5"/>
        </w:numPr>
        <w:rPr>
          <w:rFonts w:eastAsiaTheme="minorHAnsi"/>
          <w:szCs w:val="24"/>
        </w:rPr>
      </w:pPr>
      <w:r w:rsidRPr="002263C5">
        <w:rPr>
          <w:rFonts w:eastAsiaTheme="minorHAnsi"/>
          <w:szCs w:val="24"/>
        </w:rPr>
        <w:t xml:space="preserve">Restrukturiranje i konverzija </w:t>
      </w:r>
      <w:r w:rsidR="006C5AC1">
        <w:rPr>
          <w:rFonts w:eastAsiaTheme="minorHAnsi"/>
          <w:szCs w:val="24"/>
        </w:rPr>
        <w:t xml:space="preserve">vinograda </w:t>
      </w:r>
      <w:r w:rsidRPr="002263C5">
        <w:rPr>
          <w:rFonts w:eastAsiaTheme="minorHAnsi"/>
          <w:szCs w:val="24"/>
        </w:rPr>
        <w:t xml:space="preserve">s 70% na 80% </w:t>
      </w:r>
    </w:p>
    <w:p w14:paraId="29FC2E95" w14:textId="77777777" w:rsidR="0034148A" w:rsidRPr="002263C5" w:rsidRDefault="0034148A" w:rsidP="008A4CA2">
      <w:pPr>
        <w:jc w:val="both"/>
        <w:rPr>
          <w:rFonts w:eastAsiaTheme="minorHAnsi"/>
        </w:rPr>
      </w:pPr>
      <w:r w:rsidRPr="002263C5">
        <w:rPr>
          <w:rFonts w:eastAsiaTheme="minorHAnsi"/>
          <w:b/>
          <w:u w:val="single"/>
        </w:rPr>
        <w:t xml:space="preserve">Uvođenje nove mjere </w:t>
      </w:r>
      <w:r w:rsidR="009B38A8" w:rsidRPr="002263C5">
        <w:rPr>
          <w:rStyle w:val="naslov3Char"/>
          <w:bCs/>
          <w:sz w:val="24"/>
          <w:szCs w:val="24"/>
          <w:u w:val="single"/>
        </w:rPr>
        <w:t>Destilacija vina u kriznim slučajevima</w:t>
      </w:r>
      <w:r w:rsidR="009B38A8" w:rsidRPr="002263C5">
        <w:t xml:space="preserve"> </w:t>
      </w:r>
      <w:r w:rsidRPr="002263C5">
        <w:rPr>
          <w:rFonts w:eastAsiaTheme="minorHAnsi"/>
        </w:rPr>
        <w:t xml:space="preserve">u kojoj je moguće </w:t>
      </w:r>
      <w:r w:rsidR="00DA1B63" w:rsidRPr="002263C5">
        <w:rPr>
          <w:rFonts w:eastAsiaTheme="minorHAnsi"/>
        </w:rPr>
        <w:t xml:space="preserve">odobravanje potpore proizvođaču vina za </w:t>
      </w:r>
      <w:r w:rsidR="006C5AC1" w:rsidRPr="002263C5">
        <w:rPr>
          <w:rFonts w:eastAsiaTheme="minorHAnsi"/>
        </w:rPr>
        <w:t xml:space="preserve">vino </w:t>
      </w:r>
      <w:r w:rsidR="00DA1B63" w:rsidRPr="002263C5">
        <w:rPr>
          <w:rFonts w:eastAsiaTheme="minorHAnsi"/>
        </w:rPr>
        <w:t xml:space="preserve">isporučeno na destilaciju odobrenom destilateru. </w:t>
      </w:r>
      <w:r w:rsidR="009B38A8" w:rsidRPr="002263C5">
        <w:rPr>
          <w:rFonts w:eastAsiaTheme="minorHAnsi"/>
        </w:rPr>
        <w:t xml:space="preserve">Kvota vina za destilaciju za koju će se dodijeliti potpora je 6.500.000 litara, uz ukupan iznos potpore za mjeru u iznosu 38,3 milijuna kuna. </w:t>
      </w:r>
      <w:r w:rsidR="00DA1B63" w:rsidRPr="002263C5">
        <w:rPr>
          <w:rFonts w:eastAsiaTheme="minorHAnsi"/>
        </w:rPr>
        <w:t xml:space="preserve">Potporu bi ostvario proizvođač vina za prodano i isporučeno vino </w:t>
      </w:r>
      <w:r w:rsidR="008A4CA2">
        <w:rPr>
          <w:rFonts w:eastAsiaTheme="minorHAnsi"/>
        </w:rPr>
        <w:t>odobrenom destilater</w:t>
      </w:r>
      <w:r w:rsidR="002E0B1A">
        <w:rPr>
          <w:rFonts w:eastAsiaTheme="minorHAnsi"/>
        </w:rPr>
        <w:t>u</w:t>
      </w:r>
      <w:r w:rsidR="008A4CA2">
        <w:rPr>
          <w:rFonts w:eastAsiaTheme="minorHAnsi"/>
        </w:rPr>
        <w:t xml:space="preserve">, </w:t>
      </w:r>
      <w:r w:rsidR="00DA1B63" w:rsidRPr="002263C5">
        <w:rPr>
          <w:rFonts w:eastAsiaTheme="minorHAnsi"/>
        </w:rPr>
        <w:t xml:space="preserve">u iznosu od 5,00 kn po litri vina i nadoknadili bi se troškovi transporta vina do destilatera. Ujedno osigurala bi se i potpora destilateru za </w:t>
      </w:r>
      <w:r w:rsidR="009B38A8" w:rsidRPr="002263C5">
        <w:rPr>
          <w:rFonts w:eastAsiaTheme="minorHAnsi"/>
        </w:rPr>
        <w:t>destiliranje</w:t>
      </w:r>
      <w:r w:rsidR="00DA1B63" w:rsidRPr="002263C5">
        <w:rPr>
          <w:rFonts w:eastAsiaTheme="minorHAnsi"/>
        </w:rPr>
        <w:t xml:space="preserve"> vina i nadoknadu tih troškova u iznosu 0,5 kuna</w:t>
      </w:r>
      <w:r w:rsidR="008A4CA2">
        <w:rPr>
          <w:rFonts w:eastAsiaTheme="minorHAnsi"/>
        </w:rPr>
        <w:t xml:space="preserve"> po </w:t>
      </w:r>
      <w:r w:rsidR="00DA1B63" w:rsidRPr="002263C5">
        <w:rPr>
          <w:rFonts w:eastAsiaTheme="minorHAnsi"/>
        </w:rPr>
        <w:t xml:space="preserve">litri vina. </w:t>
      </w:r>
      <w:r w:rsidR="002E0B1A">
        <w:rPr>
          <w:rFonts w:eastAsiaTheme="minorHAnsi"/>
        </w:rPr>
        <w:t xml:space="preserve">Temeljem navedenog </w:t>
      </w:r>
      <w:r w:rsidR="00DA1B63" w:rsidRPr="002263C5">
        <w:rPr>
          <w:rFonts w:eastAsiaTheme="minorHAnsi"/>
        </w:rPr>
        <w:t>korisnici mjere</w:t>
      </w:r>
      <w:r w:rsidRPr="002263C5">
        <w:rPr>
          <w:rFonts w:eastAsiaTheme="minorHAnsi"/>
        </w:rPr>
        <w:t xml:space="preserve"> </w:t>
      </w:r>
      <w:r w:rsidR="002E0B1A" w:rsidRPr="002263C5">
        <w:rPr>
          <w:rFonts w:eastAsiaTheme="minorHAnsi"/>
        </w:rPr>
        <w:t>su</w:t>
      </w:r>
      <w:r w:rsidR="002E0B1A">
        <w:rPr>
          <w:rFonts w:eastAsiaTheme="minorHAnsi"/>
        </w:rPr>
        <w:t>:</w:t>
      </w:r>
    </w:p>
    <w:p w14:paraId="4A93E5C4" w14:textId="77777777" w:rsidR="0034148A" w:rsidRPr="002263C5" w:rsidRDefault="0034148A" w:rsidP="008A4CA2">
      <w:pPr>
        <w:pStyle w:val="ListParagraph"/>
        <w:numPr>
          <w:ilvl w:val="0"/>
          <w:numId w:val="1"/>
        </w:numPr>
        <w:spacing w:before="120"/>
        <w:rPr>
          <w:color w:val="FF0000"/>
          <w:szCs w:val="24"/>
        </w:rPr>
      </w:pPr>
      <w:r w:rsidRPr="002263C5">
        <w:rPr>
          <w:szCs w:val="24"/>
        </w:rPr>
        <w:t>proizvođači vina upisani u Vinogradarski registar koji su prijavili stanje zaliha vina na dan 31. srpnja 2019</w:t>
      </w:r>
      <w:r w:rsidR="002E0B1A">
        <w:rPr>
          <w:szCs w:val="24"/>
        </w:rPr>
        <w:t>.</w:t>
      </w:r>
      <w:r w:rsidRPr="002263C5">
        <w:rPr>
          <w:szCs w:val="24"/>
        </w:rPr>
        <w:t xml:space="preserve"> godine i koji su tijekom 2019</w:t>
      </w:r>
      <w:r w:rsidR="002E0B1A">
        <w:rPr>
          <w:szCs w:val="24"/>
        </w:rPr>
        <w:t>.</w:t>
      </w:r>
      <w:r w:rsidRPr="002263C5">
        <w:rPr>
          <w:szCs w:val="24"/>
        </w:rPr>
        <w:t xml:space="preserve"> godine stavljali vino na tržište </w:t>
      </w:r>
      <w:r w:rsidR="002E0B1A">
        <w:rPr>
          <w:szCs w:val="24"/>
        </w:rPr>
        <w:t>i</w:t>
      </w:r>
    </w:p>
    <w:p w14:paraId="26E26FAA" w14:textId="77777777" w:rsidR="0034148A" w:rsidRPr="002263C5" w:rsidRDefault="0034148A" w:rsidP="008A4CA2">
      <w:pPr>
        <w:pStyle w:val="ListParagraph"/>
        <w:numPr>
          <w:ilvl w:val="0"/>
          <w:numId w:val="1"/>
        </w:numPr>
        <w:spacing w:before="120"/>
        <w:rPr>
          <w:color w:val="FF0000"/>
          <w:szCs w:val="24"/>
        </w:rPr>
      </w:pPr>
      <w:r w:rsidRPr="002263C5">
        <w:rPr>
          <w:szCs w:val="24"/>
        </w:rPr>
        <w:t>destilateri koji su registrirani za</w:t>
      </w:r>
      <w:r w:rsidR="00DA1B63" w:rsidRPr="002263C5">
        <w:rPr>
          <w:szCs w:val="24"/>
        </w:rPr>
        <w:t xml:space="preserve"> </w:t>
      </w:r>
      <w:r w:rsidRPr="002263C5">
        <w:rPr>
          <w:szCs w:val="24"/>
        </w:rPr>
        <w:t xml:space="preserve">tu djelatnost i imaju </w:t>
      </w:r>
      <w:r w:rsidR="009B38A8" w:rsidRPr="002263C5">
        <w:rPr>
          <w:szCs w:val="24"/>
        </w:rPr>
        <w:t xml:space="preserve">svoje </w:t>
      </w:r>
      <w:r w:rsidRPr="002263C5">
        <w:rPr>
          <w:szCs w:val="24"/>
        </w:rPr>
        <w:t>tehnološke kapacitet</w:t>
      </w:r>
      <w:r w:rsidR="009B38A8" w:rsidRPr="002263C5">
        <w:rPr>
          <w:szCs w:val="24"/>
        </w:rPr>
        <w:t>e</w:t>
      </w:r>
      <w:r w:rsidRPr="002263C5">
        <w:rPr>
          <w:szCs w:val="24"/>
        </w:rPr>
        <w:t xml:space="preserve"> koji mogu predestilirati više od </w:t>
      </w:r>
      <w:r w:rsidRPr="00E27EE3">
        <w:rPr>
          <w:szCs w:val="24"/>
        </w:rPr>
        <w:t>5.000 l</w:t>
      </w:r>
      <w:r w:rsidRPr="002263C5">
        <w:rPr>
          <w:szCs w:val="24"/>
        </w:rPr>
        <w:t xml:space="preserve"> </w:t>
      </w:r>
      <w:r w:rsidR="002E0B1A">
        <w:rPr>
          <w:szCs w:val="24"/>
        </w:rPr>
        <w:t xml:space="preserve">u </w:t>
      </w:r>
      <w:r w:rsidRPr="002263C5">
        <w:rPr>
          <w:szCs w:val="24"/>
        </w:rPr>
        <w:t>24 sata</w:t>
      </w:r>
      <w:r w:rsidR="002E0B1A">
        <w:rPr>
          <w:szCs w:val="24"/>
        </w:rPr>
        <w:t>.</w:t>
      </w:r>
    </w:p>
    <w:p w14:paraId="57E28FF8" w14:textId="77777777" w:rsidR="009B38A8" w:rsidRPr="002263C5" w:rsidRDefault="0034148A" w:rsidP="008A4CA2">
      <w:pPr>
        <w:jc w:val="both"/>
        <w:rPr>
          <w:rFonts w:eastAsiaTheme="minorHAnsi"/>
        </w:rPr>
      </w:pPr>
      <w:r w:rsidRPr="002263C5">
        <w:rPr>
          <w:rFonts w:eastAsiaTheme="minorHAnsi"/>
          <w:b/>
          <w:u w:val="single"/>
        </w:rPr>
        <w:t xml:space="preserve">Uvođenje nove </w:t>
      </w:r>
      <w:r w:rsidR="006C5AC1">
        <w:rPr>
          <w:rFonts w:eastAsiaTheme="minorHAnsi"/>
          <w:b/>
          <w:u w:val="single"/>
        </w:rPr>
        <w:t xml:space="preserve">mjere </w:t>
      </w:r>
      <w:r w:rsidR="009B38A8" w:rsidRPr="002263C5">
        <w:rPr>
          <w:b/>
          <w:u w:val="single"/>
        </w:rPr>
        <w:t>Potpora za krizno skladištenje vina</w:t>
      </w:r>
      <w:r w:rsidR="009B38A8" w:rsidRPr="002263C5">
        <w:rPr>
          <w:rFonts w:eastAsiaTheme="minorHAnsi"/>
        </w:rPr>
        <w:t xml:space="preserve"> </w:t>
      </w:r>
      <w:r w:rsidRPr="002263C5">
        <w:rPr>
          <w:rFonts w:eastAsiaTheme="minorHAnsi"/>
        </w:rPr>
        <w:t xml:space="preserve">kojom se proizvođača vina stimulira dajući mu </w:t>
      </w:r>
      <w:r w:rsidR="0084719C">
        <w:rPr>
          <w:rFonts w:eastAsiaTheme="minorHAnsi"/>
        </w:rPr>
        <w:t>potporu</w:t>
      </w:r>
      <w:r w:rsidR="0084719C" w:rsidRPr="002263C5">
        <w:rPr>
          <w:rFonts w:eastAsiaTheme="minorHAnsi"/>
        </w:rPr>
        <w:t xml:space="preserve"> </w:t>
      </w:r>
      <w:r w:rsidRPr="002263C5">
        <w:rPr>
          <w:rFonts w:eastAsiaTheme="minorHAnsi"/>
        </w:rPr>
        <w:t xml:space="preserve">da svoje zalihe vina ne stavlja na tržište određeno vrijeme čime se smanjuje ponuda i održava cijena. </w:t>
      </w:r>
      <w:r w:rsidR="009B38A8" w:rsidRPr="002263C5">
        <w:rPr>
          <w:rFonts w:eastAsiaTheme="minorHAnsi"/>
        </w:rPr>
        <w:t xml:space="preserve">Kvota vina za skladištenje za koju će se </w:t>
      </w:r>
      <w:r w:rsidR="008A4CA2">
        <w:rPr>
          <w:rFonts w:eastAsiaTheme="minorHAnsi"/>
        </w:rPr>
        <w:t xml:space="preserve">dodijeliti potpora je 2.770.000 </w:t>
      </w:r>
      <w:r w:rsidR="009B38A8" w:rsidRPr="002263C5">
        <w:rPr>
          <w:rFonts w:eastAsiaTheme="minorHAnsi"/>
        </w:rPr>
        <w:t>litara</w:t>
      </w:r>
      <w:r w:rsidR="008A4CA2">
        <w:rPr>
          <w:rFonts w:eastAsiaTheme="minorHAnsi"/>
        </w:rPr>
        <w:t>,</w:t>
      </w:r>
      <w:r w:rsidR="009B38A8" w:rsidRPr="002263C5">
        <w:rPr>
          <w:rFonts w:eastAsiaTheme="minorHAnsi"/>
        </w:rPr>
        <w:t xml:space="preserve"> a ukupan iznos potpore je 5 milijuna kuna. </w:t>
      </w:r>
      <w:r w:rsidR="009B38A8" w:rsidRPr="002263C5">
        <w:rPr>
          <w:rFonts w:eastAsiaTheme="minorHAnsi"/>
        </w:rPr>
        <w:lastRenderedPageBreak/>
        <w:t xml:space="preserve">Potporu bi ostvario proizvođač vina za vino </w:t>
      </w:r>
      <w:r w:rsidR="00C57098" w:rsidRPr="002263C5">
        <w:rPr>
          <w:rFonts w:eastAsiaTheme="minorHAnsi"/>
        </w:rPr>
        <w:t xml:space="preserve">predano na skladištenje </w:t>
      </w:r>
      <w:r w:rsidR="009B38A8" w:rsidRPr="002263C5">
        <w:rPr>
          <w:rFonts w:eastAsiaTheme="minorHAnsi"/>
        </w:rPr>
        <w:t>u iznosu od 0,6 kn/litri za 30 dan</w:t>
      </w:r>
      <w:r w:rsidR="0084719C">
        <w:rPr>
          <w:rFonts w:eastAsiaTheme="minorHAnsi"/>
        </w:rPr>
        <w:t>a</w:t>
      </w:r>
      <w:r w:rsidR="009B38A8" w:rsidRPr="002263C5">
        <w:rPr>
          <w:rFonts w:eastAsiaTheme="minorHAnsi"/>
        </w:rPr>
        <w:t xml:space="preserve"> skladištenja. </w:t>
      </w:r>
      <w:r w:rsidR="0084719C">
        <w:rPr>
          <w:rFonts w:eastAsiaTheme="minorHAnsi"/>
        </w:rPr>
        <w:t xml:space="preserve">Temeljem navedenog </w:t>
      </w:r>
      <w:r w:rsidR="0084719C" w:rsidRPr="002263C5">
        <w:rPr>
          <w:rFonts w:eastAsiaTheme="minorHAnsi"/>
        </w:rPr>
        <w:t>korisnici mjere su</w:t>
      </w:r>
      <w:r w:rsidR="0084719C">
        <w:rPr>
          <w:rFonts w:eastAsiaTheme="minorHAnsi"/>
        </w:rPr>
        <w:t>:</w:t>
      </w:r>
    </w:p>
    <w:p w14:paraId="29B9F450" w14:textId="77777777" w:rsidR="0034148A" w:rsidRPr="002263C5" w:rsidRDefault="0034148A" w:rsidP="008A4CA2">
      <w:pPr>
        <w:pStyle w:val="ListParagraph"/>
        <w:numPr>
          <w:ilvl w:val="0"/>
          <w:numId w:val="1"/>
        </w:numPr>
        <w:spacing w:before="120"/>
        <w:rPr>
          <w:szCs w:val="24"/>
        </w:rPr>
      </w:pPr>
      <w:r w:rsidRPr="002263C5">
        <w:rPr>
          <w:szCs w:val="24"/>
        </w:rPr>
        <w:t>proizvođači vina upisani u Vinogradarski registar koji su prijavili stanje zaliha vina na dan 31. srpnja 2019 godine i</w:t>
      </w:r>
    </w:p>
    <w:p w14:paraId="5DDE6505" w14:textId="77777777" w:rsidR="0034148A" w:rsidRPr="002263C5" w:rsidRDefault="0034148A" w:rsidP="008A4CA2">
      <w:pPr>
        <w:pStyle w:val="ListParagraph"/>
        <w:numPr>
          <w:ilvl w:val="0"/>
          <w:numId w:val="1"/>
        </w:numPr>
        <w:spacing w:before="120"/>
        <w:rPr>
          <w:color w:val="FF0000"/>
          <w:szCs w:val="24"/>
        </w:rPr>
      </w:pPr>
      <w:r w:rsidRPr="002263C5">
        <w:rPr>
          <w:szCs w:val="24"/>
        </w:rPr>
        <w:t>proizvođači vina koji su tijekom 2019</w:t>
      </w:r>
      <w:r w:rsidR="0084719C">
        <w:rPr>
          <w:szCs w:val="24"/>
        </w:rPr>
        <w:t>.</w:t>
      </w:r>
      <w:r w:rsidRPr="002263C5">
        <w:rPr>
          <w:szCs w:val="24"/>
        </w:rPr>
        <w:t xml:space="preserve"> godine stavljali vino na tržište što dokazuju rješenjem o stavljanju vina na tržište </w:t>
      </w:r>
      <w:r w:rsidR="0084719C">
        <w:rPr>
          <w:szCs w:val="24"/>
        </w:rPr>
        <w:t xml:space="preserve">izdanim od </w:t>
      </w:r>
      <w:r w:rsidRPr="002263C5">
        <w:rPr>
          <w:szCs w:val="24"/>
        </w:rPr>
        <w:t xml:space="preserve">Hrvatske agencije za poljoprivredu i hranu </w:t>
      </w:r>
    </w:p>
    <w:p w14:paraId="37D6675B" w14:textId="77777777" w:rsidR="0034148A" w:rsidRPr="002263C5" w:rsidRDefault="009B38A8" w:rsidP="008A4CA2">
      <w:pPr>
        <w:pStyle w:val="Default"/>
        <w:jc w:val="both"/>
        <w:rPr>
          <w:rFonts w:ascii="Times New Roman" w:hAnsi="Times New Roman" w:cs="Times New Roman"/>
        </w:rPr>
      </w:pPr>
      <w:r w:rsidRPr="002263C5">
        <w:rPr>
          <w:rFonts w:ascii="Times New Roman" w:hAnsi="Times New Roman" w:cs="Times New Roman"/>
        </w:rPr>
        <w:t>P</w:t>
      </w:r>
      <w:r w:rsidR="0034148A" w:rsidRPr="002263C5">
        <w:rPr>
          <w:rFonts w:ascii="Times New Roman" w:hAnsi="Times New Roman" w:cs="Times New Roman"/>
        </w:rPr>
        <w:t>ored istaknutog izmjene Nacionalnog programa predviđaju i druge tehničke mjere vezne uz provedbu postojećih projek</w:t>
      </w:r>
      <w:r w:rsidR="0084719C">
        <w:rPr>
          <w:rFonts w:ascii="Times New Roman" w:hAnsi="Times New Roman" w:cs="Times New Roman"/>
        </w:rPr>
        <w:t>a</w:t>
      </w:r>
      <w:r w:rsidR="0034148A" w:rsidRPr="002263C5">
        <w:rPr>
          <w:rFonts w:ascii="Times New Roman" w:hAnsi="Times New Roman" w:cs="Times New Roman"/>
        </w:rPr>
        <w:t>ta, a koje bi korisnicima trebale olakšati uvjete provedbe i završetak odobrenih projekata, a u skladu s uvjetima predviđeni</w:t>
      </w:r>
      <w:r w:rsidR="0084719C">
        <w:rPr>
          <w:rFonts w:ascii="Times New Roman" w:hAnsi="Times New Roman" w:cs="Times New Roman"/>
        </w:rPr>
        <w:t>m</w:t>
      </w:r>
      <w:r w:rsidR="0034148A" w:rsidRPr="002263C5">
        <w:rPr>
          <w:rFonts w:ascii="Times New Roman" w:hAnsi="Times New Roman" w:cs="Times New Roman"/>
        </w:rPr>
        <w:t xml:space="preserve"> uredbama EU.</w:t>
      </w:r>
    </w:p>
    <w:p w14:paraId="3747CF2C" w14:textId="77777777" w:rsidR="009B38A8" w:rsidRPr="002263C5" w:rsidRDefault="009B38A8" w:rsidP="008A4CA2">
      <w:pPr>
        <w:spacing w:after="200"/>
        <w:jc w:val="both"/>
      </w:pPr>
    </w:p>
    <w:p w14:paraId="58E39EE7" w14:textId="77777777" w:rsidR="009B38A8" w:rsidRPr="002263C5" w:rsidRDefault="00F84DC9" w:rsidP="008A4CA2">
      <w:pPr>
        <w:spacing w:after="200"/>
        <w:jc w:val="both"/>
      </w:pPr>
      <w:r w:rsidRPr="002263C5">
        <w:t xml:space="preserve">Ministarstvo poljoprivrede osiguralo je sredstva za provedbu Nacionalnog programa , u Državnom proračunu Republike Hrvatske. Sredstva za 2020. godinu u iznosu od 93.190.750,00 kuna planirana su u Državnom proračunu Republike Hrvatske za 2020. godinu i projekcijama za 2021. i 2022. godinu ("Narodne novine", br. 117/19 i 58/20), u okviru razdjela 060 Ministarstva poljoprivrede, na proračunskoj poziciji A821058 - ZPP - mjere uređenja tržišta poljoprivrednih proizvoda, a u projekcijama za 2021. i 2022. godinu u iznosu od 83.190.750,00 kuna godišnje. </w:t>
      </w:r>
    </w:p>
    <w:p w14:paraId="2F53EE8B" w14:textId="77777777" w:rsidR="0034148A" w:rsidRPr="002263C5" w:rsidRDefault="0062232F" w:rsidP="008A4CA2">
      <w:pPr>
        <w:spacing w:after="200"/>
        <w:jc w:val="both"/>
      </w:pPr>
      <w:r>
        <w:t>I</w:t>
      </w:r>
      <w:r w:rsidR="0034148A" w:rsidRPr="002263C5">
        <w:t>zmjenama Nacionalnog program</w:t>
      </w:r>
      <w:r>
        <w:t>a</w:t>
      </w:r>
      <w:r w:rsidR="0034148A" w:rsidRPr="002263C5">
        <w:t xml:space="preserve"> u 2020</w:t>
      </w:r>
      <w:r>
        <w:t>.</w:t>
      </w:r>
      <w:r w:rsidR="0034148A" w:rsidRPr="002263C5">
        <w:t xml:space="preserve"> godini izvršit će se preraspodjela </w:t>
      </w:r>
      <w:r w:rsidRPr="002263C5">
        <w:t xml:space="preserve"> </w:t>
      </w:r>
      <w:r w:rsidR="00F84DC9" w:rsidRPr="002263C5">
        <w:t xml:space="preserve">financijskih </w:t>
      </w:r>
      <w:r w:rsidR="0034148A" w:rsidRPr="002263C5">
        <w:t xml:space="preserve">sredstava </w:t>
      </w:r>
      <w:r w:rsidR="00E27EE3">
        <w:t>osiguranih  u</w:t>
      </w:r>
      <w:r w:rsidRPr="002263C5">
        <w:t xml:space="preserve"> </w:t>
      </w:r>
      <w:r w:rsidR="00E27EE3">
        <w:t>Nacionalnom programu</w:t>
      </w:r>
      <w:r>
        <w:t xml:space="preserve">, </w:t>
      </w:r>
      <w:r w:rsidR="0034148A" w:rsidRPr="002263C5">
        <w:t>te će se smanji</w:t>
      </w:r>
      <w:r w:rsidR="00F84DC9" w:rsidRPr="002263C5">
        <w:t xml:space="preserve">ti </w:t>
      </w:r>
      <w:r w:rsidR="0034148A" w:rsidRPr="002263C5">
        <w:t>predviđen</w:t>
      </w:r>
      <w:r w:rsidR="00F84DC9" w:rsidRPr="002263C5">
        <w:t>a</w:t>
      </w:r>
      <w:r w:rsidR="0034148A" w:rsidRPr="002263C5">
        <w:t xml:space="preserve"> sredstava na mjerama Informiranje</w:t>
      </w:r>
      <w:r>
        <w:t xml:space="preserve"> u državama članicama</w:t>
      </w:r>
      <w:r w:rsidR="0034148A" w:rsidRPr="002263C5">
        <w:t xml:space="preserve"> i </w:t>
      </w:r>
      <w:r w:rsidR="00F84DC9" w:rsidRPr="002263C5">
        <w:t>P</w:t>
      </w:r>
      <w:r w:rsidR="0034148A" w:rsidRPr="002263C5">
        <w:t>romidžba</w:t>
      </w:r>
      <w:r>
        <w:t xml:space="preserve"> na tržištima trećih zemalja</w:t>
      </w:r>
      <w:r w:rsidR="0034148A" w:rsidRPr="002263C5">
        <w:t xml:space="preserve">, </w:t>
      </w:r>
      <w:r>
        <w:t xml:space="preserve">na </w:t>
      </w:r>
      <w:r w:rsidR="0034148A" w:rsidRPr="002263C5">
        <w:t xml:space="preserve">mjeri Rekonstrukcija i konverzija vinograda </w:t>
      </w:r>
      <w:r>
        <w:t>te</w:t>
      </w:r>
      <w:r w:rsidR="0034148A" w:rsidRPr="002263C5">
        <w:t xml:space="preserve"> mjeri Ulaganja</w:t>
      </w:r>
      <w:r w:rsidRPr="0062232F">
        <w:rPr>
          <w:rFonts w:eastAsiaTheme="minorHAnsi"/>
        </w:rPr>
        <w:t xml:space="preserve"> </w:t>
      </w:r>
      <w:r w:rsidRPr="006C5AC1">
        <w:rPr>
          <w:rFonts w:eastAsiaTheme="minorHAnsi"/>
        </w:rPr>
        <w:t>u vinarije i marketing vina</w:t>
      </w:r>
      <w:r w:rsidR="0034148A" w:rsidRPr="002263C5">
        <w:t xml:space="preserve"> </w:t>
      </w:r>
      <w:r w:rsidR="00F84DC9" w:rsidRPr="002263C5">
        <w:t>koj</w:t>
      </w:r>
      <w:r>
        <w:t>a</w:t>
      </w:r>
      <w:r w:rsidR="00F84DC9" w:rsidRPr="002263C5">
        <w:t xml:space="preserve"> se neće moći potrošiti zbog okolnosti koje je izazivala pand</w:t>
      </w:r>
      <w:r w:rsidR="004E15A0" w:rsidRPr="002263C5">
        <w:t>e</w:t>
      </w:r>
      <w:r w:rsidR="00F84DC9" w:rsidRPr="002263C5">
        <w:t xml:space="preserve">mija </w:t>
      </w:r>
      <w:r>
        <w:t xml:space="preserve">bolesti </w:t>
      </w:r>
      <w:r w:rsidR="00F84DC9" w:rsidRPr="002263C5">
        <w:t>COVID</w:t>
      </w:r>
      <w:r>
        <w:t>-</w:t>
      </w:r>
      <w:r w:rsidR="00F84DC9" w:rsidRPr="002263C5">
        <w:t xml:space="preserve">19, </w:t>
      </w:r>
      <w:r w:rsidR="00F84DC9" w:rsidRPr="00E27EE3">
        <w:t>u ukupnom iznosu 4,4 milijuna EUR-a.</w:t>
      </w:r>
      <w:r w:rsidR="00F84DC9" w:rsidRPr="002263C5">
        <w:t xml:space="preserve"> Na raču</w:t>
      </w:r>
      <w:r w:rsidR="004E15A0" w:rsidRPr="002263C5">
        <w:t>n</w:t>
      </w:r>
      <w:r w:rsidR="00F84DC9" w:rsidRPr="002263C5">
        <w:t xml:space="preserve"> tih sredstava od 4,4 milijuna EUR (33,37 milijuna kuna) i dodatnih 10 milijuna kuna formiraju se ukupna sredstva od 43,37 milijuna kuna koja će se preusmjeriti u dvije nove mjere </w:t>
      </w:r>
      <w:r w:rsidR="0034148A" w:rsidRPr="002263C5">
        <w:t>Destilacij</w:t>
      </w:r>
      <w:r>
        <w:t>a</w:t>
      </w:r>
      <w:r w:rsidR="0034148A" w:rsidRPr="002263C5">
        <w:t xml:space="preserve"> vina u kriz</w:t>
      </w:r>
      <w:r w:rsidR="00F84DC9" w:rsidRPr="002263C5">
        <w:t>nim slučajevima</w:t>
      </w:r>
      <w:r w:rsidR="0034148A" w:rsidRPr="002263C5">
        <w:t xml:space="preserve"> i Potpore</w:t>
      </w:r>
      <w:r>
        <w:t>a</w:t>
      </w:r>
      <w:r w:rsidR="0034148A" w:rsidRPr="002263C5">
        <w:t xml:space="preserve"> za krizno skladištenj</w:t>
      </w:r>
      <w:r w:rsidR="00F84DC9" w:rsidRPr="002263C5">
        <w:t>e</w:t>
      </w:r>
      <w:r w:rsidR="0034148A" w:rsidRPr="002263C5">
        <w:t xml:space="preserve"> vina</w:t>
      </w:r>
      <w:r w:rsidR="004E15A0" w:rsidRPr="002263C5">
        <w:t>.</w:t>
      </w:r>
      <w:r w:rsidR="0034148A" w:rsidRPr="002263C5">
        <w:t xml:space="preserve"> </w:t>
      </w:r>
      <w:r w:rsidR="004E15A0" w:rsidRPr="002263C5">
        <w:t xml:space="preserve">Pri tome </w:t>
      </w:r>
      <w:r w:rsidR="0034148A" w:rsidRPr="002263C5">
        <w:t xml:space="preserve">u ukupnom iznosu 43,3 milijuna kuna, europska sredstva </w:t>
      </w:r>
      <w:r w:rsidR="004E15A0" w:rsidRPr="002263C5">
        <w:t xml:space="preserve">su </w:t>
      </w:r>
      <w:r w:rsidR="0034148A" w:rsidRPr="002263C5">
        <w:t>u iznosu 33,3</w:t>
      </w:r>
      <w:r w:rsidR="004E15A0" w:rsidRPr="002263C5">
        <w:t>7</w:t>
      </w:r>
      <w:r w:rsidR="0034148A" w:rsidRPr="002263C5">
        <w:t xml:space="preserve"> milijuna kuna, a sredstva državne potpore iz Državnog proračuna </w:t>
      </w:r>
      <w:r w:rsidR="004E15A0" w:rsidRPr="002263C5">
        <w:t>su</w:t>
      </w:r>
      <w:r w:rsidR="0034148A" w:rsidRPr="002263C5">
        <w:t xml:space="preserve"> u iznosu10 milijuna kuna.</w:t>
      </w:r>
    </w:p>
    <w:p w14:paraId="41F3102E" w14:textId="77777777" w:rsidR="004E15A0" w:rsidRPr="002263C5" w:rsidRDefault="0062232F" w:rsidP="008A4CA2">
      <w:pPr>
        <w:jc w:val="both"/>
      </w:pPr>
      <w:r>
        <w:t>S</w:t>
      </w:r>
      <w:r w:rsidR="004E15A0" w:rsidRPr="002263C5">
        <w:t xml:space="preserve">redstva </w:t>
      </w:r>
      <w:r>
        <w:t xml:space="preserve">osigurana na navedeni način </w:t>
      </w:r>
      <w:r w:rsidR="004E15A0" w:rsidRPr="002263C5">
        <w:t>usmje</w:t>
      </w:r>
      <w:r>
        <w:t>rit će</w:t>
      </w:r>
      <w:r w:rsidR="004E15A0" w:rsidRPr="002263C5">
        <w:t xml:space="preserve"> se u dvije </w:t>
      </w:r>
      <w:r>
        <w:t xml:space="preserve">nove </w:t>
      </w:r>
      <w:r w:rsidR="004E15A0" w:rsidRPr="002263C5">
        <w:t>mjere</w:t>
      </w:r>
      <w:r>
        <w:t xml:space="preserve"> na sljedeći način</w:t>
      </w:r>
      <w:r w:rsidR="004E15A0" w:rsidRPr="002263C5">
        <w:t>:</w:t>
      </w:r>
    </w:p>
    <w:p w14:paraId="24C08BB4" w14:textId="77777777" w:rsidR="004E15A0" w:rsidRPr="002263C5" w:rsidRDefault="004E15A0" w:rsidP="008A4CA2">
      <w:pPr>
        <w:pStyle w:val="ListParagraph"/>
        <w:numPr>
          <w:ilvl w:val="0"/>
          <w:numId w:val="1"/>
        </w:numPr>
        <w:rPr>
          <w:szCs w:val="24"/>
        </w:rPr>
      </w:pPr>
      <w:r w:rsidRPr="002263C5">
        <w:rPr>
          <w:szCs w:val="24"/>
        </w:rPr>
        <w:t>Destilacij</w:t>
      </w:r>
      <w:r w:rsidR="0062232F">
        <w:rPr>
          <w:szCs w:val="24"/>
        </w:rPr>
        <w:t>a</w:t>
      </w:r>
      <w:r w:rsidRPr="002263C5">
        <w:rPr>
          <w:szCs w:val="24"/>
        </w:rPr>
        <w:t xml:space="preserve"> vina u kriznim slučajevima provodi se sredstvima u ukupnom iznosu 38,39 milijun kuna od če</w:t>
      </w:r>
      <w:r w:rsidR="0062232F">
        <w:rPr>
          <w:szCs w:val="24"/>
        </w:rPr>
        <w:t>g</w:t>
      </w:r>
      <w:r w:rsidRPr="002263C5">
        <w:rPr>
          <w:szCs w:val="24"/>
        </w:rPr>
        <w:t xml:space="preserve">a su europska sredstva u iznosu 29,5 milijuna kuna, a sredstva državne potpore iz Državnog proračuna </w:t>
      </w:r>
      <w:r w:rsidR="0062232F">
        <w:rPr>
          <w:szCs w:val="24"/>
        </w:rPr>
        <w:t xml:space="preserve">Republike Hrvatske </w:t>
      </w:r>
      <w:r w:rsidRPr="002263C5">
        <w:rPr>
          <w:szCs w:val="24"/>
        </w:rPr>
        <w:t xml:space="preserve">su u iznosu 8,89 milijuna kuna </w:t>
      </w:r>
    </w:p>
    <w:p w14:paraId="09BC4DD0" w14:textId="77777777" w:rsidR="004E15A0" w:rsidRPr="002263C5" w:rsidRDefault="004E15A0" w:rsidP="008A4CA2">
      <w:pPr>
        <w:pStyle w:val="ListParagraph"/>
        <w:numPr>
          <w:ilvl w:val="0"/>
          <w:numId w:val="1"/>
        </w:numPr>
        <w:rPr>
          <w:szCs w:val="24"/>
        </w:rPr>
      </w:pPr>
      <w:r w:rsidRPr="002263C5">
        <w:rPr>
          <w:szCs w:val="24"/>
        </w:rPr>
        <w:t>Potpor</w:t>
      </w:r>
      <w:r w:rsidR="0062232F">
        <w:rPr>
          <w:szCs w:val="24"/>
        </w:rPr>
        <w:t>a</w:t>
      </w:r>
      <w:r w:rsidRPr="002263C5">
        <w:rPr>
          <w:szCs w:val="24"/>
        </w:rPr>
        <w:t xml:space="preserve"> za krizno skladištenje vina provodi se sredstvima u ukupnom iznosu 5,01 milijun kuna od čeha su europska sredstva u iznosu 3,85 milijuna kuna, a sredstva državne potpore iz Državnog proračuna </w:t>
      </w:r>
      <w:r w:rsidR="0062232F">
        <w:rPr>
          <w:szCs w:val="24"/>
        </w:rPr>
        <w:t xml:space="preserve">Republike Hrvatske </w:t>
      </w:r>
      <w:r w:rsidRPr="002263C5">
        <w:rPr>
          <w:szCs w:val="24"/>
        </w:rPr>
        <w:t>su u iznosu 1,16 milijuna kuna.</w:t>
      </w:r>
    </w:p>
    <w:p w14:paraId="1801DABD" w14:textId="77777777" w:rsidR="00CB2F56" w:rsidRDefault="00CB2F56" w:rsidP="00795EE4">
      <w:pPr>
        <w:ind w:right="72" w:firstLine="360"/>
        <w:jc w:val="both"/>
      </w:pPr>
      <w:r>
        <w:t xml:space="preserve">U komunikacija s Europskom komisijom tražena je suglasnost na Nacionalni program, a s tim i uputa o primjeni tečaja EUR : HRK u obračunu sredstava u Nacionalnom programu, s obzirom na sredstva koja se plaćaju iz Europskog fonda za </w:t>
      </w:r>
      <w:r>
        <w:lastRenderedPageBreak/>
        <w:t>jamstva u poljoprivredi. Pri tome Europska Komisija u uredbama koje uređuju primjenu dviju novih mjera, mjera 9. Destilacija vina u kriznim slučajevima i mjera</w:t>
      </w:r>
      <w:r w:rsidRPr="00460E7A">
        <w:t xml:space="preserve"> 10. </w:t>
      </w:r>
      <w:r w:rsidRPr="00CB2F56">
        <w:rPr>
          <w:szCs w:val="20"/>
          <w:lang w:bidi="hr-HR"/>
        </w:rPr>
        <w:t>Potpora za krizno skladištenje vina,</w:t>
      </w:r>
      <w:r w:rsidRPr="001E46EC">
        <w:t xml:space="preserve"> </w:t>
      </w:r>
      <w:r>
        <w:t xml:space="preserve">nije uredila pitanje primjene tečaja EUR prema drugim valutama zemalja članica izvan zone Euro. </w:t>
      </w:r>
    </w:p>
    <w:p w14:paraId="1A3144A7" w14:textId="77777777" w:rsidR="008223E8" w:rsidRPr="008223E8" w:rsidRDefault="008223E8" w:rsidP="008223E8">
      <w:pPr>
        <w:autoSpaceDE w:val="0"/>
        <w:autoSpaceDN w:val="0"/>
        <w:adjustRightInd w:val="0"/>
        <w:ind w:firstLine="708"/>
        <w:jc w:val="both"/>
      </w:pPr>
      <w:r w:rsidRPr="008223E8">
        <w:t xml:space="preserve">S obzirom na  u trenutku donošenja Nacionalnog program ne postoje smjernice Europske komisije vezano za primjenu tečaja HRK : EUR, utvrđeni jedinični iznosi potpore predstavljaju okvirni iznos potpore, s obzirom da je doprinos EU sredstava u provođenju mjera 9. i 10. Nacionalnog programa vezan uz neslužbeni tečaj 7,5848 HRK : 1 EUR,  koji je utvrđen prema srednjem tečaju Europske centralne banke na dan 2. lipanj 2020. godine. </w:t>
      </w:r>
    </w:p>
    <w:p w14:paraId="6F2372C9" w14:textId="77777777" w:rsidR="008223E8" w:rsidRPr="008223E8" w:rsidRDefault="008223E8" w:rsidP="008223E8">
      <w:pPr>
        <w:autoSpaceDE w:val="0"/>
        <w:autoSpaceDN w:val="0"/>
        <w:adjustRightInd w:val="0"/>
        <w:ind w:firstLine="708"/>
        <w:jc w:val="both"/>
      </w:pPr>
      <w:r w:rsidRPr="008223E8">
        <w:t>Stvarni jedinični iznos potpore utvrđen u mjerama 9. i 10. Nacionalnog programa biti će utvrđen u trenutku kad Europska Komisija utvrdi operativni tečaj EUR : HRK za isplatu potpore u mjerama 9. i 10. Nacionalnog programa te će se taj tečaj primijeniti od strane Agencija za plaćanja u poljoprivredi, ribarstvu i ruralnom razvoju ( u daljnjem tekstu: Agencije za plaćanja) u trenutku isplate potpore korisniku mjere, a na temelju slijedećih osiguranih sredstava po mjerama:</w:t>
      </w:r>
    </w:p>
    <w:p w14:paraId="3DF78B18" w14:textId="77777777" w:rsidR="008223E8" w:rsidRPr="008223E8" w:rsidRDefault="008223E8" w:rsidP="008223E8">
      <w:pPr>
        <w:pStyle w:val="ListParagraph"/>
        <w:numPr>
          <w:ilvl w:val="0"/>
          <w:numId w:val="6"/>
        </w:numPr>
        <w:autoSpaceDE w:val="0"/>
        <w:autoSpaceDN w:val="0"/>
        <w:adjustRightInd w:val="0"/>
      </w:pPr>
      <w:r w:rsidRPr="008223E8">
        <w:t xml:space="preserve">za mjeru 9. Destilacija vina u kriznim slučajevima </w:t>
      </w:r>
    </w:p>
    <w:tbl>
      <w:tblPr>
        <w:tblStyle w:val="TableGrid"/>
        <w:tblW w:w="0" w:type="auto"/>
        <w:tblInd w:w="1068" w:type="dxa"/>
        <w:tblLook w:val="04A0" w:firstRow="1" w:lastRow="0" w:firstColumn="1" w:lastColumn="0" w:noHBand="0" w:noVBand="1"/>
      </w:tblPr>
      <w:tblGrid>
        <w:gridCol w:w="2690"/>
        <w:gridCol w:w="2652"/>
        <w:gridCol w:w="2652"/>
      </w:tblGrid>
      <w:tr w:rsidR="008223E8" w:rsidRPr="008223E8" w14:paraId="03D76758" w14:textId="77777777" w:rsidTr="001C7FD5">
        <w:tc>
          <w:tcPr>
            <w:tcW w:w="3020" w:type="dxa"/>
          </w:tcPr>
          <w:p w14:paraId="5C9FFE25" w14:textId="77777777" w:rsidR="008223E8" w:rsidRPr="008223E8" w:rsidRDefault="008223E8" w:rsidP="001C7FD5">
            <w:pPr>
              <w:autoSpaceDE w:val="0"/>
              <w:autoSpaceDN w:val="0"/>
              <w:adjustRightInd w:val="0"/>
              <w:jc w:val="center"/>
              <w:rPr>
                <w:b/>
              </w:rPr>
            </w:pPr>
            <w:r w:rsidRPr="008223E8">
              <w:rPr>
                <w:b/>
              </w:rPr>
              <w:t>Mjera potpore</w:t>
            </w:r>
          </w:p>
        </w:tc>
        <w:tc>
          <w:tcPr>
            <w:tcW w:w="3021" w:type="dxa"/>
          </w:tcPr>
          <w:p w14:paraId="00E5B6E6" w14:textId="77777777" w:rsidR="008223E8" w:rsidRPr="008223E8" w:rsidRDefault="008223E8" w:rsidP="001C7FD5">
            <w:pPr>
              <w:autoSpaceDE w:val="0"/>
              <w:autoSpaceDN w:val="0"/>
              <w:adjustRightInd w:val="0"/>
              <w:jc w:val="center"/>
              <w:rPr>
                <w:b/>
              </w:rPr>
            </w:pPr>
            <w:r w:rsidRPr="008223E8">
              <w:rPr>
                <w:b/>
              </w:rPr>
              <w:t>Sredstva Državne potpore iz DP Republike Hrvatske</w:t>
            </w:r>
          </w:p>
          <w:p w14:paraId="07A646C9" w14:textId="77777777" w:rsidR="008223E8" w:rsidRPr="008223E8" w:rsidRDefault="008223E8" w:rsidP="001C7FD5">
            <w:pPr>
              <w:autoSpaceDE w:val="0"/>
              <w:autoSpaceDN w:val="0"/>
              <w:adjustRightInd w:val="0"/>
              <w:jc w:val="center"/>
              <w:rPr>
                <w:b/>
              </w:rPr>
            </w:pPr>
            <w:r w:rsidRPr="008223E8">
              <w:rPr>
                <w:b/>
              </w:rPr>
              <w:t>(Kuna)</w:t>
            </w:r>
          </w:p>
        </w:tc>
        <w:tc>
          <w:tcPr>
            <w:tcW w:w="3021" w:type="dxa"/>
          </w:tcPr>
          <w:p w14:paraId="10F64D76" w14:textId="77777777" w:rsidR="008223E8" w:rsidRPr="008223E8" w:rsidRDefault="008223E8" w:rsidP="001C7FD5">
            <w:pPr>
              <w:autoSpaceDE w:val="0"/>
              <w:autoSpaceDN w:val="0"/>
              <w:adjustRightInd w:val="0"/>
              <w:jc w:val="center"/>
              <w:rPr>
                <w:b/>
              </w:rPr>
            </w:pPr>
            <w:r w:rsidRPr="008223E8">
              <w:rPr>
                <w:b/>
              </w:rPr>
              <w:t>Sredstva iz EU proračuna</w:t>
            </w:r>
          </w:p>
          <w:p w14:paraId="54066EF0" w14:textId="77777777" w:rsidR="008223E8" w:rsidRPr="008223E8" w:rsidRDefault="008223E8" w:rsidP="001C7FD5">
            <w:pPr>
              <w:autoSpaceDE w:val="0"/>
              <w:autoSpaceDN w:val="0"/>
              <w:adjustRightInd w:val="0"/>
              <w:jc w:val="center"/>
              <w:rPr>
                <w:b/>
              </w:rPr>
            </w:pPr>
            <w:r w:rsidRPr="008223E8">
              <w:rPr>
                <w:b/>
              </w:rPr>
              <w:t>Doprinos EU u mjeri</w:t>
            </w:r>
          </w:p>
          <w:p w14:paraId="15DABED3" w14:textId="77777777" w:rsidR="008223E8" w:rsidRPr="008223E8" w:rsidRDefault="008223E8" w:rsidP="001C7FD5">
            <w:pPr>
              <w:autoSpaceDE w:val="0"/>
              <w:autoSpaceDN w:val="0"/>
              <w:adjustRightInd w:val="0"/>
              <w:jc w:val="center"/>
              <w:rPr>
                <w:b/>
              </w:rPr>
            </w:pPr>
            <w:r w:rsidRPr="008223E8">
              <w:rPr>
                <w:b/>
              </w:rPr>
              <w:t>(EUR)</w:t>
            </w:r>
          </w:p>
        </w:tc>
      </w:tr>
      <w:tr w:rsidR="008223E8" w:rsidRPr="008223E8" w14:paraId="55C3508B" w14:textId="77777777" w:rsidTr="001C7FD5">
        <w:tc>
          <w:tcPr>
            <w:tcW w:w="3020" w:type="dxa"/>
          </w:tcPr>
          <w:p w14:paraId="79A44167" w14:textId="77777777" w:rsidR="008223E8" w:rsidRPr="008223E8" w:rsidRDefault="008223E8" w:rsidP="001C7FD5">
            <w:pPr>
              <w:autoSpaceDE w:val="0"/>
              <w:autoSpaceDN w:val="0"/>
              <w:adjustRightInd w:val="0"/>
            </w:pPr>
            <w:r w:rsidRPr="008223E8">
              <w:t>potpora proizvođačima vina za vino predano na destilaciju</w:t>
            </w:r>
          </w:p>
        </w:tc>
        <w:tc>
          <w:tcPr>
            <w:tcW w:w="3021" w:type="dxa"/>
          </w:tcPr>
          <w:p w14:paraId="2D6E1397" w14:textId="77777777" w:rsidR="008223E8" w:rsidRPr="008223E8" w:rsidRDefault="008223E8" w:rsidP="001C7FD5">
            <w:pPr>
              <w:autoSpaceDE w:val="0"/>
              <w:autoSpaceDN w:val="0"/>
              <w:adjustRightInd w:val="0"/>
              <w:jc w:val="center"/>
            </w:pPr>
            <w:r w:rsidRPr="008223E8">
              <w:t>7.890.320,00</w:t>
            </w:r>
          </w:p>
        </w:tc>
        <w:tc>
          <w:tcPr>
            <w:tcW w:w="3021" w:type="dxa"/>
          </w:tcPr>
          <w:p w14:paraId="72F25567" w14:textId="77777777" w:rsidR="008223E8" w:rsidRPr="008223E8" w:rsidRDefault="008223E8" w:rsidP="001C7FD5">
            <w:pPr>
              <w:autoSpaceDE w:val="0"/>
              <w:autoSpaceDN w:val="0"/>
              <w:adjustRightInd w:val="0"/>
              <w:jc w:val="center"/>
            </w:pPr>
            <w:r w:rsidRPr="008223E8">
              <w:t>3.454.984,00</w:t>
            </w:r>
          </w:p>
        </w:tc>
      </w:tr>
      <w:tr w:rsidR="008223E8" w:rsidRPr="008223E8" w14:paraId="0590E28C" w14:textId="77777777" w:rsidTr="001C7FD5">
        <w:tc>
          <w:tcPr>
            <w:tcW w:w="3020" w:type="dxa"/>
          </w:tcPr>
          <w:p w14:paraId="40F5D5B7" w14:textId="77777777" w:rsidR="008223E8" w:rsidRPr="008223E8" w:rsidRDefault="008223E8" w:rsidP="001C7FD5">
            <w:pPr>
              <w:autoSpaceDE w:val="0"/>
              <w:autoSpaceDN w:val="0"/>
              <w:adjustRightInd w:val="0"/>
            </w:pPr>
            <w:r w:rsidRPr="008223E8">
              <w:t>potpora za pokriće transportnih troškova u dopremi vina na destilaciju</w:t>
            </w:r>
          </w:p>
        </w:tc>
        <w:tc>
          <w:tcPr>
            <w:tcW w:w="3021" w:type="dxa"/>
          </w:tcPr>
          <w:p w14:paraId="32149291" w14:textId="77777777" w:rsidR="008223E8" w:rsidRPr="008223E8" w:rsidRDefault="008223E8" w:rsidP="001C7FD5">
            <w:pPr>
              <w:autoSpaceDE w:val="0"/>
              <w:autoSpaceDN w:val="0"/>
              <w:adjustRightInd w:val="0"/>
              <w:jc w:val="center"/>
            </w:pPr>
            <w:r w:rsidRPr="008223E8">
              <w:t>241.280,00</w:t>
            </w:r>
          </w:p>
        </w:tc>
        <w:tc>
          <w:tcPr>
            <w:tcW w:w="3021" w:type="dxa"/>
          </w:tcPr>
          <w:p w14:paraId="5A478A48" w14:textId="77777777" w:rsidR="008223E8" w:rsidRPr="008223E8" w:rsidRDefault="008223E8" w:rsidP="001C7FD5">
            <w:pPr>
              <w:autoSpaceDE w:val="0"/>
              <w:autoSpaceDN w:val="0"/>
              <w:adjustRightInd w:val="0"/>
              <w:jc w:val="center"/>
            </w:pPr>
            <w:r w:rsidRPr="008223E8">
              <w:t>105.651,00</w:t>
            </w:r>
          </w:p>
        </w:tc>
      </w:tr>
      <w:tr w:rsidR="008223E8" w:rsidRPr="008223E8" w14:paraId="6FF01477" w14:textId="77777777" w:rsidTr="001C7FD5">
        <w:tc>
          <w:tcPr>
            <w:tcW w:w="3020" w:type="dxa"/>
          </w:tcPr>
          <w:p w14:paraId="224FC80A" w14:textId="77777777" w:rsidR="008223E8" w:rsidRPr="008223E8" w:rsidRDefault="008223E8" w:rsidP="001C7FD5">
            <w:pPr>
              <w:autoSpaceDE w:val="0"/>
              <w:autoSpaceDN w:val="0"/>
              <w:adjustRightInd w:val="0"/>
            </w:pPr>
            <w:r w:rsidRPr="008223E8">
              <w:t>potpore destilaterima za provedenu destilaciju vina</w:t>
            </w:r>
          </w:p>
        </w:tc>
        <w:tc>
          <w:tcPr>
            <w:tcW w:w="3021" w:type="dxa"/>
          </w:tcPr>
          <w:p w14:paraId="69B9DD6E" w14:textId="77777777" w:rsidR="008223E8" w:rsidRPr="008223E8" w:rsidRDefault="008223E8" w:rsidP="001C7FD5">
            <w:pPr>
              <w:autoSpaceDE w:val="0"/>
              <w:autoSpaceDN w:val="0"/>
              <w:adjustRightInd w:val="0"/>
              <w:jc w:val="center"/>
            </w:pPr>
            <w:r w:rsidRPr="008223E8">
              <w:t>754.000,00</w:t>
            </w:r>
          </w:p>
        </w:tc>
        <w:tc>
          <w:tcPr>
            <w:tcW w:w="3021" w:type="dxa"/>
          </w:tcPr>
          <w:p w14:paraId="1A70AED6" w14:textId="77777777" w:rsidR="008223E8" w:rsidRPr="008223E8" w:rsidRDefault="008223E8" w:rsidP="001C7FD5">
            <w:pPr>
              <w:autoSpaceDE w:val="0"/>
              <w:autoSpaceDN w:val="0"/>
              <w:adjustRightInd w:val="0"/>
              <w:jc w:val="center"/>
            </w:pPr>
            <w:r w:rsidRPr="008223E8">
              <w:t>330.159,00</w:t>
            </w:r>
          </w:p>
        </w:tc>
      </w:tr>
      <w:tr w:rsidR="008223E8" w:rsidRPr="008223E8" w14:paraId="7C55DCA8" w14:textId="77777777" w:rsidTr="001C7FD5">
        <w:tc>
          <w:tcPr>
            <w:tcW w:w="3020" w:type="dxa"/>
          </w:tcPr>
          <w:p w14:paraId="684E196E" w14:textId="77777777" w:rsidR="008223E8" w:rsidRPr="008223E8" w:rsidRDefault="008223E8" w:rsidP="001C7FD5">
            <w:pPr>
              <w:autoSpaceDE w:val="0"/>
              <w:autoSpaceDN w:val="0"/>
              <w:adjustRightInd w:val="0"/>
              <w:rPr>
                <w:b/>
              </w:rPr>
            </w:pPr>
            <w:r w:rsidRPr="008223E8">
              <w:rPr>
                <w:b/>
              </w:rPr>
              <w:t xml:space="preserve">Ukupno Mjera 9. </w:t>
            </w:r>
          </w:p>
        </w:tc>
        <w:tc>
          <w:tcPr>
            <w:tcW w:w="3021" w:type="dxa"/>
          </w:tcPr>
          <w:p w14:paraId="17328913" w14:textId="77777777" w:rsidR="008223E8" w:rsidRPr="008223E8" w:rsidRDefault="008223E8" w:rsidP="001C7FD5">
            <w:pPr>
              <w:autoSpaceDE w:val="0"/>
              <w:autoSpaceDN w:val="0"/>
              <w:adjustRightInd w:val="0"/>
              <w:jc w:val="center"/>
              <w:rPr>
                <w:b/>
              </w:rPr>
            </w:pPr>
            <w:r w:rsidRPr="008223E8">
              <w:rPr>
                <w:b/>
              </w:rPr>
              <w:t>8.885.600,00</w:t>
            </w:r>
          </w:p>
        </w:tc>
        <w:tc>
          <w:tcPr>
            <w:tcW w:w="3021" w:type="dxa"/>
          </w:tcPr>
          <w:p w14:paraId="08C157E7" w14:textId="77777777" w:rsidR="008223E8" w:rsidRPr="008223E8" w:rsidRDefault="008223E8" w:rsidP="001C7FD5">
            <w:pPr>
              <w:autoSpaceDE w:val="0"/>
              <w:autoSpaceDN w:val="0"/>
              <w:adjustRightInd w:val="0"/>
              <w:jc w:val="center"/>
              <w:rPr>
                <w:b/>
              </w:rPr>
            </w:pPr>
            <w:r w:rsidRPr="008223E8">
              <w:rPr>
                <w:b/>
              </w:rPr>
              <w:t>3.890.794,00</w:t>
            </w:r>
          </w:p>
        </w:tc>
      </w:tr>
    </w:tbl>
    <w:p w14:paraId="04FF0B87" w14:textId="77777777" w:rsidR="008223E8" w:rsidRPr="008223E8" w:rsidRDefault="008223E8" w:rsidP="008223E8">
      <w:pPr>
        <w:autoSpaceDE w:val="0"/>
        <w:autoSpaceDN w:val="0"/>
        <w:adjustRightInd w:val="0"/>
        <w:ind w:left="708"/>
      </w:pPr>
    </w:p>
    <w:p w14:paraId="4769DC23" w14:textId="77777777" w:rsidR="008223E8" w:rsidRPr="008223E8" w:rsidRDefault="008223E8" w:rsidP="008223E8">
      <w:pPr>
        <w:pStyle w:val="ListParagraph"/>
        <w:numPr>
          <w:ilvl w:val="0"/>
          <w:numId w:val="6"/>
        </w:numPr>
        <w:autoSpaceDE w:val="0"/>
        <w:autoSpaceDN w:val="0"/>
        <w:adjustRightInd w:val="0"/>
      </w:pPr>
      <w:r w:rsidRPr="008223E8">
        <w:t>za mjeru 10. Potpora za krizno skladištenje vina</w:t>
      </w:r>
    </w:p>
    <w:tbl>
      <w:tblPr>
        <w:tblStyle w:val="TableGrid"/>
        <w:tblW w:w="0" w:type="auto"/>
        <w:tblInd w:w="1068" w:type="dxa"/>
        <w:tblLook w:val="04A0" w:firstRow="1" w:lastRow="0" w:firstColumn="1" w:lastColumn="0" w:noHBand="0" w:noVBand="1"/>
      </w:tblPr>
      <w:tblGrid>
        <w:gridCol w:w="2618"/>
        <w:gridCol w:w="2706"/>
        <w:gridCol w:w="2670"/>
      </w:tblGrid>
      <w:tr w:rsidR="008223E8" w:rsidRPr="008223E8" w14:paraId="715FE553" w14:textId="77777777" w:rsidTr="001C7FD5">
        <w:tc>
          <w:tcPr>
            <w:tcW w:w="3020" w:type="dxa"/>
          </w:tcPr>
          <w:p w14:paraId="432EF6FE" w14:textId="77777777" w:rsidR="008223E8" w:rsidRPr="008223E8" w:rsidRDefault="008223E8" w:rsidP="001C7FD5">
            <w:pPr>
              <w:autoSpaceDE w:val="0"/>
              <w:autoSpaceDN w:val="0"/>
              <w:adjustRightInd w:val="0"/>
              <w:jc w:val="center"/>
              <w:rPr>
                <w:b/>
              </w:rPr>
            </w:pPr>
            <w:r w:rsidRPr="008223E8">
              <w:rPr>
                <w:b/>
              </w:rPr>
              <w:t>Mjera potpore</w:t>
            </w:r>
          </w:p>
        </w:tc>
        <w:tc>
          <w:tcPr>
            <w:tcW w:w="3021" w:type="dxa"/>
          </w:tcPr>
          <w:p w14:paraId="7BC644AA" w14:textId="77777777" w:rsidR="008223E8" w:rsidRPr="008223E8" w:rsidRDefault="008223E8" w:rsidP="001C7FD5">
            <w:pPr>
              <w:autoSpaceDE w:val="0"/>
              <w:autoSpaceDN w:val="0"/>
              <w:adjustRightInd w:val="0"/>
              <w:jc w:val="center"/>
              <w:rPr>
                <w:b/>
              </w:rPr>
            </w:pPr>
            <w:r w:rsidRPr="008223E8">
              <w:rPr>
                <w:b/>
              </w:rPr>
              <w:t>Sredstva Državne potpore iz DP Republike Hrvatske</w:t>
            </w:r>
          </w:p>
          <w:p w14:paraId="00451829" w14:textId="77777777" w:rsidR="008223E8" w:rsidRPr="008223E8" w:rsidRDefault="008223E8" w:rsidP="001C7FD5">
            <w:pPr>
              <w:autoSpaceDE w:val="0"/>
              <w:autoSpaceDN w:val="0"/>
              <w:adjustRightInd w:val="0"/>
              <w:jc w:val="center"/>
              <w:rPr>
                <w:b/>
              </w:rPr>
            </w:pPr>
            <w:r w:rsidRPr="008223E8">
              <w:rPr>
                <w:b/>
              </w:rPr>
              <w:t>(Kuna)</w:t>
            </w:r>
          </w:p>
        </w:tc>
        <w:tc>
          <w:tcPr>
            <w:tcW w:w="3021" w:type="dxa"/>
          </w:tcPr>
          <w:p w14:paraId="75BC8DAB" w14:textId="77777777" w:rsidR="008223E8" w:rsidRPr="008223E8" w:rsidRDefault="008223E8" w:rsidP="001C7FD5">
            <w:pPr>
              <w:autoSpaceDE w:val="0"/>
              <w:autoSpaceDN w:val="0"/>
              <w:adjustRightInd w:val="0"/>
              <w:jc w:val="center"/>
              <w:rPr>
                <w:b/>
              </w:rPr>
            </w:pPr>
            <w:r w:rsidRPr="008223E8">
              <w:rPr>
                <w:b/>
              </w:rPr>
              <w:t>Sredstva iz EU proračuna</w:t>
            </w:r>
          </w:p>
          <w:p w14:paraId="5D93E2D7" w14:textId="77777777" w:rsidR="008223E8" w:rsidRPr="008223E8" w:rsidRDefault="008223E8" w:rsidP="001C7FD5">
            <w:pPr>
              <w:autoSpaceDE w:val="0"/>
              <w:autoSpaceDN w:val="0"/>
              <w:adjustRightInd w:val="0"/>
              <w:jc w:val="center"/>
              <w:rPr>
                <w:b/>
              </w:rPr>
            </w:pPr>
            <w:r w:rsidRPr="008223E8">
              <w:rPr>
                <w:b/>
              </w:rPr>
              <w:t>Doprinos EU u mjeri</w:t>
            </w:r>
          </w:p>
          <w:p w14:paraId="0D7234CA" w14:textId="77777777" w:rsidR="008223E8" w:rsidRPr="008223E8" w:rsidRDefault="008223E8" w:rsidP="001C7FD5">
            <w:pPr>
              <w:autoSpaceDE w:val="0"/>
              <w:autoSpaceDN w:val="0"/>
              <w:adjustRightInd w:val="0"/>
              <w:jc w:val="center"/>
              <w:rPr>
                <w:b/>
              </w:rPr>
            </w:pPr>
            <w:r w:rsidRPr="008223E8">
              <w:rPr>
                <w:b/>
              </w:rPr>
              <w:t>(EUR)</w:t>
            </w:r>
          </w:p>
        </w:tc>
      </w:tr>
      <w:tr w:rsidR="008223E8" w:rsidRPr="008223E8" w14:paraId="46399CE5" w14:textId="77777777" w:rsidTr="001C7FD5">
        <w:tc>
          <w:tcPr>
            <w:tcW w:w="3020" w:type="dxa"/>
          </w:tcPr>
          <w:p w14:paraId="06ED86FC" w14:textId="77777777" w:rsidR="008223E8" w:rsidRPr="008223E8" w:rsidRDefault="008223E8" w:rsidP="001C7FD5">
            <w:pPr>
              <w:autoSpaceDE w:val="0"/>
              <w:autoSpaceDN w:val="0"/>
              <w:adjustRightInd w:val="0"/>
              <w:rPr>
                <w:b/>
              </w:rPr>
            </w:pPr>
            <w:r w:rsidRPr="008223E8">
              <w:rPr>
                <w:b/>
              </w:rPr>
              <w:t>Ukupno Mjera 10.</w:t>
            </w:r>
          </w:p>
        </w:tc>
        <w:tc>
          <w:tcPr>
            <w:tcW w:w="3021" w:type="dxa"/>
          </w:tcPr>
          <w:p w14:paraId="61601F54" w14:textId="77777777" w:rsidR="008223E8" w:rsidRPr="008223E8" w:rsidRDefault="008223E8" w:rsidP="001C7FD5">
            <w:pPr>
              <w:autoSpaceDE w:val="0"/>
              <w:autoSpaceDN w:val="0"/>
              <w:adjustRightInd w:val="0"/>
              <w:jc w:val="center"/>
              <w:rPr>
                <w:b/>
              </w:rPr>
            </w:pPr>
            <w:r w:rsidRPr="008223E8">
              <w:rPr>
                <w:b/>
              </w:rPr>
              <w:t>1.160.000,00</w:t>
            </w:r>
          </w:p>
        </w:tc>
        <w:tc>
          <w:tcPr>
            <w:tcW w:w="3021" w:type="dxa"/>
          </w:tcPr>
          <w:p w14:paraId="3F9EB2AE" w14:textId="77777777" w:rsidR="008223E8" w:rsidRPr="008223E8" w:rsidRDefault="008223E8" w:rsidP="001C7FD5">
            <w:pPr>
              <w:autoSpaceDE w:val="0"/>
              <w:autoSpaceDN w:val="0"/>
              <w:adjustRightInd w:val="0"/>
              <w:jc w:val="center"/>
              <w:rPr>
                <w:b/>
              </w:rPr>
            </w:pPr>
            <w:r w:rsidRPr="008223E8">
              <w:rPr>
                <w:b/>
              </w:rPr>
              <w:t>507.937,00</w:t>
            </w:r>
          </w:p>
        </w:tc>
      </w:tr>
    </w:tbl>
    <w:p w14:paraId="2B44D54F" w14:textId="77777777" w:rsidR="008223E8" w:rsidRPr="008223E8" w:rsidRDefault="008223E8" w:rsidP="008223E8">
      <w:pPr>
        <w:autoSpaceDE w:val="0"/>
        <w:autoSpaceDN w:val="0"/>
        <w:adjustRightInd w:val="0"/>
      </w:pPr>
    </w:p>
    <w:p w14:paraId="0AB8028E" w14:textId="77777777" w:rsidR="008223E8" w:rsidRPr="008223E8" w:rsidRDefault="008223E8" w:rsidP="008223E8">
      <w:pPr>
        <w:autoSpaceDE w:val="0"/>
        <w:autoSpaceDN w:val="0"/>
        <w:adjustRightInd w:val="0"/>
        <w:ind w:firstLine="708"/>
        <w:jc w:val="both"/>
      </w:pPr>
      <w:r w:rsidRPr="008223E8">
        <w:t xml:space="preserve">Smjernica Europske komisije o primjeni tečaja biti će objavljena na mrežnim stanicama Ministarstva poljoprivrede. </w:t>
      </w:r>
    </w:p>
    <w:p w14:paraId="5046C6AB" w14:textId="77777777" w:rsidR="00CB2F56" w:rsidRPr="00C57769" w:rsidRDefault="00CB2F56" w:rsidP="00795EE4">
      <w:pPr>
        <w:pStyle w:val="FootnoteText"/>
        <w:jc w:val="both"/>
        <w:rPr>
          <w:sz w:val="24"/>
          <w:szCs w:val="16"/>
        </w:rPr>
      </w:pPr>
      <w:r>
        <w:rPr>
          <w:sz w:val="24"/>
          <w:szCs w:val="16"/>
        </w:rPr>
        <w:t>Na ovaj način se u ovakvim okolnostima nejasne primjene tečaja osigurava zaštita Državnog proračuna Republike Hrvatske od mogućih izmjena vrijednosti planiranih financijaških sredstva zbog promjena tečaja te iznosi predviđenih sredstva za ove dvije mjere drže se u okvirima planiranih i osiguranih sredstva u Državnom proračunu Republike Hrvatske za 2020. godinu, kada se ove mjere i provode.</w:t>
      </w:r>
    </w:p>
    <w:p w14:paraId="46407A18" w14:textId="77777777" w:rsidR="0034148A" w:rsidRPr="002263C5" w:rsidRDefault="0034148A" w:rsidP="00795EE4">
      <w:pPr>
        <w:jc w:val="both"/>
        <w:rPr>
          <w:highlight w:val="yellow"/>
        </w:rPr>
      </w:pPr>
    </w:p>
    <w:p w14:paraId="3298BABE" w14:textId="77777777" w:rsidR="00A2798C" w:rsidRPr="002263C5" w:rsidRDefault="00A2798C" w:rsidP="00CB2F56">
      <w:pPr>
        <w:jc w:val="both"/>
      </w:pPr>
    </w:p>
    <w:sectPr w:rsidR="00A2798C" w:rsidRPr="002263C5" w:rsidSect="00A3639E">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1DF21" w14:textId="77777777" w:rsidR="00A21801" w:rsidRDefault="00A21801" w:rsidP="003E3EAA">
      <w:r>
        <w:separator/>
      </w:r>
    </w:p>
  </w:endnote>
  <w:endnote w:type="continuationSeparator" w:id="0">
    <w:p w14:paraId="52E9A94A" w14:textId="77777777" w:rsidR="00A21801" w:rsidRDefault="00A21801" w:rsidP="003E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A9FB" w14:textId="77777777" w:rsidR="00A21801" w:rsidRDefault="00A21801" w:rsidP="003E3EAA">
      <w:r>
        <w:separator/>
      </w:r>
    </w:p>
  </w:footnote>
  <w:footnote w:type="continuationSeparator" w:id="0">
    <w:p w14:paraId="277003E3" w14:textId="77777777" w:rsidR="00A21801" w:rsidRDefault="00A21801" w:rsidP="003E3E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7CF3"/>
    <w:multiLevelType w:val="hybridMultilevel"/>
    <w:tmpl w:val="D9B23648"/>
    <w:lvl w:ilvl="0" w:tplc="4FD055C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1F7FC1"/>
    <w:multiLevelType w:val="hybridMultilevel"/>
    <w:tmpl w:val="ED440A12"/>
    <w:lvl w:ilvl="0" w:tplc="DE58832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2283F99"/>
    <w:multiLevelType w:val="hybridMultilevel"/>
    <w:tmpl w:val="1B40E80E"/>
    <w:lvl w:ilvl="0" w:tplc="5626623C">
      <w:start w:val="2"/>
      <w:numFmt w:val="bullet"/>
      <w:lvlText w:val="-"/>
      <w:lvlJc w:val="left"/>
      <w:pPr>
        <w:ind w:left="1068" w:hanging="360"/>
      </w:pPr>
      <w:rPr>
        <w:rFonts w:ascii="Times New Roman" w:eastAsia="Times New Roman" w:hAnsi="Times New Roman" w:cs="Times New Roman" w:hint="default"/>
        <w:u w:val="singl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4E54D2E"/>
    <w:multiLevelType w:val="hybridMultilevel"/>
    <w:tmpl w:val="3B8AA770"/>
    <w:lvl w:ilvl="0" w:tplc="4FD055CC">
      <w:numFmt w:val="bullet"/>
      <w:lvlText w:val="-"/>
      <w:lvlJc w:val="left"/>
      <w:pPr>
        <w:ind w:left="720" w:hanging="360"/>
      </w:pPr>
      <w:rPr>
        <w:rFonts w:ascii="Calibri" w:eastAsiaTheme="minorHAnsi" w:hAnsi="Calibri" w:cs="Calibri" w:hint="default"/>
      </w:rPr>
    </w:lvl>
    <w:lvl w:ilvl="1" w:tplc="9E36FD26">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CDE16B1"/>
    <w:multiLevelType w:val="hybridMultilevel"/>
    <w:tmpl w:val="DCE4D03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8A"/>
    <w:rsid w:val="0000223F"/>
    <w:rsid w:val="00096D06"/>
    <w:rsid w:val="000E4064"/>
    <w:rsid w:val="000F2E47"/>
    <w:rsid w:val="000F3178"/>
    <w:rsid w:val="00112FE6"/>
    <w:rsid w:val="00140FCB"/>
    <w:rsid w:val="001E2B22"/>
    <w:rsid w:val="002263C5"/>
    <w:rsid w:val="002B01E5"/>
    <w:rsid w:val="002E0B1A"/>
    <w:rsid w:val="0034148A"/>
    <w:rsid w:val="003E3EAA"/>
    <w:rsid w:val="003E5970"/>
    <w:rsid w:val="00460E7A"/>
    <w:rsid w:val="0046251F"/>
    <w:rsid w:val="0049166F"/>
    <w:rsid w:val="004A705B"/>
    <w:rsid w:val="004E15A0"/>
    <w:rsid w:val="00506006"/>
    <w:rsid w:val="005E20A9"/>
    <w:rsid w:val="005F3E43"/>
    <w:rsid w:val="00601E5C"/>
    <w:rsid w:val="00611B5F"/>
    <w:rsid w:val="0062232F"/>
    <w:rsid w:val="006554C0"/>
    <w:rsid w:val="00670E66"/>
    <w:rsid w:val="006853D6"/>
    <w:rsid w:val="006C5AC1"/>
    <w:rsid w:val="006F6AC3"/>
    <w:rsid w:val="00703971"/>
    <w:rsid w:val="007152D4"/>
    <w:rsid w:val="0076068F"/>
    <w:rsid w:val="00795EE4"/>
    <w:rsid w:val="007B0E09"/>
    <w:rsid w:val="008223E8"/>
    <w:rsid w:val="00830C89"/>
    <w:rsid w:val="0084719C"/>
    <w:rsid w:val="008A4CA2"/>
    <w:rsid w:val="008B712B"/>
    <w:rsid w:val="009142E8"/>
    <w:rsid w:val="00974F00"/>
    <w:rsid w:val="009B38A8"/>
    <w:rsid w:val="009E259A"/>
    <w:rsid w:val="00A002C9"/>
    <w:rsid w:val="00A21801"/>
    <w:rsid w:val="00A2798C"/>
    <w:rsid w:val="00A3639E"/>
    <w:rsid w:val="00A37ED3"/>
    <w:rsid w:val="00A82C13"/>
    <w:rsid w:val="00AA731B"/>
    <w:rsid w:val="00B93F97"/>
    <w:rsid w:val="00B9696A"/>
    <w:rsid w:val="00C0123E"/>
    <w:rsid w:val="00C57098"/>
    <w:rsid w:val="00C752F6"/>
    <w:rsid w:val="00C822B1"/>
    <w:rsid w:val="00CB2F56"/>
    <w:rsid w:val="00CE7394"/>
    <w:rsid w:val="00D035F0"/>
    <w:rsid w:val="00DA1B63"/>
    <w:rsid w:val="00DB3ACE"/>
    <w:rsid w:val="00DC74E5"/>
    <w:rsid w:val="00DD2BD0"/>
    <w:rsid w:val="00E0331A"/>
    <w:rsid w:val="00E27EE3"/>
    <w:rsid w:val="00E47164"/>
    <w:rsid w:val="00E66B85"/>
    <w:rsid w:val="00EE3586"/>
    <w:rsid w:val="00F80F64"/>
    <w:rsid w:val="00F84DC9"/>
    <w:rsid w:val="00FD5211"/>
  </w:rsids>
  <m:mathPr>
    <m:mathFont m:val="Cambria Math"/>
    <m:brkBin m:val="before"/>
    <m:brkBinSub m:val="--"/>
    <m:smallFrac m:val="0"/>
    <m:dispDef/>
    <m:lMargin m:val="0"/>
    <m:rMargin m:val="0"/>
    <m:defJc m:val="centerGroup"/>
    <m:wrapIndent m:val="1440"/>
    <m:intLim m:val="subSup"/>
    <m:naryLim m:val="undOvr"/>
  </m:mathPr>
  <w:themeFontLang w:val="hr-HR"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BB8C"/>
  <w15:chartTrackingRefBased/>
  <w15:docId w15:val="{678EFCFE-AA89-42CD-8973-200A5C89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48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148A"/>
    <w:pPr>
      <w:autoSpaceDE w:val="0"/>
      <w:autoSpaceDN w:val="0"/>
      <w:adjustRightInd w:val="0"/>
      <w:spacing w:after="0" w:line="240" w:lineRule="auto"/>
    </w:pPr>
    <w:rPr>
      <w:rFonts w:ascii="Arial Narrow" w:eastAsia="Times New Roman" w:hAnsi="Arial Narrow" w:cs="Arial Narrow"/>
      <w:color w:val="000000"/>
      <w:sz w:val="24"/>
      <w:szCs w:val="24"/>
      <w:lang w:eastAsia="hr-HR"/>
    </w:rPr>
  </w:style>
  <w:style w:type="paragraph" w:styleId="ListParagraph">
    <w:name w:val="List Paragraph"/>
    <w:basedOn w:val="Normal"/>
    <w:uiPriority w:val="34"/>
    <w:qFormat/>
    <w:rsid w:val="0034148A"/>
    <w:pPr>
      <w:spacing w:after="240"/>
      <w:ind w:left="720"/>
      <w:contextualSpacing/>
      <w:jc w:val="both"/>
    </w:pPr>
    <w:rPr>
      <w:szCs w:val="20"/>
      <w:lang w:bidi="hr-HR"/>
    </w:rPr>
  </w:style>
  <w:style w:type="paragraph" w:styleId="Header">
    <w:name w:val="header"/>
    <w:basedOn w:val="Normal"/>
    <w:link w:val="HeaderChar"/>
    <w:unhideWhenUsed/>
    <w:rsid w:val="003E3EAA"/>
    <w:pPr>
      <w:tabs>
        <w:tab w:val="center" w:pos="4536"/>
        <w:tab w:val="right" w:pos="9072"/>
      </w:tabs>
    </w:pPr>
  </w:style>
  <w:style w:type="character" w:customStyle="1" w:styleId="HeaderChar">
    <w:name w:val="Header Char"/>
    <w:basedOn w:val="DefaultParagraphFont"/>
    <w:link w:val="Header"/>
    <w:rsid w:val="003E3EA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3E3EAA"/>
    <w:pPr>
      <w:tabs>
        <w:tab w:val="center" w:pos="4536"/>
        <w:tab w:val="right" w:pos="9072"/>
      </w:tabs>
    </w:pPr>
  </w:style>
  <w:style w:type="character" w:customStyle="1" w:styleId="FooterChar">
    <w:name w:val="Footer Char"/>
    <w:basedOn w:val="DefaultParagraphFont"/>
    <w:link w:val="Footer"/>
    <w:uiPriority w:val="99"/>
    <w:rsid w:val="003E3EAA"/>
    <w:rPr>
      <w:rFonts w:ascii="Times New Roman" w:eastAsia="Times New Roman" w:hAnsi="Times New Roman" w:cs="Times New Roman"/>
      <w:sz w:val="24"/>
      <w:szCs w:val="24"/>
      <w:lang w:eastAsia="hr-HR"/>
    </w:rPr>
  </w:style>
  <w:style w:type="paragraph" w:customStyle="1" w:styleId="naslov3">
    <w:name w:val="naslov 3"/>
    <w:basedOn w:val="Normal"/>
    <w:link w:val="naslov3Char"/>
    <w:qFormat/>
    <w:rsid w:val="009B38A8"/>
    <w:pPr>
      <w:jc w:val="both"/>
    </w:pPr>
    <w:rPr>
      <w:b/>
      <w:sz w:val="26"/>
      <w:szCs w:val="26"/>
    </w:rPr>
  </w:style>
  <w:style w:type="character" w:customStyle="1" w:styleId="naslov3Char">
    <w:name w:val="naslov 3 Char"/>
    <w:basedOn w:val="DefaultParagraphFont"/>
    <w:link w:val="naslov3"/>
    <w:rsid w:val="009B38A8"/>
    <w:rPr>
      <w:rFonts w:ascii="Times New Roman" w:eastAsia="Times New Roman" w:hAnsi="Times New Roman" w:cs="Times New Roman"/>
      <w:b/>
      <w:sz w:val="26"/>
      <w:szCs w:val="26"/>
      <w:lang w:eastAsia="hr-HR"/>
    </w:rPr>
  </w:style>
  <w:style w:type="paragraph" w:styleId="BalloonText">
    <w:name w:val="Balloon Text"/>
    <w:basedOn w:val="Normal"/>
    <w:link w:val="BalloonTextChar"/>
    <w:uiPriority w:val="99"/>
    <w:semiHidden/>
    <w:unhideWhenUsed/>
    <w:rsid w:val="00C57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098"/>
    <w:rPr>
      <w:rFonts w:ascii="Segoe UI" w:eastAsia="Times New Roman" w:hAnsi="Segoe UI" w:cs="Segoe UI"/>
      <w:sz w:val="18"/>
      <w:szCs w:val="18"/>
      <w:lang w:eastAsia="hr-HR"/>
    </w:rPr>
  </w:style>
  <w:style w:type="paragraph" w:styleId="FootnoteText">
    <w:name w:val="footnote text"/>
    <w:aliases w:val="Footnote Text Char1,Footnote Text Char Char,Footnote Text Char2,Footnote Text Char Char1,Footnote Text Char1 Char Char,Footnote Text Char Char Char Char,Footnote Text Char1 Char1,Footnote Text Char Char Char1"/>
    <w:basedOn w:val="Normal"/>
    <w:link w:val="FootnoteTextChar"/>
    <w:rsid w:val="00670E66"/>
    <w:rPr>
      <w:rFonts w:eastAsia="SimSun"/>
      <w:sz w:val="20"/>
      <w:szCs w:val="20"/>
    </w:rPr>
  </w:style>
  <w:style w:type="character" w:customStyle="1" w:styleId="FootnoteTextChar">
    <w:name w:val="Footnote Text Char"/>
    <w:aliases w:val="Footnote Text Char1 Char,Footnote Text Char Char Char,Footnote Text Char2 Char,Footnote Text Char Char1 Char,Footnote Text Char1 Char Char Char,Footnote Text Char Char Char Char Char,Footnote Text Char1 Char1 Char"/>
    <w:basedOn w:val="DefaultParagraphFont"/>
    <w:link w:val="FootnoteText"/>
    <w:rsid w:val="00670E66"/>
    <w:rPr>
      <w:rFonts w:ascii="Times New Roman" w:eastAsia="SimSun" w:hAnsi="Times New Roman" w:cs="Times New Roman"/>
      <w:sz w:val="20"/>
      <w:szCs w:val="20"/>
      <w:lang w:eastAsia="hr-HR"/>
    </w:rPr>
  </w:style>
  <w:style w:type="table" w:styleId="TableGrid">
    <w:name w:val="Table Grid"/>
    <w:basedOn w:val="TableNormal"/>
    <w:rsid w:val="000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94FBB8421D634C9B31B21CC1597B52" ma:contentTypeVersion="2" ma:contentTypeDescription="Stvaranje novog dokumenta." ma:contentTypeScope="" ma:versionID="a178e48ba3cd9eba5528fe362230610b">
  <xsd:schema xmlns:xsd="http://www.w3.org/2001/XMLSchema" xmlns:xs="http://www.w3.org/2001/XMLSchema" xmlns:p="http://schemas.microsoft.com/office/2006/metadata/properties" xmlns:ns2="ae68f480-f122-411b-9bdc-4bad6894efe6" xmlns:ns3="32ed26c5-111a-4ffc-9b8c-66e99d1e8679" targetNamespace="http://schemas.microsoft.com/office/2006/metadata/properties" ma:root="true" ma:fieldsID="d49c10ac2b98f0f4561d52a09f3dc9ee" ns2:_="" ns3:_="">
    <xsd:import namespace="ae68f480-f122-411b-9bdc-4bad6894efe6"/>
    <xsd:import namespace="32ed26c5-111a-4ffc-9b8c-66e99d1e8679"/>
    <xsd:element name="properties">
      <xsd:complexType>
        <xsd:sequence>
          <xsd:element name="documentManagement">
            <xsd:complexType>
              <xsd:all>
                <xsd:element ref="ns2:Tip_x0020_kontak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f480-f122-411b-9bdc-4bad6894efe6" elementFormDefault="qualified">
    <xsd:import namespace="http://schemas.microsoft.com/office/2006/documentManagement/types"/>
    <xsd:import namespace="http://schemas.microsoft.com/office/infopath/2007/PartnerControls"/>
    <xsd:element name="Tip_x0020_kontakta" ma:index="8" nillable="true" ma:displayName="Tip kontakta" ma:default="Upit" ma:format="Dropdown" ma:internalName="Tip_x0020_kontakta">
      <xsd:simpleType>
        <xsd:restriction base="dms:Choice">
          <xsd:enumeration value="Upit"/>
          <xsd:enumeration value="Odgovor"/>
          <xsd:enumeration value="Priopćenje"/>
          <xsd:enumeration value="Najava"/>
          <xsd:enumeration value="Pressica"/>
        </xsd:restriction>
      </xsd:simpleType>
    </xsd:element>
  </xsd:schema>
  <xsd:schema xmlns:xsd="http://www.w3.org/2001/XMLSchema" xmlns:xs="http://www.w3.org/2001/XMLSchema" xmlns:dms="http://schemas.microsoft.com/office/2006/documentManagement/types" xmlns:pc="http://schemas.microsoft.com/office/infopath/2007/PartnerControls" targetNamespace="32ed26c5-111a-4ffc-9b8c-66e99d1e8679" elementFormDefault="qualified">
    <xsd:import namespace="http://schemas.microsoft.com/office/2006/documentManagement/types"/>
    <xsd:import namespace="http://schemas.microsoft.com/office/infopath/2007/PartnerControls"/>
    <xsd:element name="SharedWithUsers" ma:index="9"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p_x0020_kontakta xmlns="ae68f480-f122-411b-9bdc-4bad6894efe6">Upit</Tip_x0020_kontakt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790F-3175-42A4-A843-448CDFDBE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f480-f122-411b-9bdc-4bad6894efe6"/>
    <ds:schemaRef ds:uri="32ed26c5-111a-4ffc-9b8c-66e99d1e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08B8B-6FA2-429D-9AD6-F6C184C4D3BF}">
  <ds:schemaRefs>
    <ds:schemaRef ds:uri="http://schemas.microsoft.com/office/2006/documentManagement/types"/>
    <ds:schemaRef ds:uri="http://purl.org/dc/elements/1.1/"/>
    <ds:schemaRef ds:uri="http://schemas.microsoft.com/office/2006/metadata/properties"/>
    <ds:schemaRef ds:uri="ae68f480-f122-411b-9bdc-4bad6894efe6"/>
    <ds:schemaRef ds:uri="http://purl.org/dc/terms/"/>
    <ds:schemaRef ds:uri="http://schemas.openxmlformats.org/package/2006/metadata/core-properties"/>
    <ds:schemaRef ds:uri="http://purl.org/dc/dcmitype/"/>
    <ds:schemaRef ds:uri="http://schemas.microsoft.com/office/infopath/2007/PartnerControls"/>
    <ds:schemaRef ds:uri="32ed26c5-111a-4ffc-9b8c-66e99d1e8679"/>
    <ds:schemaRef ds:uri="http://www.w3.org/XML/1998/namespace"/>
  </ds:schemaRefs>
</ds:datastoreItem>
</file>

<file path=customXml/itemProps3.xml><?xml version="1.0" encoding="utf-8"?>
<ds:datastoreItem xmlns:ds="http://schemas.openxmlformats.org/officeDocument/2006/customXml" ds:itemID="{8DA3617D-5810-4230-B56F-DA83FFE21EED}">
  <ds:schemaRefs>
    <ds:schemaRef ds:uri="http://schemas.microsoft.com/sharepoint/v3/contenttype/forms"/>
  </ds:schemaRefs>
</ds:datastoreItem>
</file>

<file path=customXml/itemProps4.xml><?xml version="1.0" encoding="utf-8"?>
<ds:datastoreItem xmlns:ds="http://schemas.openxmlformats.org/officeDocument/2006/customXml" ds:itemID="{1C0ACC64-F4A1-4CB5-8665-B2147242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1727</Words>
  <Characters>9845</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Miljenko Rakić</dc:creator>
  <cp:keywords/>
  <dc:description/>
  <cp:lastModifiedBy>Ines Uglešić</cp:lastModifiedBy>
  <cp:revision>10</cp:revision>
  <cp:lastPrinted>2020-06-08T08:18:00Z</cp:lastPrinted>
  <dcterms:created xsi:type="dcterms:W3CDTF">2020-06-23T08:16:00Z</dcterms:created>
  <dcterms:modified xsi:type="dcterms:W3CDTF">2020-06-24T16:07:00Z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0x0101006794FBB8421D634C9B31B21CC1597B52</vt:lpwstr>
  </property>
</Properties>
</file>