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538A" w14:textId="77777777" w:rsidR="00E60BB8" w:rsidRPr="00E60BB8" w:rsidRDefault="00E60BB8" w:rsidP="00E60BB8">
      <w:pPr>
        <w:spacing w:after="200" w:line="276" w:lineRule="auto"/>
        <w:ind w:left="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E60BB8">
        <w:rPr>
          <w:rFonts w:ascii="Calibri" w:eastAsia="Calibri" w:hAnsi="Calibri"/>
          <w:noProof/>
          <w:color w:val="auto"/>
          <w:sz w:val="22"/>
        </w:rPr>
        <w:drawing>
          <wp:inline distT="0" distB="0" distL="0" distR="0" wp14:anchorId="5DAACDA8" wp14:editId="7CA07E4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BB8">
        <w:rPr>
          <w:rFonts w:ascii="Calibri" w:eastAsia="Calibri" w:hAnsi="Calibri"/>
          <w:color w:val="auto"/>
          <w:sz w:val="22"/>
          <w:lang w:eastAsia="en-US"/>
        </w:rPr>
        <w:fldChar w:fldCharType="begin"/>
      </w:r>
      <w:r w:rsidRPr="00E60BB8">
        <w:rPr>
          <w:rFonts w:ascii="Calibri" w:eastAsia="Calibri" w:hAnsi="Calibri"/>
          <w:color w:val="auto"/>
          <w:sz w:val="22"/>
          <w:lang w:eastAsia="en-US"/>
        </w:rPr>
        <w:instrText xml:space="preserve"> INCLUDEPICTURE "http://www.inet.hr/~box/images/grb-rh.gif" \* MERGEFORMATINET </w:instrText>
      </w:r>
      <w:r w:rsidRPr="00E60BB8">
        <w:rPr>
          <w:rFonts w:ascii="Calibri" w:eastAsia="Calibri" w:hAnsi="Calibri"/>
          <w:color w:val="auto"/>
          <w:sz w:val="22"/>
          <w:lang w:eastAsia="en-US"/>
        </w:rPr>
        <w:fldChar w:fldCharType="end"/>
      </w:r>
    </w:p>
    <w:p w14:paraId="46A7A7EE" w14:textId="77777777" w:rsidR="00E60BB8" w:rsidRPr="00E60BB8" w:rsidRDefault="00E60BB8" w:rsidP="00E60BB8">
      <w:pPr>
        <w:spacing w:before="60" w:after="1680" w:line="276" w:lineRule="auto"/>
        <w:ind w:left="0" w:right="0" w:firstLine="0"/>
        <w:jc w:val="center"/>
        <w:rPr>
          <w:rFonts w:eastAsia="Calibri"/>
          <w:color w:val="auto"/>
          <w:sz w:val="28"/>
          <w:lang w:eastAsia="en-US"/>
        </w:rPr>
      </w:pPr>
      <w:r w:rsidRPr="00E60BB8">
        <w:rPr>
          <w:rFonts w:eastAsia="Calibri"/>
          <w:color w:val="auto"/>
          <w:sz w:val="28"/>
          <w:lang w:eastAsia="en-US"/>
        </w:rPr>
        <w:t>VLADA REPUBLIKE HRVATSKE</w:t>
      </w:r>
    </w:p>
    <w:p w14:paraId="28E2244A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0696E1A9" w14:textId="31154F45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  <w:r w:rsidRPr="00E60BB8">
        <w:rPr>
          <w:rFonts w:eastAsia="Calibri"/>
          <w:color w:val="auto"/>
          <w:szCs w:val="24"/>
          <w:lang w:eastAsia="en-US"/>
        </w:rPr>
        <w:t xml:space="preserve">Zagreb, </w:t>
      </w:r>
      <w:r w:rsidR="005C6B12">
        <w:rPr>
          <w:rFonts w:eastAsia="Calibri"/>
          <w:color w:val="auto"/>
          <w:szCs w:val="24"/>
          <w:lang w:eastAsia="en-US"/>
        </w:rPr>
        <w:t xml:space="preserve">14. </w:t>
      </w:r>
      <w:r w:rsidR="001B5B3A">
        <w:rPr>
          <w:rFonts w:eastAsia="Calibri"/>
          <w:color w:val="auto"/>
          <w:szCs w:val="24"/>
          <w:lang w:eastAsia="en-US"/>
        </w:rPr>
        <w:t>listopada</w:t>
      </w:r>
      <w:r w:rsidR="001B5B3A" w:rsidRPr="00E60BB8">
        <w:rPr>
          <w:rFonts w:eastAsia="Calibri"/>
          <w:color w:val="auto"/>
          <w:szCs w:val="24"/>
          <w:lang w:eastAsia="en-US"/>
        </w:rPr>
        <w:t xml:space="preserve"> 20</w:t>
      </w:r>
      <w:r w:rsidR="001B5B3A">
        <w:rPr>
          <w:rFonts w:eastAsia="Calibri"/>
          <w:color w:val="auto"/>
          <w:szCs w:val="24"/>
          <w:lang w:eastAsia="en-US"/>
        </w:rPr>
        <w:t>20</w:t>
      </w:r>
      <w:r w:rsidR="001B5B3A" w:rsidRPr="00E60BB8">
        <w:rPr>
          <w:rFonts w:eastAsia="Calibri"/>
          <w:color w:val="auto"/>
          <w:szCs w:val="24"/>
          <w:lang w:eastAsia="en-US"/>
        </w:rPr>
        <w:t>.</w:t>
      </w:r>
    </w:p>
    <w:p w14:paraId="655BBB67" w14:textId="77777777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0B31424D" w14:textId="77777777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7BC93C51" w14:textId="77777777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721BE00A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60BB8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7"/>
      </w:tblGrid>
      <w:tr w:rsidR="00E60BB8" w:rsidRPr="00E60BB8" w14:paraId="31E9D155" w14:textId="77777777" w:rsidTr="0022250C">
        <w:tc>
          <w:tcPr>
            <w:tcW w:w="1951" w:type="dxa"/>
          </w:tcPr>
          <w:p w14:paraId="326EE023" w14:textId="77777777" w:rsidR="00E60BB8" w:rsidRPr="00E60BB8" w:rsidRDefault="00E60BB8" w:rsidP="00E60BB8">
            <w:pPr>
              <w:spacing w:after="200" w:line="360" w:lineRule="auto"/>
              <w:ind w:left="0" w:righ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E60BB8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E60BB8">
              <w:rPr>
                <w:rFonts w:eastAsia="Calibri"/>
                <w:b/>
                <w:smallCaps/>
                <w:color w:val="auto"/>
                <w:szCs w:val="24"/>
                <w:lang w:eastAsia="en-US"/>
              </w:rPr>
              <w:t>Predlagatelj</w:t>
            </w:r>
            <w:r w:rsidRPr="00E60BB8">
              <w:rPr>
                <w:rFonts w:eastAsia="Calibr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629965F8" w14:textId="77777777" w:rsidR="00E60BB8" w:rsidRPr="00E60BB8" w:rsidRDefault="001B5B3A" w:rsidP="00E60BB8">
            <w:pPr>
              <w:spacing w:after="20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E60BB8">
              <w:rPr>
                <w:rFonts w:eastAsia="Calibri"/>
                <w:color w:val="auto"/>
                <w:szCs w:val="24"/>
                <w:lang w:eastAsia="en-US"/>
              </w:rPr>
              <w:t xml:space="preserve">Ministarstvo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vanjskih i europskih poslova</w:t>
            </w:r>
          </w:p>
        </w:tc>
      </w:tr>
    </w:tbl>
    <w:p w14:paraId="7210757B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60BB8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7"/>
      </w:tblGrid>
      <w:tr w:rsidR="00E60BB8" w:rsidRPr="00E60BB8" w14:paraId="08D1C805" w14:textId="77777777" w:rsidTr="0022250C">
        <w:tc>
          <w:tcPr>
            <w:tcW w:w="1951" w:type="dxa"/>
          </w:tcPr>
          <w:p w14:paraId="7C77D416" w14:textId="77777777" w:rsidR="00E60BB8" w:rsidRPr="00E60BB8" w:rsidRDefault="00E60BB8" w:rsidP="00E60BB8">
            <w:pPr>
              <w:spacing w:after="200" w:line="360" w:lineRule="auto"/>
              <w:ind w:left="0" w:righ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E60BB8">
              <w:rPr>
                <w:rFonts w:eastAsia="Calibri"/>
                <w:b/>
                <w:smallCaps/>
                <w:color w:val="auto"/>
                <w:szCs w:val="24"/>
                <w:lang w:eastAsia="en-US"/>
              </w:rPr>
              <w:t>Predmet</w:t>
            </w:r>
            <w:r w:rsidRPr="00E60BB8">
              <w:rPr>
                <w:rFonts w:eastAsia="Calibr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1C10391E" w14:textId="77777777" w:rsidR="001B5B3A" w:rsidRPr="00E60BB8" w:rsidRDefault="001B5B3A" w:rsidP="001B5B3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90AC5">
              <w:rPr>
                <w:rFonts w:eastAsia="Calibri"/>
                <w:color w:val="auto"/>
                <w:szCs w:val="24"/>
                <w:lang w:eastAsia="en-US"/>
              </w:rPr>
              <w:t xml:space="preserve">Prijedlog odluke o ulaganju Republike Hrvatske u Investicijski fond </w:t>
            </w:r>
            <w:r w:rsidR="0018088B" w:rsidRPr="00F90AC5">
              <w:rPr>
                <w:rFonts w:eastAsia="Calibri"/>
                <w:color w:val="auto"/>
                <w:szCs w:val="24"/>
                <w:lang w:eastAsia="en-US"/>
              </w:rPr>
              <w:t>Inicijative</w:t>
            </w:r>
            <w:r w:rsidRPr="00F90AC5">
              <w:rPr>
                <w:rFonts w:eastAsia="Calibri"/>
                <w:color w:val="auto"/>
                <w:szCs w:val="24"/>
                <w:lang w:eastAsia="en-US"/>
              </w:rPr>
              <w:t xml:space="preserve"> triju mora</w:t>
            </w:r>
          </w:p>
          <w:p w14:paraId="356C07BF" w14:textId="77777777" w:rsidR="00E60BB8" w:rsidRPr="00E60BB8" w:rsidRDefault="00E60BB8" w:rsidP="00E60BB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0C71E7AE" w14:textId="77777777" w:rsidR="00E60BB8" w:rsidRPr="00E60BB8" w:rsidRDefault="00E60BB8" w:rsidP="00E60BB8">
            <w:pPr>
              <w:spacing w:after="200" w:line="276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14:paraId="72F31811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72EF437A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5FFC9089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7741C34A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30EDE0D3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30D6CAB5" w14:textId="77777777" w:rsidR="00E60BB8" w:rsidRPr="00E60BB8" w:rsidRDefault="00E60BB8" w:rsidP="00E60BB8">
      <w:pPr>
        <w:tabs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3B2B433E" w14:textId="77777777" w:rsidR="00E60BB8" w:rsidRPr="00E60BB8" w:rsidRDefault="00E60BB8" w:rsidP="00E60BB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05BF71ED" w14:textId="77777777" w:rsidR="00E60BB8" w:rsidRPr="00E60BB8" w:rsidRDefault="00E60BB8" w:rsidP="00E60BB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1C8240C1" w14:textId="77777777" w:rsidR="00E60BB8" w:rsidRPr="00E60BB8" w:rsidRDefault="00E60BB8" w:rsidP="00E60BB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0" w:right="0" w:firstLine="0"/>
        <w:jc w:val="center"/>
        <w:rPr>
          <w:rFonts w:eastAsia="Calibri"/>
          <w:color w:val="404040"/>
          <w:spacing w:val="20"/>
          <w:sz w:val="20"/>
          <w:lang w:eastAsia="en-US"/>
        </w:rPr>
      </w:pPr>
      <w:r w:rsidRPr="00E60BB8">
        <w:rPr>
          <w:rFonts w:eastAsia="Calibri"/>
          <w:color w:val="404040"/>
          <w:spacing w:val="20"/>
          <w:sz w:val="20"/>
          <w:lang w:eastAsia="en-US"/>
        </w:rPr>
        <w:lastRenderedPageBreak/>
        <w:t>Banski dvori | Trg Sv. Marka 2  | 10000 Zagreb | tel. 01 4569 222 | vlada.gov.hr</w:t>
      </w:r>
    </w:p>
    <w:p w14:paraId="4BFAF3AB" w14:textId="77777777" w:rsidR="00E60BB8" w:rsidRPr="00E60BB8" w:rsidRDefault="00E60BB8" w:rsidP="00E60BB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7562D2DD" w14:textId="77777777" w:rsidR="0018088B" w:rsidRPr="00344115" w:rsidRDefault="0018088B" w:rsidP="00E60BB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6B407021" w14:textId="77777777" w:rsidR="00BD5884" w:rsidRPr="005C6B12" w:rsidRDefault="006D4A94">
      <w:pPr>
        <w:spacing w:after="0" w:line="259" w:lineRule="auto"/>
        <w:ind w:left="0" w:firstLine="0"/>
        <w:jc w:val="right"/>
        <w:rPr>
          <w:i/>
        </w:rPr>
      </w:pPr>
      <w:r w:rsidRPr="005C6B12">
        <w:rPr>
          <w:i/>
        </w:rPr>
        <w:t xml:space="preserve">PRIJEDLOG </w:t>
      </w:r>
    </w:p>
    <w:p w14:paraId="221A87F8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DEF0CF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C92C7B" w14:textId="6D53B262" w:rsidR="00BD5884" w:rsidRDefault="006D4A94" w:rsidP="005C6B12">
      <w:pPr>
        <w:ind w:left="-5" w:right="0" w:firstLine="713"/>
      </w:pPr>
      <w:r w:rsidRPr="00B47F40">
        <w:t xml:space="preserve">Na temelju članka </w:t>
      </w:r>
      <w:r w:rsidR="00C87303" w:rsidRPr="00B47F40">
        <w:t>31. stavka 2. Zakona o Vladi Republike Hrvatske (Narodne novine, br. 150/11, 119/14, 93/16 i 16/18)</w:t>
      </w:r>
      <w:r w:rsidR="005F3C43">
        <w:t xml:space="preserve">, </w:t>
      </w:r>
      <w:r w:rsidR="005F3C43" w:rsidRPr="00A71A0B">
        <w:t>a u vezi s člankom 10. stavkom 4. Zakona o Hrvatskoj banci za obnovu i razvitak (Narodne novine, br. 136/06 i 25/13)</w:t>
      </w:r>
      <w:r w:rsidR="005F3C43">
        <w:t xml:space="preserve">, </w:t>
      </w:r>
      <w:r w:rsidRPr="00B47F40">
        <w:t>Vlada Republike Hrvatske je na sjednici održanoj __. ___ 20</w:t>
      </w:r>
      <w:r w:rsidR="001B5B3A" w:rsidRPr="00B47F40">
        <w:t>20</w:t>
      </w:r>
      <w:r w:rsidRPr="00B47F40">
        <w:t>. godine donijela</w:t>
      </w:r>
      <w:r>
        <w:t xml:space="preserve"> </w:t>
      </w:r>
    </w:p>
    <w:p w14:paraId="195A4CD5" w14:textId="01780A6A" w:rsidR="00BD5884" w:rsidRDefault="006D4A94" w:rsidP="005C6B12">
      <w:pPr>
        <w:spacing w:after="19" w:line="259" w:lineRule="auto"/>
        <w:ind w:left="0" w:right="0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14:paraId="3842565B" w14:textId="198ED4B3" w:rsidR="00BD5884" w:rsidRDefault="006D4A94">
      <w:pPr>
        <w:pStyle w:val="Heading1"/>
      </w:pPr>
      <w:r>
        <w:t xml:space="preserve">O D L U K U </w:t>
      </w:r>
    </w:p>
    <w:p w14:paraId="17828736" w14:textId="77777777" w:rsidR="005C6B12" w:rsidRPr="005C6B12" w:rsidRDefault="005C6B12" w:rsidP="005C6B12"/>
    <w:p w14:paraId="63F7A5C4" w14:textId="77777777" w:rsidR="001B5B3A" w:rsidRDefault="001B5B3A" w:rsidP="001B5B3A">
      <w:pPr>
        <w:spacing w:after="216" w:line="259" w:lineRule="auto"/>
        <w:ind w:left="0" w:right="0" w:firstLine="0"/>
        <w:jc w:val="center"/>
        <w:rPr>
          <w:b/>
        </w:rPr>
      </w:pPr>
      <w:r w:rsidRPr="00D41481">
        <w:rPr>
          <w:b/>
        </w:rPr>
        <w:t xml:space="preserve">o ulaganju Republike Hrvatske u Investicijski fond </w:t>
      </w:r>
      <w:r w:rsidR="0018088B" w:rsidRPr="00344115">
        <w:rPr>
          <w:b/>
        </w:rPr>
        <w:t>Inicijative</w:t>
      </w:r>
      <w:r w:rsidRPr="00D41481">
        <w:rPr>
          <w:b/>
        </w:rPr>
        <w:t xml:space="preserve"> </w:t>
      </w:r>
      <w:r>
        <w:rPr>
          <w:b/>
        </w:rPr>
        <w:t>triju</w:t>
      </w:r>
      <w:r w:rsidRPr="00D41481">
        <w:rPr>
          <w:b/>
        </w:rPr>
        <w:t xml:space="preserve"> mora </w:t>
      </w:r>
    </w:p>
    <w:p w14:paraId="2E9F3FB3" w14:textId="77777777" w:rsidR="001B5B3A" w:rsidRDefault="001B5B3A" w:rsidP="001B5B3A">
      <w:pPr>
        <w:spacing w:after="216" w:line="259" w:lineRule="auto"/>
        <w:ind w:left="0" w:right="0" w:firstLine="0"/>
        <w:jc w:val="center"/>
      </w:pPr>
      <w:r>
        <w:rPr>
          <w:b/>
        </w:rPr>
        <w:t>I.</w:t>
      </w:r>
    </w:p>
    <w:p w14:paraId="2E5B744B" w14:textId="0D76C176" w:rsidR="00B257E3" w:rsidRDefault="00B47F40" w:rsidP="00B257E3">
      <w:pPr>
        <w:spacing w:after="228"/>
        <w:ind w:left="-15" w:right="0" w:firstLine="708"/>
      </w:pPr>
      <w:r>
        <w:t>Donosi se Odluka o ulaganju</w:t>
      </w:r>
      <w:r w:rsidR="00B257E3">
        <w:t xml:space="preserve"> Republike Hrvatske u </w:t>
      </w:r>
      <w:r w:rsidR="00832682">
        <w:t xml:space="preserve">Investicijski fond Inicijative triju mora - </w:t>
      </w:r>
      <w:r w:rsidR="00126023">
        <w:t>T</w:t>
      </w:r>
      <w:r w:rsidR="00126023" w:rsidRPr="00126023">
        <w:t xml:space="preserve">hree </w:t>
      </w:r>
      <w:r w:rsidR="00B31148">
        <w:t>S</w:t>
      </w:r>
      <w:r w:rsidR="00126023" w:rsidRPr="00126023">
        <w:t xml:space="preserve">eas </w:t>
      </w:r>
      <w:r w:rsidR="00B31148">
        <w:t>I</w:t>
      </w:r>
      <w:r w:rsidR="00126023" w:rsidRPr="00126023">
        <w:t xml:space="preserve">nitiative </w:t>
      </w:r>
      <w:r w:rsidR="00B31148">
        <w:t>I</w:t>
      </w:r>
      <w:r w:rsidR="00126023" w:rsidRPr="00126023">
        <w:t xml:space="preserve">nvestment </w:t>
      </w:r>
      <w:r w:rsidR="00B31148">
        <w:t>F</w:t>
      </w:r>
      <w:r w:rsidR="00126023" w:rsidRPr="00126023">
        <w:t>und S.A. SICAV-RAIF, 5 rue Jean Monnet, L-2180</w:t>
      </w:r>
      <w:r w:rsidR="00B31148">
        <w:t>,</w:t>
      </w:r>
      <w:r w:rsidR="00126023" w:rsidRPr="00126023">
        <w:t xml:space="preserve"> </w:t>
      </w:r>
      <w:r w:rsidR="00B31148">
        <w:t xml:space="preserve">Luksemburg </w:t>
      </w:r>
      <w:r w:rsidR="00B257E3">
        <w:t xml:space="preserve">(u daljnjem tekstu: Fond), sa svrhom poticanja </w:t>
      </w:r>
      <w:r w:rsidR="00832682">
        <w:t>ostvarenja</w:t>
      </w:r>
      <w:r w:rsidR="00B257E3" w:rsidRPr="00A97140">
        <w:t xml:space="preserve"> zajedničkih</w:t>
      </w:r>
      <w:r w:rsidR="00B257E3">
        <w:t xml:space="preserve"> </w:t>
      </w:r>
      <w:r w:rsidR="00832682">
        <w:t xml:space="preserve">i prekograničnih </w:t>
      </w:r>
      <w:r w:rsidR="00B257E3" w:rsidRPr="001B6B55">
        <w:t>strateških projekata</w:t>
      </w:r>
      <w:r w:rsidR="00DF3E6E">
        <w:t xml:space="preserve"> država </w:t>
      </w:r>
      <w:r w:rsidR="00832682">
        <w:t>sudionica</w:t>
      </w:r>
      <w:r w:rsidR="00DF3E6E">
        <w:t xml:space="preserve"> Inicijative triju mora</w:t>
      </w:r>
      <w:r w:rsidR="00B257E3" w:rsidRPr="001B6B55">
        <w:t>, s naglaskom na energetsku, prometnu i digitalnu povezanost.</w:t>
      </w:r>
    </w:p>
    <w:p w14:paraId="058938EB" w14:textId="77777777" w:rsidR="00B257E3" w:rsidRDefault="00B257E3" w:rsidP="00B257E3">
      <w:pPr>
        <w:spacing w:after="216" w:line="257" w:lineRule="auto"/>
        <w:ind w:right="6"/>
        <w:jc w:val="center"/>
      </w:pPr>
      <w:r>
        <w:rPr>
          <w:b/>
        </w:rPr>
        <w:t xml:space="preserve">II. </w:t>
      </w:r>
    </w:p>
    <w:p w14:paraId="7C593069" w14:textId="1B239225" w:rsidR="00B257E3" w:rsidRPr="00F90AC5" w:rsidRDefault="00047780" w:rsidP="00B257E3">
      <w:pPr>
        <w:spacing w:after="228"/>
        <w:ind w:left="-15" w:right="0" w:firstLine="708"/>
      </w:pPr>
      <w:r>
        <w:t>Povjerava se Hrvatskoj banci</w:t>
      </w:r>
      <w:r w:rsidR="00B257E3" w:rsidRPr="00F90AC5">
        <w:t xml:space="preserve"> za obnovu i razvitak, Strossmayer</w:t>
      </w:r>
      <w:r w:rsidR="001C7B17" w:rsidRPr="00F90AC5">
        <w:t>o</w:t>
      </w:r>
      <w:r w:rsidR="00B257E3" w:rsidRPr="00F90AC5">
        <w:t xml:space="preserve">v trg 9, 10000 Zagreb (u daljnjem tekstu: HBOR) </w:t>
      </w:r>
      <w:r w:rsidR="00DF3E6E" w:rsidRPr="00F90AC5">
        <w:t>da u svoje ime, a za</w:t>
      </w:r>
      <w:r w:rsidR="00675102">
        <w:t xml:space="preserve"> račun Vlade Republike Hrvatske, </w:t>
      </w:r>
      <w:r w:rsidR="00DF3E6E" w:rsidRPr="00F90AC5">
        <w:t>sudjeluje u Fondu.</w:t>
      </w:r>
    </w:p>
    <w:p w14:paraId="04A33052" w14:textId="77777777" w:rsidR="00B257E3" w:rsidRPr="00F90AC5" w:rsidRDefault="00B257E3" w:rsidP="00B257E3">
      <w:pPr>
        <w:spacing w:after="242" w:line="257" w:lineRule="auto"/>
        <w:ind w:right="4"/>
        <w:jc w:val="center"/>
      </w:pPr>
      <w:r w:rsidRPr="00F90AC5">
        <w:rPr>
          <w:b/>
        </w:rPr>
        <w:t>I</w:t>
      </w:r>
      <w:r w:rsidR="00B31148" w:rsidRPr="00F90AC5">
        <w:rPr>
          <w:b/>
        </w:rPr>
        <w:t>II</w:t>
      </w:r>
      <w:r w:rsidRPr="00F90AC5">
        <w:rPr>
          <w:b/>
        </w:rPr>
        <w:t xml:space="preserve">.  </w:t>
      </w:r>
    </w:p>
    <w:p w14:paraId="03817D27" w14:textId="3B63E045" w:rsidR="00B257E3" w:rsidRPr="00F90AC5" w:rsidRDefault="00B257E3" w:rsidP="00B257E3">
      <w:pPr>
        <w:spacing w:after="228"/>
        <w:ind w:left="-15" w:right="0" w:firstLine="708"/>
      </w:pPr>
      <w:r w:rsidRPr="00F90AC5">
        <w:t xml:space="preserve">Ukupni iznos sredstava kojim će Republika Hrvatska, putem HBOR-a, sudjelovati u </w:t>
      </w:r>
      <w:r w:rsidR="00B47F40">
        <w:t>kapitalu</w:t>
      </w:r>
      <w:r w:rsidRPr="00F90AC5">
        <w:t xml:space="preserve"> Fonda iznosit će najviše do 20.000.000,00 eura</w:t>
      </w:r>
      <w:r w:rsidR="007D52B6" w:rsidRPr="00F90AC5">
        <w:t xml:space="preserve">, </w:t>
      </w:r>
      <w:bookmarkStart w:id="0" w:name="_Hlk53059946"/>
      <w:r w:rsidR="007D52B6" w:rsidRPr="00F90AC5">
        <w:t>uvećano za troškove, naknade i ostale novčane obveze sukladno ugovornoj dokumentaciji koja će biti sklopljena s Fondom</w:t>
      </w:r>
      <w:r w:rsidR="00B31148" w:rsidRPr="00F90AC5">
        <w:t>.</w:t>
      </w:r>
      <w:bookmarkEnd w:id="0"/>
    </w:p>
    <w:p w14:paraId="19AAFFF6" w14:textId="6B23EF32" w:rsidR="00B31148" w:rsidRPr="00F90AC5" w:rsidRDefault="005C6B12" w:rsidP="00B31148">
      <w:pPr>
        <w:spacing w:after="242" w:line="257" w:lineRule="auto"/>
        <w:ind w:right="4"/>
        <w:jc w:val="center"/>
      </w:pPr>
      <w:r>
        <w:rPr>
          <w:b/>
        </w:rPr>
        <w:t>IV.</w:t>
      </w:r>
    </w:p>
    <w:p w14:paraId="502A3C16" w14:textId="61902F2C" w:rsidR="00B257E3" w:rsidRDefault="00675102" w:rsidP="00B257E3">
      <w:pPr>
        <w:spacing w:after="228"/>
        <w:ind w:left="-15" w:right="0" w:firstLine="708"/>
      </w:pPr>
      <w:r>
        <w:t>Financijska</w:t>
      </w:r>
      <w:r w:rsidR="009B33A0">
        <w:t xml:space="preserve"> sredstava</w:t>
      </w:r>
      <w:r w:rsidR="009B33A0" w:rsidRPr="00F90AC5">
        <w:t xml:space="preserve"> </w:t>
      </w:r>
      <w:r w:rsidR="00B257E3" w:rsidRPr="00F90AC5">
        <w:t xml:space="preserve">iz </w:t>
      </w:r>
      <w:r w:rsidR="00C87303">
        <w:t>točke</w:t>
      </w:r>
      <w:r w:rsidR="00C87303" w:rsidRPr="00F90AC5">
        <w:t xml:space="preserve"> </w:t>
      </w:r>
      <w:r w:rsidR="00B257E3" w:rsidRPr="00F90AC5">
        <w:t>I</w:t>
      </w:r>
      <w:r w:rsidR="00B31148" w:rsidRPr="00F90AC5">
        <w:t>II</w:t>
      </w:r>
      <w:r w:rsidR="00B257E3" w:rsidRPr="00F90AC5">
        <w:t xml:space="preserve">. ove Odluke </w:t>
      </w:r>
      <w:r>
        <w:t xml:space="preserve">osiguravaju se </w:t>
      </w:r>
      <w:r w:rsidR="00B257E3" w:rsidRPr="00F90AC5">
        <w:t xml:space="preserve">u </w:t>
      </w:r>
      <w:r w:rsidR="00301A3C">
        <w:t xml:space="preserve">državnom </w:t>
      </w:r>
      <w:r w:rsidR="00B31148" w:rsidRPr="00F90AC5">
        <w:t xml:space="preserve">proračunu </w:t>
      </w:r>
      <w:r>
        <w:t>u okviru financijskog plana Ministarstva financija</w:t>
      </w:r>
      <w:r w:rsidR="00B257E3" w:rsidRPr="00F90AC5">
        <w:t>.</w:t>
      </w:r>
      <w:bookmarkStart w:id="1" w:name="_GoBack"/>
      <w:bookmarkEnd w:id="1"/>
    </w:p>
    <w:p w14:paraId="7F4FE8E9" w14:textId="77777777" w:rsidR="00126023" w:rsidRDefault="00126023" w:rsidP="00126023">
      <w:pPr>
        <w:spacing w:after="220" w:line="259" w:lineRule="auto"/>
        <w:ind w:right="0"/>
        <w:jc w:val="center"/>
      </w:pPr>
      <w:r>
        <w:rPr>
          <w:b/>
        </w:rPr>
        <w:t>V.</w:t>
      </w:r>
    </w:p>
    <w:p w14:paraId="37A73971" w14:textId="63945904" w:rsidR="00126023" w:rsidRDefault="00126023" w:rsidP="00126023">
      <w:pPr>
        <w:spacing w:after="228"/>
        <w:ind w:left="-15" w:right="0" w:firstLine="708"/>
      </w:pPr>
      <w:r w:rsidRPr="00126023">
        <w:lastRenderedPageBreak/>
        <w:t xml:space="preserve">Vlada Republike Hrvatske će putem </w:t>
      </w:r>
      <w:r w:rsidR="00832682" w:rsidRPr="00832682">
        <w:t>Ministarstva vanjskih i europskih poslova</w:t>
      </w:r>
      <w:r w:rsidR="00B01275">
        <w:t xml:space="preserve">, kao </w:t>
      </w:r>
      <w:r w:rsidR="00A726BE">
        <w:t xml:space="preserve">nacionalnog </w:t>
      </w:r>
      <w:r w:rsidR="00B01275">
        <w:t xml:space="preserve">koordinacijskog tijela </w:t>
      </w:r>
      <w:r w:rsidR="00A726BE">
        <w:t>za predstavljanje Republike Hrvatske u</w:t>
      </w:r>
      <w:r w:rsidR="000A5847">
        <w:t xml:space="preserve"> </w:t>
      </w:r>
      <w:r w:rsidR="00B01275">
        <w:t>Inicijativ</w:t>
      </w:r>
      <w:r w:rsidR="000A5847">
        <w:t>i</w:t>
      </w:r>
      <w:r w:rsidR="00B01275">
        <w:t xml:space="preserve"> triju mora, </w:t>
      </w:r>
      <w:r w:rsidR="00832682" w:rsidRPr="00832682">
        <w:t xml:space="preserve">i </w:t>
      </w:r>
      <w:r w:rsidRPr="00832682">
        <w:t>Ministarstva financija s HBOR-om sklopiti ugovor kojim će biti uređena njihova prava i obveze u vezi provedbe ovog</w:t>
      </w:r>
      <w:r w:rsidR="00832682">
        <w:t>a</w:t>
      </w:r>
      <w:r w:rsidRPr="00832682">
        <w:t xml:space="preserve"> posla.</w:t>
      </w:r>
    </w:p>
    <w:p w14:paraId="25537533" w14:textId="77777777" w:rsidR="00B257E3" w:rsidRDefault="00B257E3" w:rsidP="00B257E3">
      <w:pPr>
        <w:spacing w:after="220" w:line="259" w:lineRule="auto"/>
        <w:ind w:right="0"/>
        <w:jc w:val="center"/>
      </w:pPr>
      <w:r>
        <w:rPr>
          <w:b/>
        </w:rPr>
        <w:t>VI.</w:t>
      </w:r>
    </w:p>
    <w:p w14:paraId="0DC3F481" w14:textId="172EE509" w:rsidR="00B257E3" w:rsidRDefault="00B257E3" w:rsidP="00B257E3">
      <w:pPr>
        <w:spacing w:after="228"/>
        <w:ind w:left="-15" w:right="0" w:firstLine="708"/>
      </w:pPr>
      <w:r>
        <w:t xml:space="preserve">Zadužuje se HBOR za sklapanje ugovorne dokumentacije </w:t>
      </w:r>
      <w:r w:rsidR="003F1CBA">
        <w:t xml:space="preserve">s Fondom </w:t>
      </w:r>
      <w:r w:rsidR="00126023">
        <w:t>u svrhu</w:t>
      </w:r>
      <w:r>
        <w:t xml:space="preserve"> ulaganja u Fond i sudjelovanja u Fondu.</w:t>
      </w:r>
    </w:p>
    <w:p w14:paraId="7D154948" w14:textId="77777777" w:rsidR="002E79EF" w:rsidRPr="00185E0B" w:rsidRDefault="002E79EF" w:rsidP="00B257E3">
      <w:pPr>
        <w:spacing w:after="228"/>
        <w:ind w:left="-15" w:right="0" w:firstLine="708"/>
      </w:pPr>
    </w:p>
    <w:p w14:paraId="3187BD93" w14:textId="77777777" w:rsidR="00B257E3" w:rsidRDefault="00B257E3" w:rsidP="00B257E3">
      <w:pPr>
        <w:spacing w:after="220" w:line="259" w:lineRule="auto"/>
        <w:ind w:right="0"/>
        <w:jc w:val="center"/>
      </w:pPr>
      <w:r>
        <w:rPr>
          <w:b/>
        </w:rPr>
        <w:t>VII.</w:t>
      </w:r>
    </w:p>
    <w:p w14:paraId="3F807988" w14:textId="198A69BF" w:rsidR="00B257E3" w:rsidRDefault="00B257E3" w:rsidP="00B257E3">
      <w:pPr>
        <w:spacing w:after="228"/>
        <w:ind w:left="-15" w:right="0" w:firstLine="708"/>
      </w:pPr>
      <w:r w:rsidRPr="00B47F40">
        <w:t xml:space="preserve">Ova </w:t>
      </w:r>
      <w:r w:rsidR="007A7561" w:rsidRPr="00B47F40">
        <w:t>O</w:t>
      </w:r>
      <w:r w:rsidRPr="00B47F40">
        <w:t xml:space="preserve">dluka stupa na snagu danom </w:t>
      </w:r>
      <w:r w:rsidR="0047770E">
        <w:t>donošenja</w:t>
      </w:r>
      <w:r w:rsidRPr="00B47F40">
        <w:t>.</w:t>
      </w:r>
    </w:p>
    <w:p w14:paraId="3EC33B09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BC9FEF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508197" w14:textId="77777777" w:rsidR="00BD5884" w:rsidRDefault="006D4A94">
      <w:pPr>
        <w:ind w:left="-5" w:right="0"/>
      </w:pPr>
      <w:r>
        <w:t xml:space="preserve">KLASA: </w:t>
      </w:r>
    </w:p>
    <w:p w14:paraId="20888208" w14:textId="77777777" w:rsidR="00BD5884" w:rsidRDefault="006D4A94">
      <w:pPr>
        <w:ind w:left="-5" w:right="0"/>
      </w:pPr>
      <w:r>
        <w:t xml:space="preserve">URBROJ: </w:t>
      </w:r>
    </w:p>
    <w:p w14:paraId="2FF13045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D585DB" w14:textId="77777777" w:rsidR="00BD5884" w:rsidRDefault="006D4A94">
      <w:pPr>
        <w:ind w:left="-5" w:right="0"/>
      </w:pPr>
      <w:r>
        <w:t>Zagreb, ___. __ 20</w:t>
      </w:r>
      <w:r w:rsidR="00B31148">
        <w:t>20</w:t>
      </w:r>
      <w:r>
        <w:t xml:space="preserve">. </w:t>
      </w:r>
    </w:p>
    <w:p w14:paraId="647D04A3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2B27D881" w14:textId="77777777" w:rsidR="00E6277E" w:rsidRDefault="00E6277E">
      <w:pPr>
        <w:spacing w:after="216" w:line="257" w:lineRule="auto"/>
        <w:ind w:right="7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FF7">
        <w:rPr>
          <w:b/>
        </w:rPr>
        <w:t xml:space="preserve">            </w:t>
      </w:r>
      <w:r w:rsidRPr="00E6277E">
        <w:t>PREDSJEDNIK</w:t>
      </w:r>
    </w:p>
    <w:p w14:paraId="32A986EF" w14:textId="77777777" w:rsidR="00E6277E" w:rsidRDefault="00195FF7" w:rsidP="00195FF7">
      <w:pPr>
        <w:tabs>
          <w:tab w:val="left" w:pos="6285"/>
        </w:tabs>
        <w:spacing w:after="216" w:line="257" w:lineRule="auto"/>
        <w:ind w:right="7"/>
        <w:jc w:val="left"/>
      </w:pPr>
      <w:r>
        <w:tab/>
      </w:r>
      <w:r>
        <w:tab/>
        <w:t>mr.sc. Andrej Plenković</w:t>
      </w:r>
    </w:p>
    <w:p w14:paraId="2CAA4FE6" w14:textId="77777777" w:rsidR="00E6277E" w:rsidRPr="00E6277E" w:rsidRDefault="00E6277E">
      <w:pPr>
        <w:spacing w:after="216" w:line="257" w:lineRule="auto"/>
        <w:ind w:right="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C7F290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3DB14725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55031F32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73D0A950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26FC4E56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3855FEDA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561EC138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74E75AE1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6A966C43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27C4305D" w14:textId="77777777" w:rsidR="00607E3B" w:rsidRDefault="00607E3B">
      <w:pPr>
        <w:spacing w:after="216" w:line="257" w:lineRule="auto"/>
        <w:ind w:right="7"/>
        <w:jc w:val="center"/>
        <w:rPr>
          <w:b/>
        </w:rPr>
      </w:pPr>
    </w:p>
    <w:p w14:paraId="2C803A73" w14:textId="77777777" w:rsidR="00607E3B" w:rsidRDefault="00607E3B">
      <w:pPr>
        <w:spacing w:after="216" w:line="257" w:lineRule="auto"/>
        <w:ind w:right="7"/>
        <w:jc w:val="center"/>
        <w:rPr>
          <w:b/>
        </w:rPr>
      </w:pPr>
    </w:p>
    <w:p w14:paraId="4E4F1F60" w14:textId="77777777" w:rsidR="00607E3B" w:rsidRDefault="00607E3B">
      <w:pPr>
        <w:spacing w:after="216" w:line="257" w:lineRule="auto"/>
        <w:ind w:right="7"/>
        <w:jc w:val="center"/>
        <w:rPr>
          <w:b/>
        </w:rPr>
      </w:pPr>
    </w:p>
    <w:p w14:paraId="4C73784C" w14:textId="77777777" w:rsidR="003335E6" w:rsidRDefault="003335E6">
      <w:pPr>
        <w:spacing w:after="216" w:line="257" w:lineRule="auto"/>
        <w:ind w:right="7"/>
        <w:jc w:val="center"/>
        <w:rPr>
          <w:b/>
        </w:rPr>
      </w:pPr>
    </w:p>
    <w:p w14:paraId="04DACDF6" w14:textId="77777777" w:rsidR="001B6B55" w:rsidRDefault="001B6B5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591BFB61" w14:textId="77777777" w:rsidR="00BD5884" w:rsidRPr="00DA66C8" w:rsidRDefault="00DA66C8">
      <w:pPr>
        <w:spacing w:after="216" w:line="257" w:lineRule="auto"/>
        <w:ind w:right="7"/>
        <w:jc w:val="center"/>
        <w:rPr>
          <w:b/>
        </w:rPr>
      </w:pPr>
      <w:r w:rsidRPr="00DA66C8">
        <w:rPr>
          <w:b/>
        </w:rPr>
        <w:lastRenderedPageBreak/>
        <w:t>Obrazloženje</w:t>
      </w:r>
    </w:p>
    <w:p w14:paraId="2187AE1A" w14:textId="77777777" w:rsidR="00E80B6D" w:rsidRPr="00E80B6D" w:rsidRDefault="00E80B6D" w:rsidP="00E80B6D">
      <w:pPr>
        <w:outlineLvl w:val="0"/>
        <w:rPr>
          <w:b/>
        </w:rPr>
      </w:pPr>
    </w:p>
    <w:p w14:paraId="6D2EEA91" w14:textId="77777777" w:rsidR="00EA77CD" w:rsidRDefault="00603873" w:rsidP="00EA77CD">
      <w:pPr>
        <w:spacing w:line="276" w:lineRule="auto"/>
        <w:outlineLvl w:val="0"/>
      </w:pPr>
      <w:r>
        <w:t xml:space="preserve">Republika Hrvatska začetnica je i država suosnivačica </w:t>
      </w:r>
      <w:r w:rsidR="001B6B55" w:rsidRPr="00A97140">
        <w:t>Inicijativ</w:t>
      </w:r>
      <w:r>
        <w:t xml:space="preserve">e triju mora, </w:t>
      </w:r>
      <w:r w:rsidR="00DA66C8">
        <w:t>utemeljene</w:t>
      </w:r>
      <w:r>
        <w:t xml:space="preserve"> Dubrovačkom izjavom </w:t>
      </w:r>
      <w:r w:rsidR="00DA66C8">
        <w:t xml:space="preserve">25. kolovoza </w:t>
      </w:r>
      <w:r>
        <w:t>2016. godine. Inicijativ</w:t>
      </w:r>
      <w:r w:rsidR="001B6B55" w:rsidRPr="00A97140">
        <w:t xml:space="preserve">a </w:t>
      </w:r>
      <w:r w:rsidR="001B6B55">
        <w:t>triju mora (</w:t>
      </w:r>
      <w:r w:rsidR="00AA0494">
        <w:t xml:space="preserve">engleski naziv: </w:t>
      </w:r>
      <w:r w:rsidR="00AA0494" w:rsidRPr="00AA0494">
        <w:rPr>
          <w:i/>
          <w:iCs/>
        </w:rPr>
        <w:t>The Three Seas Initiative</w:t>
      </w:r>
      <w:r w:rsidR="00AA0494">
        <w:t xml:space="preserve">, </w:t>
      </w:r>
      <w:r w:rsidR="001B6B55">
        <w:t xml:space="preserve">u daljnjem tekstu: Inicijativa) </w:t>
      </w:r>
      <w:r w:rsidR="001B6B55" w:rsidRPr="00A97140">
        <w:t xml:space="preserve">je platforma za </w:t>
      </w:r>
      <w:r>
        <w:t>suradnju</w:t>
      </w:r>
      <w:r w:rsidRPr="00A97140">
        <w:t xml:space="preserve"> </w:t>
      </w:r>
      <w:r w:rsidR="001B6B55" w:rsidRPr="00603873">
        <w:t xml:space="preserve">12 </w:t>
      </w:r>
      <w:r w:rsidRPr="00603873">
        <w:t xml:space="preserve">država članica Europske unije između Jadrana, Baltika i Crnog mora </w:t>
      </w:r>
      <w:r w:rsidR="001B6B55" w:rsidRPr="00603873">
        <w:t>(</w:t>
      </w:r>
      <w:r w:rsidRPr="00603873">
        <w:t xml:space="preserve">Hrvatska, Austrija, </w:t>
      </w:r>
      <w:r w:rsidR="001B6B55" w:rsidRPr="00603873">
        <w:t xml:space="preserve">Bugarska, </w:t>
      </w:r>
      <w:r w:rsidRPr="00603873">
        <w:t xml:space="preserve">Češka, Estonija, Latvija, Litva, Mađarska, Poljska, </w:t>
      </w:r>
      <w:r>
        <w:t xml:space="preserve">Rumunjska, </w:t>
      </w:r>
      <w:r w:rsidRPr="00603873">
        <w:t xml:space="preserve">Slovačka i </w:t>
      </w:r>
      <w:r w:rsidR="001B6B55" w:rsidRPr="00603873">
        <w:t>Slovenija)</w:t>
      </w:r>
      <w:r>
        <w:t>.</w:t>
      </w:r>
      <w:r w:rsidR="001B6B55" w:rsidRPr="00603873">
        <w:t xml:space="preserve"> </w:t>
      </w:r>
      <w:r w:rsidR="00AA0494" w:rsidRPr="00603873">
        <w:rPr>
          <w:bCs/>
        </w:rPr>
        <w:t>Inicijativa je</w:t>
      </w:r>
      <w:r w:rsidR="001B6B55" w:rsidRPr="00603873">
        <w:t xml:space="preserve"> osnovana s ciljem </w:t>
      </w:r>
      <w:r>
        <w:t xml:space="preserve">suradnje i </w:t>
      </w:r>
      <w:r w:rsidR="001B6B55" w:rsidRPr="00603873">
        <w:t xml:space="preserve">pružanja </w:t>
      </w:r>
      <w:r>
        <w:t>potpore</w:t>
      </w:r>
      <w:r w:rsidR="001B6B55" w:rsidRPr="00603873">
        <w:t xml:space="preserve"> </w:t>
      </w:r>
      <w:r>
        <w:t>pri ostvarivanju</w:t>
      </w:r>
      <w:r w:rsidR="001B6B55" w:rsidRPr="00603873">
        <w:t xml:space="preserve"> zajedničkih prek</w:t>
      </w:r>
      <w:r>
        <w:t>ograničnih strateških projekata</w:t>
      </w:r>
      <w:r w:rsidR="001B6B55" w:rsidRPr="00603873">
        <w:t xml:space="preserve"> s naglaskom na energetsku, prometnu i digitalnu po</w:t>
      </w:r>
      <w:r>
        <w:t>vezanost uključenih država. Inicijativa treba</w:t>
      </w:r>
      <w:r w:rsidR="001B6B55" w:rsidRPr="00603873">
        <w:t xml:space="preserve"> doprinijeti uravnoteženom gospodarskom</w:t>
      </w:r>
      <w:r>
        <w:t xml:space="preserve"> razvoju Europske unije i smanjenju postojećih razlika u razvoju </w:t>
      </w:r>
      <w:r w:rsidR="001B6B55" w:rsidRPr="00603873">
        <w:t xml:space="preserve">između </w:t>
      </w:r>
      <w:r>
        <w:t xml:space="preserve">država članica Unije. Države partneri Inicijative su Njemačka i Sjedinjene Američke Države, a Inicijativa uživa potporu Europske komisije. </w:t>
      </w:r>
      <w:r w:rsidR="00DA66C8">
        <w:t xml:space="preserve">Nakon prvog sastanka na vrhu u Dubrovniku </w:t>
      </w:r>
      <w:r w:rsidR="00E80B6D">
        <w:t>2016. godine</w:t>
      </w:r>
      <w:r w:rsidR="00DA66C8">
        <w:t xml:space="preserve">, </w:t>
      </w:r>
      <w:r w:rsidR="00E80B6D">
        <w:t>uslijedili</w:t>
      </w:r>
      <w:r w:rsidR="00DA66C8">
        <w:t xml:space="preserve"> su</w:t>
      </w:r>
      <w:r w:rsidR="00E80B6D">
        <w:t xml:space="preserve"> summiti u Varšavi (2017.), Bukure</w:t>
      </w:r>
      <w:r w:rsidR="00DA66C8">
        <w:t>štu (2018.) i Ljubljani (2019.), dok će se i</w:t>
      </w:r>
      <w:r w:rsidR="00AA0494">
        <w:t>dući</w:t>
      </w:r>
      <w:r w:rsidR="00DA66C8">
        <w:t xml:space="preserve"> summit održati </w:t>
      </w:r>
      <w:r w:rsidR="00AA0494" w:rsidRPr="00AA0494">
        <w:t xml:space="preserve">u Tallinnu u listopadu </w:t>
      </w:r>
      <w:r w:rsidR="00DA66C8">
        <w:t>ove</w:t>
      </w:r>
      <w:r w:rsidR="00AA0494">
        <w:t xml:space="preserve"> godine.</w:t>
      </w:r>
      <w:r w:rsidR="00EA77CD">
        <w:t xml:space="preserve"> </w:t>
      </w:r>
    </w:p>
    <w:p w14:paraId="3BE9B5B0" w14:textId="77777777" w:rsidR="00EA77CD" w:rsidRDefault="00EA77CD" w:rsidP="00EA77CD">
      <w:pPr>
        <w:spacing w:line="276" w:lineRule="auto"/>
        <w:outlineLvl w:val="0"/>
      </w:pPr>
    </w:p>
    <w:p w14:paraId="0FEBE1E7" w14:textId="77777777" w:rsidR="00731D62" w:rsidRDefault="00DA66C8" w:rsidP="00EA77CD">
      <w:pPr>
        <w:spacing w:line="276" w:lineRule="auto"/>
        <w:outlineLvl w:val="0"/>
        <w:rPr>
          <w:bCs/>
        </w:rPr>
      </w:pPr>
      <w:r>
        <w:t>Države sudionice Inicijative</w:t>
      </w:r>
      <w:r w:rsidRPr="00DA66C8">
        <w:t xml:space="preserve"> </w:t>
      </w:r>
      <w:r w:rsidRPr="00BC5D59">
        <w:t xml:space="preserve">pozvane su </w:t>
      </w:r>
      <w:r>
        <w:t xml:space="preserve">biti </w:t>
      </w:r>
      <w:r w:rsidRPr="00BC5D59">
        <w:t xml:space="preserve">osnivačima i temeljnim sponzorima </w:t>
      </w:r>
      <w:r w:rsidRPr="00832682">
        <w:t>Investicijskog fonda Inicijative triju mora</w:t>
      </w:r>
      <w:r>
        <w:t xml:space="preserve"> </w:t>
      </w:r>
      <w:r w:rsidR="00E80B6D" w:rsidRPr="00BC5D59">
        <w:t>putem svojih razvojnih financijskih institucija</w:t>
      </w:r>
      <w:r w:rsidR="00AA0494">
        <w:t xml:space="preserve"> </w:t>
      </w:r>
      <w:r w:rsidR="00E80B6D" w:rsidRPr="00BC5D59">
        <w:t>(</w:t>
      </w:r>
      <w:r w:rsidR="00DC1FD3">
        <w:t>puni</w:t>
      </w:r>
      <w:r w:rsidR="00AA0494">
        <w:t xml:space="preserve"> naziv: </w:t>
      </w:r>
      <w:r w:rsidR="00E80B6D" w:rsidRPr="00AA0494">
        <w:rPr>
          <w:i/>
          <w:iCs/>
        </w:rPr>
        <w:t xml:space="preserve">The Three Seas Initiative </w:t>
      </w:r>
      <w:r w:rsidR="00AA0494" w:rsidRPr="00AA0494">
        <w:rPr>
          <w:i/>
          <w:iCs/>
        </w:rPr>
        <w:t xml:space="preserve">Investment </w:t>
      </w:r>
      <w:r w:rsidR="00E80B6D" w:rsidRPr="00AA0494">
        <w:rPr>
          <w:i/>
          <w:iCs/>
        </w:rPr>
        <w:t>Fund</w:t>
      </w:r>
      <w:r w:rsidR="00DC1FD3">
        <w:rPr>
          <w:i/>
          <w:iCs/>
        </w:rPr>
        <w:t xml:space="preserve"> </w:t>
      </w:r>
      <w:r w:rsidR="00DC1FD3" w:rsidRPr="00126023">
        <w:t>S.A. SICAV-RAIF, 5 rue Jean Monnet, L-2180</w:t>
      </w:r>
      <w:r w:rsidR="00DC1FD3">
        <w:t>,</w:t>
      </w:r>
      <w:r w:rsidR="00DC1FD3" w:rsidRPr="00126023">
        <w:t xml:space="preserve"> </w:t>
      </w:r>
      <w:r w:rsidR="00DC1FD3">
        <w:t>Luksemburg</w:t>
      </w:r>
      <w:r w:rsidR="00E80B6D" w:rsidRPr="00BC5D59">
        <w:t xml:space="preserve">, </w:t>
      </w:r>
      <w:r w:rsidR="00AA0494">
        <w:t xml:space="preserve">dalje u tekstu: </w:t>
      </w:r>
      <w:r w:rsidR="00E80B6D" w:rsidRPr="00BC5D59">
        <w:t xml:space="preserve">Fond). </w:t>
      </w:r>
      <w:r>
        <w:t>K</w:t>
      </w:r>
      <w:r w:rsidRPr="00BC5D59">
        <w:t>ao ra</w:t>
      </w:r>
      <w:r>
        <w:t xml:space="preserve">zvojna banka Republike Hrvatske, </w:t>
      </w:r>
      <w:r w:rsidR="00E80B6D" w:rsidRPr="00BC5D59">
        <w:t>Hrvatska banka za obnovu i razvitak (</w:t>
      </w:r>
      <w:r w:rsidR="00AA0494">
        <w:t xml:space="preserve">dalje u tekstu: </w:t>
      </w:r>
      <w:r w:rsidR="00E80B6D" w:rsidRPr="00BC5D59">
        <w:t>HBOR) pozvana je sud</w:t>
      </w:r>
      <w:r>
        <w:t>jelovati u strukturiranju Fonda.</w:t>
      </w:r>
      <w:r w:rsidR="00E80B6D" w:rsidRPr="00BC5D59">
        <w:t xml:space="preserve"> </w:t>
      </w:r>
      <w:r w:rsidR="00EA77CD" w:rsidRPr="00AA0494">
        <w:t xml:space="preserve">S namjerom </w:t>
      </w:r>
      <w:r w:rsidR="00EA77CD">
        <w:t xml:space="preserve">stvaranja </w:t>
      </w:r>
      <w:r w:rsidR="00EA77CD" w:rsidRPr="00AA0494">
        <w:t>okvira suradnje razvojnih financijskih instit</w:t>
      </w:r>
      <w:r w:rsidR="00EA77CD">
        <w:t>ucija na uspostavljanju Fonda, šest</w:t>
      </w:r>
      <w:r w:rsidR="00EA77CD" w:rsidRPr="00AA0494">
        <w:t xml:space="preserve"> razvojnih financijskih institucija (iz Hrvatske</w:t>
      </w:r>
      <w:r w:rsidR="00EA77CD">
        <w:t xml:space="preserve">, </w:t>
      </w:r>
      <w:r w:rsidR="00EA77CD" w:rsidRPr="00AA0494">
        <w:t>Poljs</w:t>
      </w:r>
      <w:r w:rsidR="00EA77CD">
        <w:t xml:space="preserve">ke, Rumunjske, Češke, Slovačke i Latvije) potpisalo je 17. rujna </w:t>
      </w:r>
      <w:r w:rsidR="00EA77CD" w:rsidRPr="00AA0494">
        <w:t>2018. godine u Bukureštu neobvezujuće Pismo namjere o osn</w:t>
      </w:r>
      <w:r w:rsidR="00EA77CD">
        <w:t>ivanju Fonda</w:t>
      </w:r>
      <w:r w:rsidR="00EA77CD" w:rsidRPr="00AA0494">
        <w:t xml:space="preserve">. </w:t>
      </w:r>
      <w:r w:rsidR="00E80B6D" w:rsidRPr="00BC5D59">
        <w:t xml:space="preserve">Fond predstavlja potporu Inicijativi u dijelu osiguravanja financijskih sredstava za financiranje projekata od interesa </w:t>
      </w:r>
      <w:r w:rsidR="00AA0494">
        <w:t xml:space="preserve">iz područja energetike, infrastrukture i digitalizacije. </w:t>
      </w:r>
      <w:r w:rsidR="00731D62" w:rsidRPr="00B01275">
        <w:rPr>
          <w:bCs/>
        </w:rPr>
        <w:t>Fond je osnovan 29. svibnja 2019. godine sa sjedištem u Luksemburgu</w:t>
      </w:r>
      <w:r w:rsidR="00731D62">
        <w:t xml:space="preserve"> od strane poljske (BGK) i r</w:t>
      </w:r>
      <w:r w:rsidR="00731D62" w:rsidRPr="00B01275">
        <w:t>umunjske (EximBank) razvojne banke. BGK je preuzeo obvezu na ulaganje u Fond u iznosu od 500 mil</w:t>
      </w:r>
      <w:r w:rsidR="00731D62">
        <w:t>ijuna</w:t>
      </w:r>
      <w:r w:rsidR="00731D62" w:rsidRPr="00B01275">
        <w:t xml:space="preserve"> </w:t>
      </w:r>
      <w:r w:rsidR="00731D62">
        <w:t>eura</w:t>
      </w:r>
      <w:r w:rsidR="00731D62" w:rsidRPr="00B01275">
        <w:t xml:space="preserve">, a EximBank u iznosu </w:t>
      </w:r>
      <w:r w:rsidR="00731D62">
        <w:t xml:space="preserve">od 20 milijuna eura, </w:t>
      </w:r>
      <w:r w:rsidR="00731D62" w:rsidRPr="00B01275">
        <w:t>s mogućnošću povećanja ulaganja do 100 mil</w:t>
      </w:r>
      <w:r w:rsidR="00731D62">
        <w:t>ijuna eura</w:t>
      </w:r>
      <w:r w:rsidR="00731D62" w:rsidRPr="00B01275">
        <w:t>. Estonija i Latvija su preuzele obvezu na ulaganje u Fond u iznosu od po 20 mil</w:t>
      </w:r>
      <w:r w:rsidR="00731D62">
        <w:t>ijuna eura</w:t>
      </w:r>
      <w:r w:rsidR="00731D62" w:rsidRPr="00B01275">
        <w:t xml:space="preserve"> pri drug</w:t>
      </w:r>
      <w:r w:rsidR="00731D62">
        <w:t xml:space="preserve">om krugu zatvaranja Fonda 16. rujna </w:t>
      </w:r>
      <w:r w:rsidR="00731D62" w:rsidRPr="00B01275">
        <w:t xml:space="preserve">2020. </w:t>
      </w:r>
      <w:r w:rsidR="00731D62">
        <w:t xml:space="preserve">godine. </w:t>
      </w:r>
      <w:r w:rsidR="00731D62" w:rsidRPr="00AA0494">
        <w:t xml:space="preserve">Bugarska je najavila ulaganje </w:t>
      </w:r>
      <w:r w:rsidR="00731D62">
        <w:t>od</w:t>
      </w:r>
      <w:r w:rsidR="00731D62" w:rsidRPr="00AA0494">
        <w:t xml:space="preserve"> 20 mil</w:t>
      </w:r>
      <w:r w:rsidR="00731D62">
        <w:t>ijuna eura</w:t>
      </w:r>
      <w:r w:rsidR="00731D62" w:rsidRPr="00AA0494">
        <w:t xml:space="preserve">, </w:t>
      </w:r>
      <w:r w:rsidR="00731D62">
        <w:t xml:space="preserve">kao i </w:t>
      </w:r>
      <w:r w:rsidR="00731D62" w:rsidRPr="00AA0494">
        <w:t>Sl</w:t>
      </w:r>
      <w:r w:rsidR="00731D62">
        <w:t xml:space="preserve">ovenija, Mađarska i Litva. </w:t>
      </w:r>
      <w:r w:rsidR="00731D62" w:rsidRPr="00EA77CD">
        <w:rPr>
          <w:bCs/>
        </w:rPr>
        <w:t>Sudjelovanje u Fondu najavile s</w:t>
      </w:r>
      <w:r w:rsidR="00731D62">
        <w:rPr>
          <w:bCs/>
        </w:rPr>
        <w:t xml:space="preserve">u i Sjedinjene Američke Države </w:t>
      </w:r>
      <w:r w:rsidR="00731D62" w:rsidRPr="00EA77CD">
        <w:rPr>
          <w:bCs/>
        </w:rPr>
        <w:t>s iznosom od 1 milijarde</w:t>
      </w:r>
      <w:r w:rsidR="00731D62">
        <w:rPr>
          <w:bCs/>
        </w:rPr>
        <w:t xml:space="preserve"> američkih dolara. </w:t>
      </w:r>
      <w:r w:rsidR="00EA77CD">
        <w:t>O</w:t>
      </w:r>
      <w:r w:rsidR="00AA0494" w:rsidRPr="00AA0494">
        <w:t>čekivana veličina Fonda</w:t>
      </w:r>
      <w:r w:rsidR="00731D62">
        <w:t>, koji je utemeljen na tržišnim načelima,</w:t>
      </w:r>
      <w:r w:rsidR="00AA0494" w:rsidRPr="00AA0494">
        <w:t xml:space="preserve"> je </w:t>
      </w:r>
      <w:r w:rsidR="00EA7CAE">
        <w:t xml:space="preserve">od 3 do </w:t>
      </w:r>
      <w:r w:rsidR="00AA0494" w:rsidRPr="00AA0494">
        <w:t>5</w:t>
      </w:r>
      <w:r w:rsidR="00EA7CAE">
        <w:t xml:space="preserve"> milijardi</w:t>
      </w:r>
      <w:r w:rsidR="00EA77CD">
        <w:t xml:space="preserve"> eura</w:t>
      </w:r>
      <w:r w:rsidR="00AA0494" w:rsidRPr="00AA0494">
        <w:t>, a osnovni i</w:t>
      </w:r>
      <w:r w:rsidR="00EA77CD">
        <w:t xml:space="preserve">zvori financiranja Fonda </w:t>
      </w:r>
      <w:r w:rsidR="00731D62">
        <w:t>su</w:t>
      </w:r>
      <w:r w:rsidR="00AA0494" w:rsidRPr="00AA0494">
        <w:t xml:space="preserve"> sredstva razvojnih financijskih institucija </w:t>
      </w:r>
      <w:r w:rsidR="00EA7CAE">
        <w:t>s</w:t>
      </w:r>
      <w:r w:rsidR="00AA0494" w:rsidRPr="00AA0494">
        <w:t xml:space="preserve"> područja </w:t>
      </w:r>
      <w:r w:rsidR="00EA7CAE">
        <w:t>država sudi</w:t>
      </w:r>
      <w:r w:rsidR="00B01275">
        <w:t>o</w:t>
      </w:r>
      <w:r w:rsidR="00EA7CAE">
        <w:t>nica Inicijative te p</w:t>
      </w:r>
      <w:r w:rsidR="00731D62">
        <w:t>artnera</w:t>
      </w:r>
      <w:r w:rsidR="00AA0494" w:rsidRPr="00AA0494">
        <w:t xml:space="preserve"> </w:t>
      </w:r>
      <w:r w:rsidR="00EA7CAE">
        <w:lastRenderedPageBreak/>
        <w:t>poput</w:t>
      </w:r>
      <w:r w:rsidR="00AA0494" w:rsidRPr="00AA0494">
        <w:t xml:space="preserve"> EBRD</w:t>
      </w:r>
      <w:r w:rsidR="00EA7CAE">
        <w:t xml:space="preserve">-a, Svjetske banke i drugih, dok se u financiranje </w:t>
      </w:r>
      <w:r w:rsidR="00AA0494" w:rsidRPr="00AA0494">
        <w:t xml:space="preserve">mogu uključiti i </w:t>
      </w:r>
      <w:r w:rsidR="00731D62">
        <w:t xml:space="preserve">svi </w:t>
      </w:r>
      <w:r w:rsidR="00AA0494" w:rsidRPr="00AA0494">
        <w:t>ostali potencijalni privatni partneri.</w:t>
      </w:r>
      <w:r w:rsidR="00EA7CAE">
        <w:t xml:space="preserve"> </w:t>
      </w:r>
    </w:p>
    <w:p w14:paraId="674620E6" w14:textId="77777777" w:rsidR="00731D62" w:rsidRDefault="00731D62" w:rsidP="00EA77CD">
      <w:pPr>
        <w:spacing w:line="276" w:lineRule="auto"/>
        <w:outlineLvl w:val="0"/>
        <w:rPr>
          <w:bCs/>
        </w:rPr>
      </w:pPr>
    </w:p>
    <w:p w14:paraId="08690A6C" w14:textId="77777777" w:rsidR="00EA77CD" w:rsidRPr="00EA77CD" w:rsidRDefault="00EA77CD" w:rsidP="00EA77CD">
      <w:pPr>
        <w:spacing w:line="276" w:lineRule="auto"/>
        <w:outlineLvl w:val="0"/>
      </w:pPr>
      <w:r w:rsidRPr="00EA77CD">
        <w:rPr>
          <w:bCs/>
        </w:rPr>
        <w:t xml:space="preserve">Pristupanje Republike Hrvatske Fondu pridonijelo </w:t>
      </w:r>
      <w:r>
        <w:rPr>
          <w:bCs/>
        </w:rPr>
        <w:t xml:space="preserve">bi </w:t>
      </w:r>
      <w:r w:rsidRPr="00EA77CD">
        <w:rPr>
          <w:bCs/>
        </w:rPr>
        <w:t xml:space="preserve">pozicioniranju Hrvatske kao </w:t>
      </w:r>
      <w:r w:rsidR="00731D62">
        <w:rPr>
          <w:bCs/>
        </w:rPr>
        <w:t xml:space="preserve">temeljne i </w:t>
      </w:r>
      <w:r w:rsidRPr="00EA77CD">
        <w:rPr>
          <w:bCs/>
        </w:rPr>
        <w:t xml:space="preserve">aktivne </w:t>
      </w:r>
      <w:r w:rsidR="00731D62">
        <w:rPr>
          <w:bCs/>
        </w:rPr>
        <w:t>države sudionice Inicijative, potpomoglo</w:t>
      </w:r>
      <w:r>
        <w:rPr>
          <w:bCs/>
        </w:rPr>
        <w:t xml:space="preserve"> sufinanciranje hrvatskih i zajedničkih prekograničnih projekata Inicijative</w:t>
      </w:r>
      <w:r w:rsidR="00731D62">
        <w:rPr>
          <w:bCs/>
        </w:rPr>
        <w:t xml:space="preserve"> u budućnosti te kroz predloženi </w:t>
      </w:r>
      <w:r>
        <w:rPr>
          <w:bCs/>
        </w:rPr>
        <w:t>iznos ulaganja</w:t>
      </w:r>
      <w:r w:rsidR="00731D62">
        <w:rPr>
          <w:bCs/>
        </w:rPr>
        <w:t xml:space="preserve"> osiguralo</w:t>
      </w:r>
      <w:r w:rsidRPr="00B01275">
        <w:rPr>
          <w:bCs/>
        </w:rPr>
        <w:t xml:space="preserve"> </w:t>
      </w:r>
      <w:r w:rsidR="00731D62">
        <w:rPr>
          <w:bCs/>
        </w:rPr>
        <w:t xml:space="preserve">Republici Hrvatskoj </w:t>
      </w:r>
      <w:r w:rsidRPr="00B01275">
        <w:rPr>
          <w:bCs/>
        </w:rPr>
        <w:t xml:space="preserve">pravo glasa u </w:t>
      </w:r>
      <w:r>
        <w:rPr>
          <w:bCs/>
        </w:rPr>
        <w:t>upr</w:t>
      </w:r>
      <w:r w:rsidR="00731D62">
        <w:rPr>
          <w:bCs/>
        </w:rPr>
        <w:t>avljačkim tijelima Fonda</w:t>
      </w:r>
      <w:r>
        <w:rPr>
          <w:bCs/>
        </w:rPr>
        <w:t>.</w:t>
      </w:r>
    </w:p>
    <w:p w14:paraId="40C1962B" w14:textId="77777777" w:rsidR="0022250C" w:rsidRPr="00BC5D59" w:rsidRDefault="0022250C" w:rsidP="00731D62">
      <w:pPr>
        <w:spacing w:line="276" w:lineRule="auto"/>
        <w:ind w:left="0" w:firstLine="0"/>
        <w:outlineLvl w:val="0"/>
      </w:pPr>
    </w:p>
    <w:sectPr w:rsidR="0022250C" w:rsidRPr="00BC5D59">
      <w:pgSz w:w="11906" w:h="16838"/>
      <w:pgMar w:top="1418" w:right="1413" w:bottom="143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44CC" w14:textId="77777777" w:rsidR="00381E11" w:rsidRDefault="00381E11">
      <w:pPr>
        <w:spacing w:after="0" w:line="240" w:lineRule="auto"/>
      </w:pPr>
      <w:r>
        <w:separator/>
      </w:r>
    </w:p>
  </w:endnote>
  <w:endnote w:type="continuationSeparator" w:id="0">
    <w:p w14:paraId="3DADE27F" w14:textId="77777777" w:rsidR="00381E11" w:rsidRDefault="00381E11">
      <w:pPr>
        <w:spacing w:after="0" w:line="240" w:lineRule="auto"/>
      </w:pPr>
      <w:r>
        <w:continuationSeparator/>
      </w:r>
    </w:p>
  </w:endnote>
  <w:endnote w:type="continuationNotice" w:id="1">
    <w:p w14:paraId="1E989FF5" w14:textId="77777777" w:rsidR="00381E11" w:rsidRDefault="00381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AC1F8" w14:textId="77777777" w:rsidR="00381E11" w:rsidRDefault="00381E11">
      <w:pPr>
        <w:spacing w:after="0" w:line="240" w:lineRule="auto"/>
      </w:pPr>
      <w:r>
        <w:separator/>
      </w:r>
    </w:p>
  </w:footnote>
  <w:footnote w:type="continuationSeparator" w:id="0">
    <w:p w14:paraId="59CAA1D9" w14:textId="77777777" w:rsidR="00381E11" w:rsidRDefault="00381E11">
      <w:pPr>
        <w:spacing w:after="0" w:line="240" w:lineRule="auto"/>
      </w:pPr>
      <w:r>
        <w:continuationSeparator/>
      </w:r>
    </w:p>
  </w:footnote>
  <w:footnote w:type="continuationNotice" w:id="1">
    <w:p w14:paraId="71232947" w14:textId="77777777" w:rsidR="00381E11" w:rsidRDefault="00381E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D5D"/>
    <w:multiLevelType w:val="hybridMultilevel"/>
    <w:tmpl w:val="1C425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FC2"/>
    <w:multiLevelType w:val="hybridMultilevel"/>
    <w:tmpl w:val="AC027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07"/>
    <w:multiLevelType w:val="hybridMultilevel"/>
    <w:tmpl w:val="F342C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185C"/>
    <w:multiLevelType w:val="hybridMultilevel"/>
    <w:tmpl w:val="64EE6976"/>
    <w:lvl w:ilvl="0" w:tplc="2C0C2E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06E2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E8BC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4C88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6594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25BB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685E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C37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8721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F7329F"/>
    <w:multiLevelType w:val="hybridMultilevel"/>
    <w:tmpl w:val="78DE51C2"/>
    <w:lvl w:ilvl="0" w:tplc="0984656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A15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C80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810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EF5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68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A1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A09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E02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283977"/>
    <w:multiLevelType w:val="hybridMultilevel"/>
    <w:tmpl w:val="8B1C3626"/>
    <w:lvl w:ilvl="0" w:tplc="CC1CE4E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C6E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48B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612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A5A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09D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425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8DA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644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A13492"/>
    <w:multiLevelType w:val="hybridMultilevel"/>
    <w:tmpl w:val="34F89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229AE"/>
    <w:multiLevelType w:val="hybridMultilevel"/>
    <w:tmpl w:val="74789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6420"/>
    <w:multiLevelType w:val="hybridMultilevel"/>
    <w:tmpl w:val="F71CA694"/>
    <w:lvl w:ilvl="0" w:tplc="2CD42A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E92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0CF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461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0D2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4CF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8D2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E6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042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667480"/>
    <w:multiLevelType w:val="hybridMultilevel"/>
    <w:tmpl w:val="3A924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84"/>
    <w:rsid w:val="00041575"/>
    <w:rsid w:val="00047780"/>
    <w:rsid w:val="000A5847"/>
    <w:rsid w:val="00126023"/>
    <w:rsid w:val="0018088B"/>
    <w:rsid w:val="00195FF7"/>
    <w:rsid w:val="001B5B3A"/>
    <w:rsid w:val="001B6B55"/>
    <w:rsid w:val="001C7B17"/>
    <w:rsid w:val="001C7BCD"/>
    <w:rsid w:val="0022250C"/>
    <w:rsid w:val="0022333F"/>
    <w:rsid w:val="00283146"/>
    <w:rsid w:val="002946A4"/>
    <w:rsid w:val="002B049C"/>
    <w:rsid w:val="002C2B2F"/>
    <w:rsid w:val="002E79EF"/>
    <w:rsid w:val="002F1CA4"/>
    <w:rsid w:val="00301A3C"/>
    <w:rsid w:val="00302A0C"/>
    <w:rsid w:val="003063D2"/>
    <w:rsid w:val="003335E6"/>
    <w:rsid w:val="00344115"/>
    <w:rsid w:val="00344BFB"/>
    <w:rsid w:val="00381E11"/>
    <w:rsid w:val="003957BA"/>
    <w:rsid w:val="003F1CBA"/>
    <w:rsid w:val="004301ED"/>
    <w:rsid w:val="0047770E"/>
    <w:rsid w:val="005305C1"/>
    <w:rsid w:val="00566EB9"/>
    <w:rsid w:val="005C6B12"/>
    <w:rsid w:val="005E6657"/>
    <w:rsid w:val="005F3C43"/>
    <w:rsid w:val="005F5845"/>
    <w:rsid w:val="00603873"/>
    <w:rsid w:val="00607E3B"/>
    <w:rsid w:val="00675102"/>
    <w:rsid w:val="006B43E7"/>
    <w:rsid w:val="006D4A94"/>
    <w:rsid w:val="007072E7"/>
    <w:rsid w:val="00715BD7"/>
    <w:rsid w:val="00731D62"/>
    <w:rsid w:val="00751939"/>
    <w:rsid w:val="007610CE"/>
    <w:rsid w:val="00766539"/>
    <w:rsid w:val="00782783"/>
    <w:rsid w:val="007A7561"/>
    <w:rsid w:val="007C6E26"/>
    <w:rsid w:val="007D52B6"/>
    <w:rsid w:val="00832682"/>
    <w:rsid w:val="008F6227"/>
    <w:rsid w:val="009866E5"/>
    <w:rsid w:val="009B33A0"/>
    <w:rsid w:val="009B5E52"/>
    <w:rsid w:val="009C2EF5"/>
    <w:rsid w:val="009F1438"/>
    <w:rsid w:val="00A3744C"/>
    <w:rsid w:val="00A413C6"/>
    <w:rsid w:val="00A52174"/>
    <w:rsid w:val="00A563D5"/>
    <w:rsid w:val="00A726BE"/>
    <w:rsid w:val="00A73ED4"/>
    <w:rsid w:val="00A76994"/>
    <w:rsid w:val="00A911E3"/>
    <w:rsid w:val="00A934FB"/>
    <w:rsid w:val="00AA0494"/>
    <w:rsid w:val="00B01275"/>
    <w:rsid w:val="00B257E3"/>
    <w:rsid w:val="00B31148"/>
    <w:rsid w:val="00B47F40"/>
    <w:rsid w:val="00BD5884"/>
    <w:rsid w:val="00BD62F4"/>
    <w:rsid w:val="00BD785B"/>
    <w:rsid w:val="00C26D5A"/>
    <w:rsid w:val="00C87303"/>
    <w:rsid w:val="00CF363D"/>
    <w:rsid w:val="00D00244"/>
    <w:rsid w:val="00D25E56"/>
    <w:rsid w:val="00D95F1A"/>
    <w:rsid w:val="00DA66C8"/>
    <w:rsid w:val="00DC1FD3"/>
    <w:rsid w:val="00DD653B"/>
    <w:rsid w:val="00DE1D52"/>
    <w:rsid w:val="00DF3E6E"/>
    <w:rsid w:val="00E60BB8"/>
    <w:rsid w:val="00E6277E"/>
    <w:rsid w:val="00E80B6D"/>
    <w:rsid w:val="00EA77CD"/>
    <w:rsid w:val="00EA7CAE"/>
    <w:rsid w:val="00EB1AFB"/>
    <w:rsid w:val="00F0757E"/>
    <w:rsid w:val="00F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E608"/>
  <w15:docId w15:val="{C4FC2B3E-CFCE-4D85-9B77-C3A2F69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unhideWhenUsed/>
    <w:rsid w:val="002C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B2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B2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2F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rsid w:val="00E6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B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E5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E52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semiHidden/>
    <w:rsid w:val="009B5E52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5E5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9B5E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5E5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B5E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761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A1AEA77E8F24F9E0734874ECCA6ED" ma:contentTypeVersion="1" ma:contentTypeDescription="Create a new document." ma:contentTypeScope="" ma:versionID="8670e78dd54e840cac7346b744111e7c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4FF5-03DB-4E03-A153-C533EF138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D6C37-FA9C-4E95-9CCB-2B5301DAC2AB}">
  <ds:schemaRefs>
    <ds:schemaRef ds:uri="http://schemas.microsoft.com/office/infopath/2007/PartnerControls"/>
    <ds:schemaRef ds:uri="cc1bae78-4333-4ddf-b08b-bd286aa6bb3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627EED-E928-44D1-8728-25F42F792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A7A5F-D159-4796-B53F-A013044D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odluke</vt:lpstr>
      <vt:lpstr>Prijedlog odluke</vt:lpstr>
    </vt:vector>
  </TitlesOfParts>
  <Company>MUP RH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</dc:title>
  <dc:subject/>
  <dc:creator>Andreja Zeljko</dc:creator>
  <cp:keywords/>
  <cp:lastModifiedBy>Ivana Marinković</cp:lastModifiedBy>
  <cp:revision>26</cp:revision>
  <cp:lastPrinted>2020-10-09T13:52:00Z</cp:lastPrinted>
  <dcterms:created xsi:type="dcterms:W3CDTF">2020-10-08T18:56:00Z</dcterms:created>
  <dcterms:modified xsi:type="dcterms:W3CDTF">2020-10-14T09:50:00Z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0x010100041A1AEA77E8F24F9E0734874ECCA6ED</vt:lpwstr>
  </property>
</Properties>
</file>