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59008A">
        <w:t>5. ožujka</w:t>
      </w:r>
      <w:r w:rsidR="003F617B">
        <w:t xml:space="preserve"> 2020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59008A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225800" w:rsidP="000350D9">
            <w:pPr>
              <w:spacing w:line="360" w:lineRule="auto"/>
            </w:pPr>
            <w:r>
              <w:t>Ministarstvo rada i mirovinskoga sustava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59008A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9008A" w:rsidP="0059008A">
            <w:pPr>
              <w:spacing w:line="360" w:lineRule="auto"/>
            </w:pPr>
            <w:r>
              <w:t>P</w:t>
            </w:r>
            <w:r w:rsidR="00C072D6">
              <w:t>rijedlog odluke</w:t>
            </w:r>
            <w:r w:rsidR="003F617B">
              <w:t xml:space="preserve"> o pokretanju postupka za sklapanje </w:t>
            </w:r>
            <w:r>
              <w:t>S</w:t>
            </w:r>
            <w:r w:rsidR="003F617B">
              <w:t>porazuma između Republike Hrvatske i Europske investicijske banke</w:t>
            </w:r>
            <w:r w:rsidR="0037190B">
              <w:t xml:space="preserve"> </w:t>
            </w:r>
            <w:r w:rsidR="003F617B">
              <w:t>o prijenosu mirovinskih prava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B13F4C" w:rsidRDefault="00B13F4C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Default="0059008A" w:rsidP="00B13F4C"/>
    <w:p w:rsidR="0059008A" w:rsidRPr="00B13F4C" w:rsidRDefault="0059008A" w:rsidP="00B13F4C">
      <w:pPr>
        <w:rPr>
          <w:rFonts w:ascii="Georgia" w:hAnsi="Georgia"/>
        </w:rPr>
        <w:sectPr w:rsidR="0059008A" w:rsidRPr="00B13F4C" w:rsidSect="000350D9"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3F617B" w:rsidRPr="0059008A" w:rsidRDefault="0059008A" w:rsidP="003F617B">
      <w:pPr>
        <w:tabs>
          <w:tab w:val="center" w:pos="8931"/>
        </w:tabs>
        <w:rPr>
          <w:b/>
        </w:rPr>
      </w:pPr>
      <w:r>
        <w:rPr>
          <w:b/>
        </w:rPr>
        <w:lastRenderedPageBreak/>
        <w:tab/>
      </w:r>
      <w:r w:rsidR="003F617B" w:rsidRPr="0059008A">
        <w:rPr>
          <w:b/>
        </w:rPr>
        <w:t xml:space="preserve">PRIJEDLOG </w:t>
      </w:r>
    </w:p>
    <w:p w:rsidR="003F617B" w:rsidRPr="00BC1D17" w:rsidRDefault="003F617B" w:rsidP="003F617B">
      <w:pPr>
        <w:rPr>
          <w:spacing w:val="20"/>
        </w:rPr>
      </w:pPr>
    </w:p>
    <w:p w:rsidR="003F617B" w:rsidRDefault="003F617B" w:rsidP="003F617B">
      <w:pPr>
        <w:jc w:val="both"/>
        <w:rPr>
          <w:b/>
        </w:rPr>
      </w:pPr>
    </w:p>
    <w:p w:rsidR="003F617B" w:rsidRDefault="003F617B" w:rsidP="003F617B">
      <w:pPr>
        <w:jc w:val="both"/>
        <w:rPr>
          <w:b/>
        </w:rPr>
      </w:pPr>
    </w:p>
    <w:p w:rsidR="003F617B" w:rsidRPr="00BC1D17" w:rsidRDefault="003F617B" w:rsidP="0059008A">
      <w:pPr>
        <w:ind w:firstLine="708"/>
        <w:jc w:val="both"/>
      </w:pPr>
      <w:r w:rsidRPr="00BC1D17">
        <w:t xml:space="preserve">Na temelju članka </w:t>
      </w:r>
      <w:r w:rsidRPr="00034084">
        <w:t>7. Zakona o sklapanju i izvršavanju međuna</w:t>
      </w:r>
      <w:r>
        <w:t xml:space="preserve">rodnih ugovora (Narodne novine, </w:t>
      </w:r>
      <w:r w:rsidRPr="00034084">
        <w:t>broj</w:t>
      </w:r>
      <w:r>
        <w:t xml:space="preserve"> </w:t>
      </w:r>
      <w:r w:rsidRPr="00034084">
        <w:t xml:space="preserve">28/96), Vlada Republike Hrvatske je na sjednici održanoj </w:t>
      </w:r>
      <w:r w:rsidR="0059008A">
        <w:t xml:space="preserve">___ 2020. godine </w:t>
      </w:r>
      <w:r w:rsidRPr="00BC1D17">
        <w:t>donijela</w:t>
      </w:r>
    </w:p>
    <w:p w:rsidR="003F617B" w:rsidRPr="00BC1D17" w:rsidRDefault="003F617B" w:rsidP="003F617B">
      <w:pPr>
        <w:jc w:val="both"/>
      </w:pPr>
    </w:p>
    <w:p w:rsidR="003F617B" w:rsidRDefault="003F617B" w:rsidP="003F617B">
      <w:pPr>
        <w:jc w:val="center"/>
        <w:rPr>
          <w:b/>
          <w:spacing w:val="46"/>
        </w:rPr>
      </w:pPr>
    </w:p>
    <w:p w:rsidR="003F617B" w:rsidRPr="00BC1D17" w:rsidRDefault="003F617B" w:rsidP="003F617B">
      <w:pPr>
        <w:jc w:val="center"/>
        <w:rPr>
          <w:b/>
          <w:spacing w:val="46"/>
        </w:rPr>
      </w:pPr>
      <w:r w:rsidRPr="00BC1D17">
        <w:rPr>
          <w:b/>
          <w:spacing w:val="46"/>
        </w:rPr>
        <w:t>ODLUKU</w:t>
      </w:r>
    </w:p>
    <w:p w:rsidR="003F617B" w:rsidRPr="00BC1D17" w:rsidRDefault="003F617B" w:rsidP="003F617B">
      <w:pPr>
        <w:jc w:val="center"/>
        <w:rPr>
          <w:b/>
          <w:spacing w:val="46"/>
        </w:rPr>
      </w:pPr>
    </w:p>
    <w:p w:rsidR="0059008A" w:rsidRDefault="003F617B" w:rsidP="003F617B">
      <w:pPr>
        <w:jc w:val="center"/>
        <w:rPr>
          <w:b/>
        </w:rPr>
      </w:pPr>
      <w:r w:rsidRPr="00BC1D17">
        <w:rPr>
          <w:b/>
        </w:rPr>
        <w:t xml:space="preserve">o pokretanju postupka za sklapanje </w:t>
      </w:r>
      <w:r>
        <w:rPr>
          <w:b/>
        </w:rPr>
        <w:t>Sporazuma</w:t>
      </w:r>
      <w:r w:rsidRPr="00BC1D17">
        <w:rPr>
          <w:b/>
        </w:rPr>
        <w:t xml:space="preserve"> između </w:t>
      </w:r>
    </w:p>
    <w:p w:rsidR="003F617B" w:rsidRPr="0059008A" w:rsidRDefault="003F617B" w:rsidP="0059008A">
      <w:pPr>
        <w:jc w:val="center"/>
        <w:rPr>
          <w:b/>
        </w:rPr>
      </w:pPr>
      <w:r w:rsidRPr="00BC1D17">
        <w:rPr>
          <w:b/>
        </w:rPr>
        <w:t>Republike</w:t>
      </w:r>
      <w:r w:rsidR="0059008A">
        <w:rPr>
          <w:b/>
        </w:rPr>
        <w:t xml:space="preserve"> </w:t>
      </w:r>
      <w:r w:rsidRPr="00BC1D17">
        <w:rPr>
          <w:b/>
        </w:rPr>
        <w:t xml:space="preserve">Hrvatske i </w:t>
      </w:r>
      <w:r>
        <w:rPr>
          <w:b/>
        </w:rPr>
        <w:t>E</w:t>
      </w:r>
      <w:r>
        <w:rPr>
          <w:b/>
          <w:bCs/>
        </w:rPr>
        <w:t>uropske investicijske</w:t>
      </w:r>
      <w:r w:rsidRPr="005250A6">
        <w:rPr>
          <w:b/>
          <w:bCs/>
        </w:rPr>
        <w:t xml:space="preserve"> banke </w:t>
      </w:r>
      <w:bookmarkStart w:id="0" w:name="_GoBack"/>
      <w:bookmarkEnd w:id="0"/>
      <w:r w:rsidRPr="005250A6">
        <w:rPr>
          <w:b/>
          <w:bCs/>
        </w:rPr>
        <w:t xml:space="preserve">  </w:t>
      </w:r>
    </w:p>
    <w:p w:rsidR="003F617B" w:rsidRPr="005250A6" w:rsidRDefault="003F617B" w:rsidP="003F617B">
      <w:pPr>
        <w:ind w:firstLine="720"/>
        <w:jc w:val="center"/>
        <w:rPr>
          <w:b/>
        </w:rPr>
      </w:pPr>
      <w:r w:rsidRPr="005250A6">
        <w:rPr>
          <w:b/>
          <w:bCs/>
        </w:rPr>
        <w:t>o prijenosu mirovinskih prava</w:t>
      </w:r>
    </w:p>
    <w:p w:rsidR="0059008A" w:rsidRDefault="0059008A" w:rsidP="0059008A">
      <w:pPr>
        <w:rPr>
          <w:b/>
        </w:rPr>
      </w:pPr>
    </w:p>
    <w:p w:rsidR="0059008A" w:rsidRDefault="0059008A" w:rsidP="0059008A">
      <w:pPr>
        <w:rPr>
          <w:b/>
        </w:rPr>
      </w:pPr>
    </w:p>
    <w:p w:rsidR="003F617B" w:rsidRPr="00BC1D17" w:rsidRDefault="003F617B" w:rsidP="0059008A">
      <w:pPr>
        <w:jc w:val="center"/>
        <w:rPr>
          <w:b/>
        </w:rPr>
      </w:pPr>
      <w:r w:rsidRPr="00BC1D17">
        <w:rPr>
          <w:b/>
        </w:rPr>
        <w:t>I.</w:t>
      </w:r>
    </w:p>
    <w:p w:rsidR="003F617B" w:rsidRPr="00BC1D17" w:rsidRDefault="003F617B" w:rsidP="003F617B">
      <w:pPr>
        <w:jc w:val="both"/>
      </w:pPr>
    </w:p>
    <w:p w:rsidR="003F617B" w:rsidRPr="00BC1D17" w:rsidRDefault="003F617B" w:rsidP="003F617B">
      <w:pPr>
        <w:ind w:firstLine="720"/>
        <w:jc w:val="both"/>
      </w:pPr>
      <w:r w:rsidRPr="001011C6">
        <w:t>Na temelju članka 139. Ustava Republike Hrvatske (Narodne novine</w:t>
      </w:r>
      <w:r>
        <w:t>,</w:t>
      </w:r>
      <w:r w:rsidRPr="001011C6">
        <w:t xml:space="preserve"> br</w:t>
      </w:r>
      <w:r>
        <w:t>.</w:t>
      </w:r>
      <w:r w:rsidRPr="001011C6">
        <w:t xml:space="preserve"> 85/10 – pročišćeni tekst i 5/14 – Odluka Ustavnog suda Republike Hrvatske) pokreće se postupak za sklapanje </w:t>
      </w:r>
      <w:r>
        <w:t>Sporazuma</w:t>
      </w:r>
      <w:r w:rsidRPr="001011C6">
        <w:t xml:space="preserve"> između</w:t>
      </w:r>
      <w:r w:rsidRPr="00BC1D17">
        <w:t xml:space="preserve"> Republike Hrvatske i </w:t>
      </w:r>
      <w:r>
        <w:t>Europske investicijske banke o prijenosu mirovinskih prava</w:t>
      </w:r>
      <w:r w:rsidRPr="00BC1D17">
        <w:t xml:space="preserve"> (u daljnjem tekstu: </w:t>
      </w:r>
      <w:r>
        <w:t>Sporazum</w:t>
      </w:r>
      <w:r w:rsidRPr="00BC1D17">
        <w:t xml:space="preserve">). </w:t>
      </w:r>
    </w:p>
    <w:p w:rsidR="003F617B" w:rsidRPr="00BC1D17" w:rsidRDefault="003F617B" w:rsidP="003F617B">
      <w:pPr>
        <w:jc w:val="both"/>
      </w:pPr>
    </w:p>
    <w:p w:rsidR="003F617B" w:rsidRPr="00BC1D17" w:rsidRDefault="003F617B" w:rsidP="003F617B">
      <w:pPr>
        <w:jc w:val="center"/>
        <w:rPr>
          <w:b/>
        </w:rPr>
      </w:pPr>
      <w:r w:rsidRPr="00BC1D17">
        <w:rPr>
          <w:b/>
        </w:rPr>
        <w:t>II.</w:t>
      </w:r>
    </w:p>
    <w:p w:rsidR="003F617B" w:rsidRPr="00BC1D17" w:rsidRDefault="003F617B" w:rsidP="003F617B">
      <w:pPr>
        <w:jc w:val="both"/>
      </w:pPr>
    </w:p>
    <w:p w:rsidR="003F617B" w:rsidRPr="00BC1D17" w:rsidRDefault="003F617B" w:rsidP="003F617B">
      <w:pPr>
        <w:ind w:firstLine="720"/>
        <w:jc w:val="both"/>
      </w:pPr>
      <w:r w:rsidRPr="00BC1D17">
        <w:t xml:space="preserve">U odnosima između Republike Hrvatske i </w:t>
      </w:r>
      <w:r>
        <w:t xml:space="preserve">Europske investicijske banke do sada nije uspostavljena suradnja u području prijenosa mirovinskih prava jer za to ne postoji pravna osnova. </w:t>
      </w:r>
      <w:r w:rsidRPr="00267B6A">
        <w:t>E</w:t>
      </w:r>
      <w:r>
        <w:t>uropska investicijska banka</w:t>
      </w:r>
      <w:r w:rsidRPr="00267B6A">
        <w:t xml:space="preserve"> ima </w:t>
      </w:r>
      <w:r>
        <w:t xml:space="preserve">svoj </w:t>
      </w:r>
      <w:r w:rsidRPr="00267B6A">
        <w:t xml:space="preserve">autonomni </w:t>
      </w:r>
      <w:r>
        <w:t xml:space="preserve">Pravilnik o osoblju </w:t>
      </w:r>
      <w:r w:rsidRPr="005A04E5">
        <w:t>koji uključuje i mirovinski sustav koji se odnosi na njihove zaposlenike</w:t>
      </w:r>
      <w:r>
        <w:t>.</w:t>
      </w:r>
      <w:r w:rsidRPr="00267B6A">
        <w:t xml:space="preserve"> </w:t>
      </w:r>
      <w:r>
        <w:t>Z</w:t>
      </w:r>
      <w:r w:rsidRPr="00267B6A">
        <w:t>akon o prijenosu mirovinskih prava</w:t>
      </w:r>
      <w:r>
        <w:t xml:space="preserve"> (Narodne novine, broj 117/17) iako ne </w:t>
      </w:r>
      <w:r w:rsidRPr="00267B6A">
        <w:t>predviđa prijenos mirovinskih prava između mirovinskog sustava E</w:t>
      </w:r>
      <w:r>
        <w:t>uropske investicijske banke</w:t>
      </w:r>
      <w:r w:rsidRPr="00267B6A">
        <w:t xml:space="preserve"> i hrvatskog mirovinskog sustava</w:t>
      </w:r>
      <w:r>
        <w:t xml:space="preserve">, predviđa mogućnost sklapanja sporazuma takvog sadržaja i s drugim institucijama Europske unije čiji zaposlenici nisu osigurani u sustavu EU-a na temelju Pravilnika o osoblju </w:t>
      </w:r>
      <w:r w:rsidRPr="00673F0E">
        <w:t xml:space="preserve">za dužnosnike Europskih zajednica i Uvjetima zaposlenja ostalih službenika Europskih zajednica, koji su sastavni dio Uredbe Vijeća broj 259/68 od 29. veljače 1968. o određivanju pravila za zapošljavanje službenika/dužnosnika i uvođenju posebnih privremenih mjera za službenike Komisije ((SL L 56, 4. 3. 1968.)  kako je posljednji put izmijenjena Uredbom (EU, Euratom) Europskog parlamenta i Vijeća br. 1023/2013 od 22. listopada 2013. o izmjeni Pravilnika o osoblju za dužnosnike Europske unije i Uvjeta zaposlenja ostalih službenika Europske unije (SL L 287, 29. 10. 2013.). </w:t>
      </w:r>
      <w:r w:rsidRPr="00673F0E">
        <w:rPr>
          <w:bCs/>
        </w:rPr>
        <w:t xml:space="preserve"> </w:t>
      </w:r>
      <w:r>
        <w:t xml:space="preserve">  </w:t>
      </w:r>
    </w:p>
    <w:p w:rsidR="003F617B" w:rsidRPr="00BC1D17" w:rsidRDefault="003F617B" w:rsidP="003F617B">
      <w:pPr>
        <w:jc w:val="both"/>
      </w:pPr>
    </w:p>
    <w:p w:rsidR="003F617B" w:rsidRPr="00BC1D17" w:rsidRDefault="003F617B" w:rsidP="003F617B">
      <w:pPr>
        <w:jc w:val="center"/>
        <w:rPr>
          <w:b/>
        </w:rPr>
      </w:pPr>
      <w:r w:rsidRPr="00BC1D17">
        <w:rPr>
          <w:b/>
        </w:rPr>
        <w:t>III.</w:t>
      </w:r>
    </w:p>
    <w:p w:rsidR="003F617B" w:rsidRPr="00BC1D17" w:rsidRDefault="003F617B" w:rsidP="003F617B">
      <w:pPr>
        <w:jc w:val="both"/>
      </w:pPr>
    </w:p>
    <w:p w:rsidR="003F617B" w:rsidRDefault="003F617B" w:rsidP="0059008A">
      <w:pPr>
        <w:ind w:firstLine="708"/>
        <w:jc w:val="both"/>
        <w:rPr>
          <w:rFonts w:eastAsia="Calibri"/>
        </w:rPr>
      </w:pPr>
      <w:r w:rsidRPr="002B4D02">
        <w:rPr>
          <w:rFonts w:eastAsia="Calibri"/>
        </w:rPr>
        <w:t>Sklapanje Sporazuma kojim će se urediti međusobni odnosi u području prijenosa mirovinskih prava stečenih u sustavu obveznog mirovinskog osiguranja Republike Hrvatske, a prije z</w:t>
      </w:r>
      <w:r>
        <w:rPr>
          <w:rFonts w:eastAsia="Calibri"/>
        </w:rPr>
        <w:t>aposlenja u Europskoj investicijskoj</w:t>
      </w:r>
      <w:r w:rsidRPr="002B4D02">
        <w:rPr>
          <w:rFonts w:eastAsia="Calibri"/>
        </w:rPr>
        <w:t xml:space="preserve"> banci, u mirovinski sustav koji se primjenjuje n</w:t>
      </w:r>
      <w:r>
        <w:rPr>
          <w:rFonts w:eastAsia="Calibri"/>
        </w:rPr>
        <w:t>a zaposlenike Europske investicijske</w:t>
      </w:r>
      <w:r w:rsidRPr="002B4D02">
        <w:rPr>
          <w:rFonts w:eastAsia="Calibri"/>
        </w:rPr>
        <w:t xml:space="preserve"> banke</w:t>
      </w:r>
      <w:r>
        <w:rPr>
          <w:rFonts w:eastAsia="Calibri"/>
        </w:rPr>
        <w:t>,</w:t>
      </w:r>
      <w:r w:rsidRPr="002B4D02">
        <w:rPr>
          <w:rFonts w:eastAsia="Calibri"/>
        </w:rPr>
        <w:t xml:space="preserve"> ukazuje se potrebnim radi omogućavanja ostvarenja prava na mirovinu u jednom sustavu i osiguranja adekvatne razine prava na temelju svih razdoblja koja je osoba provela u osiguranju. Navedeno se također odnosi </w:t>
      </w:r>
      <w:r>
        <w:rPr>
          <w:rFonts w:eastAsia="Calibri"/>
        </w:rPr>
        <w:t xml:space="preserve">i na prijenos, odnosno prihvat </w:t>
      </w:r>
      <w:r w:rsidRPr="002B4D02">
        <w:rPr>
          <w:rFonts w:eastAsia="Calibri"/>
        </w:rPr>
        <w:t>mirovinskih prav</w:t>
      </w:r>
      <w:r>
        <w:rPr>
          <w:rFonts w:eastAsia="Calibri"/>
        </w:rPr>
        <w:t>a zaposlenika Europske investicijske</w:t>
      </w:r>
      <w:r w:rsidRPr="002B4D02">
        <w:rPr>
          <w:rFonts w:eastAsia="Calibri"/>
        </w:rPr>
        <w:t xml:space="preserve"> banke stečenih u sustavu mirovinskog osiguranja koji se primjenjuje n</w:t>
      </w:r>
      <w:r>
        <w:rPr>
          <w:rFonts w:eastAsia="Calibri"/>
        </w:rPr>
        <w:t>a zaposlenike Europske investicijske</w:t>
      </w:r>
      <w:r w:rsidRPr="002B4D02">
        <w:rPr>
          <w:rFonts w:eastAsia="Calibri"/>
        </w:rPr>
        <w:t xml:space="preserve"> banke u sustav obveznog mirovinskog osiguranja u Republici Hrvatskoj nakon prestanka službe.</w:t>
      </w:r>
    </w:p>
    <w:p w:rsidR="0059008A" w:rsidRDefault="0059008A" w:rsidP="003F617B">
      <w:pPr>
        <w:jc w:val="both"/>
        <w:rPr>
          <w:rFonts w:eastAsia="Calibri" w:cs="Arial"/>
          <w:szCs w:val="22"/>
        </w:rPr>
      </w:pPr>
    </w:p>
    <w:p w:rsidR="003F617B" w:rsidRPr="00BC1D17" w:rsidRDefault="003F617B" w:rsidP="0059008A">
      <w:pPr>
        <w:jc w:val="center"/>
        <w:rPr>
          <w:b/>
        </w:rPr>
      </w:pPr>
      <w:r w:rsidRPr="00BC1D17">
        <w:rPr>
          <w:b/>
        </w:rPr>
        <w:t>IV.</w:t>
      </w:r>
    </w:p>
    <w:p w:rsidR="003F617B" w:rsidRPr="00BC1D17" w:rsidRDefault="003F617B" w:rsidP="003F617B">
      <w:pPr>
        <w:jc w:val="both"/>
      </w:pPr>
    </w:p>
    <w:p w:rsidR="003F617B" w:rsidRDefault="003F617B" w:rsidP="003F617B">
      <w:pPr>
        <w:ind w:firstLine="720"/>
        <w:jc w:val="both"/>
      </w:pPr>
      <w:r w:rsidRPr="00BC1D17">
        <w:t xml:space="preserve">Prihvaća se Nacrt </w:t>
      </w:r>
      <w:r>
        <w:t>sporazuma</w:t>
      </w:r>
      <w:r w:rsidRPr="00BC1D17">
        <w:t xml:space="preserve"> kao osnova za vođenje pregovora. </w:t>
      </w:r>
    </w:p>
    <w:p w:rsidR="003F617B" w:rsidRPr="00BC1D17" w:rsidRDefault="003F617B" w:rsidP="003F617B">
      <w:pPr>
        <w:ind w:firstLine="720"/>
        <w:jc w:val="both"/>
      </w:pPr>
    </w:p>
    <w:p w:rsidR="003F617B" w:rsidRDefault="003F617B" w:rsidP="003F617B">
      <w:pPr>
        <w:ind w:firstLine="720"/>
        <w:jc w:val="both"/>
      </w:pPr>
      <w:r w:rsidRPr="00BC1D17">
        <w:t xml:space="preserve">Nacrt </w:t>
      </w:r>
      <w:r>
        <w:t>sporazuma</w:t>
      </w:r>
      <w:r w:rsidRPr="00BC1D17">
        <w:t xml:space="preserve"> iz stavka 1. ove točke </w:t>
      </w:r>
      <w:r>
        <w:t>sastavni je dio ove Odluke.</w:t>
      </w:r>
    </w:p>
    <w:p w:rsidR="003F617B" w:rsidRPr="00BC1D17" w:rsidRDefault="003F617B" w:rsidP="003F617B">
      <w:pPr>
        <w:jc w:val="both"/>
      </w:pPr>
    </w:p>
    <w:p w:rsidR="003F617B" w:rsidRPr="00BC1D17" w:rsidRDefault="003F617B" w:rsidP="003F617B">
      <w:pPr>
        <w:jc w:val="center"/>
        <w:rPr>
          <w:b/>
        </w:rPr>
      </w:pPr>
      <w:r w:rsidRPr="00BC1D17">
        <w:rPr>
          <w:b/>
        </w:rPr>
        <w:t>V.</w:t>
      </w:r>
    </w:p>
    <w:p w:rsidR="003F617B" w:rsidRPr="00BC1D17" w:rsidRDefault="003F617B" w:rsidP="003F617B">
      <w:pPr>
        <w:jc w:val="both"/>
      </w:pPr>
    </w:p>
    <w:p w:rsidR="003F617B" w:rsidRPr="00BC1D17" w:rsidRDefault="003F617B" w:rsidP="003F617B">
      <w:pPr>
        <w:ind w:firstLine="720"/>
        <w:jc w:val="both"/>
      </w:pPr>
      <w:r>
        <w:t>Određuje se izaslanstvo za vođenje pregovora u sljedećem sastavu</w:t>
      </w:r>
      <w:r w:rsidRPr="00BC1D17">
        <w:t>:</w:t>
      </w:r>
      <w:r>
        <w:t xml:space="preserve"> </w:t>
      </w:r>
    </w:p>
    <w:p w:rsidR="003F617B" w:rsidRPr="00BC1D17" w:rsidRDefault="003F617B" w:rsidP="003F617B">
      <w:pPr>
        <w:numPr>
          <w:ilvl w:val="0"/>
          <w:numId w:val="5"/>
        </w:numPr>
        <w:jc w:val="both"/>
      </w:pPr>
      <w:r>
        <w:t>pomoćnik ministra rada i mirovinskoga sustava nadležan za mirovinsko osiguranje, voditelj izaslanstva</w:t>
      </w:r>
    </w:p>
    <w:p w:rsidR="003F617B" w:rsidRPr="00BC1D17" w:rsidRDefault="003F617B" w:rsidP="003F617B">
      <w:pPr>
        <w:numPr>
          <w:ilvl w:val="0"/>
          <w:numId w:val="5"/>
        </w:numPr>
        <w:jc w:val="both"/>
      </w:pPr>
      <w:r w:rsidRPr="00BC1D17">
        <w:t>predstavnik</w:t>
      </w:r>
      <w:r w:rsidRPr="00031731">
        <w:t xml:space="preserve"> </w:t>
      </w:r>
      <w:r w:rsidRPr="00BC1D17">
        <w:t xml:space="preserve">Ministarstva rada i </w:t>
      </w:r>
      <w:r>
        <w:t>mirovinskoga sustava, član</w:t>
      </w:r>
    </w:p>
    <w:p w:rsidR="003F617B" w:rsidRDefault="003F617B" w:rsidP="003F617B">
      <w:pPr>
        <w:numPr>
          <w:ilvl w:val="0"/>
          <w:numId w:val="5"/>
        </w:numPr>
        <w:jc w:val="both"/>
      </w:pPr>
      <w:r w:rsidRPr="00BC1D17">
        <w:t>predstavnik</w:t>
      </w:r>
      <w:r>
        <w:t xml:space="preserve"> </w:t>
      </w:r>
      <w:r w:rsidRPr="00BC1D17">
        <w:t>Hrvatskog zavoda za mirovinsko osiguranje</w:t>
      </w:r>
      <w:r>
        <w:t>, član</w:t>
      </w:r>
    </w:p>
    <w:p w:rsidR="003F617B" w:rsidRPr="00BC1D17" w:rsidRDefault="003F617B" w:rsidP="003F617B">
      <w:pPr>
        <w:numPr>
          <w:ilvl w:val="0"/>
          <w:numId w:val="5"/>
        </w:numPr>
        <w:jc w:val="both"/>
      </w:pPr>
      <w:r>
        <w:t>predstavnik Hrvatskog zavoda za mirovinsko osiguranje, član.</w:t>
      </w:r>
    </w:p>
    <w:p w:rsidR="003F617B" w:rsidRDefault="003F617B" w:rsidP="003F617B">
      <w:pPr>
        <w:jc w:val="both"/>
      </w:pPr>
    </w:p>
    <w:p w:rsidR="003F617B" w:rsidRDefault="003F617B" w:rsidP="003F617B">
      <w:pPr>
        <w:ind w:firstLine="720"/>
        <w:jc w:val="both"/>
      </w:pPr>
      <w:r w:rsidRPr="001011C6">
        <w:t>Troškovi za rad izaslanstva obuhvaćaju</w:t>
      </w:r>
      <w:r>
        <w:t xml:space="preserve"> troškove vođenja pregovora, a </w:t>
      </w:r>
      <w:r w:rsidRPr="001011C6">
        <w:t xml:space="preserve">osigurani su u Državnom proračunu Republike Hrvatske </w:t>
      </w:r>
      <w:r>
        <w:t xml:space="preserve">za 2020. godinu </w:t>
      </w:r>
      <w:r w:rsidRPr="001011C6">
        <w:t>u okviru redovnih sredstava tijela čiji predstavnici sudjeluju u izaslanstvu za pregovore.</w:t>
      </w:r>
    </w:p>
    <w:p w:rsidR="003F617B" w:rsidRPr="00BC1D17" w:rsidRDefault="003F617B" w:rsidP="003F617B">
      <w:pPr>
        <w:ind w:firstLine="720"/>
        <w:jc w:val="both"/>
      </w:pPr>
    </w:p>
    <w:p w:rsidR="003F617B" w:rsidRPr="00BC1D17" w:rsidRDefault="003F617B" w:rsidP="003F617B">
      <w:pPr>
        <w:jc w:val="center"/>
        <w:rPr>
          <w:b/>
        </w:rPr>
      </w:pPr>
      <w:r w:rsidRPr="00BC1D17">
        <w:rPr>
          <w:b/>
        </w:rPr>
        <w:t>VI.</w:t>
      </w:r>
      <w:r>
        <w:rPr>
          <w:b/>
        </w:rPr>
        <w:t xml:space="preserve"> </w:t>
      </w:r>
    </w:p>
    <w:p w:rsidR="003F617B" w:rsidRPr="00BC1D17" w:rsidRDefault="003F617B" w:rsidP="003F617B">
      <w:pPr>
        <w:jc w:val="center"/>
        <w:rPr>
          <w:b/>
        </w:rPr>
      </w:pPr>
    </w:p>
    <w:p w:rsidR="003F617B" w:rsidRDefault="003F617B" w:rsidP="003F617B">
      <w:pPr>
        <w:ind w:firstLine="720"/>
        <w:jc w:val="both"/>
      </w:pPr>
      <w:r w:rsidRPr="00BC1D17">
        <w:t xml:space="preserve">Ovlašćuje se ministar rada i </w:t>
      </w:r>
      <w:r>
        <w:t>mirovinskoga sustava</w:t>
      </w:r>
      <w:r w:rsidRPr="00BC1D17">
        <w:t xml:space="preserve"> da</w:t>
      </w:r>
      <w:r>
        <w:t>,</w:t>
      </w:r>
      <w:r w:rsidRPr="00BC1D17">
        <w:t xml:space="preserve"> </w:t>
      </w:r>
      <w:r>
        <w:t xml:space="preserve">u ime Republike Hrvatske, </w:t>
      </w:r>
      <w:r w:rsidRPr="00BC1D17">
        <w:t>potpiš</w:t>
      </w:r>
      <w:r>
        <w:t>e Sporazum</w:t>
      </w:r>
      <w:r w:rsidRPr="00BC1D17">
        <w:t>.</w:t>
      </w:r>
    </w:p>
    <w:p w:rsidR="0059008A" w:rsidRDefault="0059008A" w:rsidP="003F617B">
      <w:pPr>
        <w:jc w:val="both"/>
      </w:pPr>
    </w:p>
    <w:p w:rsidR="003F617B" w:rsidRPr="00BC1D17" w:rsidRDefault="003F617B" w:rsidP="0059008A">
      <w:pPr>
        <w:jc w:val="center"/>
        <w:rPr>
          <w:b/>
        </w:rPr>
      </w:pPr>
      <w:r w:rsidRPr="00BC1D17">
        <w:rPr>
          <w:b/>
        </w:rPr>
        <w:t>VII.</w:t>
      </w:r>
    </w:p>
    <w:p w:rsidR="003F617B" w:rsidRPr="00BC1D17" w:rsidRDefault="003F617B" w:rsidP="003F617B">
      <w:pPr>
        <w:jc w:val="both"/>
      </w:pPr>
    </w:p>
    <w:p w:rsidR="003F617B" w:rsidRDefault="003F617B" w:rsidP="003F617B">
      <w:pPr>
        <w:ind w:firstLine="720"/>
        <w:jc w:val="both"/>
      </w:pPr>
      <w:r w:rsidRPr="00BC1D17">
        <w:t xml:space="preserve">Sredstva za izvršavanje </w:t>
      </w:r>
      <w:r>
        <w:t>Sporazuma</w:t>
      </w:r>
      <w:r w:rsidRPr="00BC1D17">
        <w:t xml:space="preserve"> osiguravaju se tekućim doprinosima </w:t>
      </w:r>
      <w:r>
        <w:t xml:space="preserve">za obvezna osiguranja </w:t>
      </w:r>
      <w:r w:rsidRPr="00BC1D17">
        <w:t>osiguranika i poslodavaca. Svojstva tih davanja su takva da ne stvaraju nove izdatke u odnosu na prava već utvrđena zakonodavstvom o mirovinskom osiguranju</w:t>
      </w:r>
      <w:r>
        <w:t xml:space="preserve"> te </w:t>
      </w:r>
      <w:r w:rsidRPr="001011C6">
        <w:t>neće zahtijevati osiguranje dodatnih financijskih sredstava iz Državn</w:t>
      </w:r>
      <w:r>
        <w:t>og proračuna Republike Hrvatske</w:t>
      </w:r>
      <w:r w:rsidRPr="00BC1D17">
        <w:t>.</w:t>
      </w:r>
    </w:p>
    <w:p w:rsidR="003F617B" w:rsidRPr="00BC1D17" w:rsidRDefault="003F617B" w:rsidP="003F617B">
      <w:pPr>
        <w:jc w:val="both"/>
      </w:pPr>
    </w:p>
    <w:p w:rsidR="003F617B" w:rsidRPr="00BC1D17" w:rsidRDefault="003F617B" w:rsidP="003F617B">
      <w:pPr>
        <w:jc w:val="center"/>
        <w:rPr>
          <w:b/>
        </w:rPr>
      </w:pPr>
      <w:r w:rsidRPr="00BC1D17">
        <w:rPr>
          <w:b/>
        </w:rPr>
        <w:t>VIII.</w:t>
      </w:r>
    </w:p>
    <w:p w:rsidR="003F617B" w:rsidRPr="00BC1D17" w:rsidRDefault="003F617B" w:rsidP="003F617B">
      <w:pPr>
        <w:jc w:val="both"/>
      </w:pPr>
    </w:p>
    <w:p w:rsidR="003F617B" w:rsidRPr="001011C6" w:rsidRDefault="003F617B" w:rsidP="003F617B">
      <w:pPr>
        <w:ind w:firstLine="720"/>
        <w:jc w:val="both"/>
      </w:pPr>
      <w:r>
        <w:t>Sporazum</w:t>
      </w:r>
      <w:r w:rsidRPr="001011C6">
        <w:t xml:space="preserve"> ne zahtijeva donošenje novih ili izmjenu postojećih zakona, ali podliježe potvrđivanju prema odredbi članka 18. Zakona o sklapanju i izvršavanju međunarodnih ugovora. </w:t>
      </w:r>
    </w:p>
    <w:p w:rsidR="003F617B" w:rsidRPr="00BC1D17" w:rsidRDefault="003F617B" w:rsidP="003F617B">
      <w:pPr>
        <w:jc w:val="both"/>
      </w:pPr>
    </w:p>
    <w:p w:rsidR="003F617B" w:rsidRDefault="003F617B" w:rsidP="003F617B">
      <w:pPr>
        <w:jc w:val="both"/>
      </w:pPr>
    </w:p>
    <w:p w:rsidR="003F617B" w:rsidRPr="00BC1D17" w:rsidRDefault="003F617B" w:rsidP="003F617B">
      <w:pPr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53"/>
        <w:gridCol w:w="1951"/>
      </w:tblGrid>
      <w:tr w:rsidR="003F617B" w:rsidRPr="00BC1D17" w:rsidTr="00E754AC">
        <w:tc>
          <w:tcPr>
            <w:tcW w:w="3153" w:type="dxa"/>
          </w:tcPr>
          <w:p w:rsidR="003F617B" w:rsidRPr="00BC1D17" w:rsidRDefault="003F617B" w:rsidP="00A958EC">
            <w:r w:rsidRPr="00BC1D17">
              <w:t>KLASA:</w:t>
            </w:r>
          </w:p>
        </w:tc>
        <w:tc>
          <w:tcPr>
            <w:tcW w:w="1951" w:type="dxa"/>
          </w:tcPr>
          <w:p w:rsidR="003F617B" w:rsidRPr="00BC1D17" w:rsidRDefault="003F617B" w:rsidP="00A958EC"/>
        </w:tc>
      </w:tr>
      <w:tr w:rsidR="003F617B" w:rsidRPr="00BC1D17" w:rsidTr="00E754AC">
        <w:tc>
          <w:tcPr>
            <w:tcW w:w="3153" w:type="dxa"/>
          </w:tcPr>
          <w:p w:rsidR="003F617B" w:rsidRPr="00BC1D17" w:rsidRDefault="003F617B" w:rsidP="00A958EC">
            <w:pPr>
              <w:spacing w:after="120"/>
            </w:pPr>
            <w:r w:rsidRPr="00BC1D17">
              <w:t>URBROJ:</w:t>
            </w:r>
          </w:p>
        </w:tc>
        <w:tc>
          <w:tcPr>
            <w:tcW w:w="1951" w:type="dxa"/>
          </w:tcPr>
          <w:p w:rsidR="003F617B" w:rsidRPr="00BC1D17" w:rsidRDefault="003F617B" w:rsidP="00A958EC">
            <w:pPr>
              <w:spacing w:after="120"/>
            </w:pPr>
          </w:p>
        </w:tc>
      </w:tr>
      <w:tr w:rsidR="003F617B" w:rsidRPr="00BC1D17" w:rsidTr="00E754AC">
        <w:tc>
          <w:tcPr>
            <w:tcW w:w="3153" w:type="dxa"/>
          </w:tcPr>
          <w:p w:rsidR="003F617B" w:rsidRPr="00BC1D17" w:rsidRDefault="003F617B" w:rsidP="00A958EC">
            <w:r w:rsidRPr="00BC1D17">
              <w:t>Zagreb,</w:t>
            </w:r>
            <w:r w:rsidR="0059008A">
              <w:t xml:space="preserve"> </w:t>
            </w:r>
            <w:r w:rsidR="00E754AC">
              <w:t>2020.</w:t>
            </w:r>
          </w:p>
        </w:tc>
        <w:tc>
          <w:tcPr>
            <w:tcW w:w="1951" w:type="dxa"/>
          </w:tcPr>
          <w:p w:rsidR="003F617B" w:rsidRPr="00BC1D17" w:rsidRDefault="003F617B" w:rsidP="00A958EC"/>
        </w:tc>
      </w:tr>
      <w:tr w:rsidR="0059008A" w:rsidRPr="00BC1D17" w:rsidTr="00E754AC">
        <w:tc>
          <w:tcPr>
            <w:tcW w:w="3153" w:type="dxa"/>
          </w:tcPr>
          <w:p w:rsidR="0059008A" w:rsidRPr="00BC1D17" w:rsidRDefault="0059008A" w:rsidP="00A958EC"/>
        </w:tc>
        <w:tc>
          <w:tcPr>
            <w:tcW w:w="1951" w:type="dxa"/>
          </w:tcPr>
          <w:p w:rsidR="0059008A" w:rsidRPr="00BC1D17" w:rsidRDefault="0059008A" w:rsidP="00A958EC"/>
        </w:tc>
      </w:tr>
    </w:tbl>
    <w:p w:rsidR="003F617B" w:rsidRPr="00BC1D17" w:rsidRDefault="003F617B" w:rsidP="003F617B">
      <w:pPr>
        <w:spacing w:after="120"/>
        <w:ind w:left="5040" w:firstLine="720"/>
        <w:jc w:val="both"/>
        <w:rPr>
          <w:b/>
        </w:rPr>
      </w:pPr>
      <w:r w:rsidRPr="00BC1D17">
        <w:rPr>
          <w:b/>
        </w:rPr>
        <w:t xml:space="preserve"> </w:t>
      </w:r>
      <w:r>
        <w:rPr>
          <w:b/>
        </w:rPr>
        <w:t xml:space="preserve">         </w:t>
      </w:r>
      <w:r w:rsidRPr="00BC1D17">
        <w:rPr>
          <w:b/>
        </w:rPr>
        <w:t>PREDSJEDNIK</w:t>
      </w:r>
    </w:p>
    <w:p w:rsidR="003F617B" w:rsidRPr="00BC1D17" w:rsidRDefault="003F617B" w:rsidP="003F617B">
      <w:pPr>
        <w:spacing w:after="120"/>
        <w:ind w:left="5040" w:firstLine="720"/>
        <w:jc w:val="both"/>
      </w:pPr>
    </w:p>
    <w:p w:rsidR="003F617B" w:rsidRPr="00BC1D17" w:rsidRDefault="003F617B" w:rsidP="003F617B">
      <w:pPr>
        <w:spacing w:after="120"/>
        <w:jc w:val="both"/>
        <w:rPr>
          <w:b/>
        </w:rPr>
      </w:pPr>
      <w:r w:rsidRPr="00BC1D17">
        <w:rPr>
          <w:b/>
        </w:rPr>
        <w:t xml:space="preserve"> </w:t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</w:r>
      <w:r w:rsidRPr="00BC1D17">
        <w:rPr>
          <w:b/>
        </w:rPr>
        <w:tab/>
        <w:t xml:space="preserve">              </w:t>
      </w:r>
      <w:r>
        <w:rPr>
          <w:b/>
        </w:rPr>
        <w:t xml:space="preserve"> mr. </w:t>
      </w:r>
      <w:proofErr w:type="spellStart"/>
      <w:r>
        <w:rPr>
          <w:b/>
        </w:rPr>
        <w:t>sc</w:t>
      </w:r>
      <w:proofErr w:type="spellEnd"/>
      <w:r>
        <w:rPr>
          <w:b/>
        </w:rPr>
        <w:t>. Andrej Plenković</w:t>
      </w:r>
    </w:p>
    <w:p w:rsidR="003F617B" w:rsidRDefault="003F617B" w:rsidP="003F617B">
      <w:pPr>
        <w:spacing w:line="300" w:lineRule="auto"/>
        <w:ind w:left="2880" w:firstLine="720"/>
        <w:rPr>
          <w:b/>
        </w:rPr>
      </w:pPr>
    </w:p>
    <w:p w:rsidR="0059008A" w:rsidRDefault="0059008A" w:rsidP="003F617B">
      <w:pPr>
        <w:spacing w:line="300" w:lineRule="auto"/>
        <w:ind w:left="2880" w:firstLine="720"/>
        <w:rPr>
          <w:b/>
        </w:rPr>
      </w:pPr>
    </w:p>
    <w:p w:rsidR="0059008A" w:rsidRDefault="0059008A" w:rsidP="003F617B">
      <w:pPr>
        <w:spacing w:line="300" w:lineRule="auto"/>
        <w:ind w:left="2880" w:firstLine="720"/>
        <w:rPr>
          <w:b/>
        </w:rPr>
      </w:pPr>
    </w:p>
    <w:p w:rsidR="003F617B" w:rsidRPr="00BC1D17" w:rsidRDefault="003F617B" w:rsidP="003F617B">
      <w:pPr>
        <w:spacing w:line="300" w:lineRule="auto"/>
        <w:ind w:left="2880" w:firstLine="720"/>
        <w:rPr>
          <w:b/>
        </w:rPr>
      </w:pPr>
      <w:r w:rsidRPr="00BC1D17">
        <w:rPr>
          <w:b/>
        </w:rPr>
        <w:lastRenderedPageBreak/>
        <w:t>Obrazloženje</w:t>
      </w:r>
    </w:p>
    <w:p w:rsidR="003F617B" w:rsidRPr="00BC1D17" w:rsidRDefault="003F617B" w:rsidP="003F617B">
      <w:pPr>
        <w:spacing w:line="300" w:lineRule="auto"/>
        <w:rPr>
          <w:b/>
        </w:rPr>
      </w:pPr>
    </w:p>
    <w:p w:rsidR="003F617B" w:rsidRDefault="003F617B" w:rsidP="003F617B">
      <w:pPr>
        <w:jc w:val="both"/>
      </w:pPr>
      <w:r w:rsidRPr="00BC1D17">
        <w:rPr>
          <w:b/>
        </w:rPr>
        <w:t xml:space="preserve">Uz točku I. </w:t>
      </w:r>
      <w:r w:rsidRPr="001011C6">
        <w:t xml:space="preserve">Odredbom točke I. uređuje se ustavna osnova za pokretanje postupka za sklapanje </w:t>
      </w:r>
      <w:r>
        <w:t>Sporazuma</w:t>
      </w:r>
      <w:r w:rsidRPr="001011C6">
        <w:t xml:space="preserve"> između Republike Hrvatske i </w:t>
      </w:r>
      <w:r>
        <w:t>Europske investicijske banke (EIB).</w:t>
      </w:r>
    </w:p>
    <w:p w:rsidR="005B5678" w:rsidRPr="00BC1D17" w:rsidRDefault="005B5678" w:rsidP="003F617B">
      <w:pPr>
        <w:jc w:val="both"/>
      </w:pPr>
    </w:p>
    <w:p w:rsidR="003F617B" w:rsidRPr="00054C2D" w:rsidRDefault="0059008A" w:rsidP="003F617B">
      <w:pPr>
        <w:jc w:val="both"/>
      </w:pPr>
      <w:r>
        <w:rPr>
          <w:b/>
        </w:rPr>
        <w:t xml:space="preserve">Uz </w:t>
      </w:r>
      <w:r w:rsidR="003F617B" w:rsidRPr="00BC1D17">
        <w:rPr>
          <w:b/>
        </w:rPr>
        <w:t xml:space="preserve">točku II. </w:t>
      </w:r>
      <w:r w:rsidR="003F617B" w:rsidRPr="000E6573">
        <w:t>Odredbom se konstatira kako u</w:t>
      </w:r>
      <w:r w:rsidR="003F617B" w:rsidRPr="00BC1D17">
        <w:t xml:space="preserve"> među</w:t>
      </w:r>
      <w:r w:rsidR="003F617B">
        <w:t>sobnim</w:t>
      </w:r>
      <w:r w:rsidR="003F617B" w:rsidRPr="00BC1D17">
        <w:t xml:space="preserve"> odnosima između Republike Hrvatske i </w:t>
      </w:r>
      <w:r w:rsidR="003F617B">
        <w:t xml:space="preserve">EIB-a do sada nije uspostavljena suradnja na području prijenosa mirovinskih prava slijedom čega nije </w:t>
      </w:r>
      <w:r w:rsidR="003F617B" w:rsidRPr="002B4D02">
        <w:t>predviđ</w:t>
      </w:r>
      <w:r w:rsidR="003F617B">
        <w:t>en</w:t>
      </w:r>
      <w:r w:rsidR="003F617B" w:rsidRPr="002B4D02">
        <w:t xml:space="preserve"> prijenos mirovinskih prava između mirovinskog sustava E</w:t>
      </w:r>
      <w:r w:rsidR="003F617B">
        <w:t>I</w:t>
      </w:r>
      <w:r w:rsidR="003F617B" w:rsidRPr="002B4D02">
        <w:t>B-a i hrvatskog mirovinskog sustava</w:t>
      </w:r>
      <w:r w:rsidR="003F617B">
        <w:t>. Na EI</w:t>
      </w:r>
      <w:r w:rsidR="003F617B" w:rsidRPr="00054C2D">
        <w:t>B, k</w:t>
      </w:r>
      <w:r w:rsidR="003F617B">
        <w:t>ao dio financijskog sustava Europske unije (EU)</w:t>
      </w:r>
      <w:r w:rsidR="003F617B" w:rsidRPr="00054C2D">
        <w:t>, odnose se EU ugovori i ugovori o funkcioniranju EU-a</w:t>
      </w:r>
      <w:r w:rsidR="003F617B">
        <w:t>. Prema tim ugovorima, EI</w:t>
      </w:r>
      <w:r w:rsidR="003F617B" w:rsidRPr="00054C2D">
        <w:t>B ima svoju pravnu osobnost.</w:t>
      </w:r>
      <w:r w:rsidR="003F617B">
        <w:t xml:space="preserve"> EI</w:t>
      </w:r>
      <w:r w:rsidR="003F617B" w:rsidRPr="00054C2D">
        <w:t xml:space="preserve">B ima svoj </w:t>
      </w:r>
      <w:r w:rsidR="003F617B">
        <w:t>autonomni Pravilnik o osoblju</w:t>
      </w:r>
      <w:r w:rsidR="003F617B" w:rsidRPr="00054C2D">
        <w:t xml:space="preserve"> koji uključuje i mirovinski sustav koji se odnosi na njihove zaposlenike (neovisno o mirovinskom sustavu institucija EU-a)</w:t>
      </w:r>
      <w:r w:rsidR="003F617B">
        <w:t>. Sve osobe na koje se odnose EI</w:t>
      </w:r>
      <w:r w:rsidR="003F617B" w:rsidRPr="00054C2D">
        <w:t xml:space="preserve">B propisi moraju </w:t>
      </w:r>
      <w:r w:rsidR="003F617B">
        <w:t xml:space="preserve">biti </w:t>
      </w:r>
      <w:r w:rsidR="003F617B" w:rsidRPr="00054C2D">
        <w:t>pokriven</w:t>
      </w:r>
      <w:r w:rsidR="003F617B">
        <w:t>e</w:t>
      </w:r>
      <w:r w:rsidR="003F617B" w:rsidRPr="00054C2D">
        <w:t xml:space="preserve"> njihovom mirovinskom shemom. Iako su njihove mirovinske sheme vrlo sličn</w:t>
      </w:r>
      <w:r w:rsidR="003F617B">
        <w:t>e</w:t>
      </w:r>
      <w:r w:rsidR="003F617B" w:rsidRPr="00054C2D">
        <w:t xml:space="preserve"> onim</w:t>
      </w:r>
      <w:r w:rsidR="003F617B">
        <w:t>a kod institucija EU-a</w:t>
      </w:r>
      <w:r w:rsidR="003F617B" w:rsidRPr="00054C2D">
        <w:t>, ipak postoje male razlike. Nasuprot mirovinskom sustavu institucija EU-a kojeg financiraju države član</w:t>
      </w:r>
      <w:r w:rsidR="003F617B">
        <w:t>ice putem doprinosa, mirovine EI</w:t>
      </w:r>
      <w:r w:rsidR="003F617B" w:rsidRPr="00054C2D">
        <w:t>B-a isplaćuju se iz njihov</w:t>
      </w:r>
      <w:r w:rsidR="003F617B">
        <w:t>ih sredstava</w:t>
      </w:r>
      <w:r w:rsidR="003F617B" w:rsidRPr="00054C2D">
        <w:t xml:space="preserve">. </w:t>
      </w:r>
      <w:r w:rsidR="003F617B">
        <w:t>S obzirom na navedeno, EI</w:t>
      </w:r>
      <w:r w:rsidR="003F617B" w:rsidRPr="00054C2D">
        <w:t xml:space="preserve">B </w:t>
      </w:r>
      <w:r w:rsidR="003F617B">
        <w:t xml:space="preserve">je iskazao inicijativu za </w:t>
      </w:r>
      <w:r w:rsidR="003F617B" w:rsidRPr="00054C2D">
        <w:t>skl</w:t>
      </w:r>
      <w:r w:rsidR="003F617B">
        <w:t>apanjem</w:t>
      </w:r>
      <w:r w:rsidR="003F617B" w:rsidRPr="00054C2D">
        <w:t xml:space="preserve"> sporazum</w:t>
      </w:r>
      <w:r w:rsidR="003F617B">
        <w:t>a</w:t>
      </w:r>
      <w:r w:rsidR="003F617B" w:rsidRPr="00054C2D">
        <w:t xml:space="preserve"> o prijenosu mirovinskih prava između hr</w:t>
      </w:r>
      <w:r w:rsidR="003F617B">
        <w:t>vatskog mirovinskog sustava i EI</w:t>
      </w:r>
      <w:r w:rsidR="003F617B" w:rsidRPr="00054C2D">
        <w:t xml:space="preserve">B mirovinskog sustava i obratno. Trenutno je </w:t>
      </w:r>
      <w:r w:rsidR="003F617B">
        <w:t>oko 30</w:t>
      </w:r>
      <w:r w:rsidR="003F617B" w:rsidRPr="00054C2D">
        <w:t xml:space="preserve"> hrvatskih državljana zaposleno u E</w:t>
      </w:r>
      <w:r w:rsidR="003F617B">
        <w:t>I</w:t>
      </w:r>
      <w:r w:rsidR="003F617B" w:rsidRPr="00054C2D">
        <w:t xml:space="preserve">B-u, koji </w:t>
      </w:r>
      <w:r w:rsidR="003F617B">
        <w:t>su</w:t>
      </w:r>
      <w:r w:rsidR="003F617B" w:rsidRPr="00054C2D">
        <w:t xml:space="preserve"> zainteresirani za sporazum o prij</w:t>
      </w:r>
      <w:r w:rsidR="00A2494D">
        <w:t>enosu mirovinskih prav</w:t>
      </w:r>
      <w:r w:rsidR="00E754AC">
        <w:t>a između Republike Hrvatske i EI</w:t>
      </w:r>
      <w:r w:rsidR="00A2494D">
        <w:t>B-a.</w:t>
      </w:r>
    </w:p>
    <w:p w:rsidR="003F617B" w:rsidRDefault="003F617B" w:rsidP="003F617B">
      <w:pPr>
        <w:jc w:val="both"/>
      </w:pPr>
    </w:p>
    <w:p w:rsidR="003F617B" w:rsidRDefault="003F617B" w:rsidP="003F617B">
      <w:pPr>
        <w:jc w:val="both"/>
      </w:pPr>
      <w:r w:rsidRPr="00BC1D17">
        <w:rPr>
          <w:b/>
        </w:rPr>
        <w:t xml:space="preserve">Uz točku III. </w:t>
      </w:r>
      <w:r w:rsidRPr="00BC1D17">
        <w:t xml:space="preserve"> </w:t>
      </w:r>
      <w:r>
        <w:t>Članstvo u EU</w:t>
      </w:r>
      <w:r w:rsidRPr="0019694B">
        <w:t xml:space="preserve"> otvorilo je moguć</w:t>
      </w:r>
      <w:r>
        <w:t>nost zapošljavanja državljana R</w:t>
      </w:r>
      <w:r w:rsidR="00A2494D">
        <w:t>epublike Hrvatske u institucijama</w:t>
      </w:r>
      <w:r>
        <w:t xml:space="preserve"> EU-a</w:t>
      </w:r>
      <w:r w:rsidRPr="0019694B">
        <w:t>, pa se s tim u vezi</w:t>
      </w:r>
      <w:r>
        <w:t xml:space="preserve"> </w:t>
      </w:r>
      <w:r w:rsidR="00D5711D">
        <w:t>pokazala potreba uređivanja</w:t>
      </w:r>
      <w:r w:rsidRPr="0019694B">
        <w:t xml:space="preserve"> mogućnosti prijenosa mirovinskih prava, kako bi se tim državljanima osigurao kontinuitet prava iz sustava socijalne sigurnosti.</w:t>
      </w:r>
      <w:r>
        <w:t xml:space="preserve"> Zakonom o prijenosu mirovinskih prava koji je stupio na snagu dana 7. prosinca 2017. godine, </w:t>
      </w:r>
      <w:r w:rsidRPr="0019694B">
        <w:t>uređ</w:t>
      </w:r>
      <w:r>
        <w:t>ena je</w:t>
      </w:r>
      <w:r w:rsidRPr="0019694B">
        <w:t xml:space="preserve"> materija prijenosa mirovinskih prava iz obveznog mirovinskog osiguranja u Republici Hrvatskoj prije zapo</w:t>
      </w:r>
      <w:r w:rsidR="00A2494D">
        <w:t>slenja u institucijama</w:t>
      </w:r>
      <w:r>
        <w:t xml:space="preserve"> EU-a</w:t>
      </w:r>
      <w:r w:rsidRPr="0019694B">
        <w:t>, u mirovinsko osiguranje koje se primjenjuje na dužnosnike/službenike E</w:t>
      </w:r>
      <w:r>
        <w:t>U-a</w:t>
      </w:r>
      <w:r w:rsidRPr="0019694B">
        <w:t>, kao i prijenos mirovinskih prava iz mirov</w:t>
      </w:r>
      <w:r>
        <w:t>inskog osiguranja EU-a</w:t>
      </w:r>
      <w:r w:rsidRPr="0019694B">
        <w:t xml:space="preserve"> u mirovinsko osiguranje Republike Hrvatske nakon prestanka zapo</w:t>
      </w:r>
      <w:r w:rsidR="00A2494D">
        <w:t>slenja u institucijama</w:t>
      </w:r>
      <w:r>
        <w:t xml:space="preserve"> EU-a. </w:t>
      </w:r>
      <w:r w:rsidRPr="0019694B">
        <w:t>Prava i obveze iz radnog odnosa, kao i mirovinskog osiguranja dužnosnika,</w:t>
      </w:r>
      <w:r>
        <w:t xml:space="preserve"> odnosno</w:t>
      </w:r>
      <w:r w:rsidRPr="0019694B">
        <w:t xml:space="preserve"> privremen</w:t>
      </w:r>
      <w:r>
        <w:t>ih</w:t>
      </w:r>
      <w:r w:rsidRPr="0019694B">
        <w:t xml:space="preserve"> </w:t>
      </w:r>
      <w:r>
        <w:t>ili</w:t>
      </w:r>
      <w:r w:rsidRPr="0019694B">
        <w:t xml:space="preserve"> ugovorn</w:t>
      </w:r>
      <w:r>
        <w:t>ih</w:t>
      </w:r>
      <w:r w:rsidR="00A2494D">
        <w:t xml:space="preserve"> službenika u institucijama</w:t>
      </w:r>
      <w:r w:rsidRPr="0019694B">
        <w:t xml:space="preserve"> EU</w:t>
      </w:r>
      <w:r>
        <w:t>-a,</w:t>
      </w:r>
      <w:r w:rsidR="00D5711D">
        <w:t xml:space="preserve"> uređena</w:t>
      </w:r>
      <w:r w:rsidRPr="0019694B">
        <w:t xml:space="preserve"> su Pravilnikom o osoblju za dužnosnike Europskih zajednica i Uvjetima zaposlenja ostalih službenika Europskih zajednica, koji su sastavni dio Uredbe Vijeća broj 259/68 od 29. veljače 1968. o određivanju pravila za zapošljavanje službenika/dužnosnika i uvođenju posebnih privremenih mjera za službenike Komisije</w:t>
      </w:r>
      <w:r>
        <w:t xml:space="preserve"> (</w:t>
      </w:r>
      <w:r w:rsidRPr="006F0FD1">
        <w:t>(SL L 56, 4. 3. 1968.)  kako je</w:t>
      </w:r>
      <w:r>
        <w:t xml:space="preserve"> </w:t>
      </w:r>
      <w:r w:rsidRPr="00F5589E">
        <w:t>posljednji put izmijenjena Uredbom (EU, Euratom) Europskog parlamenta i Vijeća br. 1023/2013 od 22. listopada 2013. o izmjeni Pravilnika o osoblju za dužnosnike Europske unije i Uvjeta zaposlenja ostalih službenika Europske unije (SL L 287, 29. 10. 2013.).</w:t>
      </w:r>
      <w:r>
        <w:t xml:space="preserve"> </w:t>
      </w:r>
      <w:r>
        <w:rPr>
          <w:bCs/>
        </w:rPr>
        <w:t xml:space="preserve"> </w:t>
      </w:r>
      <w:r>
        <w:t xml:space="preserve">Navedeni Pravilnik </w:t>
      </w:r>
      <w:r w:rsidRPr="0019694B">
        <w:t>obvezuje države članice da o</w:t>
      </w:r>
      <w:r w:rsidR="00A2494D">
        <w:t>soblju zaposlenom u tim institucijama</w:t>
      </w:r>
      <w:r w:rsidRPr="0019694B">
        <w:t xml:space="preserve"> nadoknadi mirovinski doprinos uplaćen prije zapošlj</w:t>
      </w:r>
      <w:r w:rsidR="00A2494D">
        <w:t>avanja u institucijama</w:t>
      </w:r>
      <w:r>
        <w:t xml:space="preserve"> EU-a</w:t>
      </w:r>
      <w:r w:rsidRPr="0019694B">
        <w:t xml:space="preserve">. </w:t>
      </w:r>
    </w:p>
    <w:p w:rsidR="003F617B" w:rsidRPr="00EE4A31" w:rsidRDefault="003F617B" w:rsidP="003F617B">
      <w:pPr>
        <w:jc w:val="both"/>
      </w:pPr>
      <w:r w:rsidRPr="00EE4A31">
        <w:t xml:space="preserve">Kako </w:t>
      </w:r>
      <w:r>
        <w:t>EIB</w:t>
      </w:r>
      <w:r w:rsidRPr="00EE4A31">
        <w:t xml:space="preserve"> ima svoj autonomn</w:t>
      </w:r>
      <w:r>
        <w:t>i</w:t>
      </w:r>
      <w:r w:rsidRPr="00EE4A31">
        <w:t xml:space="preserve"> </w:t>
      </w:r>
      <w:r>
        <w:t xml:space="preserve">Pravilnik o osoblju </w:t>
      </w:r>
      <w:r w:rsidRPr="008047C6">
        <w:t>koji uključuje i mirovinski sustav koji se odnosi na njihove zaposlenike (neovisno o mirovinskom sustavu institucija EU-a)</w:t>
      </w:r>
      <w:r w:rsidRPr="00EE4A31">
        <w:t xml:space="preserve">, Zakon o prijenosu mirovinskih prava ne </w:t>
      </w:r>
      <w:r w:rsidR="00A2494D">
        <w:t>propisuje niti ne uređuje</w:t>
      </w:r>
      <w:r w:rsidRPr="00EE4A31">
        <w:t xml:space="preserve"> prij</w:t>
      </w:r>
      <w:r>
        <w:t>enos mirovinskih prava između EI</w:t>
      </w:r>
      <w:r w:rsidRPr="00EE4A31">
        <w:t>B-a i Repub</w:t>
      </w:r>
      <w:r>
        <w:t>like Hrvatske. Iz tog razloga EI</w:t>
      </w:r>
      <w:r w:rsidRPr="00EE4A31">
        <w:t xml:space="preserve">B </w:t>
      </w:r>
      <w:r>
        <w:t xml:space="preserve">je kontaktirao nadležno tijelo u Republici Hrvatskoj sa inicijativom za </w:t>
      </w:r>
      <w:r w:rsidRPr="00EE4A31">
        <w:t>skl</w:t>
      </w:r>
      <w:r>
        <w:t>a</w:t>
      </w:r>
      <w:r w:rsidRPr="00EE4A31">
        <w:t>p</w:t>
      </w:r>
      <w:r>
        <w:t>anje</w:t>
      </w:r>
      <w:r w:rsidRPr="00EE4A31">
        <w:t xml:space="preserve"> sporazum</w:t>
      </w:r>
      <w:r>
        <w:t>a</w:t>
      </w:r>
      <w:r w:rsidRPr="00EE4A31">
        <w:t xml:space="preserve"> o prijenosu mirovinskih prava između hrvatskog mirovi</w:t>
      </w:r>
      <w:r>
        <w:t>nskog sustava i EI</w:t>
      </w:r>
      <w:r w:rsidRPr="00EE4A31">
        <w:t xml:space="preserve">B mirovinskog sustava i obratno. </w:t>
      </w:r>
    </w:p>
    <w:p w:rsidR="003F617B" w:rsidRPr="00EE4A31" w:rsidRDefault="003F617B" w:rsidP="003F617B">
      <w:pPr>
        <w:jc w:val="both"/>
      </w:pPr>
      <w:r>
        <w:t>Budući da je člankom 6. Zakona o prijenosu</w:t>
      </w:r>
      <w:r w:rsidR="00A2494D">
        <w:t xml:space="preserve"> mirovinskih prava koji uređuje</w:t>
      </w:r>
      <w:r>
        <w:t xml:space="preserve"> mogućnost sklapanja s</w:t>
      </w:r>
      <w:r w:rsidRPr="00EE4A31">
        <w:t>porazum</w:t>
      </w:r>
      <w:r>
        <w:t>a</w:t>
      </w:r>
      <w:r w:rsidRPr="00EE4A31">
        <w:t xml:space="preserve"> s dru</w:t>
      </w:r>
      <w:r>
        <w:t xml:space="preserve">gim institucijama EU-a propisano kako </w:t>
      </w:r>
      <w:r w:rsidRPr="00EE4A31">
        <w:t>Republika Hrvatska može sklopiti sporazum o prijenosu mirovinskih prava i s drugim institucijama Europske unije čiji zaposlenici nisu osigurani u sustavu EU-a na temelju Pravilnika o osoblju</w:t>
      </w:r>
      <w:r>
        <w:t xml:space="preserve"> </w:t>
      </w:r>
      <w:r w:rsidRPr="00EE4A31">
        <w:t xml:space="preserve">te u svrhu uspostavljanja suradnje na području </w:t>
      </w:r>
      <w:r>
        <w:t>prijenosa mirovinskih prava</w:t>
      </w:r>
      <w:r w:rsidRPr="00EE4A31">
        <w:t xml:space="preserve"> između Republike Hrvatske i </w:t>
      </w:r>
      <w:r>
        <w:lastRenderedPageBreak/>
        <w:t>EIB-a, podržava se inicijativa EIB-a te se, slijedom navedenoga, u ime</w:t>
      </w:r>
      <w:r w:rsidRPr="00EE4A31">
        <w:t xml:space="preserve"> </w:t>
      </w:r>
      <w:r>
        <w:t>Republike Hrvatske</w:t>
      </w:r>
      <w:r w:rsidRPr="00EE4A31">
        <w:t xml:space="preserve"> pokre</w:t>
      </w:r>
      <w:r>
        <w:t>će</w:t>
      </w:r>
      <w:r w:rsidRPr="00EE4A31">
        <w:t xml:space="preserve"> postupak sklapanja </w:t>
      </w:r>
      <w:r>
        <w:t xml:space="preserve">Sporazuma </w:t>
      </w:r>
      <w:r w:rsidRPr="00EE4A31">
        <w:t xml:space="preserve">između </w:t>
      </w:r>
      <w:r>
        <w:t>Republike Hrvatske</w:t>
      </w:r>
      <w:r w:rsidRPr="00EE4A31">
        <w:t xml:space="preserve"> i E</w:t>
      </w:r>
      <w:r>
        <w:rPr>
          <w:bCs/>
        </w:rPr>
        <w:t>uropske investicijske</w:t>
      </w:r>
      <w:r w:rsidRPr="00EE4A31">
        <w:rPr>
          <w:bCs/>
        </w:rPr>
        <w:t xml:space="preserve"> banke o prijenosu mirovinskih prava</w:t>
      </w:r>
      <w:r w:rsidRPr="00EE4A31">
        <w:t>.</w:t>
      </w:r>
    </w:p>
    <w:p w:rsidR="003F617B" w:rsidRDefault="003F617B" w:rsidP="003F617B">
      <w:pPr>
        <w:jc w:val="both"/>
      </w:pPr>
      <w:r w:rsidRPr="00BC1D17">
        <w:t xml:space="preserve"> </w:t>
      </w:r>
    </w:p>
    <w:p w:rsidR="003F617B" w:rsidRPr="00BC1D17" w:rsidRDefault="003F617B" w:rsidP="003F617B">
      <w:pPr>
        <w:jc w:val="both"/>
        <w:rPr>
          <w:b/>
        </w:rPr>
      </w:pPr>
      <w:r w:rsidRPr="00BC1D17">
        <w:rPr>
          <w:b/>
        </w:rPr>
        <w:t>Uz točku IV</w:t>
      </w:r>
      <w:r>
        <w:rPr>
          <w:b/>
        </w:rPr>
        <w:t xml:space="preserve">. </w:t>
      </w:r>
      <w:r w:rsidRPr="000E6573">
        <w:t xml:space="preserve">Odredbom točke IV. prihvaća se Nacrt </w:t>
      </w:r>
      <w:r>
        <w:t>sporazuma</w:t>
      </w:r>
      <w:r w:rsidRPr="000E6573">
        <w:t xml:space="preserve"> kao osnova za vođenje pregovora te se utvrđuje da je Nacrt </w:t>
      </w:r>
      <w:r>
        <w:t>sporazuma</w:t>
      </w:r>
      <w:r w:rsidRPr="000E6573">
        <w:t xml:space="preserve"> sastavni dio Odluke.</w:t>
      </w:r>
      <w:r>
        <w:t xml:space="preserve"> </w:t>
      </w:r>
    </w:p>
    <w:p w:rsidR="003F617B" w:rsidRDefault="003F617B" w:rsidP="003F617B">
      <w:pPr>
        <w:jc w:val="both"/>
      </w:pPr>
    </w:p>
    <w:p w:rsidR="003F617B" w:rsidRPr="000E6573" w:rsidRDefault="003F617B" w:rsidP="003F617B">
      <w:pPr>
        <w:jc w:val="both"/>
      </w:pPr>
      <w:r w:rsidRPr="00BC1D17">
        <w:rPr>
          <w:b/>
        </w:rPr>
        <w:t>Uz točku V</w:t>
      </w:r>
      <w:r>
        <w:rPr>
          <w:b/>
        </w:rPr>
        <w:t>.</w:t>
      </w:r>
      <w:r w:rsidRPr="00E7172A">
        <w:t xml:space="preserve"> </w:t>
      </w:r>
      <w:r>
        <w:t xml:space="preserve">Ovom se odredbom </w:t>
      </w:r>
      <w:r w:rsidRPr="000E6573">
        <w:t>utvrđuje sastav izaslanstva za pregovore te način podmirivanja troškova za rad izaslanstva.</w:t>
      </w:r>
    </w:p>
    <w:p w:rsidR="003F617B" w:rsidRDefault="003F617B" w:rsidP="003F617B">
      <w:pPr>
        <w:jc w:val="both"/>
      </w:pPr>
    </w:p>
    <w:p w:rsidR="003F617B" w:rsidRDefault="003F617B" w:rsidP="003F617B">
      <w:pPr>
        <w:jc w:val="both"/>
      </w:pPr>
      <w:r w:rsidRPr="00BC1D17">
        <w:rPr>
          <w:b/>
        </w:rPr>
        <w:t xml:space="preserve">Uz točku VI. </w:t>
      </w:r>
      <w:r>
        <w:t>Odredbom točke VI. utvrđuje se ovlaštenje za potpisivanje Sporazuma.</w:t>
      </w:r>
    </w:p>
    <w:p w:rsidR="003F617B" w:rsidRDefault="003F617B" w:rsidP="003F617B">
      <w:pPr>
        <w:jc w:val="both"/>
      </w:pPr>
    </w:p>
    <w:p w:rsidR="003F617B" w:rsidRPr="003403D6" w:rsidRDefault="003F617B" w:rsidP="003F617B">
      <w:pPr>
        <w:jc w:val="both"/>
      </w:pPr>
      <w:r w:rsidRPr="00BC1D17">
        <w:rPr>
          <w:b/>
        </w:rPr>
        <w:t xml:space="preserve">Uz točku VII. </w:t>
      </w:r>
      <w:r>
        <w:t xml:space="preserve"> Odredbom točke VII. utvrđuje se da izvršavanje Sporazuma ne zahtijeva osiguravanje dodatnih financijskih sredstava iz Državnog proračuna, s obzirom da se s</w:t>
      </w:r>
      <w:r w:rsidRPr="00BC1D17">
        <w:t>redstva za iz</w:t>
      </w:r>
      <w:r>
        <w:t>vršavanje Sporazuma osiguravaju</w:t>
      </w:r>
      <w:r w:rsidRPr="00BC1D17">
        <w:t xml:space="preserve"> tekućim doprinosima </w:t>
      </w:r>
      <w:r>
        <w:t xml:space="preserve">za obvezna osiguranja </w:t>
      </w:r>
      <w:r w:rsidRPr="00BC1D17">
        <w:t>osiguranika i poslodavaca</w:t>
      </w:r>
      <w:r>
        <w:t xml:space="preserve">. </w:t>
      </w:r>
      <w:r w:rsidRPr="00BC1D17">
        <w:t>Vrste prava koja se stječu primjenom m</w:t>
      </w:r>
      <w:r>
        <w:t>eđunarodnih ugovora o socijalnoj</w:t>
      </w:r>
      <w:r w:rsidRPr="00BC1D17">
        <w:t xml:space="preserve"> </w:t>
      </w:r>
      <w:r>
        <w:t>sigurnosti</w:t>
      </w:r>
      <w:r w:rsidRPr="00BC1D17">
        <w:t xml:space="preserve"> već su predviđena hrvatskim zakonima s područja mirovinskog </w:t>
      </w:r>
      <w:r>
        <w:t>osiguranja</w:t>
      </w:r>
      <w:r w:rsidRPr="00BC1D17">
        <w:t xml:space="preserve"> te se na temelju ovog </w:t>
      </w:r>
      <w:r>
        <w:t>Sporazuma</w:t>
      </w:r>
      <w:r w:rsidRPr="00BC1D17">
        <w:t xml:space="preserve"> ne stječu nova prava koja bi uzrokovala nove financijske obveze za Republiku Hrvatsku.</w:t>
      </w:r>
      <w:r>
        <w:t xml:space="preserve"> </w:t>
      </w:r>
      <w:r w:rsidRPr="003403D6">
        <w:t>Pravni učinci isplate prijenosne vrijednosti</w:t>
      </w:r>
      <w:r>
        <w:t xml:space="preserve"> su takvi da d</w:t>
      </w:r>
      <w:r w:rsidRPr="003403D6">
        <w:t>anom isplate prijenosne vrijednosti prestaju sva stečena prava iz obveznog mirovinskog osiguranja u Republici Hrvatskoj u odnosu na razdoblja mirovinskog staža obuhvaćena prijenosnom vrijednošću.</w:t>
      </w:r>
    </w:p>
    <w:p w:rsidR="003F617B" w:rsidRDefault="003F617B" w:rsidP="003F617B">
      <w:pPr>
        <w:jc w:val="both"/>
      </w:pPr>
    </w:p>
    <w:p w:rsidR="003F617B" w:rsidRDefault="003F617B" w:rsidP="003F617B">
      <w:pPr>
        <w:jc w:val="both"/>
      </w:pPr>
      <w:r w:rsidRPr="00BC1D17">
        <w:rPr>
          <w:b/>
        </w:rPr>
        <w:t xml:space="preserve">Uz točku VIII. </w:t>
      </w:r>
      <w:r w:rsidRPr="000402ED">
        <w:t xml:space="preserve">Ovom se odredbom utvrđuje da </w:t>
      </w:r>
      <w:r>
        <w:t>Sporazum</w:t>
      </w:r>
      <w:r w:rsidRPr="00BC1D17">
        <w:t xml:space="preserve"> ne zahtijeva donošenje novih ili izmjenu postojećih zakona</w:t>
      </w:r>
      <w:r>
        <w:t>, ali podliježe potvrđivanju po članku 18. Zakona o</w:t>
      </w:r>
      <w:r w:rsidRPr="00BC1D17">
        <w:t xml:space="preserve"> sklapanju i i</w:t>
      </w:r>
      <w:r>
        <w:t>zvršavanju međunarodnih ugovora.</w:t>
      </w:r>
    </w:p>
    <w:p w:rsidR="003F617B" w:rsidRDefault="003F617B" w:rsidP="003F617B">
      <w:pPr>
        <w:jc w:val="both"/>
      </w:pPr>
    </w:p>
    <w:p w:rsidR="003F617B" w:rsidRDefault="003F617B" w:rsidP="003F617B">
      <w:pPr>
        <w:jc w:val="both"/>
        <w:rPr>
          <w:b/>
        </w:rPr>
      </w:pPr>
    </w:p>
    <w:p w:rsidR="003F617B" w:rsidRDefault="003F617B" w:rsidP="00B13F4C">
      <w:pPr>
        <w:tabs>
          <w:tab w:val="center" w:pos="8931"/>
        </w:tabs>
      </w:pPr>
    </w:p>
    <w:sectPr w:rsidR="003F617B" w:rsidSect="00B13F4C">
      <w:footerReference w:type="default" r:id="rId12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DB" w:rsidRDefault="001B56DB" w:rsidP="0011560A">
      <w:r>
        <w:separator/>
      </w:r>
    </w:p>
  </w:endnote>
  <w:endnote w:type="continuationSeparator" w:id="0">
    <w:p w:rsidR="001B56DB" w:rsidRDefault="001B56D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,한컴돋움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4C" w:rsidRPr="00B13F4C" w:rsidRDefault="00B13F4C" w:rsidP="00B13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4C" w:rsidRPr="00B13F4C" w:rsidRDefault="00B13F4C" w:rsidP="00B13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DB" w:rsidRDefault="001B56DB" w:rsidP="0011560A">
      <w:r>
        <w:separator/>
      </w:r>
    </w:p>
  </w:footnote>
  <w:footnote w:type="continuationSeparator" w:id="0">
    <w:p w:rsidR="001B56DB" w:rsidRDefault="001B56D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4C" w:rsidRDefault="00B13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5248"/>
    <w:multiLevelType w:val="hybridMultilevel"/>
    <w:tmpl w:val="A7A04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038C"/>
    <w:multiLevelType w:val="hybridMultilevel"/>
    <w:tmpl w:val="95704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10E8"/>
    <w:multiLevelType w:val="hybridMultilevel"/>
    <w:tmpl w:val="6B4C9986"/>
    <w:lvl w:ilvl="0" w:tplc="ADC4DC42">
      <w:start w:val="5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5D95"/>
    <w:multiLevelType w:val="hybridMultilevel"/>
    <w:tmpl w:val="D85A6F9C"/>
    <w:lvl w:ilvl="0" w:tplc="AA761080">
      <w:start w:val="1"/>
      <w:numFmt w:val="decimal"/>
      <w:lvlText w:val="%1."/>
      <w:lvlJc w:val="left"/>
      <w:pPr>
        <w:ind w:left="720" w:hanging="360"/>
      </w:pPr>
      <w:rPr>
        <w:rFonts w:eastAsia="휴먼명조,한컴돋움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530F"/>
    <w:multiLevelType w:val="hybridMultilevel"/>
    <w:tmpl w:val="4CCCC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64E6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383F"/>
    <w:rsid w:val="001741AA"/>
    <w:rsid w:val="001917B2"/>
    <w:rsid w:val="001A13E7"/>
    <w:rsid w:val="001B56DB"/>
    <w:rsid w:val="001B7A97"/>
    <w:rsid w:val="001E7218"/>
    <w:rsid w:val="001F017C"/>
    <w:rsid w:val="002179F8"/>
    <w:rsid w:val="00220956"/>
    <w:rsid w:val="00225800"/>
    <w:rsid w:val="0023763F"/>
    <w:rsid w:val="00246033"/>
    <w:rsid w:val="00252143"/>
    <w:rsid w:val="002542AB"/>
    <w:rsid w:val="00270623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4B52"/>
    <w:rsid w:val="00336EE7"/>
    <w:rsid w:val="0034351C"/>
    <w:rsid w:val="0037190B"/>
    <w:rsid w:val="00381F04"/>
    <w:rsid w:val="0038426B"/>
    <w:rsid w:val="003929F5"/>
    <w:rsid w:val="003A2F05"/>
    <w:rsid w:val="003A5024"/>
    <w:rsid w:val="003C09D8"/>
    <w:rsid w:val="003D47D1"/>
    <w:rsid w:val="003E64C7"/>
    <w:rsid w:val="003F5404"/>
    <w:rsid w:val="003F5623"/>
    <w:rsid w:val="003F617B"/>
    <w:rsid w:val="004003A6"/>
    <w:rsid w:val="004039BD"/>
    <w:rsid w:val="00440D6D"/>
    <w:rsid w:val="00442367"/>
    <w:rsid w:val="00461188"/>
    <w:rsid w:val="00477725"/>
    <w:rsid w:val="004A776B"/>
    <w:rsid w:val="004C1375"/>
    <w:rsid w:val="004C5354"/>
    <w:rsid w:val="004E1300"/>
    <w:rsid w:val="004E4E34"/>
    <w:rsid w:val="00504248"/>
    <w:rsid w:val="005146D6"/>
    <w:rsid w:val="0052581E"/>
    <w:rsid w:val="00535E09"/>
    <w:rsid w:val="00562C8C"/>
    <w:rsid w:val="0056365A"/>
    <w:rsid w:val="00571F6C"/>
    <w:rsid w:val="005861F2"/>
    <w:rsid w:val="0059008A"/>
    <w:rsid w:val="005906BB"/>
    <w:rsid w:val="005B5678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A675D"/>
    <w:rsid w:val="006B7800"/>
    <w:rsid w:val="006C0CC3"/>
    <w:rsid w:val="006E14A9"/>
    <w:rsid w:val="006E611E"/>
    <w:rsid w:val="007010C7"/>
    <w:rsid w:val="00715FA7"/>
    <w:rsid w:val="00726165"/>
    <w:rsid w:val="00731AC4"/>
    <w:rsid w:val="00762627"/>
    <w:rsid w:val="007638D8"/>
    <w:rsid w:val="00777CAA"/>
    <w:rsid w:val="0078648A"/>
    <w:rsid w:val="007A0FA0"/>
    <w:rsid w:val="007A1768"/>
    <w:rsid w:val="007A1881"/>
    <w:rsid w:val="007E3965"/>
    <w:rsid w:val="007F3456"/>
    <w:rsid w:val="007F5989"/>
    <w:rsid w:val="008137B5"/>
    <w:rsid w:val="00833808"/>
    <w:rsid w:val="008353A1"/>
    <w:rsid w:val="008365FD"/>
    <w:rsid w:val="00881BBB"/>
    <w:rsid w:val="0089283D"/>
    <w:rsid w:val="008B0882"/>
    <w:rsid w:val="008C0768"/>
    <w:rsid w:val="008C1D0A"/>
    <w:rsid w:val="008C78CF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D2685"/>
    <w:rsid w:val="00A15F08"/>
    <w:rsid w:val="00A175E9"/>
    <w:rsid w:val="00A21819"/>
    <w:rsid w:val="00A2494D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13F4C"/>
    <w:rsid w:val="00B31D07"/>
    <w:rsid w:val="00B32578"/>
    <w:rsid w:val="00B42E00"/>
    <w:rsid w:val="00B462AB"/>
    <w:rsid w:val="00B57187"/>
    <w:rsid w:val="00B706F8"/>
    <w:rsid w:val="00B908C2"/>
    <w:rsid w:val="00BA28CD"/>
    <w:rsid w:val="00BA72BF"/>
    <w:rsid w:val="00C072D6"/>
    <w:rsid w:val="00C337A4"/>
    <w:rsid w:val="00C44327"/>
    <w:rsid w:val="00C96339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711D"/>
    <w:rsid w:val="00D62C4D"/>
    <w:rsid w:val="00D8016C"/>
    <w:rsid w:val="00D92A3D"/>
    <w:rsid w:val="00DB0A6B"/>
    <w:rsid w:val="00DB28EB"/>
    <w:rsid w:val="00DB6366"/>
    <w:rsid w:val="00DF375A"/>
    <w:rsid w:val="00E25569"/>
    <w:rsid w:val="00E601A2"/>
    <w:rsid w:val="00E754AC"/>
    <w:rsid w:val="00E77198"/>
    <w:rsid w:val="00E83E23"/>
    <w:rsid w:val="00EA3AD1"/>
    <w:rsid w:val="00EB1248"/>
    <w:rsid w:val="00EC08EF"/>
    <w:rsid w:val="00EC52B4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A695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9C489"/>
  <w15:docId w15:val="{26DE2841-762C-4AAF-AA44-D7C9806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F4C"/>
    <w:pPr>
      <w:ind w:left="708"/>
    </w:pPr>
    <w:rPr>
      <w:rFonts w:ascii="Arial" w:hAnsi="Arial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4151-E5A0-4B65-8EA1-72F7694E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3</cp:revision>
  <cp:lastPrinted>2020-02-24T10:31:00Z</cp:lastPrinted>
  <dcterms:created xsi:type="dcterms:W3CDTF">2020-02-25T10:01:00Z</dcterms:created>
  <dcterms:modified xsi:type="dcterms:W3CDTF">2020-02-25T10:07:00Z</dcterms:modified>
</cp:coreProperties>
</file>