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6EBB3" w14:textId="77777777" w:rsidR="00CD3EFA" w:rsidRPr="00C208B8" w:rsidRDefault="008F0DD4" w:rsidP="0023763F">
      <w:pPr>
        <w:jc w:val="center"/>
      </w:pPr>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7ECCEC18" w14:textId="77777777" w:rsidR="00CD3EFA" w:rsidRPr="0023763F" w:rsidRDefault="003A2F05" w:rsidP="0023763F">
      <w:pPr>
        <w:spacing w:before="60" w:after="1680"/>
        <w:jc w:val="center"/>
        <w:rPr>
          <w:sz w:val="28"/>
        </w:rPr>
      </w:pPr>
      <w:r w:rsidRPr="0023763F">
        <w:rPr>
          <w:sz w:val="28"/>
        </w:rPr>
        <w:t>VLADA REPUBLIKE HRVATSKE</w:t>
      </w:r>
    </w:p>
    <w:p w14:paraId="168A4C28" w14:textId="77777777" w:rsidR="00CD3EFA" w:rsidRDefault="00CD3EFA"/>
    <w:p w14:paraId="529862B0" w14:textId="6464D19C" w:rsidR="00C337A4" w:rsidRPr="008A0510" w:rsidRDefault="00C337A4" w:rsidP="0023763F">
      <w:pPr>
        <w:spacing w:after="2400"/>
        <w:jc w:val="right"/>
        <w:rPr>
          <w:color w:val="000000" w:themeColor="text1"/>
        </w:rPr>
      </w:pPr>
      <w:r w:rsidRPr="008A0510">
        <w:rPr>
          <w:color w:val="000000" w:themeColor="text1"/>
        </w:rPr>
        <w:t xml:space="preserve">Zagreb, </w:t>
      </w:r>
      <w:r w:rsidR="005F7989" w:rsidRPr="008A0510">
        <w:rPr>
          <w:color w:val="000000" w:themeColor="text1"/>
        </w:rPr>
        <w:t>5. ožujka 2020</w:t>
      </w:r>
      <w:r w:rsidRPr="008A0510">
        <w:rPr>
          <w:color w:val="000000" w:themeColor="text1"/>
        </w:rPr>
        <w:t>.</w:t>
      </w:r>
    </w:p>
    <w:p w14:paraId="3B0ED0B5" w14:textId="77777777" w:rsidR="000350D9" w:rsidRPr="002179F8" w:rsidRDefault="000350D9" w:rsidP="000350D9">
      <w:pPr>
        <w:spacing w:line="360" w:lineRule="auto"/>
      </w:pPr>
      <w:r w:rsidRPr="002179F8">
        <w:t>__________________________________________________________________________</w:t>
      </w:r>
    </w:p>
    <w:p w14:paraId="5EF4D417" w14:textId="77777777" w:rsidR="000350D9" w:rsidRDefault="000350D9" w:rsidP="000350D9">
      <w:pPr>
        <w:tabs>
          <w:tab w:val="right" w:pos="1701"/>
          <w:tab w:val="left" w:pos="1843"/>
        </w:tabs>
        <w:spacing w:line="360" w:lineRule="auto"/>
        <w:ind w:left="1843" w:hanging="1843"/>
        <w:rPr>
          <w:b/>
          <w:smallCaps/>
        </w:rPr>
        <w:sectPr w:rsidR="000350D9" w:rsidSect="00742B55">
          <w:headerReference w:type="even" r:id="rId9"/>
          <w:headerReference w:type="default" r:id="rId10"/>
          <w:footerReference w:type="default" r:id="rId11"/>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78E464F7" w14:textId="77777777" w:rsidTr="000350D9">
        <w:tc>
          <w:tcPr>
            <w:tcW w:w="1951" w:type="dxa"/>
          </w:tcPr>
          <w:p w14:paraId="71795117" w14:textId="77777777" w:rsidR="000350D9" w:rsidRDefault="000350D9" w:rsidP="009F4DE3">
            <w:pPr>
              <w:spacing w:line="360" w:lineRule="auto"/>
              <w:jc w:val="right"/>
            </w:pPr>
            <w:r w:rsidRPr="003A2F05">
              <w:rPr>
                <w:b/>
                <w:smallCaps/>
              </w:rPr>
              <w:lastRenderedPageBreak/>
              <w:t>Predlagatelj</w:t>
            </w:r>
            <w:r w:rsidRPr="002179F8">
              <w:rPr>
                <w:b/>
              </w:rPr>
              <w:t>:</w:t>
            </w:r>
          </w:p>
        </w:tc>
        <w:tc>
          <w:tcPr>
            <w:tcW w:w="7229" w:type="dxa"/>
          </w:tcPr>
          <w:p w14:paraId="5628DE48" w14:textId="77777777" w:rsidR="000350D9" w:rsidRDefault="009F4DE3" w:rsidP="00121E12">
            <w:pPr>
              <w:spacing w:line="360" w:lineRule="auto"/>
            </w:pPr>
            <w:r>
              <w:t xml:space="preserve">Ministarstvo </w:t>
            </w:r>
            <w:r w:rsidR="00DE2B9F">
              <w:t>pravosuđa</w:t>
            </w:r>
          </w:p>
        </w:tc>
      </w:tr>
    </w:tbl>
    <w:p w14:paraId="6D025EC0" w14:textId="77777777" w:rsidR="000350D9" w:rsidRPr="002179F8" w:rsidRDefault="000350D9" w:rsidP="000350D9">
      <w:pPr>
        <w:spacing w:line="360" w:lineRule="auto"/>
      </w:pPr>
      <w:r w:rsidRPr="002179F8">
        <w:t>__________________________________________________________________________</w:t>
      </w:r>
    </w:p>
    <w:p w14:paraId="0EF9D1E1"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3E0ADAB2" w14:textId="77777777" w:rsidTr="000350D9">
        <w:tc>
          <w:tcPr>
            <w:tcW w:w="1951" w:type="dxa"/>
          </w:tcPr>
          <w:p w14:paraId="20F56E65" w14:textId="77777777" w:rsidR="000350D9" w:rsidRDefault="000350D9" w:rsidP="000350D9">
            <w:pPr>
              <w:spacing w:line="360" w:lineRule="auto"/>
              <w:jc w:val="right"/>
            </w:pPr>
            <w:r>
              <w:rPr>
                <w:b/>
                <w:smallCaps/>
              </w:rPr>
              <w:lastRenderedPageBreak/>
              <w:t>Predmet</w:t>
            </w:r>
            <w:r w:rsidRPr="002179F8">
              <w:rPr>
                <w:b/>
              </w:rPr>
              <w:t>:</w:t>
            </w:r>
          </w:p>
        </w:tc>
        <w:tc>
          <w:tcPr>
            <w:tcW w:w="7229" w:type="dxa"/>
          </w:tcPr>
          <w:p w14:paraId="0298E160" w14:textId="77777777" w:rsidR="000350D9" w:rsidRDefault="00121E12" w:rsidP="00647F73">
            <w:pPr>
              <w:spacing w:line="360" w:lineRule="auto"/>
              <w:jc w:val="both"/>
            </w:pPr>
            <w:r>
              <w:rPr>
                <w:bCs/>
              </w:rPr>
              <w:t>Verifikacija odgovora na zastupničko pitanje</w:t>
            </w:r>
            <w:r w:rsidR="00DE2B9F">
              <w:rPr>
                <w:bCs/>
              </w:rPr>
              <w:t xml:space="preserve"> Sonje Čikotić, u vezi s</w:t>
            </w:r>
            <w:r w:rsidR="00647F73">
              <w:rPr>
                <w:bCs/>
              </w:rPr>
              <w:t>a</w:t>
            </w:r>
            <w:r w:rsidR="00DE2B9F">
              <w:rPr>
                <w:bCs/>
              </w:rPr>
              <w:t xml:space="preserve"> suzbijanjem i penaliziranjem koruptivnih radnji u javnoj upravi</w:t>
            </w:r>
          </w:p>
        </w:tc>
      </w:tr>
    </w:tbl>
    <w:p w14:paraId="4174A8B2"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337890D4" w14:textId="77777777" w:rsidR="00CE78D1" w:rsidRDefault="00CE78D1" w:rsidP="008F0DD4"/>
    <w:p w14:paraId="3358D887" w14:textId="77777777" w:rsidR="00CE78D1" w:rsidRPr="00CE78D1" w:rsidRDefault="00CE78D1" w:rsidP="00CE78D1"/>
    <w:p w14:paraId="72777FC4" w14:textId="77777777" w:rsidR="00CE78D1" w:rsidRPr="00CE78D1" w:rsidRDefault="00CE78D1" w:rsidP="00CE78D1"/>
    <w:p w14:paraId="6D6D8267" w14:textId="77777777" w:rsidR="00CE78D1" w:rsidRPr="00CE78D1" w:rsidRDefault="00CE78D1" w:rsidP="00CE78D1"/>
    <w:p w14:paraId="1D30A188" w14:textId="77777777" w:rsidR="00CE78D1" w:rsidRPr="00CE78D1" w:rsidRDefault="00CE78D1" w:rsidP="00CE78D1"/>
    <w:p w14:paraId="6DB19879" w14:textId="77777777" w:rsidR="00CE78D1" w:rsidRPr="00CE78D1" w:rsidRDefault="00CE78D1" w:rsidP="00CE78D1"/>
    <w:p w14:paraId="51335164" w14:textId="77777777" w:rsidR="00CE78D1" w:rsidRPr="00CE78D1" w:rsidRDefault="00CE78D1" w:rsidP="00CE78D1"/>
    <w:p w14:paraId="38C657D9" w14:textId="77777777" w:rsidR="00CE78D1" w:rsidRPr="00CE78D1" w:rsidRDefault="00CE78D1" w:rsidP="00CE78D1"/>
    <w:p w14:paraId="2C24F69A" w14:textId="77777777" w:rsidR="00CE78D1" w:rsidRPr="00CE78D1" w:rsidRDefault="00CE78D1" w:rsidP="00CE78D1"/>
    <w:p w14:paraId="21153276" w14:textId="77777777" w:rsidR="00CE78D1" w:rsidRPr="00CE78D1" w:rsidRDefault="00CE78D1" w:rsidP="00CE78D1"/>
    <w:p w14:paraId="453D9B67" w14:textId="77777777" w:rsidR="00CE78D1" w:rsidRPr="00CE78D1" w:rsidRDefault="00CE78D1" w:rsidP="00CE78D1"/>
    <w:p w14:paraId="677FA3A5" w14:textId="77777777" w:rsidR="00CE78D1" w:rsidRPr="00CE78D1" w:rsidRDefault="00CE78D1" w:rsidP="00CE78D1"/>
    <w:p w14:paraId="26B5D9FE" w14:textId="77777777" w:rsidR="00CE78D1" w:rsidRPr="00CE78D1" w:rsidRDefault="00CE78D1" w:rsidP="00CE78D1"/>
    <w:p w14:paraId="2978B214" w14:textId="77777777" w:rsidR="00CE78D1" w:rsidRDefault="00CE78D1" w:rsidP="00CE78D1"/>
    <w:p w14:paraId="165463B6" w14:textId="77777777" w:rsidR="00CE78D1" w:rsidRDefault="00CE78D1" w:rsidP="00CE78D1"/>
    <w:p w14:paraId="3E820AAB" w14:textId="77777777" w:rsidR="008F0DD4" w:rsidRDefault="008F0DD4" w:rsidP="00CE78D1"/>
    <w:p w14:paraId="1DE01BE3" w14:textId="77777777" w:rsidR="00742B55" w:rsidRDefault="00742B55" w:rsidP="00CE78D1"/>
    <w:p w14:paraId="399A9E2B" w14:textId="77777777" w:rsidR="00742B55" w:rsidRDefault="00742B55" w:rsidP="00CE78D1"/>
    <w:p w14:paraId="7BB2B521" w14:textId="77777777" w:rsidR="00742B55" w:rsidRDefault="00742B55" w:rsidP="00CE78D1"/>
    <w:p w14:paraId="11DBA735" w14:textId="77777777" w:rsidR="00742B55" w:rsidRDefault="00742B55" w:rsidP="00CE78D1"/>
    <w:p w14:paraId="32AA453E" w14:textId="77777777" w:rsidR="00742B55" w:rsidRDefault="00742B55" w:rsidP="00CE78D1"/>
    <w:p w14:paraId="492F1CB6" w14:textId="77777777" w:rsidR="00E65CB6" w:rsidRPr="007B023D" w:rsidRDefault="00E65CB6" w:rsidP="00E65CB6">
      <w:pPr>
        <w:suppressAutoHyphens/>
        <w:jc w:val="both"/>
        <w:rPr>
          <w:i/>
          <w:spacing w:val="-3"/>
        </w:rPr>
      </w:pPr>
      <w:r>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Pr>
          <w:spacing w:val="-3"/>
        </w:rPr>
        <w:tab/>
      </w:r>
      <w:r w:rsidR="007B023D" w:rsidRPr="007B023D">
        <w:rPr>
          <w:i/>
          <w:spacing w:val="-3"/>
        </w:rPr>
        <w:tab/>
      </w:r>
      <w:r w:rsidR="007B023D" w:rsidRPr="007B023D">
        <w:rPr>
          <w:i/>
          <w:spacing w:val="-3"/>
        </w:rPr>
        <w:tab/>
        <w:t>PRIJEDLOG</w:t>
      </w:r>
      <w:r w:rsidRPr="007B023D">
        <w:rPr>
          <w:i/>
          <w:spacing w:val="-3"/>
        </w:rPr>
        <w:tab/>
      </w:r>
      <w:r w:rsidRPr="007B023D">
        <w:rPr>
          <w:i/>
          <w:spacing w:val="-3"/>
        </w:rPr>
        <w:tab/>
      </w:r>
      <w:r w:rsidRPr="007B023D">
        <w:rPr>
          <w:i/>
          <w:spacing w:val="-3"/>
        </w:rPr>
        <w:tab/>
        <w:t xml:space="preserve"> </w:t>
      </w:r>
    </w:p>
    <w:p w14:paraId="2F6D4D02" w14:textId="77777777" w:rsidR="00E65CB6" w:rsidRDefault="00E65CB6" w:rsidP="00E65CB6">
      <w:pPr>
        <w:suppressAutoHyphens/>
        <w:jc w:val="both"/>
        <w:rPr>
          <w:b/>
          <w:spacing w:val="-3"/>
        </w:rPr>
      </w:pPr>
    </w:p>
    <w:p w14:paraId="0F3005DE" w14:textId="77777777" w:rsidR="00E65CB6" w:rsidRPr="00653A78" w:rsidRDefault="00E65CB6" w:rsidP="00E65CB6">
      <w:pPr>
        <w:suppressAutoHyphens/>
        <w:jc w:val="both"/>
        <w:rPr>
          <w:b/>
          <w:spacing w:val="-3"/>
        </w:rPr>
      </w:pPr>
      <w:r>
        <w:rPr>
          <w:b/>
          <w:spacing w:val="-3"/>
        </w:rPr>
        <w:t>Klasa:</w:t>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sidRPr="00E65CB6">
        <w:rPr>
          <w:i/>
          <w:spacing w:val="-3"/>
        </w:rPr>
        <w:tab/>
      </w:r>
    </w:p>
    <w:p w14:paraId="405DDBB5" w14:textId="77777777" w:rsidR="00E65CB6" w:rsidRPr="00653A78" w:rsidRDefault="00E65CB6" w:rsidP="00E65CB6">
      <w:pPr>
        <w:suppressAutoHyphens/>
        <w:jc w:val="both"/>
        <w:rPr>
          <w:b/>
          <w:spacing w:val="-3"/>
        </w:rPr>
      </w:pPr>
      <w:r w:rsidRPr="00653A78">
        <w:rPr>
          <w:b/>
          <w:spacing w:val="-3"/>
        </w:rPr>
        <w:t>Urbroj:</w:t>
      </w:r>
      <w:r w:rsidRPr="00653A78">
        <w:rPr>
          <w:b/>
          <w:spacing w:val="-3"/>
        </w:rPr>
        <w:tab/>
      </w:r>
    </w:p>
    <w:p w14:paraId="6BC28239" w14:textId="77777777" w:rsidR="00E65CB6" w:rsidRPr="00653A78" w:rsidRDefault="00E65CB6" w:rsidP="00E65CB6">
      <w:pPr>
        <w:suppressAutoHyphens/>
        <w:jc w:val="both"/>
        <w:rPr>
          <w:b/>
          <w:spacing w:val="-3"/>
        </w:rPr>
      </w:pPr>
    </w:p>
    <w:p w14:paraId="200AABE3" w14:textId="77777777" w:rsidR="00E65CB6" w:rsidRPr="00653A78" w:rsidRDefault="00E65CB6" w:rsidP="00E65CB6">
      <w:pPr>
        <w:suppressAutoHyphens/>
        <w:jc w:val="both"/>
        <w:rPr>
          <w:spacing w:val="-3"/>
        </w:rPr>
      </w:pPr>
      <w:r w:rsidRPr="00653A78">
        <w:rPr>
          <w:b/>
          <w:spacing w:val="-3"/>
        </w:rPr>
        <w:t>Zagreb,</w:t>
      </w:r>
      <w:r>
        <w:rPr>
          <w:spacing w:val="-3"/>
        </w:rPr>
        <w:tab/>
      </w:r>
      <w:r w:rsidRPr="00653A78">
        <w:rPr>
          <w:spacing w:val="-3"/>
        </w:rPr>
        <w:tab/>
      </w:r>
      <w:r w:rsidRPr="00653A78">
        <w:rPr>
          <w:spacing w:val="-3"/>
        </w:rPr>
        <w:tab/>
      </w:r>
      <w:r w:rsidRPr="00653A78">
        <w:rPr>
          <w:spacing w:val="-3"/>
        </w:rPr>
        <w:tab/>
      </w:r>
    </w:p>
    <w:p w14:paraId="5470DB96" w14:textId="77777777" w:rsidR="00E65CB6" w:rsidRDefault="00E65CB6" w:rsidP="00E65CB6">
      <w:pPr>
        <w:suppressAutoHyphens/>
        <w:jc w:val="both"/>
        <w:rPr>
          <w:spacing w:val="-3"/>
        </w:rPr>
      </w:pPr>
      <w:r w:rsidRPr="00653A78">
        <w:rPr>
          <w:spacing w:val="-3"/>
        </w:rPr>
        <w:tab/>
        <w:t xml:space="preserve">                </w:t>
      </w:r>
      <w:r w:rsidRPr="00653A78">
        <w:rPr>
          <w:spacing w:val="-3"/>
        </w:rPr>
        <w:tab/>
      </w:r>
    </w:p>
    <w:p w14:paraId="08A4E535" w14:textId="77777777" w:rsidR="00E65CB6" w:rsidRPr="00653A78" w:rsidRDefault="00E65CB6" w:rsidP="00E65CB6">
      <w:pPr>
        <w:suppressAutoHyphens/>
        <w:jc w:val="both"/>
        <w:rPr>
          <w:spacing w:val="-3"/>
        </w:rPr>
      </w:pPr>
    </w:p>
    <w:p w14:paraId="38F9E251" w14:textId="77777777" w:rsidR="00E65CB6" w:rsidRPr="00653A78" w:rsidRDefault="00E65CB6" w:rsidP="00E65CB6">
      <w:pPr>
        <w:suppressAutoHyphens/>
        <w:jc w:val="both"/>
        <w:rPr>
          <w:b/>
          <w:spacing w:val="-3"/>
        </w:rPr>
      </w:pP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spacing w:val="-3"/>
        </w:rPr>
        <w:tab/>
      </w:r>
      <w:r w:rsidRPr="00653A78">
        <w:rPr>
          <w:b/>
          <w:spacing w:val="-3"/>
        </w:rPr>
        <w:t>PREDSJEDNIKU HRVATSKOGA SABORA</w:t>
      </w:r>
    </w:p>
    <w:p w14:paraId="656C22E0" w14:textId="77777777" w:rsidR="00E65CB6" w:rsidRDefault="00E65CB6" w:rsidP="00E65CB6">
      <w:pPr>
        <w:tabs>
          <w:tab w:val="left" w:pos="-720"/>
        </w:tabs>
        <w:suppressAutoHyphens/>
        <w:jc w:val="both"/>
        <w:rPr>
          <w:spacing w:val="-3"/>
        </w:rPr>
      </w:pPr>
    </w:p>
    <w:p w14:paraId="0082E955" w14:textId="77777777" w:rsidR="00E65CB6" w:rsidRDefault="00E65CB6" w:rsidP="00E65CB6">
      <w:pPr>
        <w:tabs>
          <w:tab w:val="left" w:pos="-720"/>
        </w:tabs>
        <w:suppressAutoHyphens/>
        <w:jc w:val="both"/>
        <w:rPr>
          <w:spacing w:val="-3"/>
        </w:rPr>
      </w:pPr>
    </w:p>
    <w:p w14:paraId="393E2251" w14:textId="77777777" w:rsidR="00E65CB6" w:rsidRPr="00653A78" w:rsidRDefault="00E65CB6" w:rsidP="00E65CB6">
      <w:pPr>
        <w:tabs>
          <w:tab w:val="left" w:pos="-720"/>
        </w:tabs>
        <w:suppressAutoHyphens/>
        <w:jc w:val="both"/>
        <w:rPr>
          <w:spacing w:val="-3"/>
        </w:rPr>
      </w:pPr>
    </w:p>
    <w:p w14:paraId="1FB75F5C" w14:textId="77777777" w:rsidR="00E65CB6" w:rsidRPr="00653A78" w:rsidRDefault="00E65CB6" w:rsidP="00E65CB6">
      <w:pPr>
        <w:tabs>
          <w:tab w:val="left" w:pos="-720"/>
        </w:tabs>
        <w:suppressAutoHyphens/>
        <w:ind w:left="1418" w:hanging="1418"/>
        <w:jc w:val="both"/>
        <w:rPr>
          <w:spacing w:val="-3"/>
        </w:rPr>
      </w:pPr>
      <w:r w:rsidRPr="00653A78">
        <w:rPr>
          <w:spacing w:val="-3"/>
        </w:rPr>
        <w:t>Predmet:</w:t>
      </w:r>
      <w:r w:rsidRPr="00653A78">
        <w:rPr>
          <w:spacing w:val="-3"/>
        </w:rPr>
        <w:tab/>
        <w:t>Zastupničko pitanje</w:t>
      </w:r>
      <w:r>
        <w:rPr>
          <w:spacing w:val="-3"/>
        </w:rPr>
        <w:t xml:space="preserve"> </w:t>
      </w:r>
      <w:r w:rsidR="00DE2B9F">
        <w:rPr>
          <w:spacing w:val="-3"/>
        </w:rPr>
        <w:t xml:space="preserve">Sonje Čikotić, </w:t>
      </w:r>
      <w:r w:rsidR="00DE2B9F" w:rsidRPr="00DE2B9F">
        <w:rPr>
          <w:spacing w:val="-3"/>
        </w:rPr>
        <w:t>u vezi s</w:t>
      </w:r>
      <w:r w:rsidR="00647F73">
        <w:rPr>
          <w:spacing w:val="-3"/>
        </w:rPr>
        <w:t>a</w:t>
      </w:r>
      <w:r w:rsidR="00DE2B9F" w:rsidRPr="00DE2B9F">
        <w:rPr>
          <w:spacing w:val="-3"/>
        </w:rPr>
        <w:t xml:space="preserve"> suzbijanjem i penaliziranjem koruptivnih radnji u javnoj upravi</w:t>
      </w:r>
      <w:r w:rsidR="00DE2B9F">
        <w:rPr>
          <w:spacing w:val="-3"/>
        </w:rPr>
        <w:t xml:space="preserve"> </w:t>
      </w:r>
      <w:r w:rsidRPr="00F534AF">
        <w:rPr>
          <w:spacing w:val="-3"/>
        </w:rPr>
        <w:t>-</w:t>
      </w:r>
      <w:r>
        <w:rPr>
          <w:spacing w:val="-3"/>
        </w:rPr>
        <w:t xml:space="preserve"> </w:t>
      </w:r>
      <w:r w:rsidRPr="00653A78">
        <w:rPr>
          <w:spacing w:val="-3"/>
        </w:rPr>
        <w:t>odgovor Vlade</w:t>
      </w:r>
    </w:p>
    <w:p w14:paraId="58D21ADF" w14:textId="77777777" w:rsidR="00E65CB6" w:rsidRDefault="00E65CB6" w:rsidP="00E65CB6">
      <w:pPr>
        <w:tabs>
          <w:tab w:val="left" w:pos="-720"/>
        </w:tabs>
        <w:suppressAutoHyphens/>
        <w:jc w:val="both"/>
        <w:rPr>
          <w:spacing w:val="-3"/>
        </w:rPr>
      </w:pPr>
    </w:p>
    <w:p w14:paraId="0F5DBDAC" w14:textId="77777777" w:rsidR="00E65CB6" w:rsidRPr="00653A78" w:rsidRDefault="00E65CB6" w:rsidP="00E65CB6">
      <w:pPr>
        <w:tabs>
          <w:tab w:val="left" w:pos="-720"/>
        </w:tabs>
        <w:suppressAutoHyphens/>
        <w:jc w:val="both"/>
        <w:rPr>
          <w:spacing w:val="-3"/>
        </w:rPr>
      </w:pPr>
    </w:p>
    <w:p w14:paraId="1A422F1A" w14:textId="77777777" w:rsidR="00E65CB6" w:rsidRDefault="00E65CB6" w:rsidP="00DE2B9F">
      <w:pPr>
        <w:tabs>
          <w:tab w:val="left" w:pos="-720"/>
        </w:tabs>
        <w:suppressAutoHyphens/>
        <w:jc w:val="both"/>
        <w:rPr>
          <w:spacing w:val="-3"/>
        </w:rPr>
      </w:pPr>
      <w:r w:rsidRPr="00653A78">
        <w:rPr>
          <w:spacing w:val="-3"/>
        </w:rPr>
        <w:tab/>
      </w:r>
      <w:r w:rsidRPr="00653A78">
        <w:rPr>
          <w:spacing w:val="-3"/>
        </w:rPr>
        <w:tab/>
      </w:r>
      <w:r w:rsidR="00DE2B9F">
        <w:rPr>
          <w:spacing w:val="-3"/>
        </w:rPr>
        <w:t>Zastupnica</w:t>
      </w:r>
      <w:r w:rsidRPr="00653A78">
        <w:rPr>
          <w:spacing w:val="-3"/>
        </w:rPr>
        <w:t xml:space="preserve"> u Hrvatskome saboru</w:t>
      </w:r>
      <w:r>
        <w:rPr>
          <w:spacing w:val="-3"/>
        </w:rPr>
        <w:t>,</w:t>
      </w:r>
      <w:r w:rsidRPr="00653A78">
        <w:rPr>
          <w:spacing w:val="-3"/>
        </w:rPr>
        <w:t xml:space="preserve"> </w:t>
      </w:r>
      <w:r w:rsidR="00DE2B9F">
        <w:rPr>
          <w:spacing w:val="-3"/>
        </w:rPr>
        <w:t>Sonja Čikotić</w:t>
      </w:r>
      <w:r w:rsidRPr="00653A78">
        <w:rPr>
          <w:spacing w:val="-3"/>
        </w:rPr>
        <w:t>, postavi</w:t>
      </w:r>
      <w:r w:rsidR="00DE2B9F">
        <w:rPr>
          <w:spacing w:val="-3"/>
        </w:rPr>
        <w:t>la</w:t>
      </w:r>
      <w:r w:rsidRPr="00653A78">
        <w:rPr>
          <w:spacing w:val="-3"/>
        </w:rPr>
        <w:t xml:space="preserve"> je, </w:t>
      </w:r>
      <w:r w:rsidR="006A6853">
        <w:rPr>
          <w:spacing w:val="-3"/>
        </w:rPr>
        <w:t>sukladno s</w:t>
      </w:r>
      <w:r>
        <w:rPr>
          <w:spacing w:val="-3"/>
        </w:rPr>
        <w:t xml:space="preserve"> </w:t>
      </w:r>
      <w:r w:rsidRPr="00F574D0">
        <w:rPr>
          <w:spacing w:val="-3"/>
        </w:rPr>
        <w:t>člankom 140. Poslovnika Hrvatskoga sabora (Narodne novine, br.</w:t>
      </w:r>
      <w:r>
        <w:rPr>
          <w:spacing w:val="-3"/>
        </w:rPr>
        <w:t xml:space="preserve"> 81/13, 113/16, 69/17 i 29/18),</w:t>
      </w:r>
      <w:r>
        <w:t xml:space="preserve"> </w:t>
      </w:r>
      <w:r w:rsidRPr="00653A78">
        <w:rPr>
          <w:spacing w:val="-3"/>
        </w:rPr>
        <w:t xml:space="preserve">zastupničko pitanje </w:t>
      </w:r>
      <w:r w:rsidR="00DE2B9F" w:rsidRPr="00DE2B9F">
        <w:rPr>
          <w:spacing w:val="-3"/>
        </w:rPr>
        <w:t>u vezi s</w:t>
      </w:r>
      <w:r w:rsidR="00647F73">
        <w:rPr>
          <w:spacing w:val="-3"/>
        </w:rPr>
        <w:t>a</w:t>
      </w:r>
      <w:r w:rsidR="00DE2B9F" w:rsidRPr="00DE2B9F">
        <w:rPr>
          <w:spacing w:val="-3"/>
        </w:rPr>
        <w:t xml:space="preserve"> suzbijanjem i penaliziranjem koruptivnih radnji u javnoj upravi</w:t>
      </w:r>
      <w:r w:rsidR="00DE2B9F">
        <w:rPr>
          <w:spacing w:val="-3"/>
        </w:rPr>
        <w:t>.</w:t>
      </w:r>
    </w:p>
    <w:p w14:paraId="7815B416" w14:textId="77777777" w:rsidR="00E65CB6" w:rsidRPr="00653A78" w:rsidRDefault="00E65CB6" w:rsidP="00E65CB6">
      <w:pPr>
        <w:tabs>
          <w:tab w:val="left" w:pos="-720"/>
        </w:tabs>
        <w:suppressAutoHyphens/>
        <w:jc w:val="both"/>
        <w:rPr>
          <w:spacing w:val="-3"/>
        </w:rPr>
      </w:pPr>
    </w:p>
    <w:p w14:paraId="73AAA04F" w14:textId="77777777" w:rsidR="00E65CB6" w:rsidRDefault="00E65CB6" w:rsidP="00E65CB6">
      <w:pPr>
        <w:tabs>
          <w:tab w:val="left" w:pos="-720"/>
        </w:tabs>
        <w:suppressAutoHyphens/>
        <w:jc w:val="both"/>
        <w:rPr>
          <w:spacing w:val="-3"/>
        </w:rPr>
      </w:pPr>
      <w:r w:rsidRPr="00653A78">
        <w:rPr>
          <w:spacing w:val="-3"/>
        </w:rPr>
        <w:tab/>
      </w:r>
      <w:r w:rsidRPr="00653A78">
        <w:rPr>
          <w:spacing w:val="-3"/>
        </w:rPr>
        <w:tab/>
      </w:r>
      <w:r>
        <w:rPr>
          <w:spacing w:val="-3"/>
        </w:rPr>
        <w:t>Na navedeno zastupničko pitanje</w:t>
      </w:r>
      <w:r w:rsidRPr="00653A78">
        <w:rPr>
          <w:spacing w:val="-3"/>
        </w:rPr>
        <w:t xml:space="preserve"> Vlada Republike Hrvatske</w:t>
      </w:r>
      <w:r w:rsidR="00A31687">
        <w:rPr>
          <w:spacing w:val="-3"/>
        </w:rPr>
        <w:t>,</w:t>
      </w:r>
      <w:r w:rsidRPr="00653A78">
        <w:rPr>
          <w:spacing w:val="-3"/>
        </w:rPr>
        <w:t xml:space="preserve"> daje sljedeći odgovor:</w:t>
      </w:r>
    </w:p>
    <w:p w14:paraId="73D4DB53" w14:textId="77777777" w:rsidR="00DE2B9F" w:rsidRDefault="00DE2B9F" w:rsidP="00E65CB6">
      <w:pPr>
        <w:pStyle w:val="NoSpacing"/>
        <w:ind w:firstLine="708"/>
        <w:jc w:val="both"/>
        <w:rPr>
          <w:rFonts w:ascii="Times New Roman" w:hAnsi="Times New Roman"/>
          <w:bCs/>
          <w:sz w:val="24"/>
          <w:szCs w:val="24"/>
        </w:rPr>
      </w:pPr>
    </w:p>
    <w:p w14:paraId="47EEFD42" w14:textId="77777777" w:rsidR="00DE2B9F" w:rsidRPr="00DE2B9F" w:rsidRDefault="00DE2B9F" w:rsidP="00DE2B9F">
      <w:pPr>
        <w:pStyle w:val="NoSpacing"/>
        <w:ind w:firstLine="1418"/>
        <w:jc w:val="both"/>
        <w:rPr>
          <w:rFonts w:ascii="Times New Roman" w:hAnsi="Times New Roman"/>
          <w:bCs/>
          <w:sz w:val="24"/>
          <w:szCs w:val="24"/>
        </w:rPr>
      </w:pPr>
      <w:r w:rsidRPr="00DE2B9F">
        <w:rPr>
          <w:rFonts w:ascii="Times New Roman" w:hAnsi="Times New Roman"/>
          <w:bCs/>
          <w:sz w:val="24"/>
          <w:szCs w:val="24"/>
        </w:rPr>
        <w:t>U postupku jačanja preventivnih antikoruptivnih mehanizama u okviru aktualnog strateškog okvira</w:t>
      </w:r>
      <w:r w:rsidR="00827298">
        <w:rPr>
          <w:rFonts w:ascii="Times New Roman" w:hAnsi="Times New Roman"/>
          <w:bCs/>
          <w:sz w:val="24"/>
          <w:szCs w:val="24"/>
        </w:rPr>
        <w:t xml:space="preserve">, </w:t>
      </w:r>
      <w:r w:rsidR="007436A3">
        <w:rPr>
          <w:rFonts w:ascii="Times New Roman" w:hAnsi="Times New Roman"/>
          <w:bCs/>
          <w:sz w:val="24"/>
          <w:szCs w:val="24"/>
        </w:rPr>
        <w:t>donesena je</w:t>
      </w:r>
      <w:r w:rsidRPr="00DE2B9F">
        <w:rPr>
          <w:rFonts w:ascii="Times New Roman" w:hAnsi="Times New Roman"/>
          <w:bCs/>
          <w:sz w:val="24"/>
          <w:szCs w:val="24"/>
        </w:rPr>
        <w:t xml:space="preserve"> </w:t>
      </w:r>
      <w:r w:rsidR="007436A3">
        <w:rPr>
          <w:rFonts w:ascii="Times New Roman" w:hAnsi="Times New Roman"/>
          <w:bCs/>
          <w:sz w:val="24"/>
          <w:szCs w:val="24"/>
        </w:rPr>
        <w:t>Strategija</w:t>
      </w:r>
      <w:r w:rsidRPr="00DE2B9F">
        <w:rPr>
          <w:rFonts w:ascii="Times New Roman" w:hAnsi="Times New Roman"/>
          <w:bCs/>
          <w:sz w:val="24"/>
          <w:szCs w:val="24"/>
        </w:rPr>
        <w:t xml:space="preserve"> suzbijanja korupcije za razdoblje od 2015. do 2020. godine te</w:t>
      </w:r>
      <w:r w:rsidR="007436A3">
        <w:rPr>
          <w:rFonts w:ascii="Times New Roman" w:hAnsi="Times New Roman"/>
          <w:bCs/>
          <w:sz w:val="24"/>
          <w:szCs w:val="24"/>
        </w:rPr>
        <w:t xml:space="preserve"> Akcijski</w:t>
      </w:r>
      <w:r w:rsidR="00E76018">
        <w:rPr>
          <w:rFonts w:ascii="Times New Roman" w:hAnsi="Times New Roman"/>
          <w:bCs/>
          <w:sz w:val="24"/>
          <w:szCs w:val="24"/>
        </w:rPr>
        <w:t xml:space="preserve"> plan</w:t>
      </w:r>
      <w:r w:rsidR="007436A3">
        <w:rPr>
          <w:rFonts w:ascii="Times New Roman" w:hAnsi="Times New Roman"/>
          <w:bCs/>
          <w:sz w:val="24"/>
          <w:szCs w:val="24"/>
        </w:rPr>
        <w:t xml:space="preserve"> za 2017. i 2018. godinu i Akcijski plan za 2019. i 2020. godinu</w:t>
      </w:r>
      <w:r w:rsidR="00827298">
        <w:rPr>
          <w:rFonts w:ascii="Times New Roman" w:hAnsi="Times New Roman"/>
          <w:bCs/>
          <w:sz w:val="24"/>
          <w:szCs w:val="24"/>
        </w:rPr>
        <w:t>.</w:t>
      </w:r>
      <w:r w:rsidR="00E76018">
        <w:rPr>
          <w:rFonts w:ascii="Times New Roman" w:hAnsi="Times New Roman"/>
          <w:bCs/>
          <w:sz w:val="24"/>
          <w:szCs w:val="24"/>
        </w:rPr>
        <w:t xml:space="preserve"> </w:t>
      </w:r>
      <w:r w:rsidRPr="00DE2B9F">
        <w:rPr>
          <w:rFonts w:ascii="Times New Roman" w:hAnsi="Times New Roman"/>
          <w:bCs/>
          <w:sz w:val="24"/>
          <w:szCs w:val="24"/>
        </w:rPr>
        <w:t>Akcijski planovi su generalno usmjereni na jačanje transparentnosti i učinkovitosti u radu tijela javne vlasti, integriteta dužnosnika i službenika te općenito unaprjeđenja u organizaciji sustava i zakonodavnom okviru kao osnovnim elementima prevencije korupcije.</w:t>
      </w:r>
    </w:p>
    <w:p w14:paraId="36769B6D" w14:textId="77777777" w:rsidR="00DE2B9F" w:rsidRPr="00DE2B9F" w:rsidRDefault="00DE2B9F" w:rsidP="00DE2B9F">
      <w:pPr>
        <w:pStyle w:val="NoSpacing"/>
        <w:ind w:firstLine="708"/>
        <w:jc w:val="both"/>
        <w:rPr>
          <w:rFonts w:ascii="Times New Roman" w:hAnsi="Times New Roman"/>
          <w:bCs/>
          <w:sz w:val="24"/>
          <w:szCs w:val="24"/>
        </w:rPr>
      </w:pPr>
    </w:p>
    <w:p w14:paraId="7F358540" w14:textId="77777777" w:rsidR="00DE2B9F" w:rsidRPr="00DE2B9F" w:rsidRDefault="00DE2B9F" w:rsidP="00DE2B9F">
      <w:pPr>
        <w:pStyle w:val="NoSpacing"/>
        <w:ind w:firstLine="1418"/>
        <w:jc w:val="both"/>
        <w:rPr>
          <w:rFonts w:ascii="Times New Roman" w:hAnsi="Times New Roman"/>
          <w:bCs/>
          <w:sz w:val="24"/>
          <w:szCs w:val="24"/>
        </w:rPr>
      </w:pPr>
      <w:r w:rsidRPr="00DE2B9F">
        <w:rPr>
          <w:rFonts w:ascii="Times New Roman" w:hAnsi="Times New Roman"/>
          <w:bCs/>
          <w:sz w:val="24"/>
          <w:szCs w:val="24"/>
        </w:rPr>
        <w:t>Tijek</w:t>
      </w:r>
      <w:r w:rsidR="00827298">
        <w:rPr>
          <w:rFonts w:ascii="Times New Roman" w:hAnsi="Times New Roman"/>
          <w:bCs/>
          <w:sz w:val="24"/>
          <w:szCs w:val="24"/>
        </w:rPr>
        <w:t>om 2018. i 2019. godine doneseni</w:t>
      </w:r>
      <w:r w:rsidRPr="00DE2B9F">
        <w:rPr>
          <w:rFonts w:ascii="Times New Roman" w:hAnsi="Times New Roman"/>
          <w:bCs/>
          <w:sz w:val="24"/>
          <w:szCs w:val="24"/>
        </w:rPr>
        <w:t xml:space="preserve"> su Zakon o Državnoodvjetničkom vijeću</w:t>
      </w:r>
      <w:r w:rsidR="00827298">
        <w:rPr>
          <w:rFonts w:ascii="Times New Roman" w:hAnsi="Times New Roman"/>
          <w:bCs/>
          <w:sz w:val="24"/>
          <w:szCs w:val="24"/>
        </w:rPr>
        <w:t xml:space="preserve"> (Narodne novine, br.</w:t>
      </w:r>
      <w:r w:rsidR="00BC2006">
        <w:rPr>
          <w:rFonts w:ascii="Times New Roman" w:hAnsi="Times New Roman"/>
          <w:bCs/>
          <w:sz w:val="24"/>
          <w:szCs w:val="24"/>
        </w:rPr>
        <w:t xml:space="preserve"> 67/18 i 126/</w:t>
      </w:r>
      <w:r w:rsidR="00BC2006" w:rsidRPr="00BC2006">
        <w:rPr>
          <w:rFonts w:ascii="Times New Roman" w:hAnsi="Times New Roman"/>
          <w:bCs/>
          <w:sz w:val="24"/>
          <w:szCs w:val="24"/>
        </w:rPr>
        <w:t>19</w:t>
      </w:r>
      <w:r w:rsidR="00BC2006">
        <w:rPr>
          <w:rFonts w:ascii="Times New Roman" w:hAnsi="Times New Roman"/>
          <w:bCs/>
          <w:sz w:val="24"/>
          <w:szCs w:val="24"/>
        </w:rPr>
        <w:t>)</w:t>
      </w:r>
      <w:r w:rsidRPr="00DE2B9F">
        <w:rPr>
          <w:rFonts w:ascii="Times New Roman" w:hAnsi="Times New Roman"/>
          <w:bCs/>
          <w:sz w:val="24"/>
          <w:szCs w:val="24"/>
        </w:rPr>
        <w:t>, Zakon o izmjenama i dopunama Za</w:t>
      </w:r>
      <w:r w:rsidR="00BC2006">
        <w:rPr>
          <w:rFonts w:ascii="Times New Roman" w:hAnsi="Times New Roman"/>
          <w:bCs/>
          <w:sz w:val="24"/>
          <w:szCs w:val="24"/>
        </w:rPr>
        <w:t>kona o državnom sudb</w:t>
      </w:r>
      <w:r w:rsidR="00827298">
        <w:rPr>
          <w:rFonts w:ascii="Times New Roman" w:hAnsi="Times New Roman"/>
          <w:bCs/>
          <w:sz w:val="24"/>
          <w:szCs w:val="24"/>
        </w:rPr>
        <w:t>enom vijeću (Narodne novine, broj</w:t>
      </w:r>
      <w:r w:rsidR="00BC2006">
        <w:rPr>
          <w:rFonts w:ascii="Times New Roman" w:hAnsi="Times New Roman"/>
          <w:bCs/>
          <w:sz w:val="24"/>
          <w:szCs w:val="24"/>
        </w:rPr>
        <w:t xml:space="preserve"> 67/18), </w:t>
      </w:r>
      <w:r w:rsidRPr="00DE2B9F">
        <w:rPr>
          <w:rFonts w:ascii="Times New Roman" w:hAnsi="Times New Roman"/>
          <w:bCs/>
          <w:sz w:val="24"/>
          <w:szCs w:val="24"/>
        </w:rPr>
        <w:t>Zakon o zaš</w:t>
      </w:r>
      <w:r w:rsidR="00BC2006">
        <w:rPr>
          <w:rFonts w:ascii="Times New Roman" w:hAnsi="Times New Roman"/>
          <w:bCs/>
          <w:sz w:val="24"/>
          <w:szCs w:val="24"/>
        </w:rPr>
        <w:t>titi prijavitelja ne</w:t>
      </w:r>
      <w:r w:rsidR="00827298">
        <w:rPr>
          <w:rFonts w:ascii="Times New Roman" w:hAnsi="Times New Roman"/>
          <w:bCs/>
          <w:sz w:val="24"/>
          <w:szCs w:val="24"/>
        </w:rPr>
        <w:t>pravilnosti (Narodne novine, broj</w:t>
      </w:r>
      <w:r w:rsidR="00BC2006">
        <w:rPr>
          <w:rFonts w:ascii="Times New Roman" w:hAnsi="Times New Roman"/>
          <w:bCs/>
          <w:sz w:val="24"/>
          <w:szCs w:val="24"/>
        </w:rPr>
        <w:t xml:space="preserve"> 17/</w:t>
      </w:r>
      <w:r w:rsidR="00BC2006" w:rsidRPr="00BC2006">
        <w:rPr>
          <w:rFonts w:ascii="Times New Roman" w:hAnsi="Times New Roman"/>
          <w:bCs/>
          <w:sz w:val="24"/>
          <w:szCs w:val="24"/>
        </w:rPr>
        <w:t>19</w:t>
      </w:r>
      <w:r w:rsidR="00BC2006">
        <w:rPr>
          <w:rFonts w:ascii="Times New Roman" w:hAnsi="Times New Roman"/>
          <w:bCs/>
          <w:sz w:val="24"/>
          <w:szCs w:val="24"/>
        </w:rPr>
        <w:t xml:space="preserve">), </w:t>
      </w:r>
      <w:r w:rsidRPr="00DE2B9F">
        <w:rPr>
          <w:rFonts w:ascii="Times New Roman" w:hAnsi="Times New Roman"/>
          <w:bCs/>
          <w:sz w:val="24"/>
          <w:szCs w:val="24"/>
        </w:rPr>
        <w:t>Zakon o fin</w:t>
      </w:r>
      <w:r w:rsidR="00BC2006">
        <w:rPr>
          <w:rFonts w:ascii="Times New Roman" w:hAnsi="Times New Roman"/>
          <w:bCs/>
          <w:sz w:val="24"/>
          <w:szCs w:val="24"/>
        </w:rPr>
        <w:t>anciranju političkih aktivnosti</w:t>
      </w:r>
      <w:r w:rsidRPr="00DE2B9F">
        <w:rPr>
          <w:rFonts w:ascii="Times New Roman" w:hAnsi="Times New Roman"/>
          <w:bCs/>
          <w:sz w:val="24"/>
          <w:szCs w:val="24"/>
        </w:rPr>
        <w:t xml:space="preserve"> izborne promidžbe i referen</w:t>
      </w:r>
      <w:r w:rsidR="00BC2006">
        <w:rPr>
          <w:rFonts w:ascii="Times New Roman" w:hAnsi="Times New Roman"/>
          <w:bCs/>
          <w:sz w:val="24"/>
          <w:szCs w:val="24"/>
        </w:rPr>
        <w:t xml:space="preserve">duma </w:t>
      </w:r>
      <w:r w:rsidR="00827298">
        <w:rPr>
          <w:rFonts w:ascii="Times New Roman" w:hAnsi="Times New Roman"/>
          <w:bCs/>
          <w:sz w:val="24"/>
          <w:szCs w:val="24"/>
        </w:rPr>
        <w:t>(Narodne novine, br.</w:t>
      </w:r>
      <w:r w:rsidR="00BC2006" w:rsidRPr="00BC2006">
        <w:rPr>
          <w:rFonts w:ascii="Times New Roman" w:hAnsi="Times New Roman"/>
          <w:bCs/>
          <w:sz w:val="24"/>
          <w:szCs w:val="24"/>
        </w:rPr>
        <w:t xml:space="preserve"> 29/19 i 98/19),</w:t>
      </w:r>
      <w:r w:rsidR="00BC2006">
        <w:rPr>
          <w:rFonts w:ascii="Times New Roman" w:hAnsi="Times New Roman"/>
          <w:bCs/>
          <w:sz w:val="24"/>
          <w:szCs w:val="24"/>
        </w:rPr>
        <w:t xml:space="preserve"> Zakon o Pravosudnoj akademiji (Narodne</w:t>
      </w:r>
      <w:r w:rsidR="00827298">
        <w:rPr>
          <w:rFonts w:ascii="Times New Roman" w:hAnsi="Times New Roman"/>
          <w:bCs/>
          <w:sz w:val="24"/>
          <w:szCs w:val="24"/>
        </w:rPr>
        <w:t xml:space="preserve"> novine, broj</w:t>
      </w:r>
      <w:r w:rsidR="00BC2006">
        <w:rPr>
          <w:rFonts w:ascii="Times New Roman" w:hAnsi="Times New Roman"/>
          <w:bCs/>
          <w:sz w:val="24"/>
          <w:szCs w:val="24"/>
        </w:rPr>
        <w:t xml:space="preserve"> 52/</w:t>
      </w:r>
      <w:r w:rsidR="00BC2006" w:rsidRPr="00BC2006">
        <w:rPr>
          <w:rFonts w:ascii="Times New Roman" w:hAnsi="Times New Roman"/>
          <w:bCs/>
          <w:sz w:val="24"/>
          <w:szCs w:val="24"/>
        </w:rPr>
        <w:t>19</w:t>
      </w:r>
      <w:r w:rsidR="00BC2006">
        <w:rPr>
          <w:rFonts w:ascii="Times New Roman" w:hAnsi="Times New Roman"/>
          <w:bCs/>
          <w:sz w:val="24"/>
          <w:szCs w:val="24"/>
        </w:rPr>
        <w:t xml:space="preserve">), </w:t>
      </w:r>
      <w:r w:rsidRPr="00DE2B9F">
        <w:rPr>
          <w:rFonts w:ascii="Times New Roman" w:hAnsi="Times New Roman"/>
          <w:bCs/>
          <w:sz w:val="24"/>
          <w:szCs w:val="24"/>
        </w:rPr>
        <w:t>te</w:t>
      </w:r>
      <w:r w:rsidR="00BC2006">
        <w:rPr>
          <w:rFonts w:ascii="Times New Roman" w:hAnsi="Times New Roman"/>
          <w:bCs/>
          <w:sz w:val="24"/>
          <w:szCs w:val="24"/>
        </w:rPr>
        <w:t xml:space="preserve"> Zakon o sustavu državne uprave (Narod</w:t>
      </w:r>
      <w:r w:rsidR="00827298">
        <w:rPr>
          <w:rFonts w:ascii="Times New Roman" w:hAnsi="Times New Roman"/>
          <w:bCs/>
          <w:sz w:val="24"/>
          <w:szCs w:val="24"/>
        </w:rPr>
        <w:t>ne novine, broj</w:t>
      </w:r>
      <w:r w:rsidR="00BC2006">
        <w:rPr>
          <w:rFonts w:ascii="Times New Roman" w:hAnsi="Times New Roman"/>
          <w:bCs/>
          <w:sz w:val="24"/>
          <w:szCs w:val="24"/>
        </w:rPr>
        <w:t xml:space="preserve"> 66/</w:t>
      </w:r>
      <w:r w:rsidR="00BC2006" w:rsidRPr="00BC2006">
        <w:rPr>
          <w:rFonts w:ascii="Times New Roman" w:hAnsi="Times New Roman"/>
          <w:bCs/>
          <w:sz w:val="24"/>
          <w:szCs w:val="24"/>
        </w:rPr>
        <w:t>19</w:t>
      </w:r>
      <w:r w:rsidR="00BC2006">
        <w:rPr>
          <w:rFonts w:ascii="Times New Roman" w:hAnsi="Times New Roman"/>
          <w:bCs/>
          <w:sz w:val="24"/>
          <w:szCs w:val="24"/>
        </w:rPr>
        <w:t>).</w:t>
      </w:r>
    </w:p>
    <w:p w14:paraId="4345F497" w14:textId="77777777" w:rsidR="00DE2B9F" w:rsidRPr="00DE2B9F" w:rsidRDefault="00DE2B9F" w:rsidP="00DE2B9F">
      <w:pPr>
        <w:pStyle w:val="NoSpacing"/>
        <w:ind w:firstLine="708"/>
        <w:jc w:val="both"/>
        <w:rPr>
          <w:rFonts w:ascii="Times New Roman" w:hAnsi="Times New Roman"/>
          <w:bCs/>
          <w:sz w:val="24"/>
          <w:szCs w:val="24"/>
        </w:rPr>
      </w:pPr>
    </w:p>
    <w:p w14:paraId="6DC526EF" w14:textId="77777777" w:rsidR="00DE2B9F" w:rsidRDefault="00DE2B9F" w:rsidP="00DE2B9F">
      <w:pPr>
        <w:pStyle w:val="NoSpacing"/>
        <w:ind w:firstLine="1418"/>
        <w:jc w:val="both"/>
        <w:rPr>
          <w:rFonts w:ascii="Times New Roman" w:hAnsi="Times New Roman"/>
          <w:bCs/>
          <w:sz w:val="24"/>
          <w:szCs w:val="24"/>
        </w:rPr>
      </w:pPr>
      <w:r w:rsidRPr="00DE2B9F">
        <w:rPr>
          <w:rFonts w:ascii="Times New Roman" w:hAnsi="Times New Roman"/>
          <w:bCs/>
          <w:sz w:val="24"/>
          <w:szCs w:val="24"/>
        </w:rPr>
        <w:t xml:space="preserve">Formiranjem Savjeta za sprječavanje korupcije 2017. godine kao radnog tijela Vlade Republike Hrvatske dodatno je ojačan mehanizam nadzora provedbe i procjene uspješnosti učinaka antikorupcijskih mjera. </w:t>
      </w:r>
    </w:p>
    <w:p w14:paraId="3F73961C" w14:textId="77777777" w:rsidR="00DE2B9F" w:rsidRPr="00DE2B9F" w:rsidRDefault="00DE2B9F" w:rsidP="00DE2B9F">
      <w:pPr>
        <w:pStyle w:val="NoSpacing"/>
        <w:ind w:firstLine="1418"/>
        <w:jc w:val="both"/>
        <w:rPr>
          <w:rFonts w:ascii="Times New Roman" w:hAnsi="Times New Roman"/>
          <w:bCs/>
          <w:sz w:val="24"/>
          <w:szCs w:val="24"/>
        </w:rPr>
      </w:pPr>
    </w:p>
    <w:p w14:paraId="5052909B" w14:textId="77777777" w:rsidR="00DE2B9F" w:rsidRPr="00DE2B9F" w:rsidRDefault="00A665A4" w:rsidP="00DE2B9F">
      <w:pPr>
        <w:pStyle w:val="NoSpacing"/>
        <w:ind w:firstLine="1418"/>
        <w:jc w:val="both"/>
        <w:rPr>
          <w:rFonts w:ascii="Times New Roman" w:hAnsi="Times New Roman"/>
          <w:bCs/>
          <w:sz w:val="24"/>
          <w:szCs w:val="24"/>
        </w:rPr>
      </w:pPr>
      <w:r>
        <w:rPr>
          <w:rFonts w:ascii="Times New Roman" w:hAnsi="Times New Roman"/>
          <w:bCs/>
          <w:sz w:val="24"/>
          <w:szCs w:val="24"/>
        </w:rPr>
        <w:t xml:space="preserve">Vlada Republike Hrvatske je u svibnju 2019. godine donijela </w:t>
      </w:r>
      <w:r w:rsidR="00DE2B9F" w:rsidRPr="00DE2B9F">
        <w:rPr>
          <w:rFonts w:ascii="Times New Roman" w:hAnsi="Times New Roman"/>
          <w:bCs/>
          <w:sz w:val="24"/>
          <w:szCs w:val="24"/>
        </w:rPr>
        <w:t>Antikorupcijski program za trgovačka društva u većinskom državnom vlasništvu</w:t>
      </w:r>
      <w:r w:rsidR="009C1C71">
        <w:rPr>
          <w:rFonts w:ascii="Times New Roman" w:hAnsi="Times New Roman"/>
          <w:bCs/>
          <w:sz w:val="24"/>
          <w:szCs w:val="24"/>
        </w:rPr>
        <w:t xml:space="preserve"> za razdoblje</w:t>
      </w:r>
      <w:r w:rsidR="00DE2B9F" w:rsidRPr="00DE2B9F">
        <w:rPr>
          <w:rFonts w:ascii="Times New Roman" w:hAnsi="Times New Roman"/>
          <w:bCs/>
          <w:sz w:val="24"/>
          <w:szCs w:val="24"/>
        </w:rPr>
        <w:t xml:space="preserve"> 2019</w:t>
      </w:r>
      <w:r w:rsidR="005F7989">
        <w:rPr>
          <w:rFonts w:ascii="Times New Roman" w:hAnsi="Times New Roman"/>
          <w:bCs/>
          <w:sz w:val="24"/>
          <w:szCs w:val="24"/>
        </w:rPr>
        <w:t>.</w:t>
      </w:r>
      <w:r w:rsidR="00DE2B9F" w:rsidRPr="00DE2B9F">
        <w:rPr>
          <w:rFonts w:ascii="Times New Roman" w:hAnsi="Times New Roman"/>
          <w:bCs/>
          <w:sz w:val="24"/>
          <w:szCs w:val="24"/>
        </w:rPr>
        <w:t>-2020. U akcijskim planovima pojedinih trgovačkih druš</w:t>
      </w:r>
      <w:r w:rsidR="005F7989">
        <w:rPr>
          <w:rFonts w:ascii="Times New Roman" w:hAnsi="Times New Roman"/>
          <w:bCs/>
          <w:sz w:val="24"/>
          <w:szCs w:val="24"/>
        </w:rPr>
        <w:t>tava iz određenih smjernica bit</w:t>
      </w:r>
      <w:r w:rsidR="00DE2B9F" w:rsidRPr="00DE2B9F">
        <w:rPr>
          <w:rFonts w:ascii="Times New Roman" w:hAnsi="Times New Roman"/>
          <w:bCs/>
          <w:sz w:val="24"/>
          <w:szCs w:val="24"/>
        </w:rPr>
        <w:t xml:space="preserve"> će određene konkretne aktivnosti kojima će se nastojati postići postavljeni ciljevi. </w:t>
      </w:r>
    </w:p>
    <w:p w14:paraId="0A825B62" w14:textId="77777777" w:rsidR="00DE2B9F" w:rsidRPr="00DE2B9F" w:rsidRDefault="00DE2B9F" w:rsidP="00DE2B9F">
      <w:pPr>
        <w:pStyle w:val="NoSpacing"/>
        <w:ind w:firstLine="708"/>
        <w:jc w:val="both"/>
        <w:rPr>
          <w:rFonts w:ascii="Times New Roman" w:hAnsi="Times New Roman"/>
          <w:bCs/>
          <w:sz w:val="24"/>
          <w:szCs w:val="24"/>
        </w:rPr>
      </w:pPr>
    </w:p>
    <w:p w14:paraId="45F8869C" w14:textId="77777777"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Na području jačanja transparentnosti jedinica lokalne i područne (regionalne) samouprave izrađen je prvi cjelovit popis trgovačkih društava u većinskom vlasništvu jedinica lokalne i područne (regionalne) samouprave</w:t>
      </w:r>
      <w:r w:rsidR="005F7989">
        <w:rPr>
          <w:rFonts w:ascii="Times New Roman" w:hAnsi="Times New Roman"/>
          <w:bCs/>
          <w:sz w:val="24"/>
          <w:szCs w:val="24"/>
        </w:rPr>
        <w:t>,</w:t>
      </w:r>
      <w:r w:rsidRPr="00DE2B9F">
        <w:rPr>
          <w:rFonts w:ascii="Times New Roman" w:hAnsi="Times New Roman"/>
          <w:bCs/>
          <w:sz w:val="24"/>
          <w:szCs w:val="24"/>
        </w:rPr>
        <w:t xml:space="preserve"> te su za ista prikupljeni podaci o imenima </w:t>
      </w:r>
      <w:r w:rsidRPr="00DE2B9F">
        <w:rPr>
          <w:rFonts w:ascii="Times New Roman" w:hAnsi="Times New Roman"/>
          <w:bCs/>
          <w:sz w:val="24"/>
          <w:szCs w:val="24"/>
        </w:rPr>
        <w:lastRenderedPageBreak/>
        <w:t xml:space="preserve">članova uprava i nadzornih odbora. Popis je objavljen na mrežnim stranicama Ministarstva pravosuđa. </w:t>
      </w:r>
    </w:p>
    <w:p w14:paraId="6A50D780" w14:textId="77777777" w:rsidR="00DE2B9F" w:rsidRPr="00DE2B9F" w:rsidRDefault="00DE2B9F" w:rsidP="00DE2B9F">
      <w:pPr>
        <w:pStyle w:val="NoSpacing"/>
        <w:ind w:firstLine="708"/>
        <w:jc w:val="both"/>
        <w:rPr>
          <w:rFonts w:ascii="Times New Roman" w:hAnsi="Times New Roman"/>
          <w:bCs/>
          <w:sz w:val="24"/>
          <w:szCs w:val="24"/>
        </w:rPr>
      </w:pPr>
    </w:p>
    <w:p w14:paraId="3A68389F" w14:textId="0B00E118"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 xml:space="preserve">U cilju jačanja antikorupcijskih mehanizama, integriteta, transparentnosti i odgovornosti na regionalnoj razini, većina županija </w:t>
      </w:r>
      <w:r w:rsidR="006C60B3">
        <w:rPr>
          <w:rFonts w:ascii="Times New Roman" w:hAnsi="Times New Roman"/>
          <w:bCs/>
          <w:sz w:val="24"/>
          <w:szCs w:val="24"/>
        </w:rPr>
        <w:t xml:space="preserve">je osnovala su </w:t>
      </w:r>
      <w:r w:rsidRPr="00DE2B9F">
        <w:rPr>
          <w:rFonts w:ascii="Times New Roman" w:hAnsi="Times New Roman"/>
          <w:bCs/>
          <w:sz w:val="24"/>
          <w:szCs w:val="24"/>
        </w:rPr>
        <w:t xml:space="preserve">Antikorupcijska povjerenstva koja rade u području borbe protiv korupcije. U skladu s tim, neke županije usvojile su interne akcijske planove za borbu protiv korupcije i kodekse ponašanja službenika na regionalnoj razini. </w:t>
      </w:r>
    </w:p>
    <w:p w14:paraId="4B50ED8C" w14:textId="77777777" w:rsidR="00DE2B9F" w:rsidRPr="00DE2B9F" w:rsidRDefault="00DE2B9F" w:rsidP="00DE2B9F">
      <w:pPr>
        <w:pStyle w:val="NoSpacing"/>
        <w:ind w:firstLine="708"/>
        <w:jc w:val="both"/>
        <w:rPr>
          <w:rFonts w:ascii="Times New Roman" w:hAnsi="Times New Roman"/>
          <w:bCs/>
          <w:sz w:val="24"/>
          <w:szCs w:val="24"/>
        </w:rPr>
      </w:pPr>
    </w:p>
    <w:p w14:paraId="7AB60021" w14:textId="77777777" w:rsidR="00DE2B9F" w:rsidRPr="00DE2B9F" w:rsidRDefault="00A665A4" w:rsidP="005F7989">
      <w:pPr>
        <w:pStyle w:val="NoSpacing"/>
        <w:ind w:firstLine="1418"/>
        <w:jc w:val="both"/>
        <w:rPr>
          <w:rFonts w:ascii="Times New Roman" w:hAnsi="Times New Roman"/>
          <w:bCs/>
          <w:sz w:val="24"/>
          <w:szCs w:val="24"/>
        </w:rPr>
      </w:pPr>
      <w:r w:rsidRPr="00A665A4">
        <w:rPr>
          <w:rFonts w:ascii="Times New Roman" w:hAnsi="Times New Roman"/>
          <w:bCs/>
          <w:sz w:val="24"/>
          <w:szCs w:val="24"/>
        </w:rPr>
        <w:t xml:space="preserve">Ministarstvo uprave </w:t>
      </w:r>
      <w:r>
        <w:rPr>
          <w:rFonts w:ascii="Times New Roman" w:hAnsi="Times New Roman"/>
          <w:bCs/>
          <w:sz w:val="24"/>
          <w:szCs w:val="24"/>
        </w:rPr>
        <w:t>je</w:t>
      </w:r>
      <w:r w:rsidR="00DE2B9F" w:rsidRPr="00DE2B9F">
        <w:rPr>
          <w:rFonts w:ascii="Times New Roman" w:hAnsi="Times New Roman"/>
          <w:bCs/>
          <w:sz w:val="24"/>
          <w:szCs w:val="24"/>
        </w:rPr>
        <w:t xml:space="preserve"> </w:t>
      </w:r>
      <w:r w:rsidR="00827298">
        <w:rPr>
          <w:rFonts w:ascii="Times New Roman" w:hAnsi="Times New Roman"/>
          <w:bCs/>
          <w:sz w:val="24"/>
          <w:szCs w:val="24"/>
        </w:rPr>
        <w:t xml:space="preserve">u </w:t>
      </w:r>
      <w:r w:rsidR="00DE2B9F" w:rsidRPr="00DE2B9F">
        <w:rPr>
          <w:rFonts w:ascii="Times New Roman" w:hAnsi="Times New Roman"/>
          <w:bCs/>
          <w:sz w:val="24"/>
          <w:szCs w:val="24"/>
        </w:rPr>
        <w:t xml:space="preserve">svibnju 2017. godine </w:t>
      </w:r>
      <w:r>
        <w:rPr>
          <w:rFonts w:ascii="Times New Roman" w:hAnsi="Times New Roman"/>
          <w:bCs/>
          <w:sz w:val="24"/>
          <w:szCs w:val="24"/>
        </w:rPr>
        <w:t>izradilo</w:t>
      </w:r>
      <w:r w:rsidR="00070A34">
        <w:rPr>
          <w:rFonts w:ascii="Times New Roman" w:hAnsi="Times New Roman"/>
          <w:bCs/>
          <w:sz w:val="24"/>
          <w:szCs w:val="24"/>
        </w:rPr>
        <w:t xml:space="preserve"> </w:t>
      </w:r>
      <w:r w:rsidR="00DE2B9F" w:rsidRPr="00DE2B9F">
        <w:rPr>
          <w:rFonts w:ascii="Times New Roman" w:hAnsi="Times New Roman"/>
          <w:bCs/>
          <w:sz w:val="24"/>
          <w:szCs w:val="24"/>
        </w:rPr>
        <w:t>Smjernice za upravljanje sukobom interesa zaposlenika u javnom sektoru s Priručnikom za upravljanje sukobom interesa zaposlenika u javnom sektoru čija je svrha pomoći tijelima javne vlasti na središnjoj i lokalnoj razini u uspostavi učinkovitog upravljanja sukobom interesa.</w:t>
      </w:r>
    </w:p>
    <w:p w14:paraId="332FDDE3" w14:textId="77777777" w:rsidR="00DE2B9F" w:rsidRPr="00DE2B9F" w:rsidRDefault="00DE2B9F" w:rsidP="00DE2B9F">
      <w:pPr>
        <w:pStyle w:val="NoSpacing"/>
        <w:ind w:firstLine="708"/>
        <w:jc w:val="both"/>
        <w:rPr>
          <w:rFonts w:ascii="Times New Roman" w:hAnsi="Times New Roman"/>
          <w:bCs/>
          <w:sz w:val="24"/>
          <w:szCs w:val="24"/>
        </w:rPr>
      </w:pPr>
    </w:p>
    <w:p w14:paraId="4E601685" w14:textId="77777777"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 xml:space="preserve">U svibnju 2018. godine svim središnjim tijelima državne uprave dostavljene su Upute o nužnim zahtjevima kod nabave programskih sustava čiju izradu naručuju tijela. </w:t>
      </w:r>
    </w:p>
    <w:p w14:paraId="574CC9FA" w14:textId="77777777" w:rsidR="00DE2B9F" w:rsidRPr="00DE2B9F" w:rsidRDefault="00DE2B9F" w:rsidP="00DE2B9F">
      <w:pPr>
        <w:pStyle w:val="NoSpacing"/>
        <w:ind w:firstLine="708"/>
        <w:jc w:val="both"/>
        <w:rPr>
          <w:rFonts w:ascii="Times New Roman" w:hAnsi="Times New Roman"/>
          <w:bCs/>
          <w:sz w:val="24"/>
          <w:szCs w:val="24"/>
        </w:rPr>
      </w:pPr>
    </w:p>
    <w:p w14:paraId="37ED579C" w14:textId="7B4AC119"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S ciljem unaprjeđenja integriteta i primjene etičkih načela u svakodnevnom radu zaposlenika javne uprave</w:t>
      </w:r>
      <w:r w:rsidR="00827298">
        <w:rPr>
          <w:rFonts w:ascii="Times New Roman" w:hAnsi="Times New Roman"/>
          <w:bCs/>
          <w:sz w:val="24"/>
          <w:szCs w:val="24"/>
        </w:rPr>
        <w:t>,</w:t>
      </w:r>
      <w:r w:rsidRPr="00DE2B9F">
        <w:rPr>
          <w:rFonts w:ascii="Times New Roman" w:hAnsi="Times New Roman"/>
          <w:bCs/>
          <w:sz w:val="24"/>
          <w:szCs w:val="24"/>
        </w:rPr>
        <w:t xml:space="preserve"> Ministarstvo uprave</w:t>
      </w:r>
      <w:r w:rsidR="005F7989">
        <w:rPr>
          <w:rFonts w:ascii="Times New Roman" w:hAnsi="Times New Roman"/>
          <w:bCs/>
          <w:sz w:val="24"/>
          <w:szCs w:val="24"/>
        </w:rPr>
        <w:t xml:space="preserve"> je</w:t>
      </w:r>
      <w:r w:rsidRPr="00DE2B9F">
        <w:rPr>
          <w:rFonts w:ascii="Times New Roman" w:hAnsi="Times New Roman"/>
          <w:bCs/>
          <w:sz w:val="24"/>
          <w:szCs w:val="24"/>
        </w:rPr>
        <w:t xml:space="preserve"> u 2019. godini </w:t>
      </w:r>
      <w:r w:rsidR="005F7989">
        <w:rPr>
          <w:rFonts w:ascii="Times New Roman" w:hAnsi="Times New Roman"/>
          <w:bCs/>
          <w:sz w:val="24"/>
          <w:szCs w:val="24"/>
        </w:rPr>
        <w:t xml:space="preserve">provelo </w:t>
      </w:r>
      <w:r w:rsidRPr="00DE2B9F">
        <w:rPr>
          <w:rFonts w:ascii="Times New Roman" w:hAnsi="Times New Roman"/>
          <w:bCs/>
          <w:sz w:val="24"/>
          <w:szCs w:val="24"/>
        </w:rPr>
        <w:t>devet radionica i predavanja iz područja prevencije korupcije, etike, jačanja integriteta i spr</w:t>
      </w:r>
      <w:r w:rsidR="006C60B3">
        <w:rPr>
          <w:rFonts w:ascii="Times New Roman" w:hAnsi="Times New Roman"/>
          <w:bCs/>
          <w:sz w:val="24"/>
          <w:szCs w:val="24"/>
        </w:rPr>
        <w:t>j</w:t>
      </w:r>
      <w:r w:rsidRPr="00DE2B9F">
        <w:rPr>
          <w:rFonts w:ascii="Times New Roman" w:hAnsi="Times New Roman"/>
          <w:bCs/>
          <w:sz w:val="24"/>
          <w:szCs w:val="24"/>
        </w:rPr>
        <w:t>ečavanja sukoba interesa</w:t>
      </w:r>
      <w:r w:rsidR="005F7989">
        <w:rPr>
          <w:rFonts w:ascii="Times New Roman" w:hAnsi="Times New Roman"/>
          <w:bCs/>
          <w:sz w:val="24"/>
          <w:szCs w:val="24"/>
        </w:rPr>
        <w:t xml:space="preserve">, te je educirano </w:t>
      </w:r>
      <w:r w:rsidRPr="00DE2B9F">
        <w:rPr>
          <w:rFonts w:ascii="Times New Roman" w:hAnsi="Times New Roman"/>
          <w:bCs/>
          <w:sz w:val="24"/>
          <w:szCs w:val="24"/>
        </w:rPr>
        <w:t>ukupno 205 polaznika.</w:t>
      </w:r>
    </w:p>
    <w:p w14:paraId="2746C2B5" w14:textId="77777777" w:rsidR="00DE2B9F" w:rsidRPr="00DE2B9F" w:rsidRDefault="00DE2B9F" w:rsidP="00DE2B9F">
      <w:pPr>
        <w:pStyle w:val="NoSpacing"/>
        <w:ind w:firstLine="708"/>
        <w:jc w:val="both"/>
        <w:rPr>
          <w:rFonts w:ascii="Times New Roman" w:hAnsi="Times New Roman"/>
          <w:bCs/>
          <w:sz w:val="24"/>
          <w:szCs w:val="24"/>
        </w:rPr>
      </w:pPr>
    </w:p>
    <w:p w14:paraId="60A854B9" w14:textId="5E2B3EF3" w:rsidR="00DE2B9F" w:rsidRPr="00DE2B9F" w:rsidRDefault="005F7989" w:rsidP="005F7989">
      <w:pPr>
        <w:pStyle w:val="NoSpacing"/>
        <w:ind w:firstLine="1418"/>
        <w:jc w:val="both"/>
        <w:rPr>
          <w:rFonts w:ascii="Times New Roman" w:hAnsi="Times New Roman"/>
          <w:bCs/>
          <w:sz w:val="24"/>
          <w:szCs w:val="24"/>
        </w:rPr>
      </w:pPr>
      <w:r>
        <w:rPr>
          <w:rFonts w:ascii="Times New Roman" w:hAnsi="Times New Roman"/>
          <w:bCs/>
          <w:sz w:val="24"/>
          <w:szCs w:val="24"/>
        </w:rPr>
        <w:t>Nadalje,</w:t>
      </w:r>
      <w:r w:rsidRPr="005F7989">
        <w:rPr>
          <w:rFonts w:ascii="Times New Roman" w:hAnsi="Times New Roman"/>
          <w:bCs/>
          <w:sz w:val="24"/>
          <w:szCs w:val="24"/>
        </w:rPr>
        <w:t xml:space="preserve"> </w:t>
      </w:r>
      <w:r w:rsidRPr="00DE2B9F">
        <w:rPr>
          <w:rFonts w:ascii="Times New Roman" w:hAnsi="Times New Roman"/>
          <w:bCs/>
          <w:sz w:val="24"/>
          <w:szCs w:val="24"/>
        </w:rPr>
        <w:t xml:space="preserve">u razdoblju </w:t>
      </w:r>
      <w:r w:rsidR="006C60B3">
        <w:rPr>
          <w:rFonts w:ascii="Times New Roman" w:hAnsi="Times New Roman"/>
          <w:bCs/>
          <w:sz w:val="24"/>
          <w:szCs w:val="24"/>
        </w:rPr>
        <w:t>od</w:t>
      </w:r>
      <w:r w:rsidRPr="00DE2B9F">
        <w:rPr>
          <w:rFonts w:ascii="Times New Roman" w:hAnsi="Times New Roman"/>
          <w:bCs/>
          <w:sz w:val="24"/>
          <w:szCs w:val="24"/>
        </w:rPr>
        <w:t xml:space="preserve"> 5. veljače 2017. </w:t>
      </w:r>
      <w:r w:rsidR="006C60B3">
        <w:rPr>
          <w:rFonts w:ascii="Times New Roman" w:hAnsi="Times New Roman"/>
          <w:bCs/>
          <w:sz w:val="24"/>
          <w:szCs w:val="24"/>
        </w:rPr>
        <w:t>do</w:t>
      </w:r>
      <w:r w:rsidRPr="00DE2B9F">
        <w:rPr>
          <w:rFonts w:ascii="Times New Roman" w:hAnsi="Times New Roman"/>
          <w:bCs/>
          <w:sz w:val="24"/>
          <w:szCs w:val="24"/>
        </w:rPr>
        <w:t xml:space="preserve"> 4. svibnja 2018. godine</w:t>
      </w:r>
      <w:r w:rsidR="00E70D75">
        <w:rPr>
          <w:rFonts w:ascii="Times New Roman" w:hAnsi="Times New Roman"/>
          <w:bCs/>
          <w:sz w:val="24"/>
          <w:szCs w:val="24"/>
        </w:rPr>
        <w:t>,</w:t>
      </w:r>
      <w:r>
        <w:rPr>
          <w:rFonts w:ascii="Times New Roman" w:hAnsi="Times New Roman"/>
          <w:bCs/>
          <w:sz w:val="24"/>
          <w:szCs w:val="24"/>
        </w:rPr>
        <w:t xml:space="preserve"> </w:t>
      </w:r>
      <w:r w:rsidR="00DE2B9F" w:rsidRPr="00DE2B9F">
        <w:rPr>
          <w:rFonts w:ascii="Times New Roman" w:hAnsi="Times New Roman"/>
          <w:bCs/>
          <w:sz w:val="24"/>
          <w:szCs w:val="24"/>
        </w:rPr>
        <w:t xml:space="preserve">Ministarstvo uprave je u suradnji s Državnim institutom za javnu upravu Republike Finske (HAUS) i Visokom školom za javnu upravu Republike Francuske (ENA) provelo </w:t>
      </w:r>
      <w:r w:rsidR="00E70D75">
        <w:rPr>
          <w:rFonts w:ascii="Times New Roman" w:hAnsi="Times New Roman"/>
          <w:bCs/>
          <w:sz w:val="24"/>
          <w:szCs w:val="24"/>
        </w:rPr>
        <w:t>T</w:t>
      </w:r>
      <w:r w:rsidR="00DE2B9F" w:rsidRPr="00DE2B9F">
        <w:rPr>
          <w:rFonts w:ascii="Times New Roman" w:hAnsi="Times New Roman"/>
          <w:bCs/>
          <w:sz w:val="24"/>
          <w:szCs w:val="24"/>
        </w:rPr>
        <w:t>winning projekt „Jačanje integriteta javnog sektora“ u sklopu kojega su provedene aktivnosti osmišljene na način da djeluju u smjeru jačanja integriteta zaposlenika, kao i jačanja institucionalnog integriteta.</w:t>
      </w:r>
    </w:p>
    <w:p w14:paraId="34C7152D" w14:textId="77777777" w:rsidR="00DE2B9F" w:rsidRPr="00DE2B9F" w:rsidRDefault="00DE2B9F" w:rsidP="00DE2B9F">
      <w:pPr>
        <w:pStyle w:val="NoSpacing"/>
        <w:ind w:firstLine="708"/>
        <w:jc w:val="both"/>
        <w:rPr>
          <w:rFonts w:ascii="Times New Roman" w:hAnsi="Times New Roman"/>
          <w:bCs/>
          <w:sz w:val="24"/>
          <w:szCs w:val="24"/>
        </w:rPr>
      </w:pPr>
    </w:p>
    <w:p w14:paraId="54841C43" w14:textId="791DAF71" w:rsidR="00DE2B9F" w:rsidRPr="00DE2B9F" w:rsidRDefault="00DE2B9F" w:rsidP="00E70D75">
      <w:pPr>
        <w:pStyle w:val="NoSpacing"/>
        <w:ind w:firstLine="1418"/>
        <w:jc w:val="both"/>
        <w:rPr>
          <w:rFonts w:ascii="Times New Roman" w:hAnsi="Times New Roman"/>
          <w:bCs/>
          <w:sz w:val="24"/>
          <w:szCs w:val="24"/>
        </w:rPr>
      </w:pPr>
      <w:r w:rsidRPr="00DE2B9F">
        <w:rPr>
          <w:rFonts w:ascii="Times New Roman" w:hAnsi="Times New Roman"/>
          <w:bCs/>
          <w:sz w:val="24"/>
          <w:szCs w:val="24"/>
        </w:rPr>
        <w:t>Ministarstvo regionalnog</w:t>
      </w:r>
      <w:r w:rsidR="00070A34">
        <w:rPr>
          <w:rFonts w:ascii="Times New Roman" w:hAnsi="Times New Roman"/>
          <w:bCs/>
          <w:sz w:val="24"/>
          <w:szCs w:val="24"/>
        </w:rPr>
        <w:t>a</w:t>
      </w:r>
      <w:r w:rsidRPr="00DE2B9F">
        <w:rPr>
          <w:rFonts w:ascii="Times New Roman" w:hAnsi="Times New Roman"/>
          <w:bCs/>
          <w:sz w:val="24"/>
          <w:szCs w:val="24"/>
        </w:rPr>
        <w:t xml:space="preserve"> razvoja i fondova Europske unije</w:t>
      </w:r>
      <w:r w:rsidR="00E70D75">
        <w:rPr>
          <w:rFonts w:ascii="Times New Roman" w:hAnsi="Times New Roman"/>
          <w:bCs/>
          <w:sz w:val="24"/>
          <w:szCs w:val="24"/>
        </w:rPr>
        <w:t>,</w:t>
      </w:r>
      <w:r w:rsidRPr="00DE2B9F">
        <w:rPr>
          <w:rFonts w:ascii="Times New Roman" w:hAnsi="Times New Roman"/>
          <w:bCs/>
          <w:sz w:val="24"/>
          <w:szCs w:val="24"/>
        </w:rPr>
        <w:t xml:space="preserve"> kao Upravljačko tijelo redovito u okviru svoje nadležnosti surađuje s Europskim uredom z</w:t>
      </w:r>
      <w:r w:rsidR="00E70D75">
        <w:rPr>
          <w:rFonts w:ascii="Times New Roman" w:hAnsi="Times New Roman"/>
          <w:bCs/>
          <w:sz w:val="24"/>
          <w:szCs w:val="24"/>
        </w:rPr>
        <w:t xml:space="preserve">a borbu protiv prijevara (OLAF), te </w:t>
      </w:r>
      <w:r w:rsidRPr="00DE2B9F">
        <w:rPr>
          <w:rFonts w:ascii="Times New Roman" w:hAnsi="Times New Roman"/>
          <w:bCs/>
          <w:sz w:val="24"/>
          <w:szCs w:val="24"/>
        </w:rPr>
        <w:t xml:space="preserve">u skladu sa svojim ovlastima izdaje i obvezujuće upute posredničkim tijelima razine 2 čija svrha je osigurati pravilno i ujednačeno postupanje u postupcima utvrđivanja nepravilnosti. Pored toga, u cilju osiguranja transparentnosti i informiranja svih korisnika, na internetskoj stranici </w:t>
      </w:r>
      <w:r w:rsidRPr="00070A34">
        <w:rPr>
          <w:rFonts w:ascii="Times New Roman" w:hAnsi="Times New Roman"/>
          <w:bCs/>
          <w:sz w:val="24"/>
          <w:szCs w:val="24"/>
          <w:u w:val="single"/>
        </w:rPr>
        <w:t>www.strukturnifondovi.hr</w:t>
      </w:r>
      <w:r w:rsidRPr="00DE2B9F">
        <w:rPr>
          <w:rFonts w:ascii="Times New Roman" w:hAnsi="Times New Roman"/>
          <w:bCs/>
          <w:sz w:val="24"/>
          <w:szCs w:val="24"/>
        </w:rPr>
        <w:t xml:space="preserve"> objavljena su Pravila o financijskim korekcijama koja su sastavni dio </w:t>
      </w:r>
      <w:r w:rsidR="00BA3072" w:rsidRPr="00BA3072">
        <w:rPr>
          <w:rFonts w:ascii="Times New Roman" w:hAnsi="Times New Roman"/>
          <w:bCs/>
          <w:sz w:val="24"/>
          <w:szCs w:val="24"/>
        </w:rPr>
        <w:t xml:space="preserve">Ugovora o dodjeli bespovratnih sredstava za projekte koji se financiraju </w:t>
      </w:r>
      <w:r w:rsidR="006C60B3">
        <w:rPr>
          <w:rFonts w:ascii="Times New Roman" w:hAnsi="Times New Roman"/>
          <w:bCs/>
          <w:sz w:val="24"/>
          <w:szCs w:val="24"/>
        </w:rPr>
        <w:t>iz Europskih strukturnih i investicijskih fondova</w:t>
      </w:r>
      <w:r w:rsidR="008A0510">
        <w:rPr>
          <w:rFonts w:ascii="Times New Roman" w:hAnsi="Times New Roman"/>
          <w:bCs/>
          <w:sz w:val="24"/>
          <w:szCs w:val="24"/>
        </w:rPr>
        <w:t xml:space="preserve"> (ESIF).</w:t>
      </w:r>
    </w:p>
    <w:p w14:paraId="6B3D2A07" w14:textId="77777777" w:rsidR="00DE2B9F" w:rsidRPr="00DE2B9F" w:rsidRDefault="00DE2B9F" w:rsidP="00DE2B9F">
      <w:pPr>
        <w:pStyle w:val="NoSpacing"/>
        <w:ind w:firstLine="708"/>
        <w:jc w:val="both"/>
        <w:rPr>
          <w:rFonts w:ascii="Times New Roman" w:hAnsi="Times New Roman"/>
          <w:bCs/>
          <w:sz w:val="24"/>
          <w:szCs w:val="24"/>
        </w:rPr>
      </w:pPr>
    </w:p>
    <w:p w14:paraId="248239C4" w14:textId="77777777"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Sukladno ostvarenju mjera i ciljeva antikorupcijske politike Vlade Republike Hrvatske, Hrvatske vode su 29. prosinca 2009. godine usvojile Akcijski plan za provođenje Antikorupcijskog programa u Hrvatskim vodama</w:t>
      </w:r>
      <w:r w:rsidR="00E76018">
        <w:rPr>
          <w:rFonts w:ascii="Times New Roman" w:hAnsi="Times New Roman"/>
          <w:bCs/>
          <w:sz w:val="24"/>
          <w:szCs w:val="24"/>
        </w:rPr>
        <w:t xml:space="preserve"> za razdoblje 2010.-2012</w:t>
      </w:r>
      <w:r w:rsidRPr="00DE2B9F">
        <w:rPr>
          <w:rFonts w:ascii="Times New Roman" w:hAnsi="Times New Roman"/>
          <w:bCs/>
          <w:sz w:val="24"/>
          <w:szCs w:val="24"/>
        </w:rPr>
        <w:t xml:space="preserve">. Imenovana je osoba za nepravilnosti kojoj je glavni zadatak aktivno praćenje Strategije suzbijanja </w:t>
      </w:r>
      <w:r w:rsidR="00E70D75">
        <w:rPr>
          <w:rFonts w:ascii="Times New Roman" w:hAnsi="Times New Roman"/>
          <w:bCs/>
          <w:sz w:val="24"/>
          <w:szCs w:val="24"/>
        </w:rPr>
        <w:t xml:space="preserve">korupcije za razdoblje od 2015. do </w:t>
      </w:r>
      <w:r w:rsidRPr="00DE2B9F">
        <w:rPr>
          <w:rFonts w:ascii="Times New Roman" w:hAnsi="Times New Roman"/>
          <w:bCs/>
          <w:sz w:val="24"/>
          <w:szCs w:val="24"/>
        </w:rPr>
        <w:t>2020. godine, odnosno Akcijskog plana. Osnovan je i Revizijski odbor Hrvatskih voda koji održava redovne sjednice.</w:t>
      </w:r>
    </w:p>
    <w:p w14:paraId="32EEEB59" w14:textId="77777777" w:rsidR="00DE2B9F" w:rsidRPr="00DE2B9F" w:rsidRDefault="00DE2B9F" w:rsidP="00DE2B9F">
      <w:pPr>
        <w:pStyle w:val="NoSpacing"/>
        <w:ind w:firstLine="708"/>
        <w:jc w:val="both"/>
        <w:rPr>
          <w:rFonts w:ascii="Times New Roman" w:hAnsi="Times New Roman"/>
          <w:bCs/>
          <w:sz w:val="24"/>
          <w:szCs w:val="24"/>
        </w:rPr>
      </w:pPr>
    </w:p>
    <w:p w14:paraId="12C77254" w14:textId="1464DF36" w:rsidR="00DE2B9F" w:rsidRPr="00DE2B9F" w:rsidRDefault="00DE2B9F" w:rsidP="005F7989">
      <w:pPr>
        <w:pStyle w:val="NoSpacing"/>
        <w:ind w:firstLine="1418"/>
        <w:jc w:val="both"/>
        <w:rPr>
          <w:rFonts w:ascii="Times New Roman" w:hAnsi="Times New Roman"/>
          <w:bCs/>
          <w:sz w:val="24"/>
          <w:szCs w:val="24"/>
        </w:rPr>
      </w:pPr>
      <w:r w:rsidRPr="00DE2B9F">
        <w:rPr>
          <w:rFonts w:ascii="Times New Roman" w:hAnsi="Times New Roman"/>
          <w:bCs/>
          <w:sz w:val="24"/>
          <w:szCs w:val="24"/>
        </w:rPr>
        <w:t xml:space="preserve">Također, Hrvatske vode su kao posredničko tijelo razine 2, slijedom pravila i uputa o postupanju u procesu upravljanja i kontrole korištenja </w:t>
      </w:r>
      <w:r w:rsidR="008A0510">
        <w:rPr>
          <w:rFonts w:ascii="Times New Roman" w:hAnsi="Times New Roman"/>
          <w:bCs/>
          <w:sz w:val="24"/>
          <w:szCs w:val="24"/>
        </w:rPr>
        <w:t>ESIF-a</w:t>
      </w:r>
      <w:bookmarkStart w:id="0" w:name="_GoBack"/>
      <w:bookmarkEnd w:id="0"/>
      <w:r w:rsidRPr="00DE2B9F">
        <w:rPr>
          <w:rFonts w:ascii="Times New Roman" w:hAnsi="Times New Roman"/>
          <w:bCs/>
          <w:sz w:val="24"/>
          <w:szCs w:val="24"/>
        </w:rPr>
        <w:t xml:space="preserve"> za razdoblje od 2017. do 2019. godine, a za razdoblje financiranja 2014.-2020. provele ukupno 113 postupaka utvrđivanja nepravilnosti, donesene su 83 odluke o utvrđenoj nepravilnosti i 30 odluka o nepostojanju nepravilnosti te u navedenom razdoblju nisu imale niti jedan slučaj sumnje na prijevaru. </w:t>
      </w:r>
    </w:p>
    <w:p w14:paraId="0879AE73" w14:textId="77777777" w:rsidR="00DE2B9F" w:rsidRPr="00DE2B9F" w:rsidRDefault="00DE2B9F" w:rsidP="00DE2B9F">
      <w:pPr>
        <w:pStyle w:val="NoSpacing"/>
        <w:ind w:firstLine="708"/>
        <w:jc w:val="both"/>
        <w:rPr>
          <w:rFonts w:ascii="Times New Roman" w:hAnsi="Times New Roman"/>
          <w:bCs/>
          <w:sz w:val="24"/>
          <w:szCs w:val="24"/>
        </w:rPr>
      </w:pPr>
    </w:p>
    <w:p w14:paraId="3F263284" w14:textId="4D31E017" w:rsidR="00DE2B9F" w:rsidRDefault="006C60B3" w:rsidP="005F7989">
      <w:pPr>
        <w:pStyle w:val="NoSpacing"/>
        <w:ind w:firstLine="1418"/>
        <w:jc w:val="both"/>
        <w:rPr>
          <w:rFonts w:ascii="Times New Roman" w:hAnsi="Times New Roman"/>
          <w:bCs/>
          <w:sz w:val="24"/>
          <w:szCs w:val="24"/>
        </w:rPr>
      </w:pPr>
      <w:r>
        <w:rPr>
          <w:rFonts w:ascii="Times New Roman" w:hAnsi="Times New Roman"/>
          <w:bCs/>
          <w:sz w:val="24"/>
          <w:szCs w:val="24"/>
        </w:rPr>
        <w:t xml:space="preserve">Društva </w:t>
      </w:r>
      <w:r w:rsidR="00DE2B9F" w:rsidRPr="00DE2B9F">
        <w:rPr>
          <w:rFonts w:ascii="Times New Roman" w:hAnsi="Times New Roman"/>
          <w:bCs/>
          <w:sz w:val="24"/>
          <w:szCs w:val="24"/>
        </w:rPr>
        <w:t>Hrvatske ceste d.o.o. i HŽ Infrastruktura d.o.o. tijek</w:t>
      </w:r>
      <w:r>
        <w:rPr>
          <w:rFonts w:ascii="Times New Roman" w:hAnsi="Times New Roman"/>
          <w:bCs/>
          <w:sz w:val="24"/>
          <w:szCs w:val="24"/>
        </w:rPr>
        <w:t xml:space="preserve">om 2018. i 2019. godine utvrdila su </w:t>
      </w:r>
      <w:r w:rsidR="00DE2B9F" w:rsidRPr="00DE2B9F">
        <w:rPr>
          <w:rFonts w:ascii="Times New Roman" w:hAnsi="Times New Roman"/>
          <w:bCs/>
          <w:sz w:val="24"/>
          <w:szCs w:val="24"/>
        </w:rPr>
        <w:t>ukupno 15 nepravilnosti u svim do sada pokrenutim postupcima javne nabave, od čega je u istom razdoblju zabilježen pad broja nepravilnosti kod korisnika Hrvatske ceste d.o.o., a kod korisnika HŽ Infrastruktura d.o.o. povećanje broja nepravilnosti, što je rezultat povećanog broja ugovorenih projekata te pokrenutih postupaka javne nabave u navedenim godinama.</w:t>
      </w:r>
    </w:p>
    <w:p w14:paraId="376CC965" w14:textId="77777777" w:rsidR="00E70D75" w:rsidRDefault="00E70D75" w:rsidP="005F7989">
      <w:pPr>
        <w:pStyle w:val="NoSpacing"/>
        <w:ind w:firstLine="1418"/>
        <w:jc w:val="both"/>
        <w:rPr>
          <w:rFonts w:ascii="Times New Roman" w:hAnsi="Times New Roman"/>
          <w:bCs/>
          <w:sz w:val="24"/>
          <w:szCs w:val="24"/>
        </w:rPr>
      </w:pPr>
    </w:p>
    <w:p w14:paraId="6377008E" w14:textId="77777777" w:rsidR="00E70D75" w:rsidRDefault="00E70D75" w:rsidP="005F7989">
      <w:pPr>
        <w:pStyle w:val="NoSpacing"/>
        <w:ind w:firstLine="1418"/>
        <w:jc w:val="both"/>
        <w:rPr>
          <w:rFonts w:ascii="Times New Roman" w:hAnsi="Times New Roman"/>
          <w:bCs/>
          <w:sz w:val="24"/>
          <w:szCs w:val="24"/>
        </w:rPr>
      </w:pPr>
      <w:r>
        <w:rPr>
          <w:rFonts w:ascii="Times New Roman" w:hAnsi="Times New Roman"/>
          <w:bCs/>
          <w:sz w:val="24"/>
          <w:szCs w:val="24"/>
        </w:rPr>
        <w:t>Izvješće o provedbi Akcijskog plana za 2017. i 2018. godinu pokazuje da je provedeno i djelomično provedeno 83 % aktivnosti iz predmetnog dokumenta. Ovakav rezultat predstavlja značajan napredak u odnosu na provedbu Akcijskog plana za 2015. i 2016. godinu iz kojeg je provedeno i djelomično provedeno 56 % aktivnosti.</w:t>
      </w:r>
    </w:p>
    <w:p w14:paraId="675D31C2" w14:textId="77777777" w:rsidR="00E70D75" w:rsidRDefault="00E70D75" w:rsidP="005F7989">
      <w:pPr>
        <w:pStyle w:val="NoSpacing"/>
        <w:ind w:firstLine="1418"/>
        <w:jc w:val="both"/>
        <w:rPr>
          <w:rFonts w:ascii="Times New Roman" w:hAnsi="Times New Roman"/>
          <w:bCs/>
          <w:sz w:val="24"/>
          <w:szCs w:val="24"/>
        </w:rPr>
      </w:pPr>
    </w:p>
    <w:p w14:paraId="7D4AC813" w14:textId="77777777" w:rsidR="00E70D75" w:rsidRDefault="00E70D75" w:rsidP="005F7989">
      <w:pPr>
        <w:pStyle w:val="NoSpacing"/>
        <w:ind w:firstLine="1418"/>
        <w:jc w:val="both"/>
        <w:rPr>
          <w:rFonts w:ascii="Times New Roman" w:hAnsi="Times New Roman"/>
          <w:bCs/>
          <w:sz w:val="24"/>
          <w:szCs w:val="24"/>
        </w:rPr>
      </w:pPr>
      <w:r>
        <w:rPr>
          <w:rFonts w:ascii="Times New Roman" w:hAnsi="Times New Roman"/>
          <w:bCs/>
          <w:sz w:val="24"/>
          <w:szCs w:val="24"/>
        </w:rPr>
        <w:t>Trenutačno je u postupku provedba Akcijskog plana za 2019. i 2020. godinu uz Strategiju</w:t>
      </w:r>
      <w:r w:rsidR="00061065">
        <w:rPr>
          <w:rFonts w:ascii="Times New Roman" w:hAnsi="Times New Roman"/>
          <w:bCs/>
          <w:sz w:val="24"/>
          <w:szCs w:val="24"/>
        </w:rPr>
        <w:t xml:space="preserve"> suzbijanja korupcije donesenog u svibnju 2019. godine. Dokument sadrži ukupno 111 aktivnosti podijeljenih u 14 horizontalnih strateških, te posebnih prioritetnih područja. Od ukupnog broja aktivnosti, 42 aktivnosti imaju predviđeni rok provedbe tijekom 2019. godine, dok je rok za provedbu preostalih 69 aktivnosti određen za 2020. godinu.</w:t>
      </w:r>
    </w:p>
    <w:p w14:paraId="38EA709F" w14:textId="77777777" w:rsidR="00061065" w:rsidRDefault="00061065" w:rsidP="005F7989">
      <w:pPr>
        <w:pStyle w:val="NoSpacing"/>
        <w:ind w:firstLine="1418"/>
        <w:jc w:val="both"/>
        <w:rPr>
          <w:rFonts w:ascii="Times New Roman" w:hAnsi="Times New Roman"/>
          <w:bCs/>
          <w:sz w:val="24"/>
          <w:szCs w:val="24"/>
        </w:rPr>
      </w:pPr>
    </w:p>
    <w:p w14:paraId="14EF5703" w14:textId="00B94822" w:rsidR="00061065" w:rsidRDefault="00061065" w:rsidP="005F7989">
      <w:pPr>
        <w:pStyle w:val="NoSpacing"/>
        <w:ind w:firstLine="1418"/>
        <w:jc w:val="both"/>
        <w:rPr>
          <w:rFonts w:ascii="Times New Roman" w:hAnsi="Times New Roman"/>
          <w:bCs/>
          <w:sz w:val="24"/>
          <w:szCs w:val="24"/>
        </w:rPr>
      </w:pPr>
      <w:r>
        <w:rPr>
          <w:rFonts w:ascii="Times New Roman" w:hAnsi="Times New Roman"/>
          <w:bCs/>
          <w:sz w:val="24"/>
          <w:szCs w:val="24"/>
        </w:rPr>
        <w:t xml:space="preserve">Rezultati provedbe aktivnosti </w:t>
      </w:r>
      <w:r w:rsidR="006C60B3">
        <w:rPr>
          <w:rFonts w:ascii="Times New Roman" w:hAnsi="Times New Roman"/>
          <w:bCs/>
          <w:sz w:val="24"/>
          <w:szCs w:val="24"/>
        </w:rPr>
        <w:t>planiranih</w:t>
      </w:r>
      <w:r>
        <w:rPr>
          <w:rFonts w:ascii="Times New Roman" w:hAnsi="Times New Roman"/>
          <w:bCs/>
          <w:sz w:val="24"/>
          <w:szCs w:val="24"/>
        </w:rPr>
        <w:t xml:space="preserve"> za 2019. godinu pokazuju kako je 70 % aktivnosti provedeno i djelomično provedeno. Ovi postotci ne prikazuju objedinjene konačne rezultate jer se aktivnosti predviđene za 2020. godinu tek trebaju provesti.</w:t>
      </w:r>
    </w:p>
    <w:p w14:paraId="3CE9BA00" w14:textId="77777777" w:rsidR="00DE2B9F" w:rsidRDefault="00DE2B9F" w:rsidP="00E65CB6">
      <w:pPr>
        <w:pStyle w:val="NoSpacing"/>
        <w:ind w:firstLine="708"/>
        <w:jc w:val="both"/>
        <w:rPr>
          <w:rFonts w:ascii="Times New Roman" w:hAnsi="Times New Roman"/>
          <w:bCs/>
          <w:sz w:val="24"/>
          <w:szCs w:val="24"/>
        </w:rPr>
      </w:pPr>
    </w:p>
    <w:p w14:paraId="6D915668" w14:textId="77777777" w:rsidR="00061065" w:rsidRDefault="00061065" w:rsidP="005F7989">
      <w:pPr>
        <w:pStyle w:val="NoSpacing"/>
        <w:ind w:firstLine="1418"/>
        <w:jc w:val="both"/>
        <w:rPr>
          <w:rFonts w:ascii="Times New Roman" w:hAnsi="Times New Roman"/>
          <w:color w:val="000000"/>
          <w:sz w:val="24"/>
          <w:szCs w:val="24"/>
        </w:rPr>
      </w:pPr>
    </w:p>
    <w:p w14:paraId="7BACCDC3" w14:textId="77777777" w:rsidR="00E65CB6" w:rsidRPr="00E65CB6" w:rsidRDefault="00E65CB6" w:rsidP="005F7989">
      <w:pPr>
        <w:pStyle w:val="NoSpacing"/>
        <w:ind w:firstLine="1418"/>
        <w:jc w:val="both"/>
        <w:rPr>
          <w:rFonts w:ascii="Times New Roman" w:hAnsi="Times New Roman"/>
          <w:color w:val="000000"/>
          <w:sz w:val="24"/>
          <w:szCs w:val="24"/>
        </w:rPr>
      </w:pPr>
      <w:r w:rsidRPr="00E65CB6">
        <w:rPr>
          <w:rFonts w:ascii="Times New Roman" w:hAnsi="Times New Roman"/>
          <w:color w:val="000000"/>
          <w:sz w:val="24"/>
          <w:szCs w:val="24"/>
        </w:rPr>
        <w:t>Eventualno potrebna dodatna obrazlože</w:t>
      </w:r>
      <w:r w:rsidR="00DE2B9F">
        <w:rPr>
          <w:rFonts w:ascii="Times New Roman" w:hAnsi="Times New Roman"/>
          <w:color w:val="000000"/>
          <w:sz w:val="24"/>
          <w:szCs w:val="24"/>
        </w:rPr>
        <w:t>nja u vezi s pitanjem zastupnice</w:t>
      </w:r>
      <w:r w:rsidRPr="00E65CB6">
        <w:rPr>
          <w:rFonts w:ascii="Times New Roman" w:hAnsi="Times New Roman"/>
          <w:color w:val="000000"/>
          <w:sz w:val="24"/>
          <w:szCs w:val="24"/>
        </w:rPr>
        <w:t xml:space="preserve">, dat će </w:t>
      </w:r>
      <w:r w:rsidR="00DE2B9F">
        <w:rPr>
          <w:rFonts w:ascii="Times New Roman" w:hAnsi="Times New Roman"/>
          <w:color w:val="000000"/>
          <w:sz w:val="24"/>
          <w:szCs w:val="24"/>
        </w:rPr>
        <w:t>Dražen Bošnjaković, ministar pravosuđa.</w:t>
      </w:r>
    </w:p>
    <w:p w14:paraId="2F5EA6F4" w14:textId="77777777" w:rsidR="00E65CB6" w:rsidRDefault="00E65CB6" w:rsidP="00E65CB6">
      <w:pPr>
        <w:tabs>
          <w:tab w:val="left" w:pos="-720"/>
        </w:tabs>
        <w:suppressAutoHyphens/>
        <w:jc w:val="both"/>
        <w:rPr>
          <w:spacing w:val="-3"/>
        </w:rPr>
      </w:pPr>
    </w:p>
    <w:p w14:paraId="5D37B4E2" w14:textId="77777777" w:rsidR="0013521C" w:rsidRDefault="0013521C" w:rsidP="00E65CB6">
      <w:pPr>
        <w:tabs>
          <w:tab w:val="left" w:pos="-720"/>
        </w:tabs>
        <w:suppressAutoHyphens/>
        <w:jc w:val="both"/>
        <w:rPr>
          <w:spacing w:val="-3"/>
        </w:rPr>
      </w:pPr>
    </w:p>
    <w:p w14:paraId="3D231E90" w14:textId="77777777" w:rsidR="00E65CB6" w:rsidRDefault="00E65CB6" w:rsidP="00E65CB6">
      <w:pPr>
        <w:tabs>
          <w:tab w:val="left" w:pos="-720"/>
        </w:tabs>
        <w:suppressAutoHyphens/>
        <w:jc w:val="both"/>
        <w:rPr>
          <w:spacing w:val="-3"/>
        </w:rPr>
      </w:pPr>
    </w:p>
    <w:p w14:paraId="075859B3" w14:textId="77777777" w:rsidR="00E65CB6" w:rsidRDefault="00E65CB6" w:rsidP="0013521C">
      <w:pPr>
        <w:tabs>
          <w:tab w:val="left" w:pos="-720"/>
        </w:tabs>
        <w:suppressAutoHyphens/>
        <w:ind w:left="6372"/>
        <w:jc w:val="center"/>
        <w:rPr>
          <w:spacing w:val="-3"/>
        </w:rPr>
      </w:pPr>
      <w:r>
        <w:rPr>
          <w:spacing w:val="-3"/>
        </w:rPr>
        <w:t>PREDSJEDNIK</w:t>
      </w:r>
    </w:p>
    <w:p w14:paraId="6375E445" w14:textId="77777777" w:rsidR="00E65CB6" w:rsidRDefault="00E65CB6" w:rsidP="0013521C">
      <w:pPr>
        <w:tabs>
          <w:tab w:val="left" w:pos="-720"/>
        </w:tabs>
        <w:suppressAutoHyphens/>
        <w:ind w:left="6372"/>
        <w:jc w:val="center"/>
        <w:rPr>
          <w:spacing w:val="-3"/>
        </w:rPr>
      </w:pPr>
    </w:p>
    <w:p w14:paraId="3CC30668" w14:textId="77777777" w:rsidR="00E65CB6" w:rsidRDefault="00E65CB6" w:rsidP="0013521C">
      <w:pPr>
        <w:tabs>
          <w:tab w:val="left" w:pos="-720"/>
        </w:tabs>
        <w:suppressAutoHyphens/>
        <w:ind w:left="6372"/>
        <w:jc w:val="center"/>
        <w:rPr>
          <w:spacing w:val="-3"/>
        </w:rPr>
      </w:pPr>
      <w:r>
        <w:rPr>
          <w:spacing w:val="-3"/>
        </w:rPr>
        <w:t>mr. sc. Andrej Plenković</w:t>
      </w:r>
    </w:p>
    <w:p w14:paraId="20D9875E" w14:textId="77777777" w:rsidR="00742B55" w:rsidRPr="00742B55" w:rsidRDefault="00742B55" w:rsidP="00E65CB6"/>
    <w:sectPr w:rsidR="00742B55" w:rsidRPr="00742B55" w:rsidSect="003D56AD">
      <w:headerReference w:type="default" r:id="rId12"/>
      <w:footerReference w:type="default" r:id="rId13"/>
      <w:type w:val="continuous"/>
      <w:pgSz w:w="11906" w:h="16838"/>
      <w:pgMar w:top="993" w:right="1417" w:bottom="1417" w:left="1417" w:header="709" w:footer="65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8E49" w14:textId="77777777" w:rsidR="00614758" w:rsidRDefault="00614758" w:rsidP="0011560A">
      <w:r>
        <w:separator/>
      </w:r>
    </w:p>
  </w:endnote>
  <w:endnote w:type="continuationSeparator" w:id="0">
    <w:p w14:paraId="7D657389" w14:textId="77777777" w:rsidR="00614758" w:rsidRDefault="00614758"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4AF45"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083101">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19EA" w14:textId="77777777" w:rsidR="00742B55" w:rsidRPr="00742B55" w:rsidRDefault="00742B55" w:rsidP="00742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205FE" w14:textId="77777777" w:rsidR="00614758" w:rsidRDefault="00614758" w:rsidP="0011560A">
      <w:r>
        <w:separator/>
      </w:r>
    </w:p>
  </w:footnote>
  <w:footnote w:type="continuationSeparator" w:id="0">
    <w:p w14:paraId="7DACAEE5" w14:textId="77777777" w:rsidR="00614758" w:rsidRDefault="00614758" w:rsidP="00115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722431"/>
      <w:docPartObj>
        <w:docPartGallery w:val="Page Numbers (Top of Page)"/>
        <w:docPartUnique/>
      </w:docPartObj>
    </w:sdtPr>
    <w:sdtEndPr/>
    <w:sdtContent>
      <w:p w14:paraId="6204C99A" w14:textId="26A2709A" w:rsidR="003D56AD" w:rsidRDefault="003D56AD">
        <w:pPr>
          <w:pStyle w:val="Header"/>
          <w:jc w:val="center"/>
        </w:pPr>
        <w:r>
          <w:fldChar w:fldCharType="begin"/>
        </w:r>
        <w:r>
          <w:instrText>PAGE   \* MERGEFORMAT</w:instrText>
        </w:r>
        <w:r>
          <w:fldChar w:fldCharType="separate"/>
        </w:r>
        <w:r w:rsidR="008A0510">
          <w:rPr>
            <w:noProof/>
          </w:rPr>
          <w:t>2</w:t>
        </w:r>
        <w:r>
          <w:fldChar w:fldCharType="end"/>
        </w:r>
      </w:p>
    </w:sdtContent>
  </w:sdt>
  <w:p w14:paraId="6CB6FE2C" w14:textId="77777777" w:rsidR="003D56AD" w:rsidRDefault="003D5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7138" w14:textId="77777777" w:rsidR="003D56AD" w:rsidRDefault="003D56AD">
    <w:pPr>
      <w:pStyle w:val="Header"/>
      <w:jc w:val="center"/>
    </w:pPr>
  </w:p>
  <w:p w14:paraId="606D6016" w14:textId="77777777" w:rsidR="009F4DE3" w:rsidRDefault="009F4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D831" w14:textId="77777777" w:rsidR="003D56AD" w:rsidRDefault="003D5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A4"/>
    <w:rsid w:val="000350D9"/>
    <w:rsid w:val="00057310"/>
    <w:rsid w:val="00061065"/>
    <w:rsid w:val="00063520"/>
    <w:rsid w:val="00070A34"/>
    <w:rsid w:val="00083101"/>
    <w:rsid w:val="00086A6C"/>
    <w:rsid w:val="000A1D60"/>
    <w:rsid w:val="000A3A3B"/>
    <w:rsid w:val="000D199E"/>
    <w:rsid w:val="000D1A50"/>
    <w:rsid w:val="001015C6"/>
    <w:rsid w:val="00110E6C"/>
    <w:rsid w:val="0011560A"/>
    <w:rsid w:val="00121E12"/>
    <w:rsid w:val="0013521C"/>
    <w:rsid w:val="00135F1A"/>
    <w:rsid w:val="00146B79"/>
    <w:rsid w:val="00147DE9"/>
    <w:rsid w:val="00170226"/>
    <w:rsid w:val="001741AA"/>
    <w:rsid w:val="001917B2"/>
    <w:rsid w:val="001A13E7"/>
    <w:rsid w:val="001B7A97"/>
    <w:rsid w:val="001E7218"/>
    <w:rsid w:val="002179F8"/>
    <w:rsid w:val="00220956"/>
    <w:rsid w:val="0023763F"/>
    <w:rsid w:val="0028608D"/>
    <w:rsid w:val="0029163B"/>
    <w:rsid w:val="002A1D77"/>
    <w:rsid w:val="002B107A"/>
    <w:rsid w:val="002D1256"/>
    <w:rsid w:val="002D6C51"/>
    <w:rsid w:val="002D7C91"/>
    <w:rsid w:val="003033E4"/>
    <w:rsid w:val="00304232"/>
    <w:rsid w:val="00323C77"/>
    <w:rsid w:val="00336EE7"/>
    <w:rsid w:val="0034351C"/>
    <w:rsid w:val="0036765A"/>
    <w:rsid w:val="00381F04"/>
    <w:rsid w:val="0038426B"/>
    <w:rsid w:val="003929F5"/>
    <w:rsid w:val="003A2F05"/>
    <w:rsid w:val="003C09D8"/>
    <w:rsid w:val="003D361B"/>
    <w:rsid w:val="003D47D1"/>
    <w:rsid w:val="003D56AD"/>
    <w:rsid w:val="003F5623"/>
    <w:rsid w:val="004039BD"/>
    <w:rsid w:val="00440D6D"/>
    <w:rsid w:val="00442367"/>
    <w:rsid w:val="0045565A"/>
    <w:rsid w:val="00461188"/>
    <w:rsid w:val="00476517"/>
    <w:rsid w:val="004A776B"/>
    <w:rsid w:val="004C1375"/>
    <w:rsid w:val="004C5354"/>
    <w:rsid w:val="004E1300"/>
    <w:rsid w:val="004E4E34"/>
    <w:rsid w:val="00504248"/>
    <w:rsid w:val="005146D6"/>
    <w:rsid w:val="00535E09"/>
    <w:rsid w:val="005619AC"/>
    <w:rsid w:val="00562C8C"/>
    <w:rsid w:val="0056365A"/>
    <w:rsid w:val="00571F6C"/>
    <w:rsid w:val="005861F2"/>
    <w:rsid w:val="005906BB"/>
    <w:rsid w:val="005C3A4C"/>
    <w:rsid w:val="005E7CAB"/>
    <w:rsid w:val="005F4727"/>
    <w:rsid w:val="005F7989"/>
    <w:rsid w:val="00614758"/>
    <w:rsid w:val="00624C40"/>
    <w:rsid w:val="00633454"/>
    <w:rsid w:val="00647F73"/>
    <w:rsid w:val="00652604"/>
    <w:rsid w:val="006537E5"/>
    <w:rsid w:val="0065489E"/>
    <w:rsid w:val="0066110E"/>
    <w:rsid w:val="00675B44"/>
    <w:rsid w:val="0068013E"/>
    <w:rsid w:val="0068772B"/>
    <w:rsid w:val="00693A4D"/>
    <w:rsid w:val="00694D87"/>
    <w:rsid w:val="006A6853"/>
    <w:rsid w:val="006B7800"/>
    <w:rsid w:val="006B79DE"/>
    <w:rsid w:val="006C0CC3"/>
    <w:rsid w:val="006C60B3"/>
    <w:rsid w:val="006E14A9"/>
    <w:rsid w:val="006E611E"/>
    <w:rsid w:val="007010C7"/>
    <w:rsid w:val="00726165"/>
    <w:rsid w:val="00731AC4"/>
    <w:rsid w:val="00742B55"/>
    <w:rsid w:val="007436A3"/>
    <w:rsid w:val="007638D8"/>
    <w:rsid w:val="00777CAA"/>
    <w:rsid w:val="0078648A"/>
    <w:rsid w:val="007A1768"/>
    <w:rsid w:val="007A1881"/>
    <w:rsid w:val="007B023D"/>
    <w:rsid w:val="007E3965"/>
    <w:rsid w:val="008137B5"/>
    <w:rsid w:val="00827298"/>
    <w:rsid w:val="00833808"/>
    <w:rsid w:val="008353A1"/>
    <w:rsid w:val="008365FD"/>
    <w:rsid w:val="00854C31"/>
    <w:rsid w:val="00881BBB"/>
    <w:rsid w:val="00881EB4"/>
    <w:rsid w:val="0089283D"/>
    <w:rsid w:val="008A0510"/>
    <w:rsid w:val="008C0768"/>
    <w:rsid w:val="008C1D0A"/>
    <w:rsid w:val="008D1E25"/>
    <w:rsid w:val="008F0DD4"/>
    <w:rsid w:val="0090200F"/>
    <w:rsid w:val="009047E4"/>
    <w:rsid w:val="009126B3"/>
    <w:rsid w:val="009152C4"/>
    <w:rsid w:val="0095079B"/>
    <w:rsid w:val="00953BA1"/>
    <w:rsid w:val="00954D08"/>
    <w:rsid w:val="009930CA"/>
    <w:rsid w:val="009C1C71"/>
    <w:rsid w:val="009C33E1"/>
    <w:rsid w:val="009C7815"/>
    <w:rsid w:val="009F4DE3"/>
    <w:rsid w:val="00A15F08"/>
    <w:rsid w:val="00A175E9"/>
    <w:rsid w:val="00A21819"/>
    <w:rsid w:val="00A31687"/>
    <w:rsid w:val="00A45CF4"/>
    <w:rsid w:val="00A52A71"/>
    <w:rsid w:val="00A573DC"/>
    <w:rsid w:val="00A607CD"/>
    <w:rsid w:val="00A6339A"/>
    <w:rsid w:val="00A665A4"/>
    <w:rsid w:val="00A725A4"/>
    <w:rsid w:val="00A83290"/>
    <w:rsid w:val="00AA0D82"/>
    <w:rsid w:val="00AC37D2"/>
    <w:rsid w:val="00AD2F06"/>
    <w:rsid w:val="00AD4D7C"/>
    <w:rsid w:val="00AE59DF"/>
    <w:rsid w:val="00B42E00"/>
    <w:rsid w:val="00B462AB"/>
    <w:rsid w:val="00B57187"/>
    <w:rsid w:val="00B706F8"/>
    <w:rsid w:val="00B908C2"/>
    <w:rsid w:val="00BA28CD"/>
    <w:rsid w:val="00BA3072"/>
    <w:rsid w:val="00BA72BF"/>
    <w:rsid w:val="00BC2006"/>
    <w:rsid w:val="00BD52AB"/>
    <w:rsid w:val="00C337A4"/>
    <w:rsid w:val="00C44327"/>
    <w:rsid w:val="00C969CC"/>
    <w:rsid w:val="00CA4F84"/>
    <w:rsid w:val="00CD043E"/>
    <w:rsid w:val="00CD1639"/>
    <w:rsid w:val="00CD3EFA"/>
    <w:rsid w:val="00CE3D00"/>
    <w:rsid w:val="00CE78D1"/>
    <w:rsid w:val="00CF7BB4"/>
    <w:rsid w:val="00CF7EEC"/>
    <w:rsid w:val="00D07290"/>
    <w:rsid w:val="00D1127C"/>
    <w:rsid w:val="00D14240"/>
    <w:rsid w:val="00D14256"/>
    <w:rsid w:val="00D1614C"/>
    <w:rsid w:val="00D62C4D"/>
    <w:rsid w:val="00D8016C"/>
    <w:rsid w:val="00D92A3D"/>
    <w:rsid w:val="00DB0A6B"/>
    <w:rsid w:val="00DB28EB"/>
    <w:rsid w:val="00DB6366"/>
    <w:rsid w:val="00DE2B9F"/>
    <w:rsid w:val="00E055FE"/>
    <w:rsid w:val="00E25569"/>
    <w:rsid w:val="00E601A2"/>
    <w:rsid w:val="00E65CB6"/>
    <w:rsid w:val="00E70D75"/>
    <w:rsid w:val="00E76018"/>
    <w:rsid w:val="00E76C7B"/>
    <w:rsid w:val="00E77198"/>
    <w:rsid w:val="00E83E23"/>
    <w:rsid w:val="00EA3AD1"/>
    <w:rsid w:val="00EB1248"/>
    <w:rsid w:val="00EC08EF"/>
    <w:rsid w:val="00ED236E"/>
    <w:rsid w:val="00EE03CA"/>
    <w:rsid w:val="00EE7199"/>
    <w:rsid w:val="00F3220D"/>
    <w:rsid w:val="00F534AF"/>
    <w:rsid w:val="00F60433"/>
    <w:rsid w:val="00F764AD"/>
    <w:rsid w:val="00F95A2D"/>
    <w:rsid w:val="00F978E2"/>
    <w:rsid w:val="00F97BA9"/>
    <w:rsid w:val="00FA4E25"/>
    <w:rsid w:val="00FB3E03"/>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2C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E65CB6"/>
    <w:rPr>
      <w:rFonts w:asciiTheme="minorHAnsi" w:hAnsiTheme="minorHAnsi"/>
    </w:rPr>
  </w:style>
  <w:style w:type="paragraph" w:styleId="NoSpacing">
    <w:name w:val="No Spacing"/>
    <w:link w:val="NoSpacingChar"/>
    <w:uiPriority w:val="1"/>
    <w:qFormat/>
    <w:rsid w:val="00E65CB6"/>
    <w:rPr>
      <w:rFonts w:asciiTheme="minorHAnsi" w:hAnsiTheme="minorHAnsi"/>
    </w:rPr>
  </w:style>
  <w:style w:type="character" w:styleId="Hyperlink">
    <w:name w:val="Hyperlink"/>
    <w:basedOn w:val="DefaultParagraphFont"/>
    <w:unhideWhenUsed/>
    <w:rsid w:val="00E70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E65CB6"/>
    <w:rPr>
      <w:rFonts w:asciiTheme="minorHAnsi" w:hAnsiTheme="minorHAnsi"/>
    </w:rPr>
  </w:style>
  <w:style w:type="paragraph" w:styleId="NoSpacing">
    <w:name w:val="No Spacing"/>
    <w:link w:val="NoSpacingChar"/>
    <w:uiPriority w:val="1"/>
    <w:qFormat/>
    <w:rsid w:val="00E65CB6"/>
    <w:rPr>
      <w:rFonts w:asciiTheme="minorHAnsi" w:hAnsiTheme="minorHAnsi"/>
    </w:rPr>
  </w:style>
  <w:style w:type="character" w:styleId="Hyperlink">
    <w:name w:val="Hyperlink"/>
    <w:basedOn w:val="DefaultParagraphFont"/>
    <w:unhideWhenUsed/>
    <w:rsid w:val="00E70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42B8-1C07-4D92-B9E9-A3CCCCDE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Mladen Duvnjak</cp:lastModifiedBy>
  <cp:revision>5</cp:revision>
  <cp:lastPrinted>2020-02-24T11:43:00Z</cp:lastPrinted>
  <dcterms:created xsi:type="dcterms:W3CDTF">2020-03-03T08:57:00Z</dcterms:created>
  <dcterms:modified xsi:type="dcterms:W3CDTF">2020-03-04T09:02:00Z</dcterms:modified>
</cp:coreProperties>
</file>