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D0" w:rsidRDefault="00C05BD0" w:rsidP="00C05BD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VLADA REPUBLIKE HRVATSKE</w:t>
      </w: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C05BD0" w:rsidRDefault="00C05BD0" w:rsidP="00C05BD0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="006B58D2">
        <w:rPr>
          <w:rFonts w:ascii="Times New Roman" w:eastAsia="Times New Roman" w:hAnsi="Times New Roman"/>
          <w:sz w:val="24"/>
          <w:szCs w:val="24"/>
          <w:lang w:val="hr-HR"/>
        </w:rPr>
        <w:t>Zagreb, 12. ožujka</w:t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2020.</w:t>
      </w: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>PREDLAGATELJ:</w:t>
      </w:r>
      <w:r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Ministarstvo zaštite okoliša i energetike </w:t>
      </w:r>
    </w:p>
    <w:p w:rsidR="00C05BD0" w:rsidRDefault="00C05BD0" w:rsidP="00C05BD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ind w:left="2124" w:hanging="1416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PREDMET: </w:t>
      </w:r>
      <w:r>
        <w:rPr>
          <w:rFonts w:ascii="Times New Roman" w:eastAsia="Times New Roman" w:hAnsi="Times New Roman"/>
          <w:sz w:val="24"/>
          <w:szCs w:val="24"/>
          <w:lang w:val="hr-HR"/>
        </w:rPr>
        <w:t>P</w:t>
      </w:r>
      <w:r w:rsidR="006B58D2">
        <w:rPr>
          <w:rFonts w:ascii="Times New Roman" w:eastAsia="Times New Roman" w:hAnsi="Times New Roman"/>
          <w:sz w:val="24"/>
          <w:szCs w:val="24"/>
          <w:lang w:val="hr-HR"/>
        </w:rPr>
        <w:t>rijedlog o</w:t>
      </w:r>
      <w:r>
        <w:rPr>
          <w:rFonts w:ascii="Times New Roman" w:eastAsia="Times New Roman" w:hAnsi="Times New Roman"/>
          <w:sz w:val="24"/>
          <w:szCs w:val="24"/>
          <w:lang w:val="hr-HR"/>
        </w:rPr>
        <w:t>dluke o davanju suglasnosti društvu Hrvatska el</w:t>
      </w:r>
      <w:r w:rsidR="006B58D2">
        <w:rPr>
          <w:rFonts w:ascii="Times New Roman" w:eastAsia="Times New Roman" w:hAnsi="Times New Roman"/>
          <w:sz w:val="24"/>
          <w:szCs w:val="24"/>
          <w:lang w:val="hr-HR"/>
        </w:rPr>
        <w:t>ektroprivreda d.d.</w:t>
      </w: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za sklapanje okvirnog sporazuma o financiranju s Privrednom bankom Zagreb d.d., Zagreb</w:t>
      </w:r>
    </w:p>
    <w:p w:rsidR="00C05BD0" w:rsidRDefault="00C05BD0" w:rsidP="00C05BD0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:rsidR="00C05BD0" w:rsidRDefault="00C05BD0" w:rsidP="00C05BD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:rsidR="00C05BD0" w:rsidRDefault="00C05BD0" w:rsidP="00C05B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C05BD0" w:rsidRDefault="00C05BD0" w:rsidP="00C05BD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  <w:lang w:val="hr-HR" w:eastAsia="hr-HR"/>
        </w:rPr>
      </w:pPr>
      <w:r>
        <w:rPr>
          <w:rFonts w:ascii="Times New Roman" w:eastAsia="Times New Roman" w:hAnsi="Times New Roman"/>
          <w:color w:val="404040"/>
          <w:spacing w:val="20"/>
          <w:lang w:val="hr-HR" w:eastAsia="hr-HR"/>
        </w:rPr>
        <w:t>Banski dvori | Trg Sv. Marka 2  | 10000 Zagreb | tel. 01 4569 222 | vlada.gov.hr</w:t>
      </w: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>Na temelju članka 82. Zakona o proračunu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br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775C75">
        <w:rPr>
          <w:rFonts w:ascii="Times New Roman" w:hAnsi="Times New Roman"/>
          <w:sz w:val="24"/>
          <w:szCs w:val="24"/>
          <w:lang w:val="hr-HR"/>
        </w:rPr>
        <w:t xml:space="preserve"> 87/08, 136/12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75C75">
        <w:rPr>
          <w:rFonts w:ascii="Times New Roman" w:hAnsi="Times New Roman"/>
          <w:sz w:val="24"/>
          <w:szCs w:val="24"/>
          <w:lang w:val="hr-HR"/>
        </w:rPr>
        <w:t xml:space="preserve">i </w:t>
      </w:r>
      <w:r w:rsidRPr="00D96F09">
        <w:rPr>
          <w:rFonts w:ascii="Times New Roman" w:hAnsi="Times New Roman"/>
          <w:sz w:val="24"/>
          <w:szCs w:val="24"/>
          <w:lang w:val="hr-HR"/>
        </w:rPr>
        <w:t>15/15) i č</w:t>
      </w:r>
      <w:r w:rsidR="00775C75">
        <w:rPr>
          <w:rFonts w:ascii="Times New Roman" w:hAnsi="Times New Roman"/>
          <w:sz w:val="24"/>
          <w:szCs w:val="24"/>
          <w:lang w:val="hr-HR"/>
        </w:rPr>
        <w:t>lanka 42. Zakona o izvršavanju D</w:t>
      </w:r>
      <w:r w:rsidRPr="00D96F09">
        <w:rPr>
          <w:rFonts w:ascii="Times New Roman" w:hAnsi="Times New Roman"/>
          <w:sz w:val="24"/>
          <w:szCs w:val="24"/>
          <w:lang w:val="hr-HR"/>
        </w:rPr>
        <w:t>ržavnog proračuna Republike Hrvatske za 2020. godinu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broj 117/19)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Vlada Republike Hrvatske je na sjednici održanoj </w:t>
      </w:r>
      <w:r w:rsidR="00DD2DB2">
        <w:rPr>
          <w:rFonts w:ascii="Times New Roman" w:hAnsi="Times New Roman"/>
          <w:sz w:val="24"/>
          <w:szCs w:val="24"/>
          <w:lang w:val="hr-HR"/>
        </w:rPr>
        <w:t>______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sz w:val="24"/>
          <w:szCs w:val="24"/>
          <w:lang w:val="hr-HR"/>
        </w:rPr>
        <w:t>2020. godine donijela</w:t>
      </w:r>
    </w:p>
    <w:p w:rsidR="00D96F09" w:rsidRDefault="00D96F09" w:rsidP="00E50B89">
      <w:pPr>
        <w:tabs>
          <w:tab w:val="left" w:pos="23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7E22D6" w:rsidRPr="00D96F09" w:rsidRDefault="007E22D6" w:rsidP="00E50B89">
      <w:pPr>
        <w:tabs>
          <w:tab w:val="left" w:pos="23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D96F09" w:rsidRDefault="00D96F09" w:rsidP="00E50B89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96F09">
        <w:rPr>
          <w:rFonts w:ascii="Times New Roman" w:hAnsi="Times New Roman"/>
          <w:b/>
          <w:sz w:val="24"/>
          <w:szCs w:val="24"/>
          <w:lang w:val="hr-HR"/>
        </w:rPr>
        <w:t>O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>D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>L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>K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>U</w:t>
      </w:r>
    </w:p>
    <w:p w:rsidR="00D96F09" w:rsidRPr="00D96F09" w:rsidRDefault="00D96F09" w:rsidP="00E50B89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D96F09" w:rsidRPr="00D96F09" w:rsidRDefault="00D96F09" w:rsidP="00E50B89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96F09">
        <w:rPr>
          <w:rFonts w:ascii="Times New Roman" w:hAnsi="Times New Roman"/>
          <w:b/>
          <w:sz w:val="24"/>
          <w:szCs w:val="24"/>
          <w:lang w:val="hr-HR"/>
        </w:rPr>
        <w:t>o davanju suglasnosti društvu Hrvatska elektroprivreda</w:t>
      </w:r>
      <w:r w:rsidR="00775C75">
        <w:rPr>
          <w:rFonts w:ascii="Times New Roman" w:hAnsi="Times New Roman"/>
          <w:b/>
          <w:sz w:val="24"/>
          <w:szCs w:val="24"/>
          <w:lang w:val="hr-HR"/>
        </w:rPr>
        <w:t xml:space="preserve"> d.d.</w:t>
      </w:r>
      <w:r w:rsidRPr="00D96F09">
        <w:rPr>
          <w:rFonts w:ascii="Times New Roman" w:hAnsi="Times New Roman"/>
          <w:b/>
          <w:sz w:val="24"/>
          <w:szCs w:val="24"/>
          <w:lang w:val="hr-HR"/>
        </w:rPr>
        <w:t xml:space="preserve"> za sklapanje okvirnog sporazuma o financiranju s Privrednom bankom Zagreb d.d., Zagreb</w:t>
      </w:r>
    </w:p>
    <w:p w:rsidR="00D96F09" w:rsidRDefault="00D96F09" w:rsidP="00E50B8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7E22D6" w:rsidRPr="00D96F09" w:rsidRDefault="007E22D6" w:rsidP="00E50B8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D96F09" w:rsidRDefault="00D96F09" w:rsidP="00E50B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96F09">
        <w:rPr>
          <w:rFonts w:ascii="Times New Roman" w:hAnsi="Times New Roman"/>
          <w:b/>
          <w:sz w:val="24"/>
          <w:szCs w:val="24"/>
          <w:lang w:val="hr-HR"/>
        </w:rPr>
        <w:t>I.</w:t>
      </w:r>
    </w:p>
    <w:p w:rsidR="00D96F09" w:rsidRPr="00D96F09" w:rsidRDefault="00D96F09" w:rsidP="00E50B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 xml:space="preserve">Daje se suglasnost društvu Hrvatska elektroprivreda </w:t>
      </w:r>
      <w:r w:rsidR="00775C75">
        <w:rPr>
          <w:rFonts w:ascii="Times New Roman" w:hAnsi="Times New Roman"/>
          <w:sz w:val="24"/>
          <w:szCs w:val="24"/>
          <w:lang w:val="hr-HR"/>
        </w:rPr>
        <w:t>d.d.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(u daljnjem tekstu: HEP d.d.), za sklapanje okvirnog sporazuma o financiranju u iznosu do 200.000.000,00 kuna s Privrednom bankom Zagreb d.d., Zagreb, uz sljedeće uvjete:</w:t>
      </w:r>
    </w:p>
    <w:p w:rsidR="00D96F09" w:rsidRDefault="00D96F09" w:rsidP="00E50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D96F09" w:rsidRPr="00D96F09" w:rsidRDefault="004D16EB" w:rsidP="0062228C">
      <w:pPr>
        <w:tabs>
          <w:tab w:val="left" w:pos="2977"/>
        </w:tabs>
        <w:spacing w:after="0" w:line="240" w:lineRule="auto"/>
        <w:ind w:left="2552" w:hanging="2552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v</w:t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 xml:space="preserve">rsta posla:    </w:t>
      </w:r>
      <w:r w:rsidR="00822E7B">
        <w:rPr>
          <w:rFonts w:ascii="Times New Roman" w:hAnsi="Times New Roman"/>
          <w:bCs/>
          <w:sz w:val="24"/>
          <w:szCs w:val="24"/>
          <w:lang w:val="hr-HR"/>
        </w:rPr>
        <w:tab/>
      </w:r>
      <w:r w:rsidR="0062228C"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Okvirni sporazum o financiranju u kunama temeljem kojeg se </w:t>
      </w:r>
      <w:r w:rsidR="0062228C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svako pojedino korištenje ugovara zaključenjem zasebnog </w:t>
      </w:r>
      <w:r w:rsidR="0062228C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ugovara o kreditu za obrtna sredstva, izdavanju garancije </w:t>
      </w:r>
      <w:r w:rsidR="0062228C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(izuzev kreditnih) i obvezujućeg pisma n</w:t>
      </w:r>
      <w:r>
        <w:rPr>
          <w:rFonts w:ascii="Times New Roman" w:hAnsi="Times New Roman"/>
          <w:sz w:val="24"/>
          <w:szCs w:val="24"/>
          <w:lang w:val="hr-HR"/>
        </w:rPr>
        <w:t xml:space="preserve">amjere ili otvaranju </w:t>
      </w:r>
      <w:r w:rsidR="0062228C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akreditiva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E50B89" w:rsidRDefault="00E50B89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D96F09" w:rsidRDefault="004D16EB" w:rsidP="0062228C">
      <w:pPr>
        <w:tabs>
          <w:tab w:val="left" w:pos="2552"/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i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 xml:space="preserve">znos i valuta:    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ab/>
      </w:r>
      <w:r w:rsidR="0062228C"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do 200.000.000,00 kuna</w:t>
      </w:r>
    </w:p>
    <w:p w:rsidR="00E50B89" w:rsidRDefault="00E50B89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D96F09" w:rsidRDefault="004D16EB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v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 xml:space="preserve">aluta korištenja:   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>prema potrebama HEP-a d.d.</w:t>
      </w:r>
      <w:r w:rsidR="001777E4">
        <w:rPr>
          <w:rFonts w:ascii="Times New Roman" w:hAnsi="Times New Roman"/>
          <w:bCs/>
          <w:sz w:val="24"/>
          <w:szCs w:val="24"/>
          <w:lang w:val="hr-HR"/>
        </w:rPr>
        <w:t>,</w:t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 xml:space="preserve"> a kod financiranja vodeći računa </w:t>
      </w:r>
      <w:r w:rsidR="0062228C"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>i o tržišnim uvjetima</w:t>
      </w:r>
    </w:p>
    <w:p w:rsidR="00E50B89" w:rsidRDefault="00E50B89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D96F09" w:rsidRDefault="004D16EB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 xml:space="preserve">amjena posla:        </w:t>
      </w:r>
      <w:r w:rsidR="00393E78"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>financiranje redovnog poslovanja</w:t>
      </w:r>
    </w:p>
    <w:p w:rsidR="00E50B89" w:rsidRDefault="00E50B89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4D16EB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ačin i rok korištenja:   </w:t>
      </w:r>
      <w:r w:rsidR="0062228C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- prema potrebama HEP-a d.d. i mogućnostima banke</w:t>
      </w:r>
    </w:p>
    <w:p w:rsidR="00D96F09" w:rsidRPr="00D96F09" w:rsidRDefault="0062228C" w:rsidP="0062228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- mogućnosti korištenja</w:t>
      </w:r>
      <w:r w:rsidR="004D16EB">
        <w:rPr>
          <w:rFonts w:ascii="Times New Roman" w:hAnsi="Times New Roman"/>
          <w:sz w:val="24"/>
          <w:szCs w:val="24"/>
          <w:lang w:val="hr-HR"/>
        </w:rPr>
        <w:t xml:space="preserve"> u roku od 3 godine od potpisa o</w:t>
      </w:r>
      <w:r w:rsidR="00B63463">
        <w:rPr>
          <w:rFonts w:ascii="Times New Roman" w:hAnsi="Times New Roman"/>
          <w:sz w:val="24"/>
          <w:szCs w:val="24"/>
          <w:lang w:val="hr-HR"/>
        </w:rPr>
        <w:t xml:space="preserve">kvirnog     </w:t>
      </w:r>
      <w:r w:rsidR="00B63463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sporazuma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2228C" w:rsidRDefault="004D16EB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rajnji rok dospijeća/rok </w:t>
      </w:r>
    </w:p>
    <w:p w:rsidR="00D96F09" w:rsidRPr="00D96F09" w:rsidRDefault="00B63463" w:rsidP="009A00F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važenja pojedinih plasmana:</w:t>
      </w:r>
      <w:r w:rsidR="009A00F7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- za kredite: do 3 godin</w:t>
      </w:r>
      <w:r w:rsidR="004D16EB">
        <w:rPr>
          <w:rFonts w:ascii="Times New Roman" w:hAnsi="Times New Roman"/>
          <w:sz w:val="24"/>
          <w:szCs w:val="24"/>
          <w:lang w:val="hr-HR"/>
        </w:rPr>
        <w:t xml:space="preserve">e od datuma zaključenja svakog </w:t>
      </w:r>
      <w:r w:rsidR="009A00F7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pojedinog ugovora o kreditu s tim da se za dospijeća preko 1 </w:t>
      </w:r>
      <w:r w:rsidR="009A00F7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godine ugovara mjesečna ili tromjesečna otplata</w:t>
      </w:r>
    </w:p>
    <w:p w:rsidR="00D96F09" w:rsidRPr="00D96F09" w:rsidRDefault="009A00F7" w:rsidP="009A00F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- za garancije: do 3</w:t>
      </w:r>
      <w:r w:rsidR="004D16EB">
        <w:rPr>
          <w:rFonts w:ascii="Times New Roman" w:hAnsi="Times New Roman"/>
          <w:sz w:val="24"/>
          <w:szCs w:val="24"/>
          <w:lang w:val="hr-HR"/>
        </w:rPr>
        <w:t xml:space="preserve"> godine, tj. najkasnije do 31. srpnja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2023.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777E4">
        <w:rPr>
          <w:rFonts w:ascii="Times New Roman" w:hAnsi="Times New Roman"/>
          <w:sz w:val="24"/>
          <w:szCs w:val="24"/>
          <w:lang w:val="hr-HR"/>
        </w:rPr>
        <w:t xml:space="preserve">godine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uz mogućnost naknadnog produžetka navedenog</w:t>
      </w:r>
      <w:r w:rsidR="001777E4">
        <w:rPr>
          <w:rFonts w:ascii="Times New Roman" w:hAnsi="Times New Roman"/>
          <w:sz w:val="24"/>
          <w:szCs w:val="24"/>
          <w:lang w:val="hr-HR"/>
        </w:rPr>
        <w:t>a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 roka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do najviše 5 godina od datuma izdavanja garancije (uz izuzetak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carinskih garancija koje se izdaju bez fiksnog roka važenja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sukladno važećim propisima)</w:t>
      </w:r>
    </w:p>
    <w:p w:rsidR="00D96F09" w:rsidRPr="00D96F09" w:rsidRDefault="009A00F7" w:rsidP="009D5C9F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- za pisma namjere i akreditive: do 2 godine od datuma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izdavanja pisma namjere/otvaranja akreditiva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05BD0" w:rsidRDefault="00C05BD0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05BD0" w:rsidRDefault="00C05BD0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50B89" w:rsidRDefault="009A00F7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K</w:t>
      </w:r>
      <w:r w:rsidR="001777E4" w:rsidRPr="00D96F09">
        <w:rPr>
          <w:rFonts w:ascii="Times New Roman" w:hAnsi="Times New Roman"/>
          <w:sz w:val="24"/>
          <w:szCs w:val="24"/>
          <w:lang w:val="hr-HR"/>
        </w:rPr>
        <w:t>rediti:</w:t>
      </w:r>
    </w:p>
    <w:p w:rsidR="007E22D6" w:rsidRDefault="007E22D6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9A00F7" w:rsidP="009A0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kamatna stopa: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definira se prije korištenja, tj. prilikom zaključenja pojedinog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ugovora o kreditu i ovisi o predviđenom roku povrata te trenutnim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tržišnim uvjetima i premiji rizika</w:t>
      </w:r>
    </w:p>
    <w:p w:rsidR="007E22D6" w:rsidRDefault="007E22D6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D96F09" w:rsidRDefault="00641A0F" w:rsidP="00641A0F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>aknada: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- za obradu zahtjeva: 0,10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20294">
        <w:rPr>
          <w:rFonts w:ascii="Times New Roman" w:hAnsi="Times New Roman"/>
          <w:sz w:val="24"/>
          <w:szCs w:val="24"/>
          <w:lang w:val="hr-HR"/>
        </w:rPr>
        <w:t>% jednokratno, na iznos u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govo</w:t>
      </w:r>
      <w:r w:rsidR="00C20294">
        <w:rPr>
          <w:rFonts w:ascii="Times New Roman" w:hAnsi="Times New Roman"/>
          <w:sz w:val="24"/>
          <w:szCs w:val="24"/>
          <w:lang w:val="hr-HR"/>
        </w:rPr>
        <w:t xml:space="preserve">ra 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C20294">
        <w:rPr>
          <w:rFonts w:ascii="Times New Roman" w:hAnsi="Times New Roman"/>
          <w:sz w:val="24"/>
          <w:szCs w:val="24"/>
          <w:lang w:val="hr-HR"/>
        </w:rPr>
        <w:t xml:space="preserve">kreditu (iznos koji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se povlači u korištenje)</w:t>
      </w:r>
    </w:p>
    <w:p w:rsidR="00D96F09" w:rsidRPr="00D96F09" w:rsidRDefault="00D96F09" w:rsidP="00641A0F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 xml:space="preserve">                          </w:t>
      </w:r>
      <w:r w:rsidR="00641A0F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>- za odobrenje i korištenje: ne obračunava se</w:t>
      </w:r>
    </w:p>
    <w:p w:rsidR="00D96F09" w:rsidRPr="00D96F09" w:rsidRDefault="00D96F09" w:rsidP="00641A0F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 xml:space="preserve">                          </w:t>
      </w:r>
      <w:r w:rsidR="00641A0F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>- za rezervaciju sredstava: ne obračunava se</w:t>
      </w:r>
    </w:p>
    <w:p w:rsidR="00D96F09" w:rsidRPr="00D96F09" w:rsidRDefault="00D96F09" w:rsidP="00641A0F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C20294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</w:t>
      </w:r>
      <w:r w:rsidR="001777E4" w:rsidRPr="00D96F09">
        <w:rPr>
          <w:rFonts w:ascii="Times New Roman" w:hAnsi="Times New Roman"/>
          <w:sz w:val="24"/>
          <w:szCs w:val="24"/>
          <w:lang w:val="hr-HR"/>
        </w:rPr>
        <w:t>kvirne linije za garancije, akreditive i pisma namjere</w:t>
      </w:r>
      <w:r>
        <w:rPr>
          <w:rFonts w:ascii="Times New Roman" w:hAnsi="Times New Roman"/>
          <w:sz w:val="24"/>
          <w:szCs w:val="24"/>
          <w:lang w:val="hr-HR"/>
        </w:rPr>
        <w:t>: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41A0F" w:rsidRDefault="00641A0F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aknada</w:t>
      </w:r>
      <w:r>
        <w:rPr>
          <w:rFonts w:ascii="Times New Roman" w:hAnsi="Times New Roman"/>
          <w:sz w:val="24"/>
          <w:szCs w:val="24"/>
          <w:lang w:val="hr-HR"/>
        </w:rPr>
        <w:t xml:space="preserve"> za obradu </w:t>
      </w:r>
    </w:p>
    <w:p w:rsidR="00D96F09" w:rsidRPr="00D96F09" w:rsidRDefault="00B63463" w:rsidP="00641A0F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41A0F">
        <w:rPr>
          <w:rFonts w:ascii="Times New Roman" w:hAnsi="Times New Roman"/>
          <w:sz w:val="24"/>
          <w:szCs w:val="24"/>
          <w:lang w:val="hr-HR"/>
        </w:rPr>
        <w:t xml:space="preserve">zahtjeva:         </w:t>
      </w:r>
      <w:r w:rsidR="00641A0F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ne obračunava se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41A0F" w:rsidRDefault="00641A0F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rezervaciju </w:t>
      </w:r>
    </w:p>
    <w:p w:rsidR="00D96F09" w:rsidRPr="00D96F09" w:rsidRDefault="00B63463" w:rsidP="004F033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41A0F">
        <w:rPr>
          <w:rFonts w:ascii="Times New Roman" w:hAnsi="Times New Roman"/>
          <w:sz w:val="24"/>
          <w:szCs w:val="24"/>
          <w:lang w:val="hr-HR"/>
        </w:rPr>
        <w:t xml:space="preserve">sredstava: </w:t>
      </w:r>
      <w:r w:rsidR="004F0336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ne obračunava se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C20294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</w:t>
      </w:r>
      <w:r w:rsidRPr="00D96F09">
        <w:rPr>
          <w:rFonts w:ascii="Times New Roman" w:hAnsi="Times New Roman"/>
          <w:sz w:val="24"/>
          <w:szCs w:val="24"/>
          <w:lang w:val="hr-HR"/>
        </w:rPr>
        <w:t>kreditivi: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E264A3" w:rsidP="00E264A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otvaranje: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0,09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%, najmanje 400,00 kuna, naplaćuje se tromjesečno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unaprijed na stvarni broj dana važenja akreditiva unutar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obračunskog razdoblja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pregled </w:t>
      </w:r>
    </w:p>
    <w:p w:rsidR="00E264A3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dokumenata i plaćanje po </w:t>
      </w:r>
    </w:p>
    <w:p w:rsidR="00E264A3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dokumentarnim </w:t>
      </w:r>
    </w:p>
    <w:p w:rsidR="00D96F09" w:rsidRPr="00D96F09" w:rsidRDefault="00E264A3" w:rsidP="00E264A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akreditivima: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0,10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%, najmanje 80,00 kuna, najviše 700,00 kuna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eventualne </w:t>
      </w:r>
    </w:p>
    <w:p w:rsidR="00E264A3" w:rsidRDefault="00B6346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izmjene po otvorenim </w:t>
      </w:r>
    </w:p>
    <w:p w:rsidR="00D96F09" w:rsidRPr="00D96F09" w:rsidRDefault="00B63463" w:rsidP="00E264A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akreditivima: </w:t>
      </w:r>
      <w:r w:rsidR="00E264A3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500,00 kuna, jednokratno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razmjenu s </w:t>
      </w:r>
    </w:p>
    <w:p w:rsidR="00D96F09" w:rsidRPr="00D96F09" w:rsidRDefault="00B63463" w:rsidP="00E26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međunarodnim sustavima: </w:t>
      </w:r>
      <w:r w:rsidR="00E264A3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35,00 kuna, jednokratno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E264A3" w:rsidP="00E26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aznena naknada: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ukoliko po otvorenom akreditivu dođe do plaćanja iz sredstava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Banke, naplaćuje se naknada u visini 1,00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% od plaćenog iznosa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akreditiva te zatezna kamata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</w:t>
      </w:r>
      <w:r w:rsidRPr="00D96F09">
        <w:rPr>
          <w:rFonts w:ascii="Times New Roman" w:hAnsi="Times New Roman"/>
          <w:sz w:val="24"/>
          <w:szCs w:val="24"/>
          <w:lang w:val="hr-HR"/>
        </w:rPr>
        <w:t>arancije i pisma namjere: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7E22D6">
      <w:pPr>
        <w:spacing w:after="0" w:line="240" w:lineRule="auto"/>
        <w:ind w:left="4536" w:hanging="4536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D96F09" w:rsidRPr="00D96F09" w:rsidRDefault="00B63463" w:rsidP="00E264A3">
      <w:pPr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ponudbenih garancija: </w:t>
      </w:r>
      <w:r w:rsidR="007E22D6">
        <w:rPr>
          <w:rFonts w:ascii="Times New Roman" w:hAnsi="Times New Roman"/>
          <w:sz w:val="24"/>
          <w:szCs w:val="24"/>
          <w:lang w:val="hr-HR"/>
        </w:rPr>
        <w:tab/>
      </w:r>
      <w:r w:rsidR="007E22D6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0,08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% </w:t>
      </w:r>
      <w:r w:rsidR="00E264A3">
        <w:rPr>
          <w:rFonts w:ascii="Times New Roman" w:hAnsi="Times New Roman"/>
          <w:sz w:val="24"/>
          <w:szCs w:val="24"/>
          <w:lang w:val="hr-HR"/>
        </w:rPr>
        <w:t>tromjesečno unaprijed, najmanje</w:t>
      </w:r>
      <w:r w:rsidR="007E22D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400,00 kuna</w:t>
      </w:r>
    </w:p>
    <w:p w:rsidR="00E50B89" w:rsidRDefault="00E50B89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3463" w:rsidRDefault="00B6346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D96F09" w:rsidRDefault="00B6346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E264A3">
        <w:rPr>
          <w:rFonts w:ascii="Times New Roman" w:hAnsi="Times New Roman"/>
          <w:sz w:val="24"/>
          <w:szCs w:val="24"/>
          <w:lang w:val="hr-HR"/>
        </w:rPr>
        <w:t xml:space="preserve">činidbenih garancija:  </w:t>
      </w:r>
      <w:r w:rsidR="00E264A3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0,08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% tromjesečno unaprijed, najmanje 400,00 kuna</w:t>
      </w:r>
    </w:p>
    <w:p w:rsidR="007E22D6" w:rsidRPr="00D96F09" w:rsidRDefault="007E22D6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D96F09" w:rsidRPr="00D96F09" w:rsidRDefault="00B6346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platežnih garancija: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7E22D6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0,11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% tromjesečno unaprijed, najmanje 400,00 kuna</w:t>
      </w:r>
    </w:p>
    <w:p w:rsidR="00E50B89" w:rsidRDefault="00E50B89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64A3" w:rsidRDefault="00E264A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:rsidR="00D96F09" w:rsidRPr="00D96F09" w:rsidRDefault="00B63463" w:rsidP="007E2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carinskih garancija: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E264A3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0,10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% tromjesečno unaprijed, najmanje 400,00 kuna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85D85" w:rsidRDefault="00E264A3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pisma </w:t>
      </w:r>
    </w:p>
    <w:p w:rsidR="00E85D85" w:rsidRDefault="00E85D85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namjere za izdavanje </w:t>
      </w:r>
    </w:p>
    <w:p w:rsidR="00E85D85" w:rsidRDefault="00E85D85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činidbene/platežne </w:t>
      </w:r>
    </w:p>
    <w:p w:rsidR="00D96F09" w:rsidRPr="00D96F09" w:rsidRDefault="00E85D85" w:rsidP="00E85D8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garancije: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30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% naknade za određeni tip garancije, jednokratno  unaprijed,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najmanje 400,00 kuna, najviše 700,00 kuna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85D85" w:rsidRDefault="00E85D85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izmjene po </w:t>
      </w:r>
    </w:p>
    <w:p w:rsidR="00D96F09" w:rsidRPr="00D96F09" w:rsidRDefault="00E85D85" w:rsidP="00E85D8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izdanim garancijama: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500,00 kuna, jednokratno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85D85" w:rsidRDefault="00E85D85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aknada za razmjenu s </w:t>
      </w:r>
    </w:p>
    <w:p w:rsidR="00D96F09" w:rsidRPr="00D96F09" w:rsidRDefault="00E85D85" w:rsidP="00E85D85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međunarodnim sustavima: </w:t>
      </w: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35,00 kuna, jednokratno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Default="00E85D85" w:rsidP="005D18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aznena naknada: </w:t>
      </w:r>
      <w:r w:rsidR="005D182D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u slučaju plaćanja po garanciji iz sredstava Banke naplaćuje se </w:t>
      </w:r>
      <w:r w:rsidR="005D182D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naknada u visini 1,00</w:t>
      </w:r>
      <w:r w:rsidR="00822E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% od plaćenog iznosa garancije, te zatezna </w:t>
      </w:r>
      <w:r w:rsidR="005D182D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kamata </w:t>
      </w:r>
    </w:p>
    <w:p w:rsidR="00C20294" w:rsidRPr="00D96F09" w:rsidRDefault="00C20294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6F4890" w:rsidP="005D18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aknade po garancijama s rokom važenja do 90 dana naplaćuju se jednokratno u visini naknade koja odgovara vrsti garancije kako je gore navedeno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>U slučaju korištenja garancija pojedinačnog iznosa većeg</w:t>
      </w:r>
      <w:r w:rsidR="00C20294">
        <w:rPr>
          <w:rFonts w:ascii="Times New Roman" w:hAnsi="Times New Roman"/>
          <w:sz w:val="24"/>
          <w:szCs w:val="24"/>
          <w:lang w:val="hr-HR"/>
        </w:rPr>
        <w:t xml:space="preserve"> od 20.000.000,00 kuna ugovorit</w:t>
      </w:r>
      <w:r w:rsidRPr="00D96F09">
        <w:rPr>
          <w:rFonts w:ascii="Times New Roman" w:hAnsi="Times New Roman"/>
          <w:sz w:val="24"/>
          <w:szCs w:val="24"/>
          <w:lang w:val="hr-HR"/>
        </w:rPr>
        <w:t xml:space="preserve"> će se posebna tarifa u </w:t>
      </w:r>
      <w:r w:rsidR="00C20294">
        <w:rPr>
          <w:rFonts w:ascii="Times New Roman" w:hAnsi="Times New Roman"/>
          <w:sz w:val="24"/>
          <w:szCs w:val="24"/>
          <w:lang w:val="hr-HR"/>
        </w:rPr>
        <w:t xml:space="preserve">postotnom ili paušalnom iznosu </w:t>
      </w:r>
      <w:r w:rsidRPr="00D96F09">
        <w:rPr>
          <w:rFonts w:ascii="Times New Roman" w:hAnsi="Times New Roman"/>
          <w:sz w:val="24"/>
          <w:szCs w:val="24"/>
          <w:lang w:val="hr-HR"/>
        </w:rPr>
        <w:t>koji će ovisiti o iznosu i roku važenja te garancije</w:t>
      </w:r>
      <w:r w:rsidR="006F4890">
        <w:rPr>
          <w:rFonts w:ascii="Times New Roman" w:hAnsi="Times New Roman"/>
          <w:sz w:val="24"/>
          <w:szCs w:val="24"/>
          <w:lang w:val="hr-HR"/>
        </w:rPr>
        <w:t>.</w:t>
      </w:r>
    </w:p>
    <w:p w:rsidR="00E50B89" w:rsidRDefault="00E50B8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6F4890" w:rsidRDefault="006F4890" w:rsidP="006F489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i</w:t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>nstrumenti osiguranja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: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2 bjanko </w:t>
      </w:r>
      <w:r w:rsidR="00AA67CD">
        <w:rPr>
          <w:rFonts w:ascii="Times New Roman" w:hAnsi="Times New Roman"/>
          <w:sz w:val="24"/>
          <w:szCs w:val="24"/>
          <w:lang w:val="hr-HR"/>
        </w:rPr>
        <w:t xml:space="preserve">akceptirane mjenice HEP-a d.d. 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s klauzulom „bez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protesta“ uz mjenično očitovanje ovjerene kod javnog bilježnika,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F052A4">
        <w:rPr>
          <w:rFonts w:ascii="Times New Roman" w:hAnsi="Times New Roman"/>
          <w:sz w:val="24"/>
          <w:szCs w:val="24"/>
          <w:lang w:val="hr-HR"/>
        </w:rPr>
        <w:t>1 zadužnica HEP-a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 d.d. solemnizirana kod javnog bilježnika</w:t>
      </w:r>
      <w:r w:rsidR="00D96F09" w:rsidRPr="00D96F09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 xml:space="preserve">(instrumenti osiguranja se dostavljaju prilikom potpisivanja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pojedinačnih ugovora o proizvodu</w:t>
      </w:r>
      <w:r w:rsidR="00393E78">
        <w:rPr>
          <w:rFonts w:ascii="Times New Roman" w:hAnsi="Times New Roman"/>
          <w:sz w:val="24"/>
          <w:szCs w:val="24"/>
          <w:lang w:val="hr-HR"/>
        </w:rPr>
        <w:t xml:space="preserve">, a koji se zaključuju temeljem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393E78">
        <w:rPr>
          <w:rFonts w:ascii="Times New Roman" w:hAnsi="Times New Roman"/>
          <w:sz w:val="24"/>
          <w:szCs w:val="24"/>
          <w:lang w:val="hr-HR"/>
        </w:rPr>
        <w:t>o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kvirnog sporazuma</w:t>
      </w:r>
      <w:r w:rsidR="00393E78">
        <w:rPr>
          <w:rFonts w:ascii="Times New Roman" w:hAnsi="Times New Roman"/>
          <w:sz w:val="24"/>
          <w:szCs w:val="24"/>
          <w:lang w:val="hr-HR"/>
        </w:rPr>
        <w:t>)</w:t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>.</w:t>
      </w:r>
    </w:p>
    <w:p w:rsidR="00D96F09" w:rsidRPr="00D96F09" w:rsidRDefault="00D96F09" w:rsidP="00E50B8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D96F09" w:rsidRPr="00E50B89" w:rsidRDefault="00D96F09" w:rsidP="00E50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50B89">
        <w:rPr>
          <w:rFonts w:ascii="Times New Roman" w:hAnsi="Times New Roman"/>
          <w:b/>
          <w:sz w:val="24"/>
          <w:szCs w:val="24"/>
          <w:lang w:val="hr-HR"/>
        </w:rPr>
        <w:t>II.</w:t>
      </w: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  <w:t>Društvo HEP d.d. će okvirni sporazum o financiranju iz točke I. ove Odluke koristiti za višenamjensko financiranje redovnog poslovanja.</w:t>
      </w: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E50B89" w:rsidRDefault="00D96F09" w:rsidP="00E50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50B89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  <w:t xml:space="preserve">Dužnik, odnosno društvo HEP d.d. obvezno je otplaćivati sve svoje obveze po zaduženju iz točke I. ove Odluke do konačne otplate, bez terećenja državnog proračuna Republike Hrvatske. </w:t>
      </w: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3463" w:rsidRPr="00D96F09" w:rsidRDefault="00B63463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05BD0" w:rsidRDefault="00C05BD0" w:rsidP="00E50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C05BD0" w:rsidRDefault="00C05BD0" w:rsidP="00E50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D96F09" w:rsidRPr="00E50B89" w:rsidRDefault="00D96F09" w:rsidP="00E50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50B89">
        <w:rPr>
          <w:rFonts w:ascii="Times New Roman" w:hAnsi="Times New Roman"/>
          <w:b/>
          <w:sz w:val="24"/>
          <w:szCs w:val="24"/>
          <w:lang w:val="hr-HR"/>
        </w:rPr>
        <w:lastRenderedPageBreak/>
        <w:t>IV.</w:t>
      </w: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  <w:t>Ova Odluka stupa na snagu danom donošenja.</w:t>
      </w:r>
    </w:p>
    <w:p w:rsidR="00B63463" w:rsidRDefault="00B63463" w:rsidP="00E50B89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3463" w:rsidRDefault="00B63463" w:rsidP="00E50B89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3463" w:rsidRDefault="00B63463" w:rsidP="00E50B89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63463" w:rsidRDefault="00B63463" w:rsidP="00E50B89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D2DB2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>Klasa:</w:t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>Urbroj:</w:t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</w:p>
    <w:p w:rsidR="00B63463" w:rsidRPr="00D96F09" w:rsidRDefault="00B63463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>Zagreb,</w:t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</w:p>
    <w:p w:rsidR="00B63463" w:rsidRDefault="00B63463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4436F" w:rsidRPr="00D96F09" w:rsidRDefault="00A4436F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D2DB2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</w:r>
      <w:r w:rsidR="00D96F09" w:rsidRPr="00D96F09">
        <w:rPr>
          <w:rFonts w:ascii="Times New Roman" w:hAnsi="Times New Roman"/>
          <w:sz w:val="24"/>
          <w:szCs w:val="24"/>
          <w:lang w:val="hr-HR"/>
        </w:rPr>
        <w:tab/>
        <w:t xml:space="preserve">      PREDSJEDNIK</w:t>
      </w: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D96F09" w:rsidRPr="00D96F09" w:rsidRDefault="00D96F09" w:rsidP="00E50B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96F09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DD2DB2">
        <w:rPr>
          <w:rFonts w:ascii="Times New Roman" w:hAnsi="Times New Roman"/>
          <w:sz w:val="24"/>
          <w:szCs w:val="24"/>
          <w:lang w:val="hr-HR"/>
        </w:rPr>
        <w:tab/>
      </w:r>
      <w:r w:rsidR="00DD2DB2">
        <w:rPr>
          <w:rFonts w:ascii="Times New Roman" w:hAnsi="Times New Roman"/>
          <w:sz w:val="24"/>
          <w:szCs w:val="24"/>
          <w:lang w:val="hr-HR"/>
        </w:rPr>
        <w:tab/>
      </w:r>
      <w:r w:rsidR="00DD2DB2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</w:r>
      <w:r w:rsidRPr="00D96F09">
        <w:rPr>
          <w:rFonts w:ascii="Times New Roman" w:hAnsi="Times New Roman"/>
          <w:sz w:val="24"/>
          <w:szCs w:val="24"/>
          <w:lang w:val="hr-HR"/>
        </w:rPr>
        <w:tab/>
        <w:t>mr. sc. Andrej Plenković</w:t>
      </w:r>
    </w:p>
    <w:p w:rsidR="00540C4E" w:rsidRDefault="00540C4E" w:rsidP="00E50B89">
      <w:pPr>
        <w:spacing w:after="0" w:line="240" w:lineRule="auto"/>
      </w:pPr>
    </w:p>
    <w:p w:rsidR="00540C4E" w:rsidRPr="00540C4E" w:rsidRDefault="00540C4E" w:rsidP="00540C4E"/>
    <w:p w:rsidR="00540C4E" w:rsidRPr="00540C4E" w:rsidRDefault="00540C4E" w:rsidP="00540C4E"/>
    <w:p w:rsidR="00540C4E" w:rsidRP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/>
    <w:p w:rsidR="00540C4E" w:rsidRDefault="00540C4E" w:rsidP="00540C4E">
      <w:pPr>
        <w:jc w:val="center"/>
        <w:rPr>
          <w:rFonts w:ascii="Times New Roman" w:hAnsi="Times New Roman"/>
          <w:sz w:val="24"/>
          <w:szCs w:val="24"/>
        </w:rPr>
      </w:pPr>
      <w:r w:rsidRPr="00540C4E">
        <w:rPr>
          <w:rFonts w:ascii="Times New Roman" w:hAnsi="Times New Roman"/>
          <w:sz w:val="24"/>
          <w:szCs w:val="24"/>
        </w:rPr>
        <w:lastRenderedPageBreak/>
        <w:t>OBRAZLOŽENJE</w:t>
      </w:r>
    </w:p>
    <w:p w:rsidR="00540C4E" w:rsidRPr="00540C4E" w:rsidRDefault="00540C4E" w:rsidP="00540C4E">
      <w:pPr>
        <w:jc w:val="center"/>
        <w:rPr>
          <w:rFonts w:ascii="Times New Roman" w:hAnsi="Times New Roman"/>
          <w:sz w:val="24"/>
          <w:szCs w:val="24"/>
        </w:rPr>
      </w:pPr>
    </w:p>
    <w:p w:rsidR="00540C4E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A5931">
        <w:rPr>
          <w:rFonts w:ascii="Times New Roman" w:hAnsi="Times New Roman"/>
          <w:sz w:val="24"/>
          <w:szCs w:val="24"/>
          <w:lang w:val="hr-HR"/>
        </w:rPr>
        <w:t xml:space="preserve">U  skladu s člankom 82. Zakona o proračunu </w:t>
      </w:r>
      <w:r>
        <w:rPr>
          <w:rFonts w:ascii="Times New Roman" w:hAnsi="Times New Roman"/>
          <w:sz w:val="24"/>
          <w:szCs w:val="24"/>
          <w:lang w:val="hr-HR"/>
        </w:rPr>
        <w:t xml:space="preserve">(Narodne novine, br. 87/08, 136/12, 15/15) </w:t>
      </w:r>
      <w:r w:rsidRPr="006A5931">
        <w:rPr>
          <w:rFonts w:ascii="Times New Roman" w:hAnsi="Times New Roman"/>
          <w:sz w:val="24"/>
          <w:szCs w:val="24"/>
          <w:lang w:val="hr-HR"/>
        </w:rPr>
        <w:t>i čl</w:t>
      </w:r>
      <w:r w:rsidR="00394337">
        <w:rPr>
          <w:rFonts w:ascii="Times New Roman" w:hAnsi="Times New Roman"/>
          <w:sz w:val="24"/>
          <w:szCs w:val="24"/>
          <w:lang w:val="hr-HR"/>
        </w:rPr>
        <w:t>ankom 42. Zakona o izvršavanju D</w:t>
      </w:r>
      <w:r w:rsidRPr="006A5931">
        <w:rPr>
          <w:rFonts w:ascii="Times New Roman" w:hAnsi="Times New Roman"/>
          <w:sz w:val="24"/>
          <w:szCs w:val="24"/>
          <w:lang w:val="hr-HR"/>
        </w:rPr>
        <w:t>ržavnog proračuna Republike Hrvatske za 2</w:t>
      </w:r>
      <w:r>
        <w:rPr>
          <w:rFonts w:ascii="Times New Roman" w:hAnsi="Times New Roman"/>
          <w:sz w:val="24"/>
          <w:szCs w:val="24"/>
          <w:lang w:val="hr-HR"/>
        </w:rPr>
        <w:t>020. godinu (Narodne novine, broj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117/19) Hrvatska elektroprivreda </w:t>
      </w:r>
      <w:r>
        <w:rPr>
          <w:rFonts w:ascii="Times New Roman" w:hAnsi="Times New Roman"/>
          <w:sz w:val="24"/>
          <w:szCs w:val="24"/>
          <w:lang w:val="hr-HR"/>
        </w:rPr>
        <w:t xml:space="preserve">d.d. </w:t>
      </w:r>
      <w:r w:rsidRPr="006A5931">
        <w:rPr>
          <w:rFonts w:ascii="Times New Roman" w:hAnsi="Times New Roman"/>
          <w:sz w:val="24"/>
          <w:szCs w:val="24"/>
          <w:lang w:val="hr-HR"/>
        </w:rPr>
        <w:t>(</w:t>
      </w:r>
      <w:r>
        <w:rPr>
          <w:rFonts w:ascii="Times New Roman" w:hAnsi="Times New Roman"/>
          <w:sz w:val="24"/>
          <w:szCs w:val="24"/>
          <w:lang w:val="hr-HR"/>
        </w:rPr>
        <w:t xml:space="preserve">u daljnjem tekstu: </w:t>
      </w:r>
      <w:r w:rsidRPr="006A5931">
        <w:rPr>
          <w:rFonts w:ascii="Times New Roman" w:hAnsi="Times New Roman"/>
          <w:sz w:val="24"/>
          <w:szCs w:val="24"/>
          <w:lang w:val="hr-HR"/>
        </w:rPr>
        <w:t>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A5931">
        <w:rPr>
          <w:rFonts w:ascii="Times New Roman" w:hAnsi="Times New Roman"/>
          <w:sz w:val="24"/>
          <w:szCs w:val="24"/>
          <w:lang w:val="hr-HR"/>
        </w:rPr>
        <w:t>) je u obvezi, kao pravna osoba u većinskom državnom vlasništvu, tražiti suglasnost Vlade Republike Hrvatske kada sklapa ugovore o kreditu, ugovore o zajmu u kojima je zajmoprimac ili daje jamstva, ako vrijednost posla ili jamstvo prel</w:t>
      </w:r>
      <w:r>
        <w:rPr>
          <w:rFonts w:ascii="Times New Roman" w:hAnsi="Times New Roman"/>
          <w:sz w:val="24"/>
          <w:szCs w:val="24"/>
          <w:lang w:val="hr-HR"/>
        </w:rPr>
        <w:t>azi iznos od 7.500.000,00 kuna.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A5931">
        <w:rPr>
          <w:rFonts w:ascii="Times New Roman" w:hAnsi="Times New Roman"/>
          <w:sz w:val="24"/>
          <w:szCs w:val="24"/>
          <w:lang w:val="hr-HR"/>
        </w:rPr>
        <w:t>Slijedom navedenog, potrebno</w:t>
      </w:r>
      <w:r>
        <w:rPr>
          <w:rFonts w:ascii="Times New Roman" w:hAnsi="Times New Roman"/>
          <w:sz w:val="24"/>
          <w:szCs w:val="24"/>
          <w:lang w:val="hr-HR"/>
        </w:rPr>
        <w:t xml:space="preserve"> je ishoditi suglasnost Vlade Republike Hrvatske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za ugovaranje okvirnog sporazuma o financiranju s Privrednom bankom Zagreb d.d., Zagreb</w:t>
      </w:r>
      <w:r>
        <w:rPr>
          <w:rFonts w:ascii="Times New Roman" w:hAnsi="Times New Roman"/>
          <w:sz w:val="24"/>
          <w:szCs w:val="24"/>
          <w:lang w:val="hr-HR"/>
        </w:rPr>
        <w:t>, Radnička 50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u iznosu do 200.000.000,00</w:t>
      </w:r>
      <w:r>
        <w:rPr>
          <w:rFonts w:ascii="Times New Roman" w:hAnsi="Times New Roman"/>
          <w:sz w:val="24"/>
          <w:szCs w:val="24"/>
          <w:lang w:val="hr-HR"/>
        </w:rPr>
        <w:t xml:space="preserve"> kuna</w:t>
      </w:r>
      <w:r w:rsidRPr="006A5931">
        <w:rPr>
          <w:rFonts w:ascii="Times New Roman" w:hAnsi="Times New Roman"/>
          <w:sz w:val="24"/>
          <w:szCs w:val="24"/>
          <w:lang w:val="hr-HR"/>
        </w:rPr>
        <w:t>.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prakticira ugovaranje srednjoročnih okvirnih linija sa domaćim bankama od 2013. godine, što je pokrenuto kao poduzeta mjera radi sprečavanja pada kreditnog rejtinga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, a što se godinama pokazalo kao dobra praksa i sa strane gledišta rejting agencija na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kao i samo poslovanje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HEP d.d. 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je u promatranom razdoblju (2013 – 2020) predmetne neobvezujuće okvirne linije koristio isključivo za dokumentarne poslove tj. izdavanje svih vrsta garancija za potrebe </w:t>
      </w:r>
      <w:r>
        <w:rPr>
          <w:rFonts w:ascii="Times New Roman" w:hAnsi="Times New Roman"/>
          <w:sz w:val="24"/>
          <w:szCs w:val="24"/>
          <w:lang w:val="hr-HR"/>
        </w:rPr>
        <w:t>HEP-a d.d. i članica HEP grupe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. Osim izdavanja svih vrsta garancija,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iz okvira može koristiti i financijske proizvode kao što su akreditivi, pisma namjere te kratkoročni krediti.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održava rezervu likvidnosti na razinama od  1 – 1,3 milijarde kuna u svrhu kvalitetnijeg upravljanja likvidnošću na razini HEP grupe. U skladu s navedenim, a u svrhu  redovnog i nesmetano odvijanje poslovnih aktivnosti, osobito vezano uz osiguranje limita za izdavanje svih vrsta garancija (ponudbenih, platežnih, činidbenih), Uprava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odobrila je 28. studenog</w:t>
      </w:r>
      <w:r w:rsidR="006B58D2">
        <w:rPr>
          <w:rFonts w:ascii="Times New Roman" w:hAnsi="Times New Roman"/>
          <w:sz w:val="24"/>
          <w:szCs w:val="24"/>
          <w:lang w:val="hr-HR"/>
        </w:rPr>
        <w:t>a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2019. godine pokretanje procedure ugovaranja višenamjenskih srednjoročnih linija/limita/okvira u ukupnom iznosu do 1.200.000.000,00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sa šest domaćih banaka, zbog isteka postojećih linija/limita/okvira koje je HEP </w:t>
      </w:r>
      <w:r>
        <w:rPr>
          <w:rFonts w:ascii="Times New Roman" w:hAnsi="Times New Roman"/>
          <w:sz w:val="24"/>
          <w:szCs w:val="24"/>
          <w:lang w:val="hr-HR"/>
        </w:rPr>
        <w:t xml:space="preserve">d.d. 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imao ugovorene s bankama u razdoblju od 2016/2017 – 2019/2020 godine za potrebe redovnog poslovanja. 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 je zaprimi</w:t>
      </w:r>
      <w:r w:rsidRPr="006A5931">
        <w:rPr>
          <w:rFonts w:ascii="Times New Roman" w:hAnsi="Times New Roman"/>
          <w:sz w:val="24"/>
          <w:szCs w:val="24"/>
          <w:lang w:val="hr-HR"/>
        </w:rPr>
        <w:t>o 5 (pet) obvezujućih ponuda domaćih banaka, između kojih i od  Privredne bank</w:t>
      </w:r>
      <w:r>
        <w:rPr>
          <w:rFonts w:ascii="Times New Roman" w:hAnsi="Times New Roman"/>
          <w:sz w:val="24"/>
          <w:szCs w:val="24"/>
          <w:lang w:val="hr-HR"/>
        </w:rPr>
        <w:t>e Zagreb d.d. Zagreb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, koje su u skladu s traženim parametrima, u ukupnom iznosu do 1.000.000.000,00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6A5931">
        <w:rPr>
          <w:rFonts w:ascii="Times New Roman" w:hAnsi="Times New Roman"/>
          <w:sz w:val="24"/>
          <w:szCs w:val="24"/>
          <w:lang w:val="hr-HR"/>
        </w:rPr>
        <w:t>, što se prije svega odnosi na: rok važenja ugovora od 3 (tri) godine, mogućnost korištenja različitih financijskih instrumenata (kratkoročni krediti, izdavanje svih vrsta bankovnih garancija, pisama namjere i otvaranje akreditiva), neobvezujući karakter ugovora (za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i banku) u trenutku zaključivanja višenamjenskih linija/limita/okvira, te da se cjenovne komponente po pojedinačnim instrumentima iz okvira definiraju kod stvarnog korištenja, što ovisi o predviđenom roku povrata, tržišnim uvjetima i premiji rizika u datom trenutku. Iskazane cijene u ponudama odnose se prije svega na tarife banaka za izdavanje svih vrsta garancija, akreditiva i pisama namjere, uz predviđenu mogućnost ugovaranja povlaštenih/fiksnih najviše dozvoljenih naknada (cap fee) za instrumente većih iznosa i duže ročnosti, a sve u svrhu smanjenja troškova za HEP</w:t>
      </w:r>
      <w:r>
        <w:rPr>
          <w:rFonts w:ascii="Times New Roman" w:hAnsi="Times New Roman"/>
          <w:sz w:val="24"/>
          <w:szCs w:val="24"/>
          <w:lang w:val="hr-HR"/>
        </w:rPr>
        <w:t xml:space="preserve"> d.d</w:t>
      </w:r>
      <w:r w:rsidRPr="006A5931">
        <w:rPr>
          <w:rFonts w:ascii="Times New Roman" w:hAnsi="Times New Roman"/>
          <w:sz w:val="24"/>
          <w:szCs w:val="24"/>
          <w:lang w:val="hr-HR"/>
        </w:rPr>
        <w:t>.</w:t>
      </w:r>
    </w:p>
    <w:p w:rsidR="00540C4E" w:rsidRPr="006A5931" w:rsidRDefault="00540C4E" w:rsidP="00540C4E">
      <w:p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6A5931">
        <w:rPr>
          <w:rFonts w:ascii="Times New Roman" w:hAnsi="Times New Roman"/>
          <w:sz w:val="24"/>
          <w:szCs w:val="24"/>
          <w:lang w:val="hr-HR"/>
        </w:rPr>
        <w:t xml:space="preserve">Ugovaranjem višenamjenskih srednjoročnih linija/limita/okvira omogućava se kontinuirano osiguranje rezervi likvidnosti za redovno i nesmetano odvijanje poslovnih aktivnosti. Također se </w:t>
      </w:r>
      <w:r w:rsidRPr="006A5931">
        <w:rPr>
          <w:rFonts w:ascii="Times New Roman" w:hAnsi="Times New Roman"/>
          <w:i/>
          <w:sz w:val="24"/>
          <w:szCs w:val="24"/>
          <w:u w:val="single"/>
          <w:lang w:val="hr-HR"/>
        </w:rPr>
        <w:t>omogućava i raspolaganje</w:t>
      </w:r>
      <w:r w:rsidRPr="006A5931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6A5931">
        <w:rPr>
          <w:rFonts w:ascii="Times New Roman" w:hAnsi="Times New Roman"/>
          <w:i/>
          <w:sz w:val="24"/>
          <w:szCs w:val="24"/>
          <w:u w:val="single"/>
          <w:lang w:val="hr-HR"/>
        </w:rPr>
        <w:t>limitima za izdavanje svih vrsta garancija</w:t>
      </w:r>
      <w:r w:rsidRPr="006A5931">
        <w:rPr>
          <w:rFonts w:ascii="Times New Roman" w:hAnsi="Times New Roman"/>
          <w:i/>
          <w:sz w:val="24"/>
          <w:szCs w:val="24"/>
          <w:lang w:val="hr-HR"/>
        </w:rPr>
        <w:t xml:space="preserve">, 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a sve u cilju </w:t>
      </w:r>
      <w:r w:rsidRPr="006A5931">
        <w:rPr>
          <w:rFonts w:ascii="Times New Roman" w:hAnsi="Times New Roman"/>
          <w:bCs/>
          <w:sz w:val="24"/>
          <w:szCs w:val="24"/>
          <w:lang w:val="hr-HR"/>
        </w:rPr>
        <w:t xml:space="preserve">smanjenja </w:t>
      </w:r>
      <w:r w:rsidRPr="006A5931">
        <w:rPr>
          <w:rFonts w:ascii="Times New Roman" w:hAnsi="Times New Roman"/>
          <w:bCs/>
          <w:sz w:val="24"/>
          <w:szCs w:val="24"/>
          <w:lang w:val="hr-HR"/>
        </w:rPr>
        <w:lastRenderedPageBreak/>
        <w:t>rizika od neodržavanja kreditnog rejtinga</w:t>
      </w:r>
      <w:r w:rsidRPr="006A5931">
        <w:rPr>
          <w:rFonts w:ascii="Times New Roman" w:hAnsi="Times New Roman"/>
          <w:bCs/>
          <w:i/>
          <w:sz w:val="24"/>
          <w:szCs w:val="24"/>
          <w:lang w:val="hr-HR"/>
        </w:rPr>
        <w:t xml:space="preserve">, </w:t>
      </w:r>
      <w:r w:rsidRPr="006A5931">
        <w:rPr>
          <w:rFonts w:ascii="Times New Roman" w:hAnsi="Times New Roman"/>
          <w:bCs/>
          <w:sz w:val="24"/>
          <w:szCs w:val="24"/>
          <w:lang w:val="hr-HR"/>
        </w:rPr>
        <w:t>eliminiranja rizika refinanciranja na godišnjoj razini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, eliminiranja rizika zastoja u provođenju investicijskih projekata, minimiziranja troškova izdavanja bankarskih garancija, </w:t>
      </w:r>
      <w:r w:rsidRPr="006A5931">
        <w:rPr>
          <w:rFonts w:ascii="Times New Roman" w:hAnsi="Times New Roman"/>
          <w:bCs/>
          <w:sz w:val="24"/>
          <w:szCs w:val="24"/>
          <w:lang w:val="hr-HR"/>
        </w:rPr>
        <w:t>veće fleksibilnosti u pregovaranju oko uvjeta potencijalnih proizvoda u trenutku njihovog zaključivanja te brze realizacije i odgovaranja na sve različitije potrebe ovisnih društava.</w:t>
      </w:r>
    </w:p>
    <w:p w:rsidR="00540C4E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A5931">
        <w:rPr>
          <w:rFonts w:ascii="Times New Roman" w:hAnsi="Times New Roman"/>
          <w:sz w:val="24"/>
          <w:szCs w:val="24"/>
          <w:lang w:val="hr-HR"/>
        </w:rPr>
        <w:t xml:space="preserve">Slijedom navedenog, Uprava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donijela je 23. siječnja 2020. godine Odluku kojom odobrava sklapanje predmetnog okvirnog sporazuma o financiranju s Privrednom bankom Zagreb</w:t>
      </w:r>
      <w:r>
        <w:rPr>
          <w:rFonts w:ascii="Times New Roman" w:hAnsi="Times New Roman"/>
          <w:sz w:val="24"/>
          <w:szCs w:val="24"/>
          <w:lang w:val="hr-HR"/>
        </w:rPr>
        <w:t xml:space="preserve"> d.d. u iznosu do 200 milijuna kuna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, te je 28. siječnja 2020. godine Nadzorni odbor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dao suglasnost na predmetnu Odluke </w:t>
      </w:r>
      <w:r>
        <w:rPr>
          <w:rFonts w:ascii="Times New Roman" w:hAnsi="Times New Roman"/>
          <w:sz w:val="24"/>
          <w:szCs w:val="24"/>
          <w:lang w:val="hr-HR"/>
        </w:rPr>
        <w:t>Uprave sukladno internim aktima.</w:t>
      </w:r>
    </w:p>
    <w:p w:rsidR="00540C4E" w:rsidRPr="006A5931" w:rsidRDefault="00540C4E" w:rsidP="00540C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6A5931">
        <w:rPr>
          <w:rFonts w:ascii="Times New Roman" w:hAnsi="Times New Roman"/>
          <w:sz w:val="24"/>
          <w:szCs w:val="24"/>
          <w:lang w:val="hr-HR"/>
        </w:rPr>
        <w:t>Ugovaranje predmetnog srednjoročnog višenamjenskog</w:t>
      </w:r>
      <w:r>
        <w:rPr>
          <w:rFonts w:ascii="Times New Roman" w:hAnsi="Times New Roman"/>
          <w:sz w:val="24"/>
          <w:szCs w:val="24"/>
          <w:lang w:val="hr-HR"/>
        </w:rPr>
        <w:t xml:space="preserve"> limita/okvira nema utjecaj na D</w:t>
      </w:r>
      <w:r w:rsidRPr="006A5931">
        <w:rPr>
          <w:rFonts w:ascii="Times New Roman" w:hAnsi="Times New Roman"/>
          <w:sz w:val="24"/>
          <w:szCs w:val="24"/>
          <w:lang w:val="hr-HR"/>
        </w:rPr>
        <w:t>ržavni proračun, s obzirom da isti ne sadrži komponentu državnog jamstva, već se odobrava na temelju samostalne ocjene kreditnog profila/rizika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A5931">
        <w:rPr>
          <w:rFonts w:ascii="Times New Roman" w:hAnsi="Times New Roman"/>
          <w:sz w:val="24"/>
          <w:szCs w:val="24"/>
          <w:lang w:val="hr-HR"/>
        </w:rPr>
        <w:t>, te da se radi o neobvezujućem ugovornom dokumentu, čija će realizacija isključivo ovisiti o potrebama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6A5931">
        <w:rPr>
          <w:rFonts w:ascii="Times New Roman" w:hAnsi="Times New Roman"/>
          <w:sz w:val="24"/>
          <w:szCs w:val="24"/>
          <w:lang w:val="hr-HR"/>
        </w:rPr>
        <w:t xml:space="preserve"> i mogućnostima banke za plasman u datom trenutku.</w:t>
      </w:r>
    </w:p>
    <w:p w:rsidR="00540C4E" w:rsidRPr="007E484A" w:rsidRDefault="00540C4E" w:rsidP="00540C4E">
      <w:pPr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Slijedom navedenog predlaže se donošenje predmetne Odluke.</w:t>
      </w:r>
    </w:p>
    <w:p w:rsidR="00B95DAF" w:rsidRPr="00540C4E" w:rsidRDefault="00B95DAF" w:rsidP="00540C4E">
      <w:pPr>
        <w:tabs>
          <w:tab w:val="left" w:pos="3120"/>
        </w:tabs>
      </w:pPr>
    </w:p>
    <w:sectPr w:rsidR="00B95DAF" w:rsidRPr="00540C4E" w:rsidSect="00D96F09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37" w:rsidRDefault="00794F37" w:rsidP="00D96F09">
      <w:pPr>
        <w:spacing w:after="0" w:line="240" w:lineRule="auto"/>
      </w:pPr>
      <w:r>
        <w:separator/>
      </w:r>
    </w:p>
  </w:endnote>
  <w:endnote w:type="continuationSeparator" w:id="0">
    <w:p w:rsidR="00794F37" w:rsidRDefault="00794F37" w:rsidP="00D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37" w:rsidRDefault="00794F37" w:rsidP="00D96F09">
      <w:pPr>
        <w:spacing w:after="0" w:line="240" w:lineRule="auto"/>
      </w:pPr>
      <w:r>
        <w:separator/>
      </w:r>
    </w:p>
  </w:footnote>
  <w:footnote w:type="continuationSeparator" w:id="0">
    <w:p w:rsidR="00794F37" w:rsidRDefault="00794F37" w:rsidP="00D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3592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6F09" w:rsidRPr="00D96F09" w:rsidRDefault="00D96F0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96F09">
          <w:rPr>
            <w:rFonts w:ascii="Times New Roman" w:hAnsi="Times New Roman"/>
            <w:sz w:val="24"/>
            <w:szCs w:val="24"/>
          </w:rPr>
          <w:fldChar w:fldCharType="begin"/>
        </w:r>
        <w:r w:rsidRPr="00D96F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6F09">
          <w:rPr>
            <w:rFonts w:ascii="Times New Roman" w:hAnsi="Times New Roman"/>
            <w:sz w:val="24"/>
            <w:szCs w:val="24"/>
          </w:rPr>
          <w:fldChar w:fldCharType="separate"/>
        </w:r>
        <w:r w:rsidR="00EF54B8" w:rsidRPr="00EF54B8">
          <w:rPr>
            <w:rFonts w:ascii="Times New Roman" w:hAnsi="Times New Roman"/>
            <w:noProof/>
            <w:sz w:val="24"/>
            <w:szCs w:val="24"/>
            <w:lang w:val="hr-HR"/>
          </w:rPr>
          <w:t>2</w:t>
        </w:r>
        <w:r w:rsidRPr="00D96F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96F09" w:rsidRDefault="00D96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09"/>
    <w:rsid w:val="001777E4"/>
    <w:rsid w:val="001A6ED3"/>
    <w:rsid w:val="00267C66"/>
    <w:rsid w:val="00393E78"/>
    <w:rsid w:val="00394337"/>
    <w:rsid w:val="004D16EB"/>
    <w:rsid w:val="004F0336"/>
    <w:rsid w:val="00540C4E"/>
    <w:rsid w:val="005D182D"/>
    <w:rsid w:val="0062228C"/>
    <w:rsid w:val="00641A0F"/>
    <w:rsid w:val="006B58D2"/>
    <w:rsid w:val="006E63B4"/>
    <w:rsid w:val="006F4890"/>
    <w:rsid w:val="00775C75"/>
    <w:rsid w:val="00794F37"/>
    <w:rsid w:val="007E1C5F"/>
    <w:rsid w:val="007E22D6"/>
    <w:rsid w:val="00822E7B"/>
    <w:rsid w:val="00984604"/>
    <w:rsid w:val="009A00F7"/>
    <w:rsid w:val="009D5C9F"/>
    <w:rsid w:val="00A4436F"/>
    <w:rsid w:val="00AA67CD"/>
    <w:rsid w:val="00B26063"/>
    <w:rsid w:val="00B63463"/>
    <w:rsid w:val="00B95DAF"/>
    <w:rsid w:val="00C05BD0"/>
    <w:rsid w:val="00C20294"/>
    <w:rsid w:val="00CC573F"/>
    <w:rsid w:val="00D963FC"/>
    <w:rsid w:val="00D96F09"/>
    <w:rsid w:val="00DD2DB2"/>
    <w:rsid w:val="00E039CD"/>
    <w:rsid w:val="00E264A3"/>
    <w:rsid w:val="00E50B89"/>
    <w:rsid w:val="00E85D85"/>
    <w:rsid w:val="00EF54B8"/>
    <w:rsid w:val="00F052A4"/>
    <w:rsid w:val="00F1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F2991-5846-49BF-9F7D-6620564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09"/>
    <w:pPr>
      <w:spacing w:after="160" w:line="259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F09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F09"/>
    <w:rPr>
      <w:rFonts w:ascii="Calibri" w:eastAsia="Calibri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6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447D-0357-40FF-BD50-DF3FDDDE8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C4EE26-C625-495E-9ADA-9D9B1F108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41876-C1FC-40F6-863E-DE506EA384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4AFCAF-FC69-49BF-85BD-20E24B1AA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Vlatka Šelimber</cp:lastModifiedBy>
  <cp:revision>2</cp:revision>
  <cp:lastPrinted>2020-03-11T09:00:00Z</cp:lastPrinted>
  <dcterms:created xsi:type="dcterms:W3CDTF">2020-03-12T08:02:00Z</dcterms:created>
  <dcterms:modified xsi:type="dcterms:W3CDTF">2020-03-12T08:02:00Z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