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E73515" w14:paraId="4F6148B7" w14:textId="77777777" w:rsidTr="00D66871">
        <w:tc>
          <w:tcPr>
            <w:tcW w:w="5024" w:type="dxa"/>
            <w:shd w:val="clear" w:color="auto" w:fill="auto"/>
          </w:tcPr>
          <w:p w14:paraId="5A6E95D4" w14:textId="77777777" w:rsidR="00992CDC" w:rsidRDefault="003F4338" w:rsidP="00724A47">
            <w:pPr>
              <w:jc w:val="both"/>
              <w:rPr>
                <w:b/>
                <w:bCs/>
              </w:rPr>
            </w:pPr>
            <w:bookmarkStart w:id="0" w:name="_Hlk4596292"/>
          </w:p>
          <w:p w14:paraId="5F76BFEE" w14:textId="77777777" w:rsidR="000A5ACF" w:rsidRPr="00992CDC" w:rsidRDefault="000A5ACF" w:rsidP="00724A47">
            <w:pPr>
              <w:jc w:val="both"/>
              <w:rPr>
                <w:b/>
                <w:bCs/>
              </w:rPr>
            </w:pPr>
          </w:p>
        </w:tc>
        <w:tc>
          <w:tcPr>
            <w:tcW w:w="4541" w:type="dxa"/>
            <w:shd w:val="clear" w:color="auto" w:fill="auto"/>
          </w:tcPr>
          <w:p w14:paraId="69ADE619" w14:textId="77777777" w:rsidR="00BC52AA" w:rsidRPr="00992CDC" w:rsidRDefault="003F4338" w:rsidP="00DE3D91">
            <w:pPr>
              <w:jc w:val="right"/>
              <w:rPr>
                <w:b/>
              </w:rPr>
            </w:pPr>
          </w:p>
        </w:tc>
      </w:tr>
      <w:bookmarkEnd w:id="0"/>
    </w:tbl>
    <w:p w14:paraId="622F6314" w14:textId="77777777" w:rsidR="00BC52AA" w:rsidRDefault="003F4338" w:rsidP="00724A47">
      <w:pPr>
        <w:tabs>
          <w:tab w:val="left" w:pos="1134"/>
          <w:tab w:val="left" w:pos="5024"/>
        </w:tabs>
        <w:rPr>
          <w:b/>
        </w:rPr>
      </w:pPr>
    </w:p>
    <w:p w14:paraId="4EF8E4DC" w14:textId="77777777" w:rsidR="00724A47" w:rsidRDefault="00724A47" w:rsidP="00724A47">
      <w:pPr>
        <w:jc w:val="both"/>
      </w:pPr>
    </w:p>
    <w:p w14:paraId="3D70A9A8" w14:textId="77777777" w:rsidR="00F60EB6" w:rsidRDefault="00F60EB6" w:rsidP="00724A47">
      <w:pPr>
        <w:jc w:val="both"/>
      </w:pPr>
    </w:p>
    <w:p w14:paraId="262974CA" w14:textId="77777777" w:rsidR="00F60EB6" w:rsidRPr="007974C4" w:rsidRDefault="00F60EB6" w:rsidP="00F60EB6">
      <w:pPr>
        <w:jc w:val="center"/>
        <w:rPr>
          <w:lang w:eastAsia="hr-HR"/>
        </w:rPr>
      </w:pPr>
      <w:r w:rsidRPr="007974C4">
        <w:rPr>
          <w:noProof/>
          <w:lang w:eastAsia="hr-HR"/>
        </w:rPr>
        <w:drawing>
          <wp:inline distT="0" distB="0" distL="0" distR="0" wp14:anchorId="64A2C839" wp14:editId="53E81A55">
            <wp:extent cx="497840" cy="6826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7974C4">
        <w:rPr>
          <w:lang w:eastAsia="hr-HR"/>
        </w:rPr>
        <w:fldChar w:fldCharType="begin"/>
      </w:r>
      <w:r w:rsidRPr="007974C4">
        <w:rPr>
          <w:lang w:eastAsia="hr-HR"/>
        </w:rPr>
        <w:instrText xml:space="preserve"> INCLUDEPICTURE "http://www.inet.hr/~box/images/grb-rh.gif" \* MERGEFORMATINET </w:instrText>
      </w:r>
      <w:r w:rsidRPr="007974C4">
        <w:rPr>
          <w:lang w:eastAsia="hr-HR"/>
        </w:rPr>
        <w:fldChar w:fldCharType="end"/>
      </w:r>
    </w:p>
    <w:p w14:paraId="1F722C4C" w14:textId="77777777" w:rsidR="00F60EB6" w:rsidRPr="007974C4" w:rsidRDefault="00F60EB6" w:rsidP="00F60EB6">
      <w:pPr>
        <w:spacing w:before="60" w:after="1680"/>
        <w:jc w:val="center"/>
        <w:rPr>
          <w:sz w:val="28"/>
          <w:lang w:eastAsia="hr-HR"/>
        </w:rPr>
      </w:pPr>
      <w:r w:rsidRPr="007974C4">
        <w:rPr>
          <w:sz w:val="28"/>
          <w:lang w:eastAsia="hr-HR"/>
        </w:rPr>
        <w:t>VLADA REPUBLIKE HRVATSKE</w:t>
      </w:r>
    </w:p>
    <w:p w14:paraId="7A1A1AF3" w14:textId="77777777" w:rsidR="00F60EB6" w:rsidRDefault="00F60EB6" w:rsidP="00F60EB6">
      <w:pPr>
        <w:spacing w:before="60" w:after="1680"/>
        <w:jc w:val="center"/>
        <w:rPr>
          <w:lang w:eastAsia="hr-HR"/>
        </w:rPr>
      </w:pPr>
      <w:r w:rsidRPr="007974C4">
        <w:rPr>
          <w:sz w:val="28"/>
          <w:lang w:eastAsia="hr-HR"/>
        </w:rPr>
        <w:t xml:space="preserve">                                                                                     </w:t>
      </w:r>
      <w:r w:rsidRPr="007974C4">
        <w:rPr>
          <w:lang w:eastAsia="hr-HR"/>
        </w:rPr>
        <w:t xml:space="preserve">Zagreb, </w:t>
      </w:r>
      <w:r w:rsidR="00DE3D91">
        <w:rPr>
          <w:lang w:eastAsia="hr-HR"/>
        </w:rPr>
        <w:t>9</w:t>
      </w:r>
      <w:r w:rsidRPr="007974C4">
        <w:rPr>
          <w:lang w:eastAsia="hr-HR"/>
        </w:rPr>
        <w:t xml:space="preserve">. </w:t>
      </w:r>
      <w:r w:rsidR="00C570AC">
        <w:rPr>
          <w:lang w:eastAsia="hr-HR"/>
        </w:rPr>
        <w:t>prosinca</w:t>
      </w:r>
      <w:r w:rsidRPr="007974C4">
        <w:rPr>
          <w:lang w:eastAsia="hr-HR"/>
        </w:rPr>
        <w:t xml:space="preserve"> 2020.</w:t>
      </w:r>
    </w:p>
    <w:p w14:paraId="5688D715" w14:textId="77777777" w:rsidR="00F60EB6" w:rsidRPr="007974C4" w:rsidRDefault="00F60EB6" w:rsidP="00F60EB6">
      <w:pPr>
        <w:spacing w:before="60" w:after="1680"/>
        <w:jc w:val="center"/>
        <w:rPr>
          <w:lang w:eastAsia="hr-HR"/>
        </w:rPr>
      </w:pPr>
    </w:p>
    <w:p w14:paraId="5AB035BE" w14:textId="77777777" w:rsidR="00F60EB6" w:rsidRPr="007974C4" w:rsidRDefault="00F60EB6" w:rsidP="00F60EB6">
      <w:pPr>
        <w:pBdr>
          <w:bottom w:val="single" w:sz="4" w:space="1" w:color="auto"/>
        </w:pBdr>
        <w:rPr>
          <w:lang w:eastAsia="hr-HR"/>
        </w:rPr>
      </w:pPr>
    </w:p>
    <w:p w14:paraId="350A9031" w14:textId="77777777" w:rsidR="00F60EB6" w:rsidRPr="007974C4" w:rsidRDefault="00F60EB6" w:rsidP="00F60EB6">
      <w:pPr>
        <w:pBdr>
          <w:bottom w:val="single" w:sz="4" w:space="1" w:color="auto"/>
        </w:pBdr>
        <w:rPr>
          <w:lang w:eastAsia="hr-HR"/>
        </w:rPr>
      </w:pPr>
    </w:p>
    <w:tbl>
      <w:tblPr>
        <w:tblW w:w="0" w:type="auto"/>
        <w:tblLook w:val="04A0" w:firstRow="1" w:lastRow="0" w:firstColumn="1" w:lastColumn="0" w:noHBand="0" w:noVBand="1"/>
      </w:tblPr>
      <w:tblGrid>
        <w:gridCol w:w="2235"/>
        <w:gridCol w:w="6835"/>
      </w:tblGrid>
      <w:tr w:rsidR="00F60EB6" w:rsidRPr="007974C4" w14:paraId="3C726CFB" w14:textId="77777777" w:rsidTr="0054290D">
        <w:tc>
          <w:tcPr>
            <w:tcW w:w="2243" w:type="dxa"/>
            <w:shd w:val="clear" w:color="auto" w:fill="auto"/>
          </w:tcPr>
          <w:p w14:paraId="714A7D4B" w14:textId="77777777" w:rsidR="00F60EB6" w:rsidRPr="007974C4" w:rsidRDefault="00F60EB6" w:rsidP="0054290D">
            <w:pPr>
              <w:spacing w:line="360" w:lineRule="auto"/>
              <w:rPr>
                <w:lang w:eastAsia="hr-HR"/>
              </w:rPr>
            </w:pPr>
            <w:r w:rsidRPr="007974C4">
              <w:rPr>
                <w:smallCaps/>
                <w:lang w:eastAsia="hr-HR"/>
              </w:rPr>
              <w:t>PREDLAGATELJ</w:t>
            </w:r>
            <w:r w:rsidRPr="007974C4">
              <w:rPr>
                <w:lang w:eastAsia="hr-HR"/>
              </w:rPr>
              <w:t>:</w:t>
            </w:r>
          </w:p>
        </w:tc>
        <w:tc>
          <w:tcPr>
            <w:tcW w:w="7117" w:type="dxa"/>
            <w:shd w:val="clear" w:color="auto" w:fill="auto"/>
          </w:tcPr>
          <w:p w14:paraId="51B589C0" w14:textId="77777777" w:rsidR="00F60EB6" w:rsidRPr="007974C4" w:rsidRDefault="00F60EB6" w:rsidP="0054290D">
            <w:pPr>
              <w:autoSpaceDE w:val="0"/>
              <w:autoSpaceDN w:val="0"/>
              <w:adjustRightInd w:val="0"/>
              <w:rPr>
                <w:color w:val="000000"/>
                <w:lang w:eastAsia="hr-HR"/>
              </w:rPr>
            </w:pPr>
            <w:r w:rsidRPr="007974C4">
              <w:rPr>
                <w:bCs/>
                <w:color w:val="000000"/>
                <w:lang w:eastAsia="hr-HR"/>
              </w:rPr>
              <w:t>MINISTARSTVO TURIZMA I SPORTA</w:t>
            </w:r>
          </w:p>
        </w:tc>
      </w:tr>
    </w:tbl>
    <w:p w14:paraId="0CCBB80C" w14:textId="77777777" w:rsidR="00F60EB6" w:rsidRPr="007974C4" w:rsidRDefault="00F60EB6" w:rsidP="00F60EB6">
      <w:pPr>
        <w:spacing w:line="360" w:lineRule="auto"/>
        <w:rPr>
          <w:lang w:eastAsia="hr-HR"/>
        </w:rPr>
      </w:pPr>
      <w:r w:rsidRPr="007974C4">
        <w:rPr>
          <w:lang w:eastAsia="hr-HR"/>
        </w:rPr>
        <w:t>________________________________________________________________________</w:t>
      </w:r>
    </w:p>
    <w:tbl>
      <w:tblPr>
        <w:tblW w:w="0" w:type="auto"/>
        <w:tblLook w:val="04A0" w:firstRow="1" w:lastRow="0" w:firstColumn="1" w:lastColumn="0" w:noHBand="0" w:noVBand="1"/>
      </w:tblPr>
      <w:tblGrid>
        <w:gridCol w:w="1942"/>
        <w:gridCol w:w="7128"/>
      </w:tblGrid>
      <w:tr w:rsidR="00F60EB6" w:rsidRPr="007974C4" w14:paraId="6CEF684D" w14:textId="77777777" w:rsidTr="0054290D">
        <w:tc>
          <w:tcPr>
            <w:tcW w:w="1951" w:type="dxa"/>
            <w:shd w:val="clear" w:color="auto" w:fill="auto"/>
          </w:tcPr>
          <w:p w14:paraId="7E60562F" w14:textId="77777777" w:rsidR="00F60EB6" w:rsidRPr="007974C4" w:rsidRDefault="00F60EB6" w:rsidP="0054290D">
            <w:pPr>
              <w:spacing w:line="360" w:lineRule="auto"/>
              <w:rPr>
                <w:lang w:eastAsia="hr-HR"/>
              </w:rPr>
            </w:pPr>
            <w:r>
              <w:rPr>
                <w:smallCaps/>
                <w:lang w:eastAsia="hr-HR"/>
              </w:rPr>
              <w:t xml:space="preserve">           </w:t>
            </w:r>
            <w:r w:rsidRPr="007974C4">
              <w:rPr>
                <w:smallCaps/>
                <w:lang w:eastAsia="hr-HR"/>
              </w:rPr>
              <w:t>PREDMET</w:t>
            </w:r>
            <w:r w:rsidRPr="007974C4">
              <w:rPr>
                <w:b/>
                <w:lang w:eastAsia="hr-HR"/>
              </w:rPr>
              <w:t xml:space="preserve">: </w:t>
            </w:r>
          </w:p>
        </w:tc>
        <w:tc>
          <w:tcPr>
            <w:tcW w:w="7229" w:type="dxa"/>
            <w:shd w:val="clear" w:color="auto" w:fill="auto"/>
          </w:tcPr>
          <w:p w14:paraId="50D74142" w14:textId="1CA6A5A3" w:rsidR="00F60EB6" w:rsidRPr="007974C4" w:rsidRDefault="003F4338" w:rsidP="003F4338">
            <w:pPr>
              <w:autoSpaceDE w:val="0"/>
              <w:autoSpaceDN w:val="0"/>
              <w:adjustRightInd w:val="0"/>
              <w:jc w:val="both"/>
              <w:rPr>
                <w:color w:val="000000"/>
                <w:lang w:eastAsia="hr-HR"/>
              </w:rPr>
            </w:pPr>
            <w:r>
              <w:rPr>
                <w:color w:val="000000"/>
                <w:lang w:eastAsia="hr-HR"/>
              </w:rPr>
              <w:t>P</w:t>
            </w:r>
            <w:r w:rsidR="00F60EB6" w:rsidRPr="007974C4">
              <w:rPr>
                <w:color w:val="000000"/>
                <w:lang w:eastAsia="hr-HR"/>
              </w:rPr>
              <w:t xml:space="preserve">rijedlog </w:t>
            </w:r>
            <w:r>
              <w:rPr>
                <w:color w:val="000000"/>
                <w:lang w:eastAsia="hr-HR"/>
              </w:rPr>
              <w:t>u</w:t>
            </w:r>
            <w:bookmarkStart w:id="1" w:name="_GoBack"/>
            <w:bookmarkEnd w:id="1"/>
            <w:r w:rsidR="00F60EB6">
              <w:rPr>
                <w:color w:val="000000"/>
                <w:lang w:eastAsia="hr-HR"/>
              </w:rPr>
              <w:t>redbe o namjeni i načinu raspodjele sredstava Fonda za udružene turističke zajednice za 2020. godinu</w:t>
            </w:r>
          </w:p>
        </w:tc>
      </w:tr>
    </w:tbl>
    <w:p w14:paraId="37813E52" w14:textId="77777777" w:rsidR="00F60EB6" w:rsidRPr="007974C4" w:rsidRDefault="00F60EB6" w:rsidP="00F60EB6">
      <w:pPr>
        <w:tabs>
          <w:tab w:val="left" w:pos="1843"/>
        </w:tabs>
        <w:spacing w:line="360" w:lineRule="auto"/>
        <w:rPr>
          <w:lang w:eastAsia="hr-HR"/>
        </w:rPr>
      </w:pPr>
      <w:r w:rsidRPr="007974C4">
        <w:rPr>
          <w:lang w:eastAsia="hr-HR"/>
        </w:rPr>
        <w:t>________________________________________________________________________</w:t>
      </w:r>
    </w:p>
    <w:p w14:paraId="74409C70" w14:textId="77777777" w:rsidR="00F60EB6" w:rsidRPr="007974C4" w:rsidRDefault="00F60EB6" w:rsidP="00F60EB6">
      <w:pPr>
        <w:spacing w:after="200" w:line="276" w:lineRule="auto"/>
        <w:rPr>
          <w:rFonts w:eastAsia="Calibri"/>
        </w:rPr>
      </w:pPr>
    </w:p>
    <w:p w14:paraId="6DBE6DEB" w14:textId="77777777" w:rsidR="00F60EB6" w:rsidRPr="007974C4" w:rsidRDefault="00F60EB6" w:rsidP="00F60EB6">
      <w:pPr>
        <w:spacing w:after="200" w:line="276" w:lineRule="auto"/>
        <w:rPr>
          <w:rFonts w:eastAsia="Calibri"/>
        </w:rPr>
      </w:pPr>
    </w:p>
    <w:p w14:paraId="3D8BCCAD" w14:textId="77777777" w:rsidR="00F60EB6" w:rsidRPr="007974C4" w:rsidRDefault="00F60EB6" w:rsidP="00F60EB6">
      <w:pPr>
        <w:spacing w:after="200" w:line="276" w:lineRule="auto"/>
        <w:rPr>
          <w:rFonts w:eastAsia="Calibri"/>
        </w:rPr>
      </w:pPr>
    </w:p>
    <w:p w14:paraId="3737EFE0" w14:textId="77777777" w:rsidR="00F60EB6" w:rsidRPr="007974C4" w:rsidRDefault="00F60EB6" w:rsidP="00F60EB6">
      <w:pPr>
        <w:spacing w:after="200" w:line="276" w:lineRule="auto"/>
        <w:rPr>
          <w:rFonts w:eastAsia="Calibri"/>
        </w:rPr>
      </w:pPr>
    </w:p>
    <w:p w14:paraId="77FA34D8" w14:textId="77777777" w:rsidR="00F60EB6" w:rsidRPr="007974C4" w:rsidRDefault="00F60EB6" w:rsidP="00F60EB6">
      <w:pPr>
        <w:spacing w:after="200" w:line="276" w:lineRule="auto"/>
        <w:rPr>
          <w:rFonts w:eastAsia="Calibri"/>
        </w:rPr>
      </w:pPr>
    </w:p>
    <w:p w14:paraId="54CA45D1" w14:textId="77777777" w:rsidR="00F60EB6" w:rsidRPr="007974C4" w:rsidRDefault="00F60EB6" w:rsidP="00F60EB6">
      <w:pPr>
        <w:spacing w:after="200" w:line="276" w:lineRule="auto"/>
        <w:rPr>
          <w:rFonts w:eastAsia="Calibri"/>
        </w:rPr>
      </w:pPr>
    </w:p>
    <w:p w14:paraId="6EE54CCC" w14:textId="77777777" w:rsidR="00F60EB6" w:rsidRPr="007974C4" w:rsidRDefault="00F60EB6" w:rsidP="00F60EB6">
      <w:pPr>
        <w:spacing w:after="200" w:line="276" w:lineRule="auto"/>
        <w:rPr>
          <w:rFonts w:eastAsia="Calibri"/>
        </w:rPr>
      </w:pPr>
    </w:p>
    <w:p w14:paraId="6DC02132" w14:textId="77777777" w:rsidR="00F60EB6" w:rsidRPr="00DC06E9" w:rsidRDefault="00F60EB6" w:rsidP="00F60EB6">
      <w:pPr>
        <w:pBdr>
          <w:top w:val="single" w:sz="4" w:space="1" w:color="404040"/>
        </w:pBdr>
        <w:tabs>
          <w:tab w:val="center" w:pos="4536"/>
          <w:tab w:val="right" w:pos="9072"/>
        </w:tabs>
        <w:jc w:val="center"/>
        <w:rPr>
          <w:rStyle w:val="000000"/>
          <w:rFonts w:eastAsia="Calibri"/>
          <w:color w:val="404040"/>
          <w:spacing w:val="20"/>
          <w:sz w:val="20"/>
          <w:szCs w:val="24"/>
        </w:rPr>
      </w:pPr>
      <w:r w:rsidRPr="007974C4">
        <w:rPr>
          <w:rFonts w:eastAsia="Calibri"/>
          <w:color w:val="404040"/>
          <w:spacing w:val="20"/>
          <w:sz w:val="20"/>
        </w:rPr>
        <w:t>Banski dvori | Trg Sv. Marka 2 | 10000 Zagreb | tel. 01 4569 222 | vlada.gov.hr</w:t>
      </w:r>
    </w:p>
    <w:p w14:paraId="7EC67B5D" w14:textId="77777777" w:rsidR="00F60EB6" w:rsidRPr="007974C4" w:rsidRDefault="00F60EB6" w:rsidP="00F60EB6">
      <w:pPr>
        <w:pStyle w:val="Normal1"/>
        <w:spacing w:after="0"/>
        <w:jc w:val="left"/>
        <w:rPr>
          <w:rStyle w:val="000000"/>
          <w:b/>
          <w:sz w:val="24"/>
          <w:szCs w:val="24"/>
          <w:lang w:val="hr-HR"/>
        </w:rPr>
      </w:pPr>
    </w:p>
    <w:p w14:paraId="1F7796E6" w14:textId="77777777" w:rsidR="007E01EF" w:rsidRPr="006B375E" w:rsidRDefault="007E01EF" w:rsidP="007E01EF">
      <w:pPr>
        <w:spacing w:after="160" w:line="259" w:lineRule="auto"/>
        <w:jc w:val="both"/>
        <w:rPr>
          <w:rFonts w:eastAsiaTheme="minorHAnsi"/>
        </w:rPr>
      </w:pPr>
      <w:r w:rsidRPr="006B375E">
        <w:rPr>
          <w:rFonts w:eastAsiaTheme="minorHAnsi"/>
        </w:rPr>
        <w:t>Na temelju članka 20. stavka 10. Zakona o turističkoj pristojbi („Narodne novine“, br</w:t>
      </w:r>
      <w:r w:rsidR="0081524B">
        <w:rPr>
          <w:rFonts w:eastAsiaTheme="minorHAnsi"/>
        </w:rPr>
        <w:t>.</w:t>
      </w:r>
      <w:r w:rsidRPr="006B375E">
        <w:rPr>
          <w:rFonts w:eastAsiaTheme="minorHAnsi"/>
        </w:rPr>
        <w:t xml:space="preserve"> 52/19, 32/20 i 42/20), Vlada Republike Hrvatske je na sjednici održanoj dana ______________ donijela </w:t>
      </w:r>
    </w:p>
    <w:p w14:paraId="49E4AFA0" w14:textId="77777777" w:rsidR="007E01EF" w:rsidRPr="006B375E" w:rsidRDefault="007E01EF" w:rsidP="007E01EF">
      <w:pPr>
        <w:spacing w:after="160" w:line="259" w:lineRule="auto"/>
        <w:rPr>
          <w:rFonts w:eastAsiaTheme="minorHAnsi"/>
        </w:rPr>
      </w:pPr>
    </w:p>
    <w:p w14:paraId="65325E32" w14:textId="77777777" w:rsidR="007E01EF" w:rsidRPr="006B375E" w:rsidRDefault="007E01EF" w:rsidP="007E01EF">
      <w:pPr>
        <w:spacing w:after="160" w:line="259" w:lineRule="auto"/>
        <w:jc w:val="center"/>
        <w:rPr>
          <w:rFonts w:eastAsiaTheme="minorHAnsi"/>
          <w:b/>
        </w:rPr>
      </w:pPr>
      <w:r w:rsidRPr="006B375E">
        <w:rPr>
          <w:rFonts w:eastAsiaTheme="minorHAnsi"/>
          <w:b/>
        </w:rPr>
        <w:t>U R E D B U</w:t>
      </w:r>
    </w:p>
    <w:p w14:paraId="58549288" w14:textId="77777777" w:rsidR="007E01EF" w:rsidRPr="006B375E" w:rsidRDefault="007E01EF" w:rsidP="007E01EF">
      <w:pPr>
        <w:spacing w:after="160" w:line="259" w:lineRule="auto"/>
        <w:jc w:val="center"/>
        <w:rPr>
          <w:rFonts w:eastAsiaTheme="minorHAnsi"/>
          <w:b/>
        </w:rPr>
      </w:pPr>
      <w:r w:rsidRPr="006B375E">
        <w:rPr>
          <w:rFonts w:eastAsiaTheme="minorHAnsi"/>
          <w:b/>
        </w:rPr>
        <w:t>o namjeni i načinu raspodjele sredstava Fonda za udružene turističke zajednice</w:t>
      </w:r>
      <w:r>
        <w:rPr>
          <w:rFonts w:eastAsiaTheme="minorHAnsi"/>
          <w:b/>
        </w:rPr>
        <w:t xml:space="preserve"> za 2020. godinu</w:t>
      </w:r>
    </w:p>
    <w:p w14:paraId="3F865A9A" w14:textId="77777777" w:rsidR="007E01EF" w:rsidRPr="006B375E" w:rsidRDefault="007E01EF" w:rsidP="007E01EF">
      <w:pPr>
        <w:spacing w:after="160" w:line="259" w:lineRule="auto"/>
        <w:rPr>
          <w:rFonts w:eastAsiaTheme="minorHAnsi"/>
        </w:rPr>
      </w:pPr>
    </w:p>
    <w:p w14:paraId="204E8EB4" w14:textId="77777777" w:rsidR="007E01EF" w:rsidRPr="006B375E" w:rsidRDefault="007E01EF" w:rsidP="007E01EF">
      <w:pPr>
        <w:spacing w:after="160" w:line="259" w:lineRule="auto"/>
        <w:jc w:val="center"/>
        <w:rPr>
          <w:rFonts w:eastAsiaTheme="minorHAnsi"/>
          <w:i/>
        </w:rPr>
      </w:pPr>
      <w:r w:rsidRPr="006B375E">
        <w:rPr>
          <w:rFonts w:eastAsiaTheme="minorHAnsi"/>
          <w:i/>
        </w:rPr>
        <w:t>Opća odredba</w:t>
      </w:r>
    </w:p>
    <w:p w14:paraId="00C5512F" w14:textId="77777777" w:rsidR="007E01EF" w:rsidRPr="006B375E" w:rsidRDefault="007E01EF" w:rsidP="007E01EF">
      <w:pPr>
        <w:spacing w:after="160" w:line="259" w:lineRule="auto"/>
        <w:jc w:val="center"/>
        <w:rPr>
          <w:rFonts w:eastAsiaTheme="minorHAnsi"/>
        </w:rPr>
      </w:pPr>
      <w:r w:rsidRPr="006B375E">
        <w:rPr>
          <w:rFonts w:eastAsiaTheme="minorHAnsi"/>
        </w:rPr>
        <w:t>Članak 1.</w:t>
      </w:r>
    </w:p>
    <w:p w14:paraId="2CC8179F" w14:textId="77777777" w:rsidR="007E01EF" w:rsidRPr="006B375E" w:rsidRDefault="007E01EF" w:rsidP="007E01EF">
      <w:pPr>
        <w:spacing w:after="160" w:line="259" w:lineRule="auto"/>
        <w:jc w:val="both"/>
        <w:rPr>
          <w:rFonts w:eastAsiaTheme="minorHAnsi"/>
        </w:rPr>
      </w:pPr>
      <w:r w:rsidRPr="006B375E">
        <w:rPr>
          <w:rFonts w:eastAsiaTheme="minorHAnsi"/>
        </w:rPr>
        <w:tab/>
        <w:t>Ovom Uredbom propisuje se, u uvjetima posebnih okolnosti, namjena i način raspodjele sredstava Fonda za udružene turističke zajednice (u daljnjem tekstu: Fond) za 2020. godinu.</w:t>
      </w:r>
    </w:p>
    <w:p w14:paraId="133EF44D" w14:textId="77777777" w:rsidR="007E01EF" w:rsidRPr="006B375E" w:rsidRDefault="007E01EF" w:rsidP="007E01EF">
      <w:pPr>
        <w:spacing w:after="160" w:line="259" w:lineRule="auto"/>
        <w:jc w:val="center"/>
        <w:rPr>
          <w:rFonts w:eastAsiaTheme="minorHAnsi"/>
          <w:i/>
        </w:rPr>
      </w:pPr>
      <w:r w:rsidRPr="006B375E">
        <w:rPr>
          <w:rFonts w:eastAsiaTheme="minorHAnsi"/>
          <w:i/>
        </w:rPr>
        <w:t>Rodno značenje izraza</w:t>
      </w:r>
    </w:p>
    <w:p w14:paraId="712EDC2A" w14:textId="77777777" w:rsidR="007E01EF" w:rsidRPr="006B375E" w:rsidRDefault="007E01EF" w:rsidP="007E01EF">
      <w:pPr>
        <w:spacing w:after="160" w:line="259" w:lineRule="auto"/>
        <w:jc w:val="center"/>
        <w:rPr>
          <w:rFonts w:eastAsiaTheme="minorHAnsi"/>
        </w:rPr>
      </w:pPr>
      <w:r w:rsidRPr="006B375E">
        <w:rPr>
          <w:rFonts w:eastAsiaTheme="minorHAnsi"/>
        </w:rPr>
        <w:t>Članak 2.</w:t>
      </w:r>
    </w:p>
    <w:p w14:paraId="2DC12391" w14:textId="77777777" w:rsidR="007E01EF" w:rsidRPr="006B375E" w:rsidRDefault="007E01EF" w:rsidP="007E01EF">
      <w:pPr>
        <w:spacing w:after="160" w:line="259" w:lineRule="auto"/>
        <w:jc w:val="both"/>
        <w:rPr>
          <w:rFonts w:eastAsiaTheme="minorHAnsi"/>
        </w:rPr>
      </w:pPr>
      <w:r w:rsidRPr="006B375E">
        <w:rPr>
          <w:rFonts w:eastAsiaTheme="minorHAnsi"/>
        </w:rPr>
        <w:tab/>
        <w:t>Izrazi koji se koriste u ovoj Uredbi, a imaju rodno značenje, odnose se jednako na muški i ženski rod.</w:t>
      </w:r>
    </w:p>
    <w:p w14:paraId="657E4DE9" w14:textId="77777777" w:rsidR="007E01EF" w:rsidRPr="006B375E" w:rsidRDefault="007E01EF" w:rsidP="007E01EF">
      <w:pPr>
        <w:spacing w:after="160" w:line="259" w:lineRule="auto"/>
        <w:jc w:val="center"/>
        <w:rPr>
          <w:rFonts w:eastAsiaTheme="minorHAnsi"/>
          <w:i/>
        </w:rPr>
      </w:pPr>
      <w:r w:rsidRPr="006B375E">
        <w:rPr>
          <w:rFonts w:eastAsiaTheme="minorHAnsi"/>
          <w:i/>
        </w:rPr>
        <w:t>Sredstva fonda</w:t>
      </w:r>
    </w:p>
    <w:p w14:paraId="397FD47D" w14:textId="77777777" w:rsidR="007E01EF" w:rsidRPr="006B375E" w:rsidRDefault="007E01EF" w:rsidP="007E01EF">
      <w:pPr>
        <w:spacing w:after="160" w:line="259" w:lineRule="auto"/>
        <w:jc w:val="center"/>
        <w:rPr>
          <w:rFonts w:eastAsiaTheme="minorHAnsi"/>
        </w:rPr>
      </w:pPr>
      <w:r w:rsidRPr="006B375E">
        <w:rPr>
          <w:rFonts w:eastAsiaTheme="minorHAnsi"/>
        </w:rPr>
        <w:t>Članak 3</w:t>
      </w:r>
      <w:r>
        <w:rPr>
          <w:rFonts w:eastAsiaTheme="minorHAnsi"/>
        </w:rPr>
        <w:t>.</w:t>
      </w:r>
    </w:p>
    <w:p w14:paraId="78078803" w14:textId="77777777" w:rsidR="007E01EF" w:rsidRPr="006B375E" w:rsidRDefault="007E01EF" w:rsidP="007E01EF">
      <w:pPr>
        <w:spacing w:after="160" w:line="259" w:lineRule="auto"/>
        <w:jc w:val="both"/>
        <w:rPr>
          <w:rFonts w:eastAsiaTheme="minorHAnsi"/>
        </w:rPr>
      </w:pPr>
      <w:r w:rsidRPr="006B375E">
        <w:rPr>
          <w:rFonts w:eastAsiaTheme="minorHAnsi"/>
        </w:rPr>
        <w:tab/>
        <w:t>Sredstva Fonda na koja se primjenjuje ova Uredba su sredstva koja se nalaze u Fondu na posebnom računu Hrvatske turističke zajednice na dan 31. prosinca 2020.</w:t>
      </w:r>
      <w:r>
        <w:rPr>
          <w:rFonts w:eastAsiaTheme="minorHAnsi"/>
        </w:rPr>
        <w:t xml:space="preserve"> godine.</w:t>
      </w:r>
    </w:p>
    <w:p w14:paraId="53F9DBAA" w14:textId="77777777" w:rsidR="007E01EF" w:rsidRPr="006B375E" w:rsidRDefault="007E01EF" w:rsidP="007E01EF">
      <w:pPr>
        <w:spacing w:after="160" w:line="259" w:lineRule="auto"/>
        <w:jc w:val="center"/>
        <w:rPr>
          <w:rFonts w:eastAsiaTheme="minorHAnsi"/>
          <w:i/>
        </w:rPr>
      </w:pPr>
      <w:r w:rsidRPr="006B375E">
        <w:rPr>
          <w:rFonts w:eastAsiaTheme="minorHAnsi"/>
          <w:i/>
        </w:rPr>
        <w:t>Korisnici sredstava Fonda</w:t>
      </w:r>
    </w:p>
    <w:p w14:paraId="336CFD46" w14:textId="77777777" w:rsidR="007E01EF" w:rsidRPr="006B375E" w:rsidRDefault="007E01EF" w:rsidP="007E01EF">
      <w:pPr>
        <w:spacing w:after="160" w:line="259" w:lineRule="auto"/>
        <w:jc w:val="center"/>
        <w:rPr>
          <w:rFonts w:eastAsiaTheme="minorHAnsi"/>
        </w:rPr>
      </w:pPr>
      <w:r w:rsidRPr="006B375E">
        <w:rPr>
          <w:rFonts w:eastAsiaTheme="minorHAnsi"/>
        </w:rPr>
        <w:t>Članak 4.</w:t>
      </w:r>
    </w:p>
    <w:p w14:paraId="773D2B36" w14:textId="77777777" w:rsidR="007E01EF" w:rsidRPr="006B375E" w:rsidRDefault="007E01EF" w:rsidP="007E01EF">
      <w:pPr>
        <w:spacing w:after="160" w:line="259" w:lineRule="auto"/>
        <w:rPr>
          <w:rFonts w:eastAsiaTheme="minorHAnsi"/>
        </w:rPr>
      </w:pPr>
      <w:r w:rsidRPr="006B375E">
        <w:rPr>
          <w:rFonts w:eastAsiaTheme="minorHAnsi"/>
        </w:rPr>
        <w:tab/>
        <w:t>Korisnici sredstava Fonda (u daljnjem tekstu: korisnici) su:</w:t>
      </w:r>
    </w:p>
    <w:p w14:paraId="00AFAD15" w14:textId="77777777" w:rsidR="007E01EF" w:rsidRPr="000A5ACF" w:rsidRDefault="007E01EF" w:rsidP="007E01EF">
      <w:pPr>
        <w:spacing w:after="160" w:line="259" w:lineRule="auto"/>
        <w:jc w:val="both"/>
        <w:rPr>
          <w:rFonts w:eastAsiaTheme="minorHAnsi"/>
        </w:rPr>
      </w:pPr>
      <w:r w:rsidRPr="006B375E">
        <w:rPr>
          <w:rFonts w:eastAsiaTheme="minorHAnsi"/>
        </w:rPr>
        <w:lastRenderedPageBreak/>
        <w:tab/>
        <w:t>- lokalne i regionalne turističke zajednice osnovane sukladno članku 5. stavku 1. točki 1. i 2. Zakona o turističkim zajednicama i promicanju hrvatskog turizma („Narodne novine“, br. 52/19 i 42/20 – u daljnjem tekstu: Zakon) za područje više jedinica lokalne odnosno područne (regionalne) samouprave</w:t>
      </w:r>
      <w:r>
        <w:rPr>
          <w:rFonts w:eastAsiaTheme="minorHAnsi"/>
        </w:rPr>
        <w:t xml:space="preserve">, </w:t>
      </w:r>
      <w:r w:rsidRPr="000A5ACF">
        <w:rPr>
          <w:rFonts w:eastAsiaTheme="minorHAnsi"/>
        </w:rPr>
        <w:t>a koje su upisane u Upisnik turističkih zajednica na dan 31. prosinca 2020. godine.</w:t>
      </w:r>
    </w:p>
    <w:p w14:paraId="6E8FB8D8" w14:textId="77777777" w:rsidR="007E01EF" w:rsidRPr="00F60EB6" w:rsidRDefault="007E01EF" w:rsidP="007E01EF">
      <w:pPr>
        <w:spacing w:after="160" w:line="259" w:lineRule="auto"/>
        <w:jc w:val="both"/>
        <w:rPr>
          <w:rFonts w:eastAsiaTheme="minorHAnsi"/>
        </w:rPr>
      </w:pPr>
      <w:r w:rsidRPr="006B375E">
        <w:rPr>
          <w:rFonts w:eastAsiaTheme="minorHAnsi"/>
        </w:rPr>
        <w:tab/>
        <w:t>- lokalne i regionalne turističke zajednice osnovane sukladno članku 5. stavku 1. točki 1. i 2. Zakona te jedinice lokalne samouprave, za područje kojih nije osnovana turistička zajednica, međusobno udružene sporazumom prema članku 53. Zakona</w:t>
      </w:r>
      <w:r w:rsidRPr="000A5ACF">
        <w:rPr>
          <w:rFonts w:eastAsiaTheme="minorHAnsi"/>
        </w:rPr>
        <w:t>, a koje imaju sklopljen sporazum prema članku 53. Zakona na dan 31. prosinca 2020. godine.</w:t>
      </w:r>
    </w:p>
    <w:p w14:paraId="1AB33BD8" w14:textId="77777777" w:rsidR="007E01EF" w:rsidRPr="006B375E" w:rsidRDefault="007E01EF" w:rsidP="007E01EF">
      <w:pPr>
        <w:spacing w:after="160" w:line="259" w:lineRule="auto"/>
        <w:jc w:val="center"/>
        <w:rPr>
          <w:rFonts w:eastAsiaTheme="minorHAnsi"/>
          <w:i/>
        </w:rPr>
      </w:pPr>
      <w:r w:rsidRPr="006B375E">
        <w:rPr>
          <w:rFonts w:eastAsiaTheme="minorHAnsi"/>
          <w:i/>
        </w:rPr>
        <w:t xml:space="preserve">Način </w:t>
      </w:r>
      <w:r>
        <w:rPr>
          <w:rFonts w:eastAsiaTheme="minorHAnsi"/>
          <w:i/>
        </w:rPr>
        <w:t>rasp</w:t>
      </w:r>
      <w:r w:rsidRPr="006B375E">
        <w:rPr>
          <w:rFonts w:eastAsiaTheme="minorHAnsi"/>
          <w:i/>
        </w:rPr>
        <w:t>odjele sredstava Fonda</w:t>
      </w:r>
    </w:p>
    <w:p w14:paraId="690B98C5" w14:textId="77777777" w:rsidR="007E01EF" w:rsidRPr="006B375E" w:rsidRDefault="007E01EF" w:rsidP="007E01EF">
      <w:pPr>
        <w:spacing w:after="160" w:line="259" w:lineRule="auto"/>
        <w:jc w:val="center"/>
        <w:rPr>
          <w:rFonts w:eastAsiaTheme="minorHAnsi"/>
        </w:rPr>
      </w:pPr>
      <w:r w:rsidRPr="006B375E">
        <w:rPr>
          <w:rFonts w:eastAsiaTheme="minorHAnsi"/>
        </w:rPr>
        <w:t>Članak 5.</w:t>
      </w:r>
    </w:p>
    <w:p w14:paraId="7CF0AC75" w14:textId="77777777" w:rsidR="007E01EF" w:rsidRPr="006B375E" w:rsidRDefault="007E01EF" w:rsidP="007E01EF">
      <w:pPr>
        <w:spacing w:after="160" w:line="259" w:lineRule="auto"/>
        <w:rPr>
          <w:rFonts w:eastAsiaTheme="minorHAnsi"/>
        </w:rPr>
      </w:pPr>
      <w:r w:rsidRPr="006B375E">
        <w:rPr>
          <w:rFonts w:eastAsiaTheme="minorHAnsi"/>
        </w:rPr>
        <w:tab/>
      </w:r>
      <w:r>
        <w:rPr>
          <w:rFonts w:eastAsiaTheme="minorHAnsi"/>
        </w:rPr>
        <w:t>(1) Sredstva Fonda raspodjeljuju se</w:t>
      </w:r>
    </w:p>
    <w:p w14:paraId="3814FE1D" w14:textId="77777777" w:rsidR="007E01EF" w:rsidRPr="006B375E" w:rsidRDefault="007E01EF" w:rsidP="007E01EF">
      <w:pPr>
        <w:spacing w:after="160" w:line="259" w:lineRule="auto"/>
        <w:jc w:val="both"/>
        <w:rPr>
          <w:rFonts w:eastAsiaTheme="minorHAnsi"/>
        </w:rPr>
      </w:pPr>
      <w:r w:rsidRPr="006B375E">
        <w:rPr>
          <w:rFonts w:eastAsiaTheme="minorHAnsi"/>
        </w:rPr>
        <w:tab/>
        <w:t xml:space="preserve">- 70% </w:t>
      </w:r>
      <w:r>
        <w:rPr>
          <w:rFonts w:eastAsiaTheme="minorHAnsi"/>
        </w:rPr>
        <w:t xml:space="preserve">korisnicima </w:t>
      </w:r>
      <w:r w:rsidRPr="006B375E">
        <w:rPr>
          <w:rFonts w:eastAsiaTheme="minorHAnsi"/>
        </w:rPr>
        <w:t>sredstava Fonda iz članka 4. podstavka 1. ove Uredbe</w:t>
      </w:r>
    </w:p>
    <w:p w14:paraId="186570E2" w14:textId="77777777" w:rsidR="007E01EF" w:rsidRPr="006B375E" w:rsidRDefault="007E01EF" w:rsidP="007E01EF">
      <w:pPr>
        <w:spacing w:after="160" w:line="259" w:lineRule="auto"/>
        <w:jc w:val="both"/>
        <w:rPr>
          <w:rFonts w:eastAsiaTheme="minorHAnsi"/>
        </w:rPr>
      </w:pPr>
      <w:r w:rsidRPr="006B375E">
        <w:rPr>
          <w:rFonts w:eastAsiaTheme="minorHAnsi"/>
        </w:rPr>
        <w:tab/>
        <w:t xml:space="preserve">- 30% </w:t>
      </w:r>
      <w:r>
        <w:rPr>
          <w:rFonts w:eastAsiaTheme="minorHAnsi"/>
        </w:rPr>
        <w:t>korisnicima</w:t>
      </w:r>
      <w:r w:rsidRPr="006B375E">
        <w:rPr>
          <w:rFonts w:eastAsiaTheme="minorHAnsi"/>
        </w:rPr>
        <w:t xml:space="preserve"> sredstava Fonda iz članka 4. podstavka 2. ove Uredbe.</w:t>
      </w:r>
    </w:p>
    <w:p w14:paraId="06A8597C" w14:textId="77777777" w:rsidR="009F52E8" w:rsidRPr="009F52E8" w:rsidRDefault="007E01EF" w:rsidP="009F52E8">
      <w:pPr>
        <w:spacing w:after="160" w:line="259" w:lineRule="auto"/>
        <w:jc w:val="both"/>
        <w:rPr>
          <w:rFonts w:eastAsiaTheme="minorHAnsi"/>
        </w:rPr>
      </w:pPr>
      <w:r w:rsidRPr="006B375E">
        <w:rPr>
          <w:rFonts w:eastAsiaTheme="minorHAnsi"/>
        </w:rPr>
        <w:t xml:space="preserve"> </w:t>
      </w:r>
      <w:r w:rsidRPr="006B375E">
        <w:rPr>
          <w:rFonts w:eastAsiaTheme="minorHAnsi"/>
        </w:rPr>
        <w:tab/>
      </w:r>
      <w:r w:rsidR="009F52E8" w:rsidRPr="009F52E8">
        <w:rPr>
          <w:rFonts w:eastAsiaTheme="minorHAnsi"/>
        </w:rPr>
        <w:t xml:space="preserve">(2) Korisnicima sredstava Fonda iz članka 4. podstavka 1. ove Uredbe doznačuje se iznos koji je umnožak broja jedinica lokalne odnosno područne (regionalne) samouprave koje su udružene u pojedinu turističku zajednicu i iznosa dobivenog dijeljenjem sredstava Fonda iz stavka 1. podstavka 1. ovoga članka s ukupnim brojem svih jedinica lokalne odnosno područne (regionalne) samouprave koje su obuhvaćene udruživanjem. </w:t>
      </w:r>
    </w:p>
    <w:p w14:paraId="037D9330" w14:textId="77777777" w:rsidR="009F52E8" w:rsidRDefault="009F52E8" w:rsidP="009F52E8">
      <w:pPr>
        <w:spacing w:after="160" w:line="259" w:lineRule="auto"/>
        <w:jc w:val="both"/>
        <w:rPr>
          <w:rFonts w:eastAsiaTheme="minorHAnsi"/>
        </w:rPr>
      </w:pPr>
      <w:r>
        <w:rPr>
          <w:rFonts w:eastAsiaTheme="minorHAnsi"/>
        </w:rPr>
        <w:tab/>
      </w:r>
      <w:r w:rsidRPr="009F52E8">
        <w:rPr>
          <w:rFonts w:eastAsiaTheme="minorHAnsi"/>
        </w:rPr>
        <w:t xml:space="preserve">(3) Korisnicima sredstava Fonda iz članka 4. podstavka 2. ove Uredbe doznačuje se iznos koji je umnožak broja udruženih turističkih zajednica temeljem pojedinog sporazuma iz članka 53. stavka 1. Zakona i iznosa dobivenog dijeljenjem sredstava Fonda iz stavka 1. podstavka 2. ovoga članka s ukupnim brojem svih udruženih turističkih zajednica temeljem sporazuma iz članka 53. stavka 1. Zakona. </w:t>
      </w:r>
    </w:p>
    <w:p w14:paraId="03844134" w14:textId="77777777" w:rsidR="009F52E8" w:rsidRPr="009F52E8" w:rsidRDefault="009F52E8" w:rsidP="009F52E8">
      <w:pPr>
        <w:spacing w:after="160" w:line="259" w:lineRule="auto"/>
        <w:jc w:val="both"/>
        <w:rPr>
          <w:rFonts w:eastAsiaTheme="minorHAnsi"/>
        </w:rPr>
      </w:pPr>
      <w:r>
        <w:rPr>
          <w:rFonts w:eastAsiaTheme="minorHAnsi"/>
        </w:rPr>
        <w:tab/>
        <w:t xml:space="preserve">(4) HTZ će sredstva Fonda korisnicima doznačiti najkasnije do 31. siječnja 2021. </w:t>
      </w:r>
      <w:r w:rsidR="00CC7B29">
        <w:rPr>
          <w:rFonts w:eastAsiaTheme="minorHAnsi"/>
        </w:rPr>
        <w:t>godine.</w:t>
      </w:r>
    </w:p>
    <w:p w14:paraId="03C6142D" w14:textId="77777777" w:rsidR="007E01EF" w:rsidRPr="006B375E" w:rsidRDefault="007E01EF" w:rsidP="009F52E8">
      <w:pPr>
        <w:spacing w:after="160" w:line="259" w:lineRule="auto"/>
        <w:jc w:val="center"/>
        <w:rPr>
          <w:rFonts w:eastAsiaTheme="minorHAnsi"/>
          <w:i/>
        </w:rPr>
      </w:pPr>
      <w:r w:rsidRPr="006B375E">
        <w:rPr>
          <w:rFonts w:eastAsiaTheme="minorHAnsi"/>
          <w:i/>
        </w:rPr>
        <w:t>Namjena sredstava Fonda</w:t>
      </w:r>
    </w:p>
    <w:p w14:paraId="6100C33C" w14:textId="77777777" w:rsidR="007E01EF" w:rsidRPr="006B375E" w:rsidRDefault="007E01EF" w:rsidP="007E01EF">
      <w:pPr>
        <w:spacing w:after="160" w:line="259" w:lineRule="auto"/>
        <w:jc w:val="center"/>
        <w:rPr>
          <w:rFonts w:eastAsiaTheme="minorHAnsi"/>
        </w:rPr>
      </w:pPr>
      <w:r w:rsidRPr="006B375E">
        <w:rPr>
          <w:rFonts w:eastAsiaTheme="minorHAnsi"/>
        </w:rPr>
        <w:t xml:space="preserve">Članak </w:t>
      </w:r>
      <w:r>
        <w:rPr>
          <w:rFonts w:eastAsiaTheme="minorHAnsi"/>
        </w:rPr>
        <w:t>6</w:t>
      </w:r>
      <w:r w:rsidRPr="006B375E">
        <w:rPr>
          <w:rFonts w:eastAsiaTheme="minorHAnsi"/>
        </w:rPr>
        <w:t>.</w:t>
      </w:r>
    </w:p>
    <w:p w14:paraId="754EBA2C" w14:textId="77777777" w:rsidR="007E01EF" w:rsidRPr="006B375E" w:rsidRDefault="007E01EF" w:rsidP="007E01EF">
      <w:pPr>
        <w:spacing w:after="160" w:line="259" w:lineRule="auto"/>
        <w:jc w:val="both"/>
        <w:rPr>
          <w:rFonts w:eastAsiaTheme="minorHAnsi"/>
        </w:rPr>
      </w:pPr>
      <w:r w:rsidRPr="006B375E">
        <w:rPr>
          <w:rFonts w:eastAsiaTheme="minorHAnsi"/>
        </w:rPr>
        <w:tab/>
        <w:t>(1) Korisnici mogu dodijeljena sredstva koristiti za aktivnosti predviđene godišnjim programom rada ili sporazumom iz članka 53. stavka 1. Zakona, a koje nisu mogli realizirati zbog problema nastalih uslijed pandemije bolesti COVID -19 uzrokovane virusom SARS-CoV-2.</w:t>
      </w:r>
    </w:p>
    <w:p w14:paraId="684920F8" w14:textId="77777777" w:rsidR="007E01EF" w:rsidRPr="006B375E" w:rsidRDefault="007E01EF" w:rsidP="007E01EF">
      <w:pPr>
        <w:spacing w:after="160" w:line="259" w:lineRule="auto"/>
        <w:jc w:val="both"/>
        <w:rPr>
          <w:rFonts w:eastAsiaTheme="minorHAnsi"/>
        </w:rPr>
      </w:pPr>
      <w:r w:rsidRPr="006B375E">
        <w:rPr>
          <w:rFonts w:eastAsiaTheme="minorHAnsi"/>
        </w:rPr>
        <w:lastRenderedPageBreak/>
        <w:tab/>
        <w:t xml:space="preserve">(2) Korisnici mogu za administrativne troškove upotrijebiti najviše 50% od iznosa dodijeljenih sredstava. </w:t>
      </w:r>
    </w:p>
    <w:p w14:paraId="5882B504" w14:textId="77777777" w:rsidR="007E01EF" w:rsidRPr="006B375E" w:rsidRDefault="007E01EF" w:rsidP="007E01EF">
      <w:pPr>
        <w:spacing w:after="160" w:line="259" w:lineRule="auto"/>
        <w:jc w:val="center"/>
        <w:rPr>
          <w:rFonts w:eastAsiaTheme="minorHAnsi"/>
          <w:i/>
        </w:rPr>
      </w:pPr>
      <w:r w:rsidRPr="006B375E">
        <w:rPr>
          <w:rFonts w:eastAsiaTheme="minorHAnsi"/>
          <w:i/>
        </w:rPr>
        <w:t>Nadzor nad namjenskim korištenjem sredstava Fonda</w:t>
      </w:r>
    </w:p>
    <w:p w14:paraId="29673C03" w14:textId="77777777" w:rsidR="007E01EF" w:rsidRPr="006B375E" w:rsidRDefault="007E01EF" w:rsidP="007E01EF">
      <w:pPr>
        <w:spacing w:after="160" w:line="259" w:lineRule="auto"/>
        <w:jc w:val="center"/>
        <w:rPr>
          <w:rFonts w:eastAsiaTheme="minorHAnsi"/>
        </w:rPr>
      </w:pPr>
      <w:r w:rsidRPr="006B375E">
        <w:rPr>
          <w:rFonts w:eastAsiaTheme="minorHAnsi"/>
        </w:rPr>
        <w:t xml:space="preserve">Članak </w:t>
      </w:r>
      <w:r>
        <w:rPr>
          <w:rFonts w:eastAsiaTheme="minorHAnsi"/>
        </w:rPr>
        <w:t>7</w:t>
      </w:r>
      <w:r w:rsidRPr="006B375E">
        <w:rPr>
          <w:rFonts w:eastAsiaTheme="minorHAnsi"/>
        </w:rPr>
        <w:t>.</w:t>
      </w:r>
    </w:p>
    <w:p w14:paraId="78760598" w14:textId="77777777" w:rsidR="007E01EF" w:rsidRPr="006B375E" w:rsidRDefault="007E01EF" w:rsidP="007E01EF">
      <w:pPr>
        <w:spacing w:after="160" w:line="259" w:lineRule="auto"/>
        <w:jc w:val="both"/>
        <w:rPr>
          <w:rFonts w:eastAsiaTheme="minorHAnsi"/>
        </w:rPr>
      </w:pPr>
      <w:r w:rsidRPr="006B375E">
        <w:rPr>
          <w:rFonts w:eastAsiaTheme="minorHAnsi"/>
        </w:rPr>
        <w:tab/>
      </w:r>
      <w:r w:rsidRPr="008A0AA9">
        <w:rPr>
          <w:rFonts w:eastAsiaTheme="minorHAnsi"/>
        </w:rPr>
        <w:t>(1) Nadzor nad namjenskim korištenjem dodijeljenih  sredstava obavlja ministarstvo nadležno za turiz</w:t>
      </w:r>
      <w:r w:rsidR="00F73E65" w:rsidRPr="008A0AA9">
        <w:rPr>
          <w:rFonts w:eastAsiaTheme="minorHAnsi"/>
        </w:rPr>
        <w:t>am</w:t>
      </w:r>
      <w:r w:rsidR="00F1342B" w:rsidRPr="008A0AA9">
        <w:rPr>
          <w:rFonts w:eastAsiaTheme="minorHAnsi"/>
        </w:rPr>
        <w:t xml:space="preserve">, sukladno </w:t>
      </w:r>
      <w:r w:rsidR="005159B8" w:rsidRPr="008A0AA9">
        <w:rPr>
          <w:rFonts w:eastAsiaTheme="minorHAnsi"/>
        </w:rPr>
        <w:t>zakonima</w:t>
      </w:r>
      <w:r w:rsidR="008A0AA9" w:rsidRPr="008A0AA9">
        <w:rPr>
          <w:rFonts w:eastAsiaTheme="minorHAnsi"/>
        </w:rPr>
        <w:t xml:space="preserve"> kojima se</w:t>
      </w:r>
      <w:r w:rsidR="008A0AA9" w:rsidRPr="008A0AA9">
        <w:t xml:space="preserve"> uređuje sustav turističkih zajednica, turistička pristojba i članarina u turističkim zajedn</w:t>
      </w:r>
      <w:r w:rsidR="008A0AA9">
        <w:t>icama.</w:t>
      </w:r>
    </w:p>
    <w:p w14:paraId="62C1957F" w14:textId="77777777" w:rsidR="007E01EF" w:rsidRPr="006B375E" w:rsidRDefault="007E01EF" w:rsidP="007E01EF">
      <w:pPr>
        <w:spacing w:after="160" w:line="259" w:lineRule="auto"/>
        <w:jc w:val="both"/>
        <w:rPr>
          <w:rFonts w:eastAsiaTheme="minorHAnsi"/>
        </w:rPr>
      </w:pPr>
      <w:r w:rsidRPr="006B375E">
        <w:rPr>
          <w:rFonts w:eastAsiaTheme="minorHAnsi"/>
        </w:rPr>
        <w:tab/>
        <w:t>(2) Korisnici sredstava iz članka 4. ove Uredbe kojima su dodijeljena sredstva iz Fonda, dužni su namjensko korištenje dodijeljenih sredstava iskazati u izvješću o izvršenju godišnjeg programa rada.</w:t>
      </w:r>
    </w:p>
    <w:p w14:paraId="37911DF3" w14:textId="77777777" w:rsidR="007E01EF" w:rsidRPr="006B375E" w:rsidRDefault="007E01EF" w:rsidP="007E01EF">
      <w:pPr>
        <w:spacing w:after="160" w:line="259" w:lineRule="auto"/>
        <w:jc w:val="center"/>
        <w:rPr>
          <w:rFonts w:eastAsiaTheme="minorHAnsi"/>
          <w:i/>
        </w:rPr>
      </w:pPr>
      <w:r w:rsidRPr="006B375E">
        <w:rPr>
          <w:rFonts w:eastAsiaTheme="minorHAnsi"/>
          <w:i/>
        </w:rPr>
        <w:t>Završna odredba</w:t>
      </w:r>
    </w:p>
    <w:p w14:paraId="5536D3EF" w14:textId="77777777" w:rsidR="007E01EF" w:rsidRPr="006B375E" w:rsidRDefault="007E01EF" w:rsidP="007E01EF">
      <w:pPr>
        <w:spacing w:after="160" w:line="259" w:lineRule="auto"/>
        <w:jc w:val="center"/>
        <w:rPr>
          <w:rFonts w:eastAsiaTheme="minorHAnsi"/>
        </w:rPr>
      </w:pPr>
      <w:r w:rsidRPr="006B375E">
        <w:rPr>
          <w:rFonts w:eastAsiaTheme="minorHAnsi"/>
        </w:rPr>
        <w:t xml:space="preserve">Članak </w:t>
      </w:r>
      <w:r>
        <w:rPr>
          <w:rFonts w:eastAsiaTheme="minorHAnsi"/>
        </w:rPr>
        <w:t>8</w:t>
      </w:r>
      <w:r w:rsidRPr="006B375E">
        <w:rPr>
          <w:rFonts w:eastAsiaTheme="minorHAnsi"/>
        </w:rPr>
        <w:t>.</w:t>
      </w:r>
    </w:p>
    <w:p w14:paraId="336D5DCD" w14:textId="77777777" w:rsidR="007E01EF" w:rsidRPr="006B375E" w:rsidRDefault="007E01EF" w:rsidP="007E01EF">
      <w:pPr>
        <w:spacing w:after="160" w:line="259" w:lineRule="auto"/>
        <w:rPr>
          <w:rFonts w:eastAsiaTheme="minorHAnsi"/>
        </w:rPr>
      </w:pPr>
      <w:r w:rsidRPr="006B375E">
        <w:rPr>
          <w:rFonts w:eastAsiaTheme="minorHAnsi"/>
        </w:rPr>
        <w:tab/>
        <w:t>Ova Uredba stupa na snagu prvoga dana od dana objave u Narodnim novinama.</w:t>
      </w:r>
    </w:p>
    <w:p w14:paraId="05B4637C" w14:textId="77777777" w:rsidR="007E01EF" w:rsidRPr="006B375E" w:rsidRDefault="007E01EF" w:rsidP="007E01EF">
      <w:pPr>
        <w:spacing w:after="160" w:line="259" w:lineRule="auto"/>
        <w:rPr>
          <w:rFonts w:eastAsiaTheme="minorHAnsi"/>
        </w:rPr>
      </w:pPr>
    </w:p>
    <w:p w14:paraId="74592FA3" w14:textId="77777777" w:rsidR="007E01EF" w:rsidRPr="006B375E" w:rsidRDefault="007E01EF" w:rsidP="007E01EF">
      <w:pPr>
        <w:spacing w:after="160" w:line="259" w:lineRule="auto"/>
        <w:rPr>
          <w:rFonts w:eastAsiaTheme="minorHAnsi"/>
        </w:rPr>
      </w:pPr>
      <w:r w:rsidRPr="006B375E">
        <w:rPr>
          <w:rFonts w:eastAsiaTheme="minorHAnsi"/>
        </w:rPr>
        <w:t xml:space="preserve">KLASA: </w:t>
      </w:r>
    </w:p>
    <w:p w14:paraId="1C8564C5" w14:textId="77777777" w:rsidR="007E01EF" w:rsidRDefault="007E01EF" w:rsidP="007E01EF">
      <w:pPr>
        <w:spacing w:after="160" w:line="259" w:lineRule="auto"/>
        <w:rPr>
          <w:rFonts w:eastAsiaTheme="minorHAnsi"/>
        </w:rPr>
      </w:pPr>
      <w:r w:rsidRPr="006B375E">
        <w:rPr>
          <w:rFonts w:eastAsiaTheme="minorHAnsi"/>
        </w:rPr>
        <w:t>URBROJ</w:t>
      </w:r>
      <w:r>
        <w:rPr>
          <w:rFonts w:eastAsiaTheme="minorHAnsi"/>
        </w:rPr>
        <w:t xml:space="preserve">: </w:t>
      </w:r>
    </w:p>
    <w:p w14:paraId="4477AA6A" w14:textId="77777777" w:rsidR="00CF7CC7" w:rsidRDefault="00CF7CC7" w:rsidP="007E01EF">
      <w:pPr>
        <w:spacing w:after="160" w:line="259" w:lineRule="auto"/>
        <w:rPr>
          <w:rFonts w:eastAsiaTheme="minorHAnsi"/>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tblGrid>
      <w:tr w:rsidR="00CF7CC7" w14:paraId="74D7AA52" w14:textId="77777777" w:rsidTr="00CF7CC7">
        <w:trPr>
          <w:trHeight w:val="1285"/>
          <w:jc w:val="right"/>
        </w:trPr>
        <w:tc>
          <w:tcPr>
            <w:tcW w:w="0" w:type="auto"/>
            <w:vAlign w:val="center"/>
          </w:tcPr>
          <w:p w14:paraId="3DD17DF9" w14:textId="77777777" w:rsidR="00CF7CC7" w:rsidRPr="00CF7CC7" w:rsidRDefault="00CF7CC7" w:rsidP="00CF7CC7">
            <w:pPr>
              <w:spacing w:after="160" w:line="259" w:lineRule="auto"/>
              <w:jc w:val="center"/>
              <w:rPr>
                <w:rFonts w:eastAsiaTheme="minorHAnsi"/>
                <w:b/>
              </w:rPr>
            </w:pPr>
            <w:r w:rsidRPr="00F60EB6">
              <w:rPr>
                <w:rFonts w:eastAsiaTheme="minorHAnsi"/>
                <w:b/>
              </w:rPr>
              <w:t>PREDSJEDNIK</w:t>
            </w:r>
          </w:p>
          <w:p w14:paraId="28DA8EA7" w14:textId="77777777" w:rsidR="00CF7CC7" w:rsidRPr="00F73E65" w:rsidRDefault="00CF7CC7" w:rsidP="00CF7CC7">
            <w:pPr>
              <w:spacing w:after="160" w:line="259" w:lineRule="auto"/>
              <w:jc w:val="center"/>
              <w:rPr>
                <w:rFonts w:eastAsiaTheme="minorHAnsi"/>
                <w:b/>
                <w:sz w:val="22"/>
                <w:szCs w:val="22"/>
              </w:rPr>
            </w:pPr>
            <w:r w:rsidRPr="00F73E65">
              <w:rPr>
                <w:rFonts w:eastAsiaTheme="minorHAnsi"/>
                <w:b/>
                <w:sz w:val="22"/>
                <w:szCs w:val="22"/>
              </w:rPr>
              <w:t>mr.sc. Andrej Plenković</w:t>
            </w:r>
          </w:p>
          <w:p w14:paraId="639F644C" w14:textId="77777777" w:rsidR="00CF7CC7" w:rsidRDefault="00CF7CC7" w:rsidP="00CF7CC7">
            <w:pPr>
              <w:spacing w:after="160" w:line="259" w:lineRule="auto"/>
              <w:jc w:val="center"/>
              <w:rPr>
                <w:rFonts w:eastAsiaTheme="minorHAnsi"/>
              </w:rPr>
            </w:pPr>
          </w:p>
        </w:tc>
      </w:tr>
    </w:tbl>
    <w:p w14:paraId="10AE0F84" w14:textId="77777777" w:rsidR="00F73E65" w:rsidRPr="006B375E" w:rsidRDefault="00F73E65" w:rsidP="007E01EF">
      <w:pPr>
        <w:spacing w:after="160" w:line="259" w:lineRule="auto"/>
        <w:rPr>
          <w:rFonts w:eastAsiaTheme="minorHAnsi"/>
        </w:rPr>
      </w:pPr>
    </w:p>
    <w:p w14:paraId="0095FB05" w14:textId="77777777" w:rsidR="004817B6" w:rsidRPr="004817B6" w:rsidRDefault="004817B6" w:rsidP="004817B6">
      <w:pPr>
        <w:jc w:val="center"/>
        <w:rPr>
          <w:b/>
          <w:bCs/>
        </w:rPr>
      </w:pPr>
      <w:r w:rsidRPr="004817B6">
        <w:rPr>
          <w:b/>
          <w:bCs/>
        </w:rPr>
        <w:t xml:space="preserve">O B R A Z L O Ž E N J E </w:t>
      </w:r>
    </w:p>
    <w:p w14:paraId="14CBADE9" w14:textId="77777777" w:rsidR="004817B6" w:rsidRPr="004817B6" w:rsidRDefault="004817B6" w:rsidP="004817B6">
      <w:pPr>
        <w:jc w:val="center"/>
        <w:rPr>
          <w:b/>
          <w:bCs/>
        </w:rPr>
      </w:pPr>
      <w:r w:rsidRPr="004817B6">
        <w:rPr>
          <w:b/>
          <w:bCs/>
        </w:rPr>
        <w:t xml:space="preserve">  </w:t>
      </w:r>
    </w:p>
    <w:p w14:paraId="64DB74DF" w14:textId="77777777" w:rsidR="004817B6" w:rsidRDefault="004817B6" w:rsidP="007E01EF">
      <w:pPr>
        <w:jc w:val="center"/>
      </w:pPr>
    </w:p>
    <w:p w14:paraId="521F8150" w14:textId="77777777" w:rsidR="004817B6" w:rsidRDefault="004817B6" w:rsidP="004817B6">
      <w:pPr>
        <w:pStyle w:val="normal-000018"/>
      </w:pPr>
      <w:r>
        <w:rPr>
          <w:rStyle w:val="zadanifontodlomka-000002"/>
        </w:rPr>
        <w:t>Zakonom o dopunama Zakona o turističkoj pristojbi dato je ovlaštenje Vladi Republike Hrvatske da uredbom, u uvjetima posebnih okolnosti, drugačije odredi namjenu i način raspodjele sredstava Fonda za udružene turističke zajednice (u daljnjem tekstu: Fond).</w:t>
      </w:r>
      <w:r>
        <w:t xml:space="preserve"> </w:t>
      </w:r>
    </w:p>
    <w:p w14:paraId="1DB0CA9B" w14:textId="77777777" w:rsidR="004817B6" w:rsidRDefault="004817B6" w:rsidP="004817B6">
      <w:pPr>
        <w:pStyle w:val="normal-000018"/>
      </w:pPr>
      <w:r>
        <w:rPr>
          <w:rStyle w:val="000001"/>
        </w:rPr>
        <w:t> </w:t>
      </w:r>
      <w:r>
        <w:t xml:space="preserve"> </w:t>
      </w:r>
    </w:p>
    <w:p w14:paraId="22596F68" w14:textId="77777777" w:rsidR="004817B6" w:rsidRDefault="004817B6" w:rsidP="004817B6">
      <w:pPr>
        <w:pStyle w:val="normal-000018"/>
      </w:pPr>
      <w:r>
        <w:rPr>
          <w:rStyle w:val="zadanifontodlomka-000002"/>
        </w:rPr>
        <w:t xml:space="preserve">Uredbom o namjeni i načinu raspodjele sredstava Fonda za udružene turističke zajednice propisuju se korisnici sredstava Fonda, način dodjele sredstava Fonda, namjena sredstava Fonda te nadzor nad namjenskim korištenjem sredstava Fonda. </w:t>
      </w:r>
    </w:p>
    <w:p w14:paraId="5C13AD1D" w14:textId="77777777" w:rsidR="004817B6" w:rsidRDefault="004817B6" w:rsidP="004817B6">
      <w:pPr>
        <w:pStyle w:val="normal-000018"/>
      </w:pPr>
      <w:r>
        <w:rPr>
          <w:rStyle w:val="000001"/>
        </w:rPr>
        <w:t> </w:t>
      </w:r>
      <w:r>
        <w:t xml:space="preserve"> </w:t>
      </w:r>
    </w:p>
    <w:p w14:paraId="79E5248C" w14:textId="77777777" w:rsidR="004817B6" w:rsidRDefault="004817B6" w:rsidP="004817B6">
      <w:pPr>
        <w:pStyle w:val="normal-000018"/>
      </w:pPr>
      <w:r>
        <w:rPr>
          <w:rStyle w:val="zadanifontodlomka-000002"/>
        </w:rPr>
        <w:t xml:space="preserve">Korisnici sredstava Fonda su lokalne i regionalne turističke zajednice osnovane sukladno članku 5. stavku 1. točki 1. i 2. Zakona o turističkim zajednicama i promicanju </w:t>
      </w:r>
      <w:r>
        <w:rPr>
          <w:rStyle w:val="zadanifontodlomka-000002"/>
        </w:rPr>
        <w:lastRenderedPageBreak/>
        <w:t>hrvatskog turizma („Narodne novine“, br. 52/19 i 42/20 – u daljnjem tekstu: Zakon) za područje više jedinica lokalne odnosno područne (regionalne) samouprave kao i lokalne i regionalne turističke zajednice osnovane sukladno članku 5. stavku 1. točki 1. i 2. Zakona te jedinice lokalne samouprave, za područje kojih nije osnovana turistička zajednica, međusobno udružene sporazumom prema članku 53. Zakona. Turističke zajednice koje su korisnici sredstava Fonda moraju biti upisane u Upisnik turističkih zajednica ili imati sklopljen sporazum prema članku 53. Zakona na dan 31. prosinca 2020.</w:t>
      </w:r>
      <w:r>
        <w:t xml:space="preserve"> </w:t>
      </w:r>
    </w:p>
    <w:p w14:paraId="66B80817" w14:textId="77777777" w:rsidR="004817B6" w:rsidRDefault="004817B6" w:rsidP="004817B6">
      <w:pPr>
        <w:pStyle w:val="normal-000018"/>
      </w:pPr>
      <w:r>
        <w:rPr>
          <w:rStyle w:val="000001"/>
        </w:rPr>
        <w:t> </w:t>
      </w:r>
      <w:r>
        <w:t xml:space="preserve"> </w:t>
      </w:r>
    </w:p>
    <w:p w14:paraId="3D1B56A9" w14:textId="77777777" w:rsidR="004817B6" w:rsidRDefault="004817B6" w:rsidP="004817B6">
      <w:pPr>
        <w:pStyle w:val="normal-000018"/>
      </w:pPr>
      <w:r>
        <w:rPr>
          <w:rStyle w:val="zadanifontodlomka-000002"/>
        </w:rPr>
        <w:t>Trenutno je u Upisnik turističkih zajednica upisano 17 udruženih turističkih zajednica, a za područje 89 jedinica lokalne samouprave sukladno članku 5. stavku 1. točki 1. i 2. Zakona te 6 udruženih turističkih zajednica koje su međusobno udružene sporazumom prema članku 53. Zakona.</w:t>
      </w:r>
      <w:r>
        <w:t xml:space="preserve"> </w:t>
      </w:r>
    </w:p>
    <w:p w14:paraId="5CD87858" w14:textId="77777777" w:rsidR="004817B6" w:rsidRDefault="004817B6" w:rsidP="004817B6">
      <w:pPr>
        <w:pStyle w:val="normal-000018"/>
      </w:pPr>
      <w:r>
        <w:rPr>
          <w:rStyle w:val="000001"/>
        </w:rPr>
        <w:t> </w:t>
      </w:r>
      <w:r>
        <w:t xml:space="preserve"> </w:t>
      </w:r>
    </w:p>
    <w:p w14:paraId="778DB7D5" w14:textId="77777777" w:rsidR="004817B6" w:rsidRDefault="004817B6" w:rsidP="004817B6">
      <w:pPr>
        <w:pStyle w:val="normal-000018"/>
      </w:pPr>
      <w:r>
        <w:rPr>
          <w:rStyle w:val="zadanifontodlomka-000002"/>
        </w:rPr>
        <w:t>Ukupna sredstva Fonda raspoređuju se na način da 70% ukupnih sredstava Fonda pripada korisnicima sredstava Fonda iz članka 4. podstavka 1. ove Uredbe, a 30% ukupnih sredstava Fonda pripada korisnicima sredstava Fonda iz članka 4. podstavka 2. ove Uredbe.  Sredstva će se rasporediti na način da se ukupan iznos koji se dodjeljuje, 70% odnosno 30%, podijeli na ukupan broj jedinica lokalne samouprave odnosno područne (regionalne) samouprave koje su se udružile te se dobiveni iznos množi sa brojem udruženih jedinica lokalne samouprave odnosno područne (regionalne) samouprave udruženih u pojedinu turističku zajednicu kojoj se iznos dodjeljuje.</w:t>
      </w:r>
      <w:r>
        <w:t xml:space="preserve"> </w:t>
      </w:r>
    </w:p>
    <w:p w14:paraId="12D26DDA" w14:textId="77777777" w:rsidR="004817B6" w:rsidRDefault="004817B6" w:rsidP="004817B6">
      <w:pPr>
        <w:pStyle w:val="normal-000018"/>
      </w:pPr>
      <w:r>
        <w:rPr>
          <w:rStyle w:val="000001"/>
        </w:rPr>
        <w:t> </w:t>
      </w:r>
      <w:r>
        <w:t xml:space="preserve"> </w:t>
      </w:r>
    </w:p>
    <w:p w14:paraId="2DCD0742" w14:textId="77777777" w:rsidR="004817B6" w:rsidRDefault="004817B6" w:rsidP="004817B6">
      <w:pPr>
        <w:pStyle w:val="normal-000018"/>
      </w:pPr>
      <w:r>
        <w:rPr>
          <w:rStyle w:val="zadanifontodlomka-000002"/>
        </w:rPr>
        <w:t>Uredbom se propisuje da korisnici mogu dodijeljena sredstva koristiti za aktivnosti predviđene godišnjim programom rada ili sporazumom iz članka 53. stavka 1. Zakona, a koje nisu mogli realizirati  zbog problema nastalih uslijed pandemije bolesti COVID -19, s tim da korisnici za administrativne troškove mogu upotrijebiti najviše 50% od iznosa dodijeljenih sredstava.</w:t>
      </w:r>
      <w:r>
        <w:t xml:space="preserve"> </w:t>
      </w:r>
    </w:p>
    <w:p w14:paraId="2D9C3842" w14:textId="77777777" w:rsidR="004817B6" w:rsidRDefault="004817B6" w:rsidP="004817B6">
      <w:pPr>
        <w:pStyle w:val="normal-000018"/>
      </w:pPr>
      <w:r>
        <w:rPr>
          <w:rStyle w:val="000001"/>
        </w:rPr>
        <w:t> </w:t>
      </w:r>
      <w:r>
        <w:t xml:space="preserve"> </w:t>
      </w:r>
    </w:p>
    <w:p w14:paraId="5D27082D" w14:textId="77777777" w:rsidR="004817B6" w:rsidRDefault="004817B6" w:rsidP="004817B6">
      <w:pPr>
        <w:pStyle w:val="normal-000018"/>
      </w:pPr>
      <w:r>
        <w:rPr>
          <w:rStyle w:val="zadanifontodlomka-000002"/>
        </w:rPr>
        <w:t xml:space="preserve">Nadzor nad namjenskim korištenjem dodijeljenih sredstava obavlja ministarstvo nadležno za </w:t>
      </w:r>
      <w:r w:rsidR="004F4738">
        <w:rPr>
          <w:rStyle w:val="zadanifontodlomka-000002"/>
        </w:rPr>
        <w:t>t</w:t>
      </w:r>
      <w:r>
        <w:rPr>
          <w:rStyle w:val="zadanifontodlomka-000002"/>
        </w:rPr>
        <w:t>uriz</w:t>
      </w:r>
      <w:r w:rsidR="004F4738">
        <w:rPr>
          <w:rStyle w:val="zadanifontodlomka-000002"/>
        </w:rPr>
        <w:t xml:space="preserve">am sukladno </w:t>
      </w:r>
      <w:r w:rsidR="005159B8">
        <w:rPr>
          <w:rStyle w:val="zadanifontodlomka-000002"/>
        </w:rPr>
        <w:t>zakonima</w:t>
      </w:r>
      <w:r w:rsidR="008A0AA9">
        <w:rPr>
          <w:rStyle w:val="zadanifontodlomka-000002"/>
        </w:rPr>
        <w:t xml:space="preserve"> </w:t>
      </w:r>
      <w:r w:rsidR="008A0AA9" w:rsidRPr="008A0AA9">
        <w:rPr>
          <w:rFonts w:eastAsiaTheme="minorHAnsi"/>
        </w:rPr>
        <w:t>kojima se</w:t>
      </w:r>
      <w:r w:rsidR="008A0AA9" w:rsidRPr="008A0AA9">
        <w:t xml:space="preserve"> uređuje sustav turističkih zajednica, turistička pristojba i članarina u turističkim zajedn</w:t>
      </w:r>
      <w:r w:rsidR="008A0AA9">
        <w:t>icama</w:t>
      </w:r>
      <w:r>
        <w:rPr>
          <w:rStyle w:val="zadanifontodlomka-000002"/>
        </w:rPr>
        <w:t>, a korisnici sredstava dužni su namjensko korištenje dodijeljenih sredstava iskazati u izvješću o izvršenju godišnjih programa rada. Godišnji program rada turističke zajednice izrađuje se po jedinstvenoj metodologiji i obveznim uputama koje je donijelo Ministarstvo na prijedlog Hrvatske turističke zajednice sukladno članku 55. stavku 5. Zakona o turističkim zajednicama i promicanju hrvatskog turizma, a jedna od točaka izvješća su i sredstva iz Fonda.</w:t>
      </w:r>
      <w:r>
        <w:t xml:space="preserve"> </w:t>
      </w:r>
    </w:p>
    <w:p w14:paraId="3D719C23" w14:textId="77777777" w:rsidR="00394AAD" w:rsidRPr="00CB59E3" w:rsidRDefault="00394AAD" w:rsidP="007E01EF">
      <w:pPr>
        <w:spacing w:after="160" w:line="259" w:lineRule="auto"/>
        <w:jc w:val="both"/>
      </w:pPr>
    </w:p>
    <w:sectPr w:rsidR="00394AAD" w:rsidRPr="00CB59E3" w:rsidSect="00BC52AA">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A06B" w14:textId="77777777" w:rsidR="00EA1166" w:rsidRDefault="00EA1166">
      <w:r>
        <w:separator/>
      </w:r>
    </w:p>
  </w:endnote>
  <w:endnote w:type="continuationSeparator" w:id="0">
    <w:p w14:paraId="6A511FDB" w14:textId="77777777" w:rsidR="00EA1166" w:rsidRDefault="00E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0B04" w14:textId="77777777" w:rsidR="00EA1166" w:rsidRDefault="00EA1166">
      <w:r>
        <w:separator/>
      </w:r>
    </w:p>
  </w:footnote>
  <w:footnote w:type="continuationSeparator" w:id="0">
    <w:p w14:paraId="0DCF8088" w14:textId="77777777" w:rsidR="00EA1166" w:rsidRDefault="00E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AD96C728">
      <w:start w:val="515"/>
      <w:numFmt w:val="bullet"/>
      <w:lvlText w:val="-"/>
      <w:lvlJc w:val="left"/>
      <w:pPr>
        <w:ind w:left="2160" w:hanging="360"/>
      </w:pPr>
      <w:rPr>
        <w:rFonts w:ascii="Times New Roman" w:eastAsia="Times New Roman" w:hAnsi="Times New Roman" w:cs="Times New Roman" w:hint="default"/>
      </w:rPr>
    </w:lvl>
    <w:lvl w:ilvl="1" w:tplc="E6AC16BA" w:tentative="1">
      <w:start w:val="1"/>
      <w:numFmt w:val="bullet"/>
      <w:lvlText w:val="o"/>
      <w:lvlJc w:val="left"/>
      <w:pPr>
        <w:ind w:left="2880" w:hanging="360"/>
      </w:pPr>
      <w:rPr>
        <w:rFonts w:ascii="Courier New" w:hAnsi="Courier New" w:cs="Courier New" w:hint="default"/>
      </w:rPr>
    </w:lvl>
    <w:lvl w:ilvl="2" w:tplc="51AA3E9A" w:tentative="1">
      <w:start w:val="1"/>
      <w:numFmt w:val="bullet"/>
      <w:lvlText w:val=""/>
      <w:lvlJc w:val="left"/>
      <w:pPr>
        <w:ind w:left="3600" w:hanging="360"/>
      </w:pPr>
      <w:rPr>
        <w:rFonts w:ascii="Wingdings" w:hAnsi="Wingdings" w:hint="default"/>
      </w:rPr>
    </w:lvl>
    <w:lvl w:ilvl="3" w:tplc="22F8F776" w:tentative="1">
      <w:start w:val="1"/>
      <w:numFmt w:val="bullet"/>
      <w:lvlText w:val=""/>
      <w:lvlJc w:val="left"/>
      <w:pPr>
        <w:ind w:left="4320" w:hanging="360"/>
      </w:pPr>
      <w:rPr>
        <w:rFonts w:ascii="Symbol" w:hAnsi="Symbol" w:hint="default"/>
      </w:rPr>
    </w:lvl>
    <w:lvl w:ilvl="4" w:tplc="016CEBC8" w:tentative="1">
      <w:start w:val="1"/>
      <w:numFmt w:val="bullet"/>
      <w:lvlText w:val="o"/>
      <w:lvlJc w:val="left"/>
      <w:pPr>
        <w:ind w:left="5040" w:hanging="360"/>
      </w:pPr>
      <w:rPr>
        <w:rFonts w:ascii="Courier New" w:hAnsi="Courier New" w:cs="Courier New" w:hint="default"/>
      </w:rPr>
    </w:lvl>
    <w:lvl w:ilvl="5" w:tplc="E34EBFE0" w:tentative="1">
      <w:start w:val="1"/>
      <w:numFmt w:val="bullet"/>
      <w:lvlText w:val=""/>
      <w:lvlJc w:val="left"/>
      <w:pPr>
        <w:ind w:left="5760" w:hanging="360"/>
      </w:pPr>
      <w:rPr>
        <w:rFonts w:ascii="Wingdings" w:hAnsi="Wingdings" w:hint="default"/>
      </w:rPr>
    </w:lvl>
    <w:lvl w:ilvl="6" w:tplc="97646382" w:tentative="1">
      <w:start w:val="1"/>
      <w:numFmt w:val="bullet"/>
      <w:lvlText w:val=""/>
      <w:lvlJc w:val="left"/>
      <w:pPr>
        <w:ind w:left="6480" w:hanging="360"/>
      </w:pPr>
      <w:rPr>
        <w:rFonts w:ascii="Symbol" w:hAnsi="Symbol" w:hint="default"/>
      </w:rPr>
    </w:lvl>
    <w:lvl w:ilvl="7" w:tplc="D47E7A12" w:tentative="1">
      <w:start w:val="1"/>
      <w:numFmt w:val="bullet"/>
      <w:lvlText w:val="o"/>
      <w:lvlJc w:val="left"/>
      <w:pPr>
        <w:ind w:left="7200" w:hanging="360"/>
      </w:pPr>
      <w:rPr>
        <w:rFonts w:ascii="Courier New" w:hAnsi="Courier New" w:cs="Courier New" w:hint="default"/>
      </w:rPr>
    </w:lvl>
    <w:lvl w:ilvl="8" w:tplc="961C14AA"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081C7082">
      <w:start w:val="515"/>
      <w:numFmt w:val="bullet"/>
      <w:lvlText w:val="-"/>
      <w:lvlJc w:val="left"/>
      <w:pPr>
        <w:ind w:left="420" w:hanging="360"/>
      </w:pPr>
      <w:rPr>
        <w:rFonts w:ascii="Times New Roman" w:eastAsia="Times New Roman" w:hAnsi="Times New Roman" w:cs="Times New Roman" w:hint="default"/>
        <w:b/>
      </w:rPr>
    </w:lvl>
    <w:lvl w:ilvl="1" w:tplc="9E6AEA8A" w:tentative="1">
      <w:start w:val="1"/>
      <w:numFmt w:val="bullet"/>
      <w:lvlText w:val="o"/>
      <w:lvlJc w:val="left"/>
      <w:pPr>
        <w:ind w:left="1140" w:hanging="360"/>
      </w:pPr>
      <w:rPr>
        <w:rFonts w:ascii="Courier New" w:hAnsi="Courier New" w:cs="Courier New" w:hint="default"/>
      </w:rPr>
    </w:lvl>
    <w:lvl w:ilvl="2" w:tplc="4FE8F8F8" w:tentative="1">
      <w:start w:val="1"/>
      <w:numFmt w:val="bullet"/>
      <w:lvlText w:val=""/>
      <w:lvlJc w:val="left"/>
      <w:pPr>
        <w:ind w:left="1860" w:hanging="360"/>
      </w:pPr>
      <w:rPr>
        <w:rFonts w:ascii="Wingdings" w:hAnsi="Wingdings" w:hint="default"/>
      </w:rPr>
    </w:lvl>
    <w:lvl w:ilvl="3" w:tplc="F2F0A4FA" w:tentative="1">
      <w:start w:val="1"/>
      <w:numFmt w:val="bullet"/>
      <w:lvlText w:val=""/>
      <w:lvlJc w:val="left"/>
      <w:pPr>
        <w:ind w:left="2580" w:hanging="360"/>
      </w:pPr>
      <w:rPr>
        <w:rFonts w:ascii="Symbol" w:hAnsi="Symbol" w:hint="default"/>
      </w:rPr>
    </w:lvl>
    <w:lvl w:ilvl="4" w:tplc="88EE892C" w:tentative="1">
      <w:start w:val="1"/>
      <w:numFmt w:val="bullet"/>
      <w:lvlText w:val="o"/>
      <w:lvlJc w:val="left"/>
      <w:pPr>
        <w:ind w:left="3300" w:hanging="360"/>
      </w:pPr>
      <w:rPr>
        <w:rFonts w:ascii="Courier New" w:hAnsi="Courier New" w:cs="Courier New" w:hint="default"/>
      </w:rPr>
    </w:lvl>
    <w:lvl w:ilvl="5" w:tplc="C5C22F3E" w:tentative="1">
      <w:start w:val="1"/>
      <w:numFmt w:val="bullet"/>
      <w:lvlText w:val=""/>
      <w:lvlJc w:val="left"/>
      <w:pPr>
        <w:ind w:left="4020" w:hanging="360"/>
      </w:pPr>
      <w:rPr>
        <w:rFonts w:ascii="Wingdings" w:hAnsi="Wingdings" w:hint="default"/>
      </w:rPr>
    </w:lvl>
    <w:lvl w:ilvl="6" w:tplc="C3F652F0" w:tentative="1">
      <w:start w:val="1"/>
      <w:numFmt w:val="bullet"/>
      <w:lvlText w:val=""/>
      <w:lvlJc w:val="left"/>
      <w:pPr>
        <w:ind w:left="4740" w:hanging="360"/>
      </w:pPr>
      <w:rPr>
        <w:rFonts w:ascii="Symbol" w:hAnsi="Symbol" w:hint="default"/>
      </w:rPr>
    </w:lvl>
    <w:lvl w:ilvl="7" w:tplc="4648B73E" w:tentative="1">
      <w:start w:val="1"/>
      <w:numFmt w:val="bullet"/>
      <w:lvlText w:val="o"/>
      <w:lvlJc w:val="left"/>
      <w:pPr>
        <w:ind w:left="5460" w:hanging="360"/>
      </w:pPr>
      <w:rPr>
        <w:rFonts w:ascii="Courier New" w:hAnsi="Courier New" w:cs="Courier New" w:hint="default"/>
      </w:rPr>
    </w:lvl>
    <w:lvl w:ilvl="8" w:tplc="7CAEBBD4" w:tentative="1">
      <w:start w:val="1"/>
      <w:numFmt w:val="bullet"/>
      <w:lvlText w:val=""/>
      <w:lvlJc w:val="left"/>
      <w:pPr>
        <w:ind w:left="6180" w:hanging="360"/>
      </w:pPr>
      <w:rPr>
        <w:rFonts w:ascii="Wingdings" w:hAnsi="Wingdings" w:hint="default"/>
      </w:rPr>
    </w:lvl>
  </w:abstractNum>
  <w:abstractNum w:abstractNumId="2" w15:restartNumberingAfterBreak="0">
    <w:nsid w:val="17182DA5"/>
    <w:multiLevelType w:val="hybridMultilevel"/>
    <w:tmpl w:val="F18AC2E6"/>
    <w:lvl w:ilvl="0" w:tplc="7EE6E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1177C"/>
    <w:multiLevelType w:val="hybridMultilevel"/>
    <w:tmpl w:val="5D167C12"/>
    <w:lvl w:ilvl="0" w:tplc="B6742A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1428B"/>
    <w:multiLevelType w:val="hybridMultilevel"/>
    <w:tmpl w:val="2D28E6BC"/>
    <w:lvl w:ilvl="0" w:tplc="45DA1DD2">
      <w:start w:val="515"/>
      <w:numFmt w:val="bullet"/>
      <w:lvlText w:val="-"/>
      <w:lvlJc w:val="left"/>
      <w:pPr>
        <w:ind w:left="1740" w:hanging="360"/>
      </w:pPr>
      <w:rPr>
        <w:rFonts w:ascii="Times New Roman" w:eastAsia="Times New Roman" w:hAnsi="Times New Roman" w:cs="Times New Roman" w:hint="default"/>
      </w:rPr>
    </w:lvl>
    <w:lvl w:ilvl="1" w:tplc="8C6225E4" w:tentative="1">
      <w:start w:val="1"/>
      <w:numFmt w:val="bullet"/>
      <w:lvlText w:val="o"/>
      <w:lvlJc w:val="left"/>
      <w:pPr>
        <w:ind w:left="2460" w:hanging="360"/>
      </w:pPr>
      <w:rPr>
        <w:rFonts w:ascii="Courier New" w:hAnsi="Courier New" w:cs="Courier New" w:hint="default"/>
      </w:rPr>
    </w:lvl>
    <w:lvl w:ilvl="2" w:tplc="F8BE366C" w:tentative="1">
      <w:start w:val="1"/>
      <w:numFmt w:val="bullet"/>
      <w:lvlText w:val=""/>
      <w:lvlJc w:val="left"/>
      <w:pPr>
        <w:ind w:left="3180" w:hanging="360"/>
      </w:pPr>
      <w:rPr>
        <w:rFonts w:ascii="Wingdings" w:hAnsi="Wingdings" w:hint="default"/>
      </w:rPr>
    </w:lvl>
    <w:lvl w:ilvl="3" w:tplc="1F4AE2DA" w:tentative="1">
      <w:start w:val="1"/>
      <w:numFmt w:val="bullet"/>
      <w:lvlText w:val=""/>
      <w:lvlJc w:val="left"/>
      <w:pPr>
        <w:ind w:left="3900" w:hanging="360"/>
      </w:pPr>
      <w:rPr>
        <w:rFonts w:ascii="Symbol" w:hAnsi="Symbol" w:hint="default"/>
      </w:rPr>
    </w:lvl>
    <w:lvl w:ilvl="4" w:tplc="78E8F490" w:tentative="1">
      <w:start w:val="1"/>
      <w:numFmt w:val="bullet"/>
      <w:lvlText w:val="o"/>
      <w:lvlJc w:val="left"/>
      <w:pPr>
        <w:ind w:left="4620" w:hanging="360"/>
      </w:pPr>
      <w:rPr>
        <w:rFonts w:ascii="Courier New" w:hAnsi="Courier New" w:cs="Courier New" w:hint="default"/>
      </w:rPr>
    </w:lvl>
    <w:lvl w:ilvl="5" w:tplc="C2F0EAAA" w:tentative="1">
      <w:start w:val="1"/>
      <w:numFmt w:val="bullet"/>
      <w:lvlText w:val=""/>
      <w:lvlJc w:val="left"/>
      <w:pPr>
        <w:ind w:left="5340" w:hanging="360"/>
      </w:pPr>
      <w:rPr>
        <w:rFonts w:ascii="Wingdings" w:hAnsi="Wingdings" w:hint="default"/>
      </w:rPr>
    </w:lvl>
    <w:lvl w:ilvl="6" w:tplc="F91C525E" w:tentative="1">
      <w:start w:val="1"/>
      <w:numFmt w:val="bullet"/>
      <w:lvlText w:val=""/>
      <w:lvlJc w:val="left"/>
      <w:pPr>
        <w:ind w:left="6060" w:hanging="360"/>
      </w:pPr>
      <w:rPr>
        <w:rFonts w:ascii="Symbol" w:hAnsi="Symbol" w:hint="default"/>
      </w:rPr>
    </w:lvl>
    <w:lvl w:ilvl="7" w:tplc="650A9684" w:tentative="1">
      <w:start w:val="1"/>
      <w:numFmt w:val="bullet"/>
      <w:lvlText w:val="o"/>
      <w:lvlJc w:val="left"/>
      <w:pPr>
        <w:ind w:left="6780" w:hanging="360"/>
      </w:pPr>
      <w:rPr>
        <w:rFonts w:ascii="Courier New" w:hAnsi="Courier New" w:cs="Courier New" w:hint="default"/>
      </w:rPr>
    </w:lvl>
    <w:lvl w:ilvl="8" w:tplc="E58CBC46" w:tentative="1">
      <w:start w:val="1"/>
      <w:numFmt w:val="bullet"/>
      <w:lvlText w:val=""/>
      <w:lvlJc w:val="left"/>
      <w:pPr>
        <w:ind w:left="7500" w:hanging="360"/>
      </w:pPr>
      <w:rPr>
        <w:rFonts w:ascii="Wingdings" w:hAnsi="Wingdings" w:hint="default"/>
      </w:rPr>
    </w:lvl>
  </w:abstractNum>
  <w:abstractNum w:abstractNumId="5" w15:restartNumberingAfterBreak="0">
    <w:nsid w:val="47DC7F44"/>
    <w:multiLevelType w:val="hybridMultilevel"/>
    <w:tmpl w:val="864EE760"/>
    <w:lvl w:ilvl="0" w:tplc="09101DD0">
      <w:numFmt w:val="bullet"/>
      <w:lvlText w:val="-"/>
      <w:lvlJc w:val="left"/>
      <w:pPr>
        <w:ind w:left="720" w:hanging="360"/>
      </w:pPr>
      <w:rPr>
        <w:rFonts w:ascii="Times New Roman" w:eastAsia="Times New Roman" w:hAnsi="Times New Roman" w:cs="Times New Roman" w:hint="default"/>
        <w:b/>
      </w:rPr>
    </w:lvl>
    <w:lvl w:ilvl="1" w:tplc="2FD80190" w:tentative="1">
      <w:start w:val="1"/>
      <w:numFmt w:val="bullet"/>
      <w:lvlText w:val="o"/>
      <w:lvlJc w:val="left"/>
      <w:pPr>
        <w:ind w:left="1440" w:hanging="360"/>
      </w:pPr>
      <w:rPr>
        <w:rFonts w:ascii="Courier New" w:hAnsi="Courier New" w:cs="Courier New" w:hint="default"/>
      </w:rPr>
    </w:lvl>
    <w:lvl w:ilvl="2" w:tplc="62DCF11A" w:tentative="1">
      <w:start w:val="1"/>
      <w:numFmt w:val="bullet"/>
      <w:lvlText w:val=""/>
      <w:lvlJc w:val="left"/>
      <w:pPr>
        <w:ind w:left="2160" w:hanging="360"/>
      </w:pPr>
      <w:rPr>
        <w:rFonts w:ascii="Wingdings" w:hAnsi="Wingdings" w:hint="default"/>
      </w:rPr>
    </w:lvl>
    <w:lvl w:ilvl="3" w:tplc="05CA4E8C" w:tentative="1">
      <w:start w:val="1"/>
      <w:numFmt w:val="bullet"/>
      <w:lvlText w:val=""/>
      <w:lvlJc w:val="left"/>
      <w:pPr>
        <w:ind w:left="2880" w:hanging="360"/>
      </w:pPr>
      <w:rPr>
        <w:rFonts w:ascii="Symbol" w:hAnsi="Symbol" w:hint="default"/>
      </w:rPr>
    </w:lvl>
    <w:lvl w:ilvl="4" w:tplc="AD505F94" w:tentative="1">
      <w:start w:val="1"/>
      <w:numFmt w:val="bullet"/>
      <w:lvlText w:val="o"/>
      <w:lvlJc w:val="left"/>
      <w:pPr>
        <w:ind w:left="3600" w:hanging="360"/>
      </w:pPr>
      <w:rPr>
        <w:rFonts w:ascii="Courier New" w:hAnsi="Courier New" w:cs="Courier New" w:hint="default"/>
      </w:rPr>
    </w:lvl>
    <w:lvl w:ilvl="5" w:tplc="10503176" w:tentative="1">
      <w:start w:val="1"/>
      <w:numFmt w:val="bullet"/>
      <w:lvlText w:val=""/>
      <w:lvlJc w:val="left"/>
      <w:pPr>
        <w:ind w:left="4320" w:hanging="360"/>
      </w:pPr>
      <w:rPr>
        <w:rFonts w:ascii="Wingdings" w:hAnsi="Wingdings" w:hint="default"/>
      </w:rPr>
    </w:lvl>
    <w:lvl w:ilvl="6" w:tplc="E5128070" w:tentative="1">
      <w:start w:val="1"/>
      <w:numFmt w:val="bullet"/>
      <w:lvlText w:val=""/>
      <w:lvlJc w:val="left"/>
      <w:pPr>
        <w:ind w:left="5040" w:hanging="360"/>
      </w:pPr>
      <w:rPr>
        <w:rFonts w:ascii="Symbol" w:hAnsi="Symbol" w:hint="default"/>
      </w:rPr>
    </w:lvl>
    <w:lvl w:ilvl="7" w:tplc="BD4EFD86" w:tentative="1">
      <w:start w:val="1"/>
      <w:numFmt w:val="bullet"/>
      <w:lvlText w:val="o"/>
      <w:lvlJc w:val="left"/>
      <w:pPr>
        <w:ind w:left="5760" w:hanging="360"/>
      </w:pPr>
      <w:rPr>
        <w:rFonts w:ascii="Courier New" w:hAnsi="Courier New" w:cs="Courier New" w:hint="default"/>
      </w:rPr>
    </w:lvl>
    <w:lvl w:ilvl="8" w:tplc="B7DE56E8" w:tentative="1">
      <w:start w:val="1"/>
      <w:numFmt w:val="bullet"/>
      <w:lvlText w:val=""/>
      <w:lvlJc w:val="left"/>
      <w:pPr>
        <w:ind w:left="6480" w:hanging="360"/>
      </w:pPr>
      <w:rPr>
        <w:rFonts w:ascii="Wingdings" w:hAnsi="Wingdings" w:hint="default"/>
      </w:rPr>
    </w:lvl>
  </w:abstractNum>
  <w:abstractNum w:abstractNumId="6" w15:restartNumberingAfterBreak="0">
    <w:nsid w:val="58545D52"/>
    <w:multiLevelType w:val="hybridMultilevel"/>
    <w:tmpl w:val="5F84A30C"/>
    <w:lvl w:ilvl="0" w:tplc="96D848C4">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1982334"/>
    <w:multiLevelType w:val="hybridMultilevel"/>
    <w:tmpl w:val="3046581C"/>
    <w:lvl w:ilvl="0" w:tplc="2CDC6E10">
      <w:numFmt w:val="bullet"/>
      <w:lvlText w:val="-"/>
      <w:lvlJc w:val="left"/>
      <w:pPr>
        <w:ind w:left="720" w:hanging="360"/>
      </w:pPr>
      <w:rPr>
        <w:rFonts w:ascii="Times New Roman" w:eastAsia="Times New Roman" w:hAnsi="Times New Roman" w:cs="Times New Roman" w:hint="default"/>
        <w:b/>
      </w:rPr>
    </w:lvl>
    <w:lvl w:ilvl="1" w:tplc="E76CD648" w:tentative="1">
      <w:start w:val="1"/>
      <w:numFmt w:val="bullet"/>
      <w:lvlText w:val="o"/>
      <w:lvlJc w:val="left"/>
      <w:pPr>
        <w:ind w:left="1440" w:hanging="360"/>
      </w:pPr>
      <w:rPr>
        <w:rFonts w:ascii="Courier New" w:hAnsi="Courier New" w:cs="Courier New" w:hint="default"/>
      </w:rPr>
    </w:lvl>
    <w:lvl w:ilvl="2" w:tplc="07989D50" w:tentative="1">
      <w:start w:val="1"/>
      <w:numFmt w:val="bullet"/>
      <w:lvlText w:val=""/>
      <w:lvlJc w:val="left"/>
      <w:pPr>
        <w:ind w:left="2160" w:hanging="360"/>
      </w:pPr>
      <w:rPr>
        <w:rFonts w:ascii="Wingdings" w:hAnsi="Wingdings" w:hint="default"/>
      </w:rPr>
    </w:lvl>
    <w:lvl w:ilvl="3" w:tplc="99F85556" w:tentative="1">
      <w:start w:val="1"/>
      <w:numFmt w:val="bullet"/>
      <w:lvlText w:val=""/>
      <w:lvlJc w:val="left"/>
      <w:pPr>
        <w:ind w:left="2880" w:hanging="360"/>
      </w:pPr>
      <w:rPr>
        <w:rFonts w:ascii="Symbol" w:hAnsi="Symbol" w:hint="default"/>
      </w:rPr>
    </w:lvl>
    <w:lvl w:ilvl="4" w:tplc="247C1DC8" w:tentative="1">
      <w:start w:val="1"/>
      <w:numFmt w:val="bullet"/>
      <w:lvlText w:val="o"/>
      <w:lvlJc w:val="left"/>
      <w:pPr>
        <w:ind w:left="3600" w:hanging="360"/>
      </w:pPr>
      <w:rPr>
        <w:rFonts w:ascii="Courier New" w:hAnsi="Courier New" w:cs="Courier New" w:hint="default"/>
      </w:rPr>
    </w:lvl>
    <w:lvl w:ilvl="5" w:tplc="0916EBD2" w:tentative="1">
      <w:start w:val="1"/>
      <w:numFmt w:val="bullet"/>
      <w:lvlText w:val=""/>
      <w:lvlJc w:val="left"/>
      <w:pPr>
        <w:ind w:left="4320" w:hanging="360"/>
      </w:pPr>
      <w:rPr>
        <w:rFonts w:ascii="Wingdings" w:hAnsi="Wingdings" w:hint="default"/>
      </w:rPr>
    </w:lvl>
    <w:lvl w:ilvl="6" w:tplc="9780A750" w:tentative="1">
      <w:start w:val="1"/>
      <w:numFmt w:val="bullet"/>
      <w:lvlText w:val=""/>
      <w:lvlJc w:val="left"/>
      <w:pPr>
        <w:ind w:left="5040" w:hanging="360"/>
      </w:pPr>
      <w:rPr>
        <w:rFonts w:ascii="Symbol" w:hAnsi="Symbol" w:hint="default"/>
      </w:rPr>
    </w:lvl>
    <w:lvl w:ilvl="7" w:tplc="51F813C4" w:tentative="1">
      <w:start w:val="1"/>
      <w:numFmt w:val="bullet"/>
      <w:lvlText w:val="o"/>
      <w:lvlJc w:val="left"/>
      <w:pPr>
        <w:ind w:left="5760" w:hanging="360"/>
      </w:pPr>
      <w:rPr>
        <w:rFonts w:ascii="Courier New" w:hAnsi="Courier New" w:cs="Courier New" w:hint="default"/>
      </w:rPr>
    </w:lvl>
    <w:lvl w:ilvl="8" w:tplc="B3AA3968" w:tentative="1">
      <w:start w:val="1"/>
      <w:numFmt w:val="bullet"/>
      <w:lvlText w:val=""/>
      <w:lvlJc w:val="left"/>
      <w:pPr>
        <w:ind w:left="6480" w:hanging="360"/>
      </w:pPr>
      <w:rPr>
        <w:rFonts w:ascii="Wingdings" w:hAnsi="Wingdings" w:hint="default"/>
      </w:rPr>
    </w:lvl>
  </w:abstractNum>
  <w:abstractNum w:abstractNumId="8" w15:restartNumberingAfterBreak="0">
    <w:nsid w:val="7200424B"/>
    <w:multiLevelType w:val="hybridMultilevel"/>
    <w:tmpl w:val="F8EAF3A8"/>
    <w:lvl w:ilvl="0" w:tplc="CC5460AE">
      <w:start w:val="1"/>
      <w:numFmt w:val="decimal"/>
      <w:lvlText w:val="%1."/>
      <w:lvlJc w:val="left"/>
      <w:pPr>
        <w:ind w:left="720" w:hanging="360"/>
      </w:pPr>
    </w:lvl>
    <w:lvl w:ilvl="1" w:tplc="652A828E" w:tentative="1">
      <w:start w:val="1"/>
      <w:numFmt w:val="lowerLetter"/>
      <w:lvlText w:val="%2."/>
      <w:lvlJc w:val="left"/>
      <w:pPr>
        <w:ind w:left="1440" w:hanging="360"/>
      </w:pPr>
    </w:lvl>
    <w:lvl w:ilvl="2" w:tplc="013CA36A" w:tentative="1">
      <w:start w:val="1"/>
      <w:numFmt w:val="lowerRoman"/>
      <w:lvlText w:val="%3."/>
      <w:lvlJc w:val="right"/>
      <w:pPr>
        <w:ind w:left="2160" w:hanging="180"/>
      </w:pPr>
    </w:lvl>
    <w:lvl w:ilvl="3" w:tplc="BD085862" w:tentative="1">
      <w:start w:val="1"/>
      <w:numFmt w:val="decimal"/>
      <w:lvlText w:val="%4."/>
      <w:lvlJc w:val="left"/>
      <w:pPr>
        <w:ind w:left="2880" w:hanging="360"/>
      </w:pPr>
    </w:lvl>
    <w:lvl w:ilvl="4" w:tplc="4036BE20" w:tentative="1">
      <w:start w:val="1"/>
      <w:numFmt w:val="lowerLetter"/>
      <w:lvlText w:val="%5."/>
      <w:lvlJc w:val="left"/>
      <w:pPr>
        <w:ind w:left="3600" w:hanging="360"/>
      </w:pPr>
    </w:lvl>
    <w:lvl w:ilvl="5" w:tplc="5A1C7998" w:tentative="1">
      <w:start w:val="1"/>
      <w:numFmt w:val="lowerRoman"/>
      <w:lvlText w:val="%6."/>
      <w:lvlJc w:val="right"/>
      <w:pPr>
        <w:ind w:left="4320" w:hanging="180"/>
      </w:pPr>
    </w:lvl>
    <w:lvl w:ilvl="6" w:tplc="5022B56A" w:tentative="1">
      <w:start w:val="1"/>
      <w:numFmt w:val="decimal"/>
      <w:lvlText w:val="%7."/>
      <w:lvlJc w:val="left"/>
      <w:pPr>
        <w:ind w:left="5040" w:hanging="360"/>
      </w:pPr>
    </w:lvl>
    <w:lvl w:ilvl="7" w:tplc="289C6DEE" w:tentative="1">
      <w:start w:val="1"/>
      <w:numFmt w:val="lowerLetter"/>
      <w:lvlText w:val="%8."/>
      <w:lvlJc w:val="left"/>
      <w:pPr>
        <w:ind w:left="5760" w:hanging="360"/>
      </w:pPr>
    </w:lvl>
    <w:lvl w:ilvl="8" w:tplc="9B825200" w:tentative="1">
      <w:start w:val="1"/>
      <w:numFmt w:val="lowerRoman"/>
      <w:lvlText w:val="%9."/>
      <w:lvlJc w:val="right"/>
      <w:pPr>
        <w:ind w:left="6480" w:hanging="180"/>
      </w:pPr>
    </w:lvl>
  </w:abstractNum>
  <w:abstractNum w:abstractNumId="9" w15:restartNumberingAfterBreak="0">
    <w:nsid w:val="73030BD5"/>
    <w:multiLevelType w:val="hybridMultilevel"/>
    <w:tmpl w:val="213A1046"/>
    <w:lvl w:ilvl="0" w:tplc="28387290">
      <w:start w:val="1"/>
      <w:numFmt w:val="decimal"/>
      <w:lvlText w:val="%1."/>
      <w:lvlJc w:val="left"/>
      <w:pPr>
        <w:ind w:left="720" w:hanging="360"/>
      </w:pPr>
    </w:lvl>
    <w:lvl w:ilvl="1" w:tplc="98CA1522" w:tentative="1">
      <w:start w:val="1"/>
      <w:numFmt w:val="lowerLetter"/>
      <w:lvlText w:val="%2."/>
      <w:lvlJc w:val="left"/>
      <w:pPr>
        <w:ind w:left="1440" w:hanging="360"/>
      </w:pPr>
    </w:lvl>
    <w:lvl w:ilvl="2" w:tplc="123CD9E4" w:tentative="1">
      <w:start w:val="1"/>
      <w:numFmt w:val="lowerRoman"/>
      <w:lvlText w:val="%3."/>
      <w:lvlJc w:val="right"/>
      <w:pPr>
        <w:ind w:left="2160" w:hanging="180"/>
      </w:pPr>
    </w:lvl>
    <w:lvl w:ilvl="3" w:tplc="940E4D0C" w:tentative="1">
      <w:start w:val="1"/>
      <w:numFmt w:val="decimal"/>
      <w:lvlText w:val="%4."/>
      <w:lvlJc w:val="left"/>
      <w:pPr>
        <w:ind w:left="2880" w:hanging="360"/>
      </w:pPr>
    </w:lvl>
    <w:lvl w:ilvl="4" w:tplc="2CF64B26" w:tentative="1">
      <w:start w:val="1"/>
      <w:numFmt w:val="lowerLetter"/>
      <w:lvlText w:val="%5."/>
      <w:lvlJc w:val="left"/>
      <w:pPr>
        <w:ind w:left="3600" w:hanging="360"/>
      </w:pPr>
    </w:lvl>
    <w:lvl w:ilvl="5" w:tplc="72C687B4" w:tentative="1">
      <w:start w:val="1"/>
      <w:numFmt w:val="lowerRoman"/>
      <w:lvlText w:val="%6."/>
      <w:lvlJc w:val="right"/>
      <w:pPr>
        <w:ind w:left="4320" w:hanging="180"/>
      </w:pPr>
    </w:lvl>
    <w:lvl w:ilvl="6" w:tplc="ADF06EE4" w:tentative="1">
      <w:start w:val="1"/>
      <w:numFmt w:val="decimal"/>
      <w:lvlText w:val="%7."/>
      <w:lvlJc w:val="left"/>
      <w:pPr>
        <w:ind w:left="5040" w:hanging="360"/>
      </w:pPr>
    </w:lvl>
    <w:lvl w:ilvl="7" w:tplc="BEA42A16" w:tentative="1">
      <w:start w:val="1"/>
      <w:numFmt w:val="lowerLetter"/>
      <w:lvlText w:val="%8."/>
      <w:lvlJc w:val="left"/>
      <w:pPr>
        <w:ind w:left="5760" w:hanging="360"/>
      </w:pPr>
    </w:lvl>
    <w:lvl w:ilvl="8" w:tplc="068CA402" w:tentative="1">
      <w:start w:val="1"/>
      <w:numFmt w:val="lowerRoman"/>
      <w:lvlText w:val="%9."/>
      <w:lvlJc w:val="right"/>
      <w:pPr>
        <w:ind w:left="6480" w:hanging="180"/>
      </w:pPr>
    </w:lvl>
  </w:abstractNum>
  <w:abstractNum w:abstractNumId="10" w15:restartNumberingAfterBreak="0">
    <w:nsid w:val="7C0B171B"/>
    <w:multiLevelType w:val="hybridMultilevel"/>
    <w:tmpl w:val="3578BD6A"/>
    <w:lvl w:ilvl="0" w:tplc="B6742A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4"/>
  </w:num>
  <w:num w:numId="6">
    <w:abstractNumId w:val="0"/>
  </w:num>
  <w:num w:numId="7">
    <w:abstractNumId w:val="1"/>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15"/>
    <w:rsid w:val="000A5ACF"/>
    <w:rsid w:val="000B5A64"/>
    <w:rsid w:val="000D0C89"/>
    <w:rsid w:val="001257FE"/>
    <w:rsid w:val="0019495E"/>
    <w:rsid w:val="001B3B8B"/>
    <w:rsid w:val="0021763D"/>
    <w:rsid w:val="002618BD"/>
    <w:rsid w:val="002805B3"/>
    <w:rsid w:val="002E3D41"/>
    <w:rsid w:val="002E526E"/>
    <w:rsid w:val="002F3733"/>
    <w:rsid w:val="003144FB"/>
    <w:rsid w:val="003176CE"/>
    <w:rsid w:val="00394AAD"/>
    <w:rsid w:val="003A7A81"/>
    <w:rsid w:val="003F4338"/>
    <w:rsid w:val="00440766"/>
    <w:rsid w:val="00447900"/>
    <w:rsid w:val="004817B6"/>
    <w:rsid w:val="004F4738"/>
    <w:rsid w:val="005159B8"/>
    <w:rsid w:val="005759B2"/>
    <w:rsid w:val="005D383F"/>
    <w:rsid w:val="006B375E"/>
    <w:rsid w:val="006E6394"/>
    <w:rsid w:val="00724A47"/>
    <w:rsid w:val="00770303"/>
    <w:rsid w:val="007E01EF"/>
    <w:rsid w:val="00812786"/>
    <w:rsid w:val="0081524B"/>
    <w:rsid w:val="008363B9"/>
    <w:rsid w:val="008A0AA9"/>
    <w:rsid w:val="00905DD7"/>
    <w:rsid w:val="0094479B"/>
    <w:rsid w:val="009B7DB7"/>
    <w:rsid w:val="009F52E8"/>
    <w:rsid w:val="00B2053D"/>
    <w:rsid w:val="00B90EE2"/>
    <w:rsid w:val="00BD398B"/>
    <w:rsid w:val="00C02D74"/>
    <w:rsid w:val="00C570AC"/>
    <w:rsid w:val="00CB59E3"/>
    <w:rsid w:val="00CC7B29"/>
    <w:rsid w:val="00CE775A"/>
    <w:rsid w:val="00CF7CC7"/>
    <w:rsid w:val="00DE3D91"/>
    <w:rsid w:val="00E11E52"/>
    <w:rsid w:val="00E73515"/>
    <w:rsid w:val="00EA1166"/>
    <w:rsid w:val="00EF7480"/>
    <w:rsid w:val="00F07317"/>
    <w:rsid w:val="00F1342B"/>
    <w:rsid w:val="00F231F1"/>
    <w:rsid w:val="00F54ADD"/>
    <w:rsid w:val="00F60EB6"/>
    <w:rsid w:val="00F73E65"/>
    <w:rsid w:val="00FF30C6"/>
    <w:rsid w:val="00FF69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717D6"/>
  <w15:docId w15:val="{5957CC93-F6C5-4CA6-83D4-E6A26356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qFormat/>
    <w:rsid w:val="00481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000000">
    <w:name w:val="000000"/>
    <w:basedOn w:val="DefaultParagraphFont"/>
    <w:rsid w:val="00F60EB6"/>
    <w:rPr>
      <w:b w:val="0"/>
      <w:bCs w:val="0"/>
      <w:sz w:val="28"/>
      <w:szCs w:val="28"/>
    </w:rPr>
  </w:style>
  <w:style w:type="paragraph" w:customStyle="1" w:styleId="Normal1">
    <w:name w:val="Normal1"/>
    <w:basedOn w:val="Normal"/>
    <w:rsid w:val="00F60EB6"/>
    <w:pPr>
      <w:spacing w:after="180"/>
      <w:jc w:val="center"/>
      <w:textAlignment w:val="baseline"/>
    </w:pPr>
    <w:rPr>
      <w:rFonts w:eastAsiaTheme="minorEastAsia"/>
      <w:sz w:val="28"/>
      <w:szCs w:val="28"/>
      <w:lang w:val="en-US"/>
    </w:rPr>
  </w:style>
  <w:style w:type="paragraph" w:customStyle="1" w:styleId="normal-000018">
    <w:name w:val="normal-000018"/>
    <w:basedOn w:val="Normal"/>
    <w:rsid w:val="004817B6"/>
    <w:pPr>
      <w:jc w:val="both"/>
    </w:pPr>
    <w:rPr>
      <w:rFonts w:eastAsiaTheme="minorEastAsia"/>
      <w:lang w:eastAsia="hr-HR"/>
    </w:rPr>
  </w:style>
  <w:style w:type="character" w:customStyle="1" w:styleId="000001">
    <w:name w:val="000001"/>
    <w:basedOn w:val="DefaultParagraphFont"/>
    <w:rsid w:val="004817B6"/>
    <w:rPr>
      <w:b w:val="0"/>
      <w:bCs w:val="0"/>
      <w:sz w:val="24"/>
      <w:szCs w:val="24"/>
    </w:rPr>
  </w:style>
  <w:style w:type="character" w:customStyle="1" w:styleId="zadanifontodlomka-000002">
    <w:name w:val="zadanifontodlomka-000002"/>
    <w:basedOn w:val="DefaultParagraphFont"/>
    <w:rsid w:val="004817B6"/>
    <w:rPr>
      <w:rFonts w:ascii="Times New Roman" w:hAnsi="Times New Roman" w:cs="Times New Roman" w:hint="default"/>
      <w:b w:val="0"/>
      <w:bCs w:val="0"/>
      <w:sz w:val="24"/>
      <w:szCs w:val="24"/>
    </w:rPr>
  </w:style>
  <w:style w:type="character" w:customStyle="1" w:styleId="Heading1Char">
    <w:name w:val="Heading 1 Char"/>
    <w:basedOn w:val="DefaultParagraphFont"/>
    <w:link w:val="Heading1"/>
    <w:rsid w:val="004817B6"/>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rsid w:val="00CF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45CA-3D00-4889-947B-51395980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07D104-0041-4286-8974-7A414C20D689}">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003FFAE3-B2B5-4D63-BB3A-F32FD3EC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8</TotalTime>
  <Pages>4</Pages>
  <Words>1158</Words>
  <Characters>6605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 TDU</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Larisa Petrić</cp:lastModifiedBy>
  <cp:revision>6</cp:revision>
  <cp:lastPrinted>2020-12-03T10:58:00Z</cp:lastPrinted>
  <dcterms:created xsi:type="dcterms:W3CDTF">2020-12-03T10:26:00Z</dcterms:created>
  <dcterms:modified xsi:type="dcterms:W3CDTF">2020-12-08T11:36:00Z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