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EFA" w:rsidRPr="00C208B8" w:rsidRDefault="008F0DD4" w:rsidP="0023763F">
      <w:pPr>
        <w:jc w:val="center"/>
      </w:pPr>
      <w:bookmarkStart w:id="0" w:name="_Hlk22536786"/>
      <w:r>
        <w:rPr>
          <w:noProof/>
        </w:rPr>
        <w:drawing>
          <wp:inline distT="0" distB="0" distL="0" distR="0">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00CD3EFA" w:rsidRPr="00C208B8">
        <w:fldChar w:fldCharType="begin"/>
      </w:r>
      <w:r w:rsidR="00CD3EFA" w:rsidRPr="00C208B8">
        <w:instrText xml:space="preserve"> INCLUDEPICTURE "http://www.inet.hr/~box/images/grb-rh.gif" \* MERGEFORMATINET </w:instrText>
      </w:r>
      <w:r w:rsidR="00CD3EFA" w:rsidRPr="00C208B8">
        <w:fldChar w:fldCharType="end"/>
      </w:r>
    </w:p>
    <w:p w:rsidR="00CD3EFA" w:rsidRPr="0023763F" w:rsidRDefault="003A2F05" w:rsidP="0023763F">
      <w:pPr>
        <w:spacing w:before="60" w:after="1680"/>
        <w:jc w:val="center"/>
        <w:rPr>
          <w:sz w:val="28"/>
        </w:rPr>
      </w:pPr>
      <w:r w:rsidRPr="0023763F">
        <w:rPr>
          <w:sz w:val="28"/>
        </w:rPr>
        <w:t>VLADA REPUBLIKE HRVATSKE</w:t>
      </w:r>
    </w:p>
    <w:p w:rsidR="00CD3EFA" w:rsidRDefault="00CD3EFA"/>
    <w:p w:rsidR="00C337A4" w:rsidRPr="003A2F05" w:rsidRDefault="00C337A4" w:rsidP="0023763F">
      <w:pPr>
        <w:spacing w:after="2400"/>
        <w:jc w:val="right"/>
      </w:pPr>
      <w:r w:rsidRPr="003A2F05">
        <w:t>Zagreb</w:t>
      </w:r>
      <w:r w:rsidRPr="00420A73">
        <w:t xml:space="preserve">, </w:t>
      </w:r>
      <w:r w:rsidR="0091715A">
        <w:t>30</w:t>
      </w:r>
      <w:bookmarkStart w:id="1" w:name="_GoBack"/>
      <w:bookmarkEnd w:id="1"/>
      <w:r w:rsidR="00253497" w:rsidRPr="0020510B">
        <w:t>.</w:t>
      </w:r>
      <w:r w:rsidR="00253497" w:rsidRPr="0037151A">
        <w:rPr>
          <w:color w:val="FF0000"/>
        </w:rPr>
        <w:t xml:space="preserve"> </w:t>
      </w:r>
      <w:r w:rsidR="00515CE4" w:rsidRPr="0057499A">
        <w:t xml:space="preserve">prosinca </w:t>
      </w:r>
      <w:r w:rsidRPr="0057499A">
        <w:t>20</w:t>
      </w:r>
      <w:r w:rsidR="00B95508">
        <w:t>20</w:t>
      </w:r>
      <w:r w:rsidRPr="003A2F05">
        <w:t>.</w:t>
      </w:r>
    </w:p>
    <w:p w:rsidR="000350D9" w:rsidRPr="002179F8" w:rsidRDefault="000350D9" w:rsidP="000350D9">
      <w:pPr>
        <w:spacing w:line="360" w:lineRule="auto"/>
      </w:pPr>
      <w:r w:rsidRPr="002179F8">
        <w:t>__________________________________________________________________________</w:t>
      </w:r>
    </w:p>
    <w:p w:rsidR="000350D9" w:rsidRDefault="000350D9" w:rsidP="000350D9">
      <w:pPr>
        <w:tabs>
          <w:tab w:val="right" w:pos="1701"/>
          <w:tab w:val="left" w:pos="1843"/>
        </w:tabs>
        <w:spacing w:line="360" w:lineRule="auto"/>
        <w:ind w:left="1843" w:hanging="1843"/>
        <w:rPr>
          <w:b/>
          <w:smallCaps/>
        </w:rPr>
        <w:sectPr w:rsidR="000350D9" w:rsidSect="006502B6">
          <w:headerReference w:type="default" r:id="rId13"/>
          <w:headerReference w:type="first" r:id="rId14"/>
          <w:type w:val="continuous"/>
          <w:pgSz w:w="11906" w:h="16838" w:code="9"/>
          <w:pgMar w:top="992" w:right="1418" w:bottom="1418" w:left="1418" w:header="709" w:footer="658" w:gutter="0"/>
          <w:cols w:space="708"/>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0350D9" w:rsidTr="000350D9">
        <w:tc>
          <w:tcPr>
            <w:tcW w:w="1951" w:type="dxa"/>
          </w:tcPr>
          <w:p w:rsidR="000350D9" w:rsidRDefault="000350D9" w:rsidP="000350D9">
            <w:pPr>
              <w:spacing w:line="360" w:lineRule="auto"/>
              <w:jc w:val="right"/>
            </w:pPr>
            <w:r w:rsidRPr="003A2F05">
              <w:rPr>
                <w:b/>
                <w:smallCaps/>
              </w:rPr>
              <w:t>Predlagatelj</w:t>
            </w:r>
            <w:r w:rsidRPr="002179F8">
              <w:rPr>
                <w:b/>
              </w:rPr>
              <w:t>:</w:t>
            </w:r>
          </w:p>
        </w:tc>
        <w:tc>
          <w:tcPr>
            <w:tcW w:w="7229" w:type="dxa"/>
          </w:tcPr>
          <w:p w:rsidR="000350D9" w:rsidRDefault="00253497" w:rsidP="000350D9">
            <w:pPr>
              <w:spacing w:line="360" w:lineRule="auto"/>
            </w:pPr>
            <w:r>
              <w:t xml:space="preserve">Ministarstvo </w:t>
            </w:r>
            <w:r w:rsidR="003C57F4">
              <w:t>financija</w:t>
            </w:r>
          </w:p>
        </w:tc>
      </w:tr>
    </w:tbl>
    <w:p w:rsidR="000350D9" w:rsidRPr="002179F8" w:rsidRDefault="000350D9" w:rsidP="000350D9">
      <w:pPr>
        <w:spacing w:line="360" w:lineRule="auto"/>
      </w:pPr>
      <w:r w:rsidRPr="002179F8">
        <w:t>__________________________________________________________________________</w:t>
      </w:r>
    </w:p>
    <w:p w:rsidR="000350D9" w:rsidRDefault="000350D9" w:rsidP="000350D9">
      <w:pPr>
        <w:tabs>
          <w:tab w:val="right" w:pos="1701"/>
          <w:tab w:val="left" w:pos="1843"/>
        </w:tabs>
        <w:spacing w:line="360" w:lineRule="auto"/>
        <w:ind w:left="1843" w:hanging="1843"/>
        <w:rPr>
          <w:b/>
          <w:smallCaps/>
        </w:rPr>
        <w:sectPr w:rsidR="000350D9" w:rsidSect="000350D9">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0350D9" w:rsidTr="000350D9">
        <w:tc>
          <w:tcPr>
            <w:tcW w:w="1951" w:type="dxa"/>
          </w:tcPr>
          <w:p w:rsidR="000350D9" w:rsidRDefault="000350D9" w:rsidP="000350D9">
            <w:pPr>
              <w:spacing w:line="360" w:lineRule="auto"/>
              <w:jc w:val="right"/>
            </w:pPr>
            <w:r>
              <w:rPr>
                <w:b/>
                <w:smallCaps/>
              </w:rPr>
              <w:t>Predmet</w:t>
            </w:r>
            <w:r w:rsidRPr="002179F8">
              <w:rPr>
                <w:b/>
              </w:rPr>
              <w:t>:</w:t>
            </w:r>
          </w:p>
        </w:tc>
        <w:tc>
          <w:tcPr>
            <w:tcW w:w="7229" w:type="dxa"/>
          </w:tcPr>
          <w:p w:rsidR="000350D9" w:rsidRDefault="007E4DF2" w:rsidP="002568F9">
            <w:pPr>
              <w:spacing w:line="360" w:lineRule="auto"/>
              <w:jc w:val="both"/>
            </w:pPr>
            <w:r>
              <w:t xml:space="preserve">Prijedlog uredbe o načinu izračuna i visinama sastavnica za izračun posebnog poreza na </w:t>
            </w:r>
            <w:r w:rsidR="0037151A">
              <w:t>motorna vozila</w:t>
            </w:r>
            <w:r w:rsidR="00385463">
              <w:t xml:space="preserve"> </w:t>
            </w:r>
          </w:p>
        </w:tc>
      </w:tr>
    </w:tbl>
    <w:p w:rsidR="000350D9" w:rsidRPr="002179F8" w:rsidRDefault="000350D9" w:rsidP="000350D9">
      <w:pPr>
        <w:tabs>
          <w:tab w:val="left" w:pos="1843"/>
        </w:tabs>
        <w:spacing w:line="360" w:lineRule="auto"/>
        <w:ind w:left="1843" w:hanging="1843"/>
      </w:pPr>
      <w:r w:rsidRPr="002179F8">
        <w:t>__________________________________________________________________________</w:t>
      </w:r>
    </w:p>
    <w:p w:rsidR="00CE78D1" w:rsidRDefault="00CE78D1" w:rsidP="008F0DD4"/>
    <w:p w:rsidR="00CE78D1" w:rsidRPr="00CE78D1" w:rsidRDefault="00CE78D1" w:rsidP="00CE78D1"/>
    <w:p w:rsidR="00CE78D1" w:rsidRPr="00CE78D1" w:rsidRDefault="00CE78D1" w:rsidP="00CE78D1"/>
    <w:p w:rsidR="00CE78D1" w:rsidRDefault="00CE78D1" w:rsidP="00CE78D1"/>
    <w:p w:rsidR="00253497" w:rsidRDefault="00253497" w:rsidP="00CE78D1"/>
    <w:p w:rsidR="00253497" w:rsidRDefault="00253497" w:rsidP="00CE78D1"/>
    <w:p w:rsidR="00253497" w:rsidRDefault="00253497" w:rsidP="00CE78D1"/>
    <w:p w:rsidR="00253497" w:rsidRPr="00CE78D1" w:rsidRDefault="00253497" w:rsidP="00CE78D1"/>
    <w:p w:rsidR="00CE78D1" w:rsidRPr="00CE78D1" w:rsidRDefault="00CE78D1" w:rsidP="00CE78D1"/>
    <w:p w:rsidR="00CE78D1" w:rsidRPr="00CE78D1" w:rsidRDefault="00CE78D1" w:rsidP="00CE78D1"/>
    <w:p w:rsidR="00CE78D1" w:rsidRPr="00CE78D1" w:rsidRDefault="00CE78D1" w:rsidP="00CE78D1"/>
    <w:p w:rsidR="00CE78D1" w:rsidRPr="00CE78D1" w:rsidRDefault="00CE78D1" w:rsidP="00CE78D1"/>
    <w:p w:rsidR="00CE78D1" w:rsidRDefault="00CE78D1" w:rsidP="00CE78D1"/>
    <w:p w:rsidR="00DA06E3" w:rsidRPr="00CE78D1" w:rsidRDefault="00DA06E3" w:rsidP="00CE78D1"/>
    <w:p w:rsidR="00CE78D1" w:rsidRDefault="00CE78D1" w:rsidP="00CE78D1"/>
    <w:p w:rsidR="00DA06E3" w:rsidRDefault="00DA06E3" w:rsidP="00CE78D1"/>
    <w:p w:rsidR="003C57F4" w:rsidRDefault="003C57F4" w:rsidP="00CE78D1"/>
    <w:p w:rsidR="00DA06E3" w:rsidRPr="00CE78D1" w:rsidRDefault="00DA06E3" w:rsidP="00CE78D1"/>
    <w:p w:rsidR="00DA06E3" w:rsidRDefault="002568F9" w:rsidP="00DA06E3">
      <w:pPr>
        <w:pStyle w:val="Footer"/>
        <w:pBdr>
          <w:top w:val="single" w:sz="4" w:space="1" w:color="404040" w:themeColor="text1" w:themeTint="BF"/>
        </w:pBdr>
        <w:jc w:val="center"/>
        <w:rPr>
          <w:color w:val="404040" w:themeColor="text1" w:themeTint="BF"/>
          <w:spacing w:val="20"/>
          <w:sz w:val="20"/>
        </w:rPr>
      </w:pPr>
      <w:r>
        <w:rPr>
          <w:color w:val="404040" w:themeColor="text1" w:themeTint="BF"/>
          <w:spacing w:val="20"/>
          <w:sz w:val="20"/>
        </w:rPr>
        <w:t>Banski dvori | Trg Sv. Marka 2</w:t>
      </w:r>
      <w:r w:rsidR="00DA06E3">
        <w:rPr>
          <w:color w:val="404040" w:themeColor="text1" w:themeTint="BF"/>
          <w:spacing w:val="20"/>
          <w:sz w:val="20"/>
        </w:rPr>
        <w:t xml:space="preserve"> | 10000 Zagreb | tel. 01 4569 222 | vlada.gov.hr</w:t>
      </w:r>
    </w:p>
    <w:bookmarkEnd w:id="0"/>
    <w:p w:rsidR="007E4DF2" w:rsidRDefault="007E4DF2" w:rsidP="007E4DF2">
      <w:pPr>
        <w:jc w:val="center"/>
        <w:rPr>
          <w:b/>
          <w:bCs/>
          <w:sz w:val="28"/>
          <w:szCs w:val="28"/>
        </w:rPr>
      </w:pPr>
    </w:p>
    <w:p w:rsidR="00BE02F6" w:rsidRPr="00B01425" w:rsidRDefault="00BE02F6" w:rsidP="00BE02F6">
      <w:pPr>
        <w:tabs>
          <w:tab w:val="left" w:pos="720"/>
        </w:tabs>
        <w:jc w:val="both"/>
      </w:pPr>
      <w:r w:rsidRPr="00B01425">
        <w:lastRenderedPageBreak/>
        <w:t>Na temelju članka 12. stavka 9. i članka 13. stavka 3. Zakona o posebnom porezu na motorna vozila (</w:t>
      </w:r>
      <w:r>
        <w:t>„</w:t>
      </w:r>
      <w:r w:rsidRPr="00B01425">
        <w:t>Narodne novine</w:t>
      </w:r>
      <w:r>
        <w:t>“</w:t>
      </w:r>
      <w:r w:rsidRPr="00B01425">
        <w:t>, broj 15/13, 108/13</w:t>
      </w:r>
      <w:r>
        <w:t xml:space="preserve"> - ispravak</w:t>
      </w:r>
      <w:r w:rsidRPr="00B01425">
        <w:t>, 115/16</w:t>
      </w:r>
      <w:r>
        <w:t xml:space="preserve">, </w:t>
      </w:r>
      <w:r w:rsidRPr="00B676EB">
        <w:t>127/1</w:t>
      </w:r>
      <w:r>
        <w:t>7 i 121/19</w:t>
      </w:r>
      <w:r w:rsidRPr="00B676EB">
        <w:t xml:space="preserve">) </w:t>
      </w:r>
      <w:r w:rsidRPr="00B01425">
        <w:t>Vlada Republike Hrvatske je na sjednici održanoj _____________</w:t>
      </w:r>
      <w:r w:rsidRPr="007B02BE">
        <w:t xml:space="preserve">2020. godine </w:t>
      </w:r>
      <w:r w:rsidRPr="006852A7">
        <w:t>donijela</w:t>
      </w:r>
    </w:p>
    <w:p w:rsidR="00BE02F6" w:rsidRPr="00B01425" w:rsidRDefault="00BE02F6" w:rsidP="00BE02F6">
      <w:pPr>
        <w:tabs>
          <w:tab w:val="left" w:pos="720"/>
        </w:tabs>
        <w:jc w:val="both"/>
      </w:pPr>
    </w:p>
    <w:p w:rsidR="00BE02F6" w:rsidRPr="00B01425" w:rsidRDefault="00BE02F6" w:rsidP="00BE02F6">
      <w:pPr>
        <w:tabs>
          <w:tab w:val="left" w:pos="720"/>
        </w:tabs>
        <w:jc w:val="both"/>
        <w:rPr>
          <w:b/>
          <w:bCs/>
        </w:rPr>
      </w:pPr>
    </w:p>
    <w:p w:rsidR="00BE02F6" w:rsidRPr="00AD640D" w:rsidRDefault="00BE02F6" w:rsidP="00BE02F6">
      <w:pPr>
        <w:keepNext/>
        <w:spacing w:before="240" w:after="60"/>
        <w:jc w:val="center"/>
        <w:outlineLvl w:val="1"/>
        <w:rPr>
          <w:b/>
          <w:bCs/>
          <w:iCs/>
        </w:rPr>
      </w:pPr>
      <w:r w:rsidRPr="00AD640D">
        <w:rPr>
          <w:b/>
          <w:bCs/>
          <w:iCs/>
        </w:rPr>
        <w:t>UREDBU</w:t>
      </w:r>
    </w:p>
    <w:p w:rsidR="00BE02F6" w:rsidRPr="00AD640D" w:rsidRDefault="00BE02F6" w:rsidP="00BE02F6">
      <w:pPr>
        <w:jc w:val="center"/>
        <w:rPr>
          <w:b/>
        </w:rPr>
      </w:pPr>
      <w:r w:rsidRPr="00AD640D">
        <w:rPr>
          <w:b/>
        </w:rPr>
        <w:t>O NAČINU IZRAČUNA I VISINAMA SASTAVNICA ZA IZRAČUN POSEBNOG POREZA NA MOTORNA VOZILA</w:t>
      </w:r>
    </w:p>
    <w:p w:rsidR="00BE02F6" w:rsidRPr="00AD640D" w:rsidRDefault="00BE02F6" w:rsidP="00BE02F6">
      <w:pPr>
        <w:jc w:val="center"/>
        <w:rPr>
          <w:b/>
          <w:bCs/>
          <w:iCs/>
        </w:rPr>
      </w:pPr>
    </w:p>
    <w:p w:rsidR="00BE02F6" w:rsidRPr="00AD640D" w:rsidRDefault="00BE02F6" w:rsidP="00392F28">
      <w:pPr>
        <w:jc w:val="center"/>
        <w:rPr>
          <w:bCs/>
        </w:rPr>
      </w:pPr>
      <w:r w:rsidRPr="00AD640D">
        <w:rPr>
          <w:bCs/>
          <w:i/>
        </w:rPr>
        <w:t>Uvodna odredba</w:t>
      </w:r>
    </w:p>
    <w:p w:rsidR="00392F28" w:rsidRPr="00AD640D" w:rsidRDefault="00392F28" w:rsidP="00392F28">
      <w:pPr>
        <w:jc w:val="center"/>
        <w:rPr>
          <w:b/>
          <w:bCs/>
          <w:i/>
          <w:iCs/>
        </w:rPr>
      </w:pPr>
    </w:p>
    <w:p w:rsidR="00BE02F6" w:rsidRPr="00AD640D" w:rsidRDefault="00BE02F6" w:rsidP="00392F28">
      <w:pPr>
        <w:jc w:val="center"/>
        <w:rPr>
          <w:b/>
          <w:bCs/>
        </w:rPr>
      </w:pPr>
      <w:r w:rsidRPr="00AD640D">
        <w:rPr>
          <w:b/>
          <w:bCs/>
        </w:rPr>
        <w:t>Članak 1.</w:t>
      </w:r>
    </w:p>
    <w:p w:rsidR="00392F28" w:rsidRPr="00AD640D" w:rsidRDefault="00392F28" w:rsidP="00392F28">
      <w:pPr>
        <w:jc w:val="center"/>
        <w:rPr>
          <w:b/>
          <w:bCs/>
        </w:rPr>
      </w:pPr>
    </w:p>
    <w:p w:rsidR="00BE02F6" w:rsidRPr="00AD640D" w:rsidRDefault="00BE02F6" w:rsidP="00392F28">
      <w:pPr>
        <w:ind w:firstLine="708"/>
        <w:jc w:val="both"/>
        <w:rPr>
          <w:rFonts w:eastAsia="Arial Unicode MS"/>
        </w:rPr>
      </w:pPr>
      <w:r w:rsidRPr="00AD640D">
        <w:rPr>
          <w:rFonts w:eastAsia="Arial Unicode MS"/>
        </w:rPr>
        <w:t xml:space="preserve">Ovom Uredbom se utvrđuje način izračuna i visine sastavnica za izračun posebnog poreza na motorna vozila. </w:t>
      </w:r>
    </w:p>
    <w:p w:rsidR="00392F28" w:rsidRPr="00AD640D" w:rsidRDefault="00392F28" w:rsidP="00392F28">
      <w:pPr>
        <w:jc w:val="both"/>
        <w:rPr>
          <w:rFonts w:eastAsia="Arial Unicode MS"/>
        </w:rPr>
      </w:pPr>
    </w:p>
    <w:p w:rsidR="00BE02F6" w:rsidRPr="00AD640D" w:rsidRDefault="00226F46" w:rsidP="00392F28">
      <w:pPr>
        <w:ind w:firstLine="709"/>
        <w:jc w:val="center"/>
        <w:rPr>
          <w:rFonts w:eastAsia="Arial Unicode MS"/>
          <w:i/>
        </w:rPr>
      </w:pPr>
      <w:r w:rsidRPr="00AD640D">
        <w:rPr>
          <w:rFonts w:eastAsia="Arial Unicode MS"/>
          <w:i/>
        </w:rPr>
        <w:t>Obračun p</w:t>
      </w:r>
      <w:r w:rsidR="00BE02F6" w:rsidRPr="00AD640D">
        <w:rPr>
          <w:rFonts w:eastAsia="Arial Unicode MS"/>
          <w:i/>
        </w:rPr>
        <w:t>osebn</w:t>
      </w:r>
      <w:r w:rsidRPr="00AD640D">
        <w:rPr>
          <w:rFonts w:eastAsia="Arial Unicode MS"/>
          <w:i/>
        </w:rPr>
        <w:t>og</w:t>
      </w:r>
      <w:r w:rsidR="00BE02F6" w:rsidRPr="00AD640D">
        <w:rPr>
          <w:rFonts w:eastAsia="Arial Unicode MS"/>
          <w:i/>
        </w:rPr>
        <w:t xml:space="preserve"> porez</w:t>
      </w:r>
      <w:r w:rsidRPr="00AD640D">
        <w:rPr>
          <w:rFonts w:eastAsia="Arial Unicode MS"/>
          <w:i/>
        </w:rPr>
        <w:t>a</w:t>
      </w:r>
      <w:r w:rsidR="00BE02F6" w:rsidRPr="00AD640D">
        <w:rPr>
          <w:rFonts w:eastAsia="Arial Unicode MS"/>
          <w:i/>
        </w:rPr>
        <w:t xml:space="preserve"> na </w:t>
      </w:r>
      <w:r w:rsidR="00E0019B" w:rsidRPr="00AD640D">
        <w:rPr>
          <w:rFonts w:eastAsia="Arial Unicode MS"/>
          <w:i/>
        </w:rPr>
        <w:t xml:space="preserve">motorna vozila za </w:t>
      </w:r>
      <w:r w:rsidR="00BE02F6" w:rsidRPr="00AD640D">
        <w:rPr>
          <w:rFonts w:eastAsia="Arial Unicode MS"/>
          <w:i/>
        </w:rPr>
        <w:t xml:space="preserve">osobne automobile i ostala motorna vozila konstruirana prvenstveno za prijevoz osoba </w:t>
      </w:r>
      <w:r w:rsidR="00E0019B" w:rsidRPr="00AD640D">
        <w:rPr>
          <w:rFonts w:eastAsia="Arial Unicode MS"/>
          <w:i/>
        </w:rPr>
        <w:t>te</w:t>
      </w:r>
      <w:r w:rsidR="00BE02F6" w:rsidRPr="00AD640D">
        <w:rPr>
          <w:rFonts w:eastAsia="Arial Unicode MS"/>
          <w:i/>
        </w:rPr>
        <w:t xml:space="preserve"> „pick-up“ vozila</w:t>
      </w:r>
    </w:p>
    <w:p w:rsidR="00392F28" w:rsidRPr="00AD640D" w:rsidRDefault="00392F28" w:rsidP="00392F28">
      <w:pPr>
        <w:ind w:firstLine="709"/>
        <w:jc w:val="center"/>
        <w:rPr>
          <w:rFonts w:eastAsia="Arial Unicode MS"/>
          <w:i/>
        </w:rPr>
      </w:pPr>
    </w:p>
    <w:p w:rsidR="00BE02F6" w:rsidRPr="00AD640D" w:rsidRDefault="00BE02F6" w:rsidP="00BE02F6">
      <w:pPr>
        <w:tabs>
          <w:tab w:val="left" w:pos="0"/>
        </w:tabs>
        <w:jc w:val="center"/>
        <w:rPr>
          <w:rFonts w:eastAsia="Arial Unicode MS"/>
          <w:b/>
          <w:bCs/>
        </w:rPr>
      </w:pPr>
      <w:r w:rsidRPr="00AD640D">
        <w:rPr>
          <w:rFonts w:eastAsia="Arial Unicode MS"/>
          <w:b/>
          <w:bCs/>
        </w:rPr>
        <w:t>Članak 2.</w:t>
      </w:r>
    </w:p>
    <w:p w:rsidR="00BE02F6" w:rsidRPr="00AD640D" w:rsidRDefault="00BE02F6" w:rsidP="00BE02F6">
      <w:pPr>
        <w:tabs>
          <w:tab w:val="left" w:pos="0"/>
        </w:tabs>
        <w:jc w:val="center"/>
        <w:rPr>
          <w:rFonts w:eastAsia="Arial Unicode MS"/>
          <w:b/>
          <w:bCs/>
        </w:rPr>
      </w:pPr>
    </w:p>
    <w:p w:rsidR="00BE02F6" w:rsidRPr="00AD640D" w:rsidRDefault="00BE02F6" w:rsidP="00BE02F6">
      <w:pPr>
        <w:ind w:firstLine="708"/>
        <w:jc w:val="both"/>
      </w:pPr>
      <w:r w:rsidRPr="00AD640D">
        <w:t xml:space="preserve">(1) Posebni porez na motorna vozila iz članka 5. stavka </w:t>
      </w:r>
      <w:r w:rsidRPr="00AD640D">
        <w:rPr>
          <w:bCs/>
        </w:rPr>
        <w:t xml:space="preserve">1. točaka 1. i 3. Zakona </w:t>
      </w:r>
      <w:r w:rsidRPr="00AD640D">
        <w:t xml:space="preserve">o posebnom porezu na motorna vozila („Narodne novine“, broj 15/13, 108/13, 115/16, 127/17 i 121/19; u daljnjem tekstu: Zakon) </w:t>
      </w:r>
      <w:r w:rsidRPr="00AD640D">
        <w:rPr>
          <w:bCs/>
        </w:rPr>
        <w:t>te druga motorna vozila prenamijenjena u takva motorna vozila</w:t>
      </w:r>
      <w:r w:rsidRPr="00AD640D">
        <w:t xml:space="preserve"> koja su prvi puta registrirana do 31. prosinca 2020.</w:t>
      </w:r>
      <w:r w:rsidRPr="00AD640D">
        <w:rPr>
          <w:bCs/>
        </w:rPr>
        <w:t xml:space="preserve"> plaća se prema prosječnoj emisiji ugljičnog dioksida (CO</w:t>
      </w:r>
      <w:r w:rsidRPr="00AD640D">
        <w:rPr>
          <w:bCs/>
          <w:vertAlign w:val="subscript"/>
        </w:rPr>
        <w:t>2</w:t>
      </w:r>
      <w:r w:rsidRPr="00AD640D">
        <w:rPr>
          <w:bCs/>
        </w:rPr>
        <w:t xml:space="preserve">) ovisno o vrsti goriva koje vozilo koristi za pogon i prodajnoj cijeni motornog vozila prema izrazu </w:t>
      </w:r>
      <w:r w:rsidRPr="00AD640D">
        <w:t xml:space="preserve">PP = (VN + PC) + (ON + EN), u kojem je: </w:t>
      </w:r>
    </w:p>
    <w:p w:rsidR="00BE02F6" w:rsidRPr="00AD640D" w:rsidRDefault="00BE02F6" w:rsidP="00BE02F6">
      <w:pPr>
        <w:jc w:val="both"/>
      </w:pPr>
    </w:p>
    <w:p w:rsidR="00BE02F6" w:rsidRPr="00AD640D" w:rsidRDefault="00BE02F6" w:rsidP="00BE02F6">
      <w:pPr>
        <w:jc w:val="both"/>
      </w:pPr>
      <w:r w:rsidRPr="00AD640D">
        <w:t xml:space="preserve">PP – posebni porez u kunama </w:t>
      </w:r>
    </w:p>
    <w:p w:rsidR="00BE02F6" w:rsidRPr="00AD640D" w:rsidRDefault="00BE02F6" w:rsidP="00BE02F6">
      <w:pPr>
        <w:jc w:val="both"/>
      </w:pPr>
    </w:p>
    <w:p w:rsidR="00BE02F6" w:rsidRPr="00AD640D" w:rsidRDefault="00BE02F6" w:rsidP="00BE02F6">
      <w:pPr>
        <w:jc w:val="both"/>
      </w:pPr>
      <w:r w:rsidRPr="00AD640D">
        <w:t>VN – vrijednosna naknada u kunama</w:t>
      </w:r>
    </w:p>
    <w:p w:rsidR="00BE02F6" w:rsidRPr="00AD640D" w:rsidRDefault="00BE02F6" w:rsidP="00BE02F6">
      <w:pPr>
        <w:jc w:val="both"/>
        <w:rPr>
          <w:vertAlign w:val="subscript"/>
        </w:rPr>
      </w:pPr>
    </w:p>
    <w:p w:rsidR="00BE02F6" w:rsidRPr="00AD640D" w:rsidRDefault="00BE02F6" w:rsidP="00BE02F6">
      <w:pPr>
        <w:jc w:val="both"/>
      </w:pPr>
      <w:r w:rsidRPr="00AD640D">
        <w:t xml:space="preserve">PC – naknada koja se utvrđuje na način da se od prodajne cijene motornog vozila oduzme najniži iznos za skupinu kojoj motorno vozilo pripada prema Tablici 1 i tako dobiveni iznos pomnoži s postotkom utvrđenim za skupinu kojoj motorno vozilo pripada prema Tablici 1 </w:t>
      </w:r>
    </w:p>
    <w:p w:rsidR="00BE02F6" w:rsidRPr="00AD640D" w:rsidRDefault="00BE02F6" w:rsidP="00BE02F6">
      <w:pPr>
        <w:jc w:val="both"/>
      </w:pPr>
    </w:p>
    <w:p w:rsidR="00BE02F6" w:rsidRPr="00AD640D" w:rsidRDefault="00BE02F6" w:rsidP="00BE02F6">
      <w:pPr>
        <w:jc w:val="both"/>
      </w:pPr>
      <w:r w:rsidRPr="00AD640D">
        <w:t>ON – osnovna naknada u kunama prema Tablici 2 ili Tablici 3</w:t>
      </w:r>
    </w:p>
    <w:p w:rsidR="00BE02F6" w:rsidRPr="00AD640D" w:rsidRDefault="00BE02F6" w:rsidP="00BE02F6">
      <w:pPr>
        <w:jc w:val="both"/>
      </w:pPr>
    </w:p>
    <w:p w:rsidR="00BE02F6" w:rsidRPr="00AD640D" w:rsidRDefault="00BE02F6" w:rsidP="00BE02F6">
      <w:pPr>
        <w:jc w:val="both"/>
        <w:rPr>
          <w:vertAlign w:val="subscript"/>
        </w:rPr>
      </w:pPr>
      <w:r w:rsidRPr="00AD640D">
        <w:t xml:space="preserve">EN – naknada koja se utvrđuje na način da se od </w:t>
      </w:r>
      <w:bookmarkStart w:id="2" w:name="_Hlk529515295"/>
      <w:r w:rsidRPr="00AD640D">
        <w:t xml:space="preserve">iznosa </w:t>
      </w:r>
      <w:bookmarkStart w:id="3" w:name="_Hlk529514685"/>
      <w:r w:rsidRPr="00AD640D">
        <w:t>prosječne emisije ugljičnog dioksida (CO</w:t>
      </w:r>
      <w:r w:rsidRPr="00AD640D">
        <w:rPr>
          <w:vertAlign w:val="subscript"/>
        </w:rPr>
        <w:t>2</w:t>
      </w:r>
      <w:r w:rsidRPr="00AD640D">
        <w:t xml:space="preserve">) </w:t>
      </w:r>
      <w:r w:rsidRPr="00AD640D">
        <w:rPr>
          <w:vertAlign w:val="subscript"/>
        </w:rPr>
        <w:t xml:space="preserve"> </w:t>
      </w:r>
      <w:bookmarkEnd w:id="3"/>
      <w:r w:rsidRPr="00AD640D">
        <w:t xml:space="preserve">motornog vozila </w:t>
      </w:r>
      <w:bookmarkEnd w:id="2"/>
      <w:r w:rsidRPr="00AD640D">
        <w:t>oduzme najniži iznos za skupinu kojoj motorno vozilo pripada prema Tablici 2 ili Tablici 3 i tako dobiveni iznos pomnoži s pripadajućim iznosom u kunama za jedan g/km CO</w:t>
      </w:r>
      <w:r w:rsidRPr="00AD640D">
        <w:rPr>
          <w:vertAlign w:val="subscript"/>
        </w:rPr>
        <w:t>2</w:t>
      </w:r>
      <w:r w:rsidRPr="00AD640D">
        <w:t>.</w:t>
      </w:r>
      <w:r w:rsidRPr="00AD640D">
        <w:rPr>
          <w:vertAlign w:val="subscript"/>
        </w:rPr>
        <w:t xml:space="preserve"> </w:t>
      </w:r>
    </w:p>
    <w:p w:rsidR="00BE02F6" w:rsidRPr="00AD640D" w:rsidRDefault="00BE02F6" w:rsidP="00BE02F6">
      <w:pPr>
        <w:jc w:val="both"/>
      </w:pPr>
    </w:p>
    <w:p w:rsidR="00BE02F6" w:rsidRPr="00AD640D" w:rsidRDefault="00BE02F6" w:rsidP="00BE02F6">
      <w:pPr>
        <w:jc w:val="both"/>
      </w:pPr>
      <w:bookmarkStart w:id="4" w:name="_Hlk58478922"/>
      <w:r w:rsidRPr="00AD640D">
        <w:t xml:space="preserve">Tablica </w:t>
      </w:r>
      <w:bookmarkEnd w:id="4"/>
      <w:r w:rsidRPr="00AD640D">
        <w:t xml:space="preserve">1 </w:t>
      </w:r>
    </w:p>
    <w:p w:rsidR="00BE02F6" w:rsidRPr="00AD640D" w:rsidRDefault="00BE02F6" w:rsidP="00BE02F6">
      <w:pPr>
        <w:jc w:val="both"/>
      </w:pPr>
    </w:p>
    <w:tbl>
      <w:tblPr>
        <w:tblW w:w="7511" w:type="dxa"/>
        <w:tblCellSpacing w:w="20" w:type="dxa"/>
        <w:tblBorders>
          <w:insideH w:val="single" w:sz="4" w:space="0" w:color="auto"/>
          <w:insideV w:val="single" w:sz="4" w:space="0" w:color="auto"/>
        </w:tblBorders>
        <w:tblLook w:val="04A0" w:firstRow="1" w:lastRow="0" w:firstColumn="1" w:lastColumn="0" w:noHBand="0" w:noVBand="1"/>
      </w:tblPr>
      <w:tblGrid>
        <w:gridCol w:w="2156"/>
        <w:gridCol w:w="1465"/>
        <w:gridCol w:w="1465"/>
        <w:gridCol w:w="1531"/>
        <w:gridCol w:w="894"/>
      </w:tblGrid>
      <w:tr w:rsidR="00AD640D" w:rsidRPr="00AD640D" w:rsidTr="00BE02F6">
        <w:trPr>
          <w:trHeight w:val="605"/>
          <w:tblCellSpacing w:w="20" w:type="dxa"/>
        </w:trPr>
        <w:tc>
          <w:tcPr>
            <w:tcW w:w="2152" w:type="dxa"/>
            <w:shd w:val="clear" w:color="auto" w:fill="auto"/>
            <w:hideMark/>
          </w:tcPr>
          <w:p w:rsidR="00BE02F6" w:rsidRPr="00AD640D" w:rsidRDefault="00BE02F6" w:rsidP="00BE02F6">
            <w:pPr>
              <w:jc w:val="both"/>
            </w:pPr>
            <w:r w:rsidRPr="00AD640D">
              <w:t> </w:t>
            </w:r>
          </w:p>
        </w:tc>
        <w:tc>
          <w:tcPr>
            <w:tcW w:w="2850" w:type="dxa"/>
            <w:gridSpan w:val="2"/>
            <w:shd w:val="clear" w:color="auto" w:fill="auto"/>
            <w:noWrap/>
            <w:hideMark/>
          </w:tcPr>
          <w:p w:rsidR="00BE02F6" w:rsidRPr="00AD640D" w:rsidRDefault="00BE02F6" w:rsidP="00BE02F6">
            <w:pPr>
              <w:jc w:val="both"/>
            </w:pPr>
            <w:r w:rsidRPr="00AD640D">
              <w:t>Prodajna cijena motornog vozila u kn</w:t>
            </w:r>
          </w:p>
        </w:tc>
        <w:tc>
          <w:tcPr>
            <w:tcW w:w="1471" w:type="dxa"/>
            <w:shd w:val="clear" w:color="auto" w:fill="auto"/>
            <w:noWrap/>
            <w:hideMark/>
          </w:tcPr>
          <w:p w:rsidR="00BE02F6" w:rsidRPr="00AD640D" w:rsidRDefault="00BE02F6" w:rsidP="00BE02F6">
            <w:pPr>
              <w:jc w:val="both"/>
            </w:pPr>
            <w:r w:rsidRPr="00AD640D">
              <w:t>VN u kn</w:t>
            </w:r>
          </w:p>
        </w:tc>
        <w:tc>
          <w:tcPr>
            <w:tcW w:w="838" w:type="dxa"/>
            <w:shd w:val="clear" w:color="auto" w:fill="auto"/>
            <w:hideMark/>
          </w:tcPr>
          <w:p w:rsidR="00BE02F6" w:rsidRPr="00AD640D" w:rsidRDefault="00BE02F6" w:rsidP="00BE02F6">
            <w:pPr>
              <w:jc w:val="center"/>
            </w:pPr>
            <w:r w:rsidRPr="00AD640D">
              <w:t>%</w:t>
            </w:r>
          </w:p>
        </w:tc>
      </w:tr>
      <w:tr w:rsidR="00AD640D" w:rsidRPr="00AD640D" w:rsidTr="00BE02F6">
        <w:trPr>
          <w:trHeight w:val="315"/>
          <w:tblCellSpacing w:w="20" w:type="dxa"/>
        </w:trPr>
        <w:tc>
          <w:tcPr>
            <w:tcW w:w="2152" w:type="dxa"/>
            <w:shd w:val="clear" w:color="auto" w:fill="auto"/>
            <w:hideMark/>
          </w:tcPr>
          <w:p w:rsidR="00BE02F6" w:rsidRPr="00AD640D" w:rsidRDefault="00BE02F6" w:rsidP="00BE02F6">
            <w:pPr>
              <w:pStyle w:val="NoSpacing"/>
              <w:rPr>
                <w:rFonts w:ascii="Times New Roman" w:eastAsia="Times New Roman" w:hAnsi="Times New Roman" w:cs="Times New Roman"/>
                <w:sz w:val="24"/>
                <w:szCs w:val="24"/>
              </w:rPr>
            </w:pPr>
            <w:r w:rsidRPr="00AD640D">
              <w:rPr>
                <w:rFonts w:ascii="Times New Roman" w:eastAsia="Times New Roman" w:hAnsi="Times New Roman" w:cs="Times New Roman"/>
                <w:sz w:val="24"/>
                <w:szCs w:val="24"/>
              </w:rPr>
              <w:t>prva skupina</w:t>
            </w:r>
          </w:p>
        </w:tc>
        <w:tc>
          <w:tcPr>
            <w:tcW w:w="1405" w:type="dxa"/>
            <w:shd w:val="clear" w:color="auto" w:fill="auto"/>
            <w:noWrap/>
            <w:hideMark/>
          </w:tcPr>
          <w:p w:rsidR="00BE02F6" w:rsidRPr="00AD640D" w:rsidRDefault="00BE02F6" w:rsidP="00BE02F6">
            <w:pPr>
              <w:pStyle w:val="NoSpacing"/>
              <w:jc w:val="center"/>
              <w:rPr>
                <w:rFonts w:ascii="Times New Roman" w:hAnsi="Times New Roman" w:cs="Times New Roman"/>
                <w:sz w:val="24"/>
                <w:szCs w:val="24"/>
              </w:rPr>
            </w:pPr>
            <w:r w:rsidRPr="00AD640D">
              <w:rPr>
                <w:rFonts w:ascii="Times New Roman" w:hAnsi="Times New Roman" w:cs="Times New Roman"/>
                <w:sz w:val="24"/>
                <w:szCs w:val="24"/>
              </w:rPr>
              <w:t>0,00</w:t>
            </w:r>
          </w:p>
        </w:tc>
        <w:tc>
          <w:tcPr>
            <w:tcW w:w="1405" w:type="dxa"/>
            <w:shd w:val="clear" w:color="auto" w:fill="auto"/>
            <w:noWrap/>
            <w:hideMark/>
          </w:tcPr>
          <w:p w:rsidR="00BE02F6" w:rsidRPr="00AD640D" w:rsidRDefault="00BE02F6" w:rsidP="00BE02F6">
            <w:pPr>
              <w:pStyle w:val="NoSpacing"/>
              <w:jc w:val="center"/>
              <w:rPr>
                <w:rFonts w:ascii="Times New Roman" w:hAnsi="Times New Roman" w:cs="Times New Roman"/>
                <w:sz w:val="24"/>
                <w:szCs w:val="24"/>
              </w:rPr>
            </w:pPr>
            <w:r w:rsidRPr="00AD640D">
              <w:rPr>
                <w:rFonts w:ascii="Times New Roman" w:hAnsi="Times New Roman" w:cs="Times New Roman"/>
                <w:sz w:val="24"/>
                <w:szCs w:val="24"/>
              </w:rPr>
              <w:t>100.000,00</w:t>
            </w:r>
          </w:p>
        </w:tc>
        <w:tc>
          <w:tcPr>
            <w:tcW w:w="1471" w:type="dxa"/>
            <w:shd w:val="clear" w:color="auto" w:fill="auto"/>
            <w:noWrap/>
          </w:tcPr>
          <w:p w:rsidR="00BE02F6" w:rsidRPr="00AD640D" w:rsidRDefault="00BE02F6" w:rsidP="00BE02F6">
            <w:pPr>
              <w:pStyle w:val="NoSpacing"/>
              <w:jc w:val="center"/>
              <w:rPr>
                <w:rFonts w:ascii="Times New Roman" w:hAnsi="Times New Roman" w:cs="Times New Roman"/>
                <w:sz w:val="24"/>
                <w:szCs w:val="24"/>
              </w:rPr>
            </w:pPr>
            <w:r w:rsidRPr="00AD640D">
              <w:rPr>
                <w:rFonts w:ascii="Times New Roman" w:hAnsi="Times New Roman" w:cs="Times New Roman"/>
                <w:sz w:val="24"/>
                <w:szCs w:val="24"/>
              </w:rPr>
              <w:t>0</w:t>
            </w:r>
          </w:p>
        </w:tc>
        <w:tc>
          <w:tcPr>
            <w:tcW w:w="838" w:type="dxa"/>
            <w:shd w:val="clear" w:color="auto" w:fill="auto"/>
          </w:tcPr>
          <w:p w:rsidR="00BE02F6" w:rsidRPr="00AD640D" w:rsidRDefault="00BE02F6" w:rsidP="00BE02F6">
            <w:pPr>
              <w:pStyle w:val="NoSpacing"/>
              <w:rPr>
                <w:rFonts w:ascii="Times New Roman" w:hAnsi="Times New Roman" w:cs="Times New Roman"/>
                <w:sz w:val="24"/>
                <w:szCs w:val="24"/>
              </w:rPr>
            </w:pPr>
            <w:r w:rsidRPr="00AD640D">
              <w:rPr>
                <w:rFonts w:ascii="Times New Roman" w:hAnsi="Times New Roman" w:cs="Times New Roman"/>
                <w:sz w:val="24"/>
                <w:szCs w:val="24"/>
              </w:rPr>
              <w:t xml:space="preserve"> </w:t>
            </w:r>
          </w:p>
        </w:tc>
      </w:tr>
      <w:tr w:rsidR="00AD640D" w:rsidRPr="00AD640D" w:rsidTr="00BE02F6">
        <w:trPr>
          <w:trHeight w:val="315"/>
          <w:tblCellSpacing w:w="20" w:type="dxa"/>
        </w:trPr>
        <w:tc>
          <w:tcPr>
            <w:tcW w:w="2152" w:type="dxa"/>
            <w:shd w:val="clear" w:color="auto" w:fill="auto"/>
            <w:hideMark/>
          </w:tcPr>
          <w:p w:rsidR="00BE02F6" w:rsidRPr="00AD640D" w:rsidRDefault="00BE02F6" w:rsidP="00BE02F6">
            <w:pPr>
              <w:pStyle w:val="NoSpacing"/>
              <w:rPr>
                <w:rFonts w:ascii="Times New Roman" w:eastAsia="Times New Roman" w:hAnsi="Times New Roman" w:cs="Times New Roman"/>
                <w:sz w:val="24"/>
                <w:szCs w:val="24"/>
              </w:rPr>
            </w:pPr>
            <w:r w:rsidRPr="00AD640D">
              <w:rPr>
                <w:rFonts w:ascii="Times New Roman" w:eastAsia="Times New Roman" w:hAnsi="Times New Roman" w:cs="Times New Roman"/>
                <w:sz w:val="24"/>
                <w:szCs w:val="24"/>
              </w:rPr>
              <w:lastRenderedPageBreak/>
              <w:t>druga skupina</w:t>
            </w:r>
          </w:p>
        </w:tc>
        <w:tc>
          <w:tcPr>
            <w:tcW w:w="1405" w:type="dxa"/>
            <w:shd w:val="clear" w:color="auto" w:fill="auto"/>
            <w:noWrap/>
            <w:hideMark/>
          </w:tcPr>
          <w:p w:rsidR="00BE02F6" w:rsidRPr="00AD640D" w:rsidRDefault="00BE02F6" w:rsidP="00BE02F6">
            <w:pPr>
              <w:pStyle w:val="NoSpacing"/>
              <w:jc w:val="center"/>
              <w:rPr>
                <w:rFonts w:ascii="Times New Roman" w:hAnsi="Times New Roman" w:cs="Times New Roman"/>
                <w:sz w:val="24"/>
                <w:szCs w:val="24"/>
              </w:rPr>
            </w:pPr>
            <w:r w:rsidRPr="00AD640D">
              <w:rPr>
                <w:rFonts w:ascii="Times New Roman" w:hAnsi="Times New Roman" w:cs="Times New Roman"/>
                <w:sz w:val="24"/>
                <w:szCs w:val="24"/>
              </w:rPr>
              <w:t>100.000,01</w:t>
            </w:r>
          </w:p>
        </w:tc>
        <w:tc>
          <w:tcPr>
            <w:tcW w:w="1405" w:type="dxa"/>
            <w:shd w:val="clear" w:color="auto" w:fill="auto"/>
            <w:noWrap/>
            <w:hideMark/>
          </w:tcPr>
          <w:p w:rsidR="00BE02F6" w:rsidRPr="00AD640D" w:rsidRDefault="00BE02F6" w:rsidP="00BE02F6">
            <w:pPr>
              <w:pStyle w:val="NoSpacing"/>
              <w:jc w:val="center"/>
              <w:rPr>
                <w:rFonts w:ascii="Times New Roman" w:hAnsi="Times New Roman" w:cs="Times New Roman"/>
                <w:sz w:val="24"/>
                <w:szCs w:val="24"/>
              </w:rPr>
            </w:pPr>
            <w:r w:rsidRPr="00AD640D">
              <w:rPr>
                <w:rFonts w:ascii="Times New Roman" w:hAnsi="Times New Roman" w:cs="Times New Roman"/>
                <w:sz w:val="24"/>
                <w:szCs w:val="24"/>
              </w:rPr>
              <w:t>150.000,00</w:t>
            </w:r>
          </w:p>
        </w:tc>
        <w:tc>
          <w:tcPr>
            <w:tcW w:w="1471" w:type="dxa"/>
            <w:shd w:val="clear" w:color="auto" w:fill="auto"/>
            <w:noWrap/>
          </w:tcPr>
          <w:p w:rsidR="00BE02F6" w:rsidRPr="00AD640D" w:rsidRDefault="00BE02F6" w:rsidP="00BE02F6">
            <w:pPr>
              <w:pStyle w:val="NoSpacing"/>
              <w:jc w:val="center"/>
              <w:rPr>
                <w:rFonts w:ascii="Times New Roman" w:hAnsi="Times New Roman" w:cs="Times New Roman"/>
                <w:sz w:val="24"/>
                <w:szCs w:val="24"/>
              </w:rPr>
            </w:pPr>
            <w:r w:rsidRPr="00AD640D">
              <w:rPr>
                <w:rFonts w:ascii="Times New Roman" w:hAnsi="Times New Roman" w:cs="Times New Roman"/>
                <w:sz w:val="24"/>
                <w:szCs w:val="24"/>
              </w:rPr>
              <w:t>0</w:t>
            </w:r>
          </w:p>
        </w:tc>
        <w:tc>
          <w:tcPr>
            <w:tcW w:w="838" w:type="dxa"/>
            <w:shd w:val="clear" w:color="auto" w:fill="auto"/>
          </w:tcPr>
          <w:p w:rsidR="00BE02F6" w:rsidRPr="00AD640D" w:rsidRDefault="00BE02F6" w:rsidP="00BE02F6">
            <w:pPr>
              <w:pStyle w:val="NoSpacing"/>
              <w:rPr>
                <w:rFonts w:ascii="Times New Roman" w:hAnsi="Times New Roman" w:cs="Times New Roman"/>
                <w:sz w:val="24"/>
                <w:szCs w:val="24"/>
              </w:rPr>
            </w:pPr>
            <w:r w:rsidRPr="00AD640D">
              <w:rPr>
                <w:rFonts w:ascii="Times New Roman" w:hAnsi="Times New Roman" w:cs="Times New Roman"/>
                <w:sz w:val="24"/>
                <w:szCs w:val="24"/>
              </w:rPr>
              <w:t xml:space="preserve"> </w:t>
            </w:r>
          </w:p>
        </w:tc>
      </w:tr>
      <w:tr w:rsidR="00AD640D" w:rsidRPr="00AD640D" w:rsidTr="00BE02F6">
        <w:trPr>
          <w:trHeight w:val="315"/>
          <w:tblCellSpacing w:w="20" w:type="dxa"/>
        </w:trPr>
        <w:tc>
          <w:tcPr>
            <w:tcW w:w="2152" w:type="dxa"/>
            <w:shd w:val="clear" w:color="auto" w:fill="auto"/>
            <w:hideMark/>
          </w:tcPr>
          <w:p w:rsidR="00BE02F6" w:rsidRPr="00AD640D" w:rsidRDefault="00BE02F6" w:rsidP="00BE02F6">
            <w:pPr>
              <w:pStyle w:val="NoSpacing"/>
              <w:rPr>
                <w:rFonts w:ascii="Times New Roman" w:eastAsia="Times New Roman" w:hAnsi="Times New Roman" w:cs="Times New Roman"/>
                <w:sz w:val="24"/>
                <w:szCs w:val="24"/>
              </w:rPr>
            </w:pPr>
            <w:r w:rsidRPr="00AD640D">
              <w:rPr>
                <w:rFonts w:ascii="Times New Roman" w:eastAsia="Times New Roman" w:hAnsi="Times New Roman" w:cs="Times New Roman"/>
                <w:sz w:val="24"/>
                <w:szCs w:val="24"/>
              </w:rPr>
              <w:t>treća skupina</w:t>
            </w:r>
          </w:p>
        </w:tc>
        <w:tc>
          <w:tcPr>
            <w:tcW w:w="1405" w:type="dxa"/>
            <w:shd w:val="clear" w:color="auto" w:fill="auto"/>
            <w:noWrap/>
            <w:hideMark/>
          </w:tcPr>
          <w:p w:rsidR="00BE02F6" w:rsidRPr="00AD640D" w:rsidRDefault="00BE02F6" w:rsidP="00BE02F6">
            <w:pPr>
              <w:pStyle w:val="NoSpacing"/>
              <w:jc w:val="center"/>
              <w:rPr>
                <w:rFonts w:ascii="Times New Roman" w:hAnsi="Times New Roman" w:cs="Times New Roman"/>
                <w:sz w:val="24"/>
                <w:szCs w:val="24"/>
              </w:rPr>
            </w:pPr>
            <w:r w:rsidRPr="00AD640D">
              <w:rPr>
                <w:rFonts w:ascii="Times New Roman" w:hAnsi="Times New Roman" w:cs="Times New Roman"/>
                <w:sz w:val="24"/>
                <w:szCs w:val="24"/>
              </w:rPr>
              <w:t>150.000,01</w:t>
            </w:r>
          </w:p>
        </w:tc>
        <w:tc>
          <w:tcPr>
            <w:tcW w:w="1405" w:type="dxa"/>
            <w:shd w:val="clear" w:color="auto" w:fill="auto"/>
            <w:noWrap/>
            <w:hideMark/>
          </w:tcPr>
          <w:p w:rsidR="00BE02F6" w:rsidRPr="00AD640D" w:rsidRDefault="00BE02F6" w:rsidP="00BE02F6">
            <w:pPr>
              <w:pStyle w:val="NoSpacing"/>
              <w:jc w:val="center"/>
              <w:rPr>
                <w:rFonts w:ascii="Times New Roman" w:hAnsi="Times New Roman" w:cs="Times New Roman"/>
                <w:sz w:val="24"/>
                <w:szCs w:val="24"/>
              </w:rPr>
            </w:pPr>
            <w:r w:rsidRPr="00AD640D">
              <w:rPr>
                <w:rFonts w:ascii="Times New Roman" w:hAnsi="Times New Roman" w:cs="Times New Roman"/>
                <w:sz w:val="24"/>
                <w:szCs w:val="24"/>
              </w:rPr>
              <w:t>200.000,00</w:t>
            </w:r>
          </w:p>
        </w:tc>
        <w:tc>
          <w:tcPr>
            <w:tcW w:w="1471" w:type="dxa"/>
            <w:shd w:val="clear" w:color="auto" w:fill="auto"/>
            <w:noWrap/>
          </w:tcPr>
          <w:p w:rsidR="00BE02F6" w:rsidRPr="00AD640D" w:rsidRDefault="00BE02F6" w:rsidP="00BE02F6">
            <w:pPr>
              <w:pStyle w:val="NoSpacing"/>
              <w:jc w:val="center"/>
              <w:rPr>
                <w:rFonts w:ascii="Times New Roman" w:hAnsi="Times New Roman" w:cs="Times New Roman"/>
                <w:sz w:val="24"/>
                <w:szCs w:val="24"/>
              </w:rPr>
            </w:pPr>
            <w:r w:rsidRPr="00AD640D">
              <w:rPr>
                <w:rFonts w:ascii="Times New Roman" w:hAnsi="Times New Roman" w:cs="Times New Roman"/>
                <w:sz w:val="24"/>
                <w:szCs w:val="24"/>
              </w:rPr>
              <w:t>2.000</w:t>
            </w:r>
          </w:p>
        </w:tc>
        <w:tc>
          <w:tcPr>
            <w:tcW w:w="838" w:type="dxa"/>
            <w:shd w:val="clear" w:color="auto" w:fill="auto"/>
          </w:tcPr>
          <w:p w:rsidR="00BE02F6" w:rsidRPr="00AD640D" w:rsidRDefault="00BE02F6" w:rsidP="00BE02F6">
            <w:pPr>
              <w:pStyle w:val="NoSpacing"/>
              <w:jc w:val="center"/>
              <w:rPr>
                <w:rFonts w:ascii="Times New Roman" w:hAnsi="Times New Roman" w:cs="Times New Roman"/>
                <w:sz w:val="24"/>
                <w:szCs w:val="24"/>
              </w:rPr>
            </w:pPr>
            <w:r w:rsidRPr="00AD640D">
              <w:rPr>
                <w:rFonts w:ascii="Times New Roman" w:hAnsi="Times New Roman" w:cs="Times New Roman"/>
                <w:sz w:val="24"/>
                <w:szCs w:val="24"/>
              </w:rPr>
              <w:t>3,00</w:t>
            </w:r>
          </w:p>
        </w:tc>
      </w:tr>
      <w:tr w:rsidR="00AD640D" w:rsidRPr="00AD640D" w:rsidTr="00BE02F6">
        <w:trPr>
          <w:trHeight w:val="315"/>
          <w:tblCellSpacing w:w="20" w:type="dxa"/>
        </w:trPr>
        <w:tc>
          <w:tcPr>
            <w:tcW w:w="2152" w:type="dxa"/>
            <w:shd w:val="clear" w:color="auto" w:fill="auto"/>
            <w:hideMark/>
          </w:tcPr>
          <w:p w:rsidR="00BE02F6" w:rsidRPr="00AD640D" w:rsidRDefault="00BE02F6" w:rsidP="00BE02F6">
            <w:pPr>
              <w:pStyle w:val="NoSpacing"/>
              <w:rPr>
                <w:rFonts w:ascii="Times New Roman" w:eastAsia="Times New Roman" w:hAnsi="Times New Roman" w:cs="Times New Roman"/>
                <w:sz w:val="24"/>
                <w:szCs w:val="24"/>
              </w:rPr>
            </w:pPr>
            <w:r w:rsidRPr="00AD640D">
              <w:rPr>
                <w:rFonts w:ascii="Times New Roman" w:eastAsia="Times New Roman" w:hAnsi="Times New Roman" w:cs="Times New Roman"/>
                <w:sz w:val="24"/>
                <w:szCs w:val="24"/>
              </w:rPr>
              <w:t>četvrta skupina</w:t>
            </w:r>
          </w:p>
        </w:tc>
        <w:tc>
          <w:tcPr>
            <w:tcW w:w="1405" w:type="dxa"/>
            <w:shd w:val="clear" w:color="auto" w:fill="auto"/>
            <w:noWrap/>
            <w:hideMark/>
          </w:tcPr>
          <w:p w:rsidR="00BE02F6" w:rsidRPr="00AD640D" w:rsidRDefault="00BE02F6" w:rsidP="00BE02F6">
            <w:pPr>
              <w:pStyle w:val="NoSpacing"/>
              <w:jc w:val="center"/>
              <w:rPr>
                <w:rFonts w:ascii="Times New Roman" w:hAnsi="Times New Roman" w:cs="Times New Roman"/>
                <w:sz w:val="24"/>
                <w:szCs w:val="24"/>
              </w:rPr>
            </w:pPr>
            <w:r w:rsidRPr="00AD640D">
              <w:rPr>
                <w:rFonts w:ascii="Times New Roman" w:hAnsi="Times New Roman" w:cs="Times New Roman"/>
                <w:sz w:val="24"/>
                <w:szCs w:val="24"/>
              </w:rPr>
              <w:t>200.000,01</w:t>
            </w:r>
          </w:p>
        </w:tc>
        <w:tc>
          <w:tcPr>
            <w:tcW w:w="1405" w:type="dxa"/>
            <w:shd w:val="clear" w:color="auto" w:fill="auto"/>
            <w:noWrap/>
            <w:hideMark/>
          </w:tcPr>
          <w:p w:rsidR="00BE02F6" w:rsidRPr="00AD640D" w:rsidRDefault="00BE02F6" w:rsidP="00BE02F6">
            <w:pPr>
              <w:pStyle w:val="NoSpacing"/>
              <w:jc w:val="center"/>
              <w:rPr>
                <w:rFonts w:ascii="Times New Roman" w:hAnsi="Times New Roman" w:cs="Times New Roman"/>
                <w:sz w:val="24"/>
                <w:szCs w:val="24"/>
              </w:rPr>
            </w:pPr>
            <w:r w:rsidRPr="00AD640D">
              <w:rPr>
                <w:rFonts w:ascii="Times New Roman" w:hAnsi="Times New Roman" w:cs="Times New Roman"/>
                <w:sz w:val="24"/>
                <w:szCs w:val="24"/>
              </w:rPr>
              <w:t>250.000,00</w:t>
            </w:r>
          </w:p>
        </w:tc>
        <w:tc>
          <w:tcPr>
            <w:tcW w:w="1471" w:type="dxa"/>
            <w:shd w:val="clear" w:color="auto" w:fill="auto"/>
            <w:noWrap/>
          </w:tcPr>
          <w:p w:rsidR="00BE02F6" w:rsidRPr="00AD640D" w:rsidRDefault="00BE02F6" w:rsidP="00BE02F6">
            <w:pPr>
              <w:pStyle w:val="NoSpacing"/>
              <w:jc w:val="center"/>
              <w:rPr>
                <w:rFonts w:ascii="Times New Roman" w:hAnsi="Times New Roman" w:cs="Times New Roman"/>
                <w:sz w:val="24"/>
                <w:szCs w:val="24"/>
              </w:rPr>
            </w:pPr>
            <w:r w:rsidRPr="00AD640D">
              <w:rPr>
                <w:rFonts w:ascii="Times New Roman" w:hAnsi="Times New Roman" w:cs="Times New Roman"/>
                <w:sz w:val="24"/>
                <w:szCs w:val="24"/>
              </w:rPr>
              <w:t>3.500</w:t>
            </w:r>
          </w:p>
        </w:tc>
        <w:tc>
          <w:tcPr>
            <w:tcW w:w="838" w:type="dxa"/>
            <w:shd w:val="clear" w:color="auto" w:fill="auto"/>
          </w:tcPr>
          <w:p w:rsidR="00BE02F6" w:rsidRPr="00AD640D" w:rsidRDefault="00BE02F6" w:rsidP="00BE02F6">
            <w:pPr>
              <w:pStyle w:val="NoSpacing"/>
              <w:jc w:val="center"/>
              <w:rPr>
                <w:rFonts w:ascii="Times New Roman" w:hAnsi="Times New Roman" w:cs="Times New Roman"/>
                <w:sz w:val="24"/>
                <w:szCs w:val="24"/>
              </w:rPr>
            </w:pPr>
            <w:r w:rsidRPr="00AD640D">
              <w:rPr>
                <w:rFonts w:ascii="Times New Roman" w:hAnsi="Times New Roman" w:cs="Times New Roman"/>
                <w:sz w:val="24"/>
                <w:szCs w:val="24"/>
              </w:rPr>
              <w:t>5,00</w:t>
            </w:r>
          </w:p>
        </w:tc>
      </w:tr>
      <w:tr w:rsidR="00AD640D" w:rsidRPr="00AD640D" w:rsidTr="00BE02F6">
        <w:trPr>
          <w:trHeight w:val="315"/>
          <w:tblCellSpacing w:w="20" w:type="dxa"/>
        </w:trPr>
        <w:tc>
          <w:tcPr>
            <w:tcW w:w="2152" w:type="dxa"/>
            <w:shd w:val="clear" w:color="auto" w:fill="auto"/>
          </w:tcPr>
          <w:p w:rsidR="00BE02F6" w:rsidRPr="00AD640D" w:rsidRDefault="00BE02F6" w:rsidP="00BE02F6">
            <w:pPr>
              <w:pStyle w:val="NoSpacing"/>
              <w:rPr>
                <w:rFonts w:ascii="Times New Roman" w:eastAsia="Times New Roman" w:hAnsi="Times New Roman" w:cs="Times New Roman"/>
                <w:sz w:val="24"/>
                <w:szCs w:val="24"/>
              </w:rPr>
            </w:pPr>
            <w:r w:rsidRPr="00AD640D">
              <w:rPr>
                <w:rFonts w:ascii="Times New Roman" w:eastAsia="Times New Roman" w:hAnsi="Times New Roman" w:cs="Times New Roman"/>
                <w:sz w:val="24"/>
                <w:szCs w:val="24"/>
              </w:rPr>
              <w:t>peta skupina</w:t>
            </w:r>
          </w:p>
        </w:tc>
        <w:tc>
          <w:tcPr>
            <w:tcW w:w="1405" w:type="dxa"/>
            <w:shd w:val="clear" w:color="auto" w:fill="auto"/>
            <w:noWrap/>
          </w:tcPr>
          <w:p w:rsidR="00BE02F6" w:rsidRPr="00AD640D" w:rsidRDefault="00BE02F6" w:rsidP="00BE02F6">
            <w:pPr>
              <w:pStyle w:val="NoSpacing"/>
              <w:jc w:val="center"/>
              <w:rPr>
                <w:rFonts w:ascii="Times New Roman" w:hAnsi="Times New Roman" w:cs="Times New Roman"/>
                <w:sz w:val="24"/>
                <w:szCs w:val="24"/>
              </w:rPr>
            </w:pPr>
            <w:r w:rsidRPr="00AD640D">
              <w:rPr>
                <w:rFonts w:ascii="Times New Roman" w:hAnsi="Times New Roman" w:cs="Times New Roman"/>
                <w:sz w:val="24"/>
                <w:szCs w:val="24"/>
              </w:rPr>
              <w:t>250.000,01</w:t>
            </w:r>
          </w:p>
        </w:tc>
        <w:tc>
          <w:tcPr>
            <w:tcW w:w="1405" w:type="dxa"/>
            <w:shd w:val="clear" w:color="auto" w:fill="auto"/>
            <w:noWrap/>
          </w:tcPr>
          <w:p w:rsidR="00BE02F6" w:rsidRPr="00AD640D" w:rsidRDefault="00BE02F6" w:rsidP="00BE02F6">
            <w:pPr>
              <w:pStyle w:val="NoSpacing"/>
              <w:jc w:val="center"/>
              <w:rPr>
                <w:rFonts w:ascii="Times New Roman" w:hAnsi="Times New Roman" w:cs="Times New Roman"/>
                <w:sz w:val="24"/>
                <w:szCs w:val="24"/>
              </w:rPr>
            </w:pPr>
            <w:r w:rsidRPr="00AD640D">
              <w:rPr>
                <w:rFonts w:ascii="Times New Roman" w:hAnsi="Times New Roman" w:cs="Times New Roman"/>
                <w:sz w:val="24"/>
                <w:szCs w:val="24"/>
              </w:rPr>
              <w:t>300.000,00</w:t>
            </w:r>
          </w:p>
        </w:tc>
        <w:tc>
          <w:tcPr>
            <w:tcW w:w="1471" w:type="dxa"/>
            <w:shd w:val="clear" w:color="auto" w:fill="auto"/>
            <w:noWrap/>
          </w:tcPr>
          <w:p w:rsidR="00BE02F6" w:rsidRPr="00AD640D" w:rsidRDefault="00BE02F6" w:rsidP="00BE02F6">
            <w:pPr>
              <w:pStyle w:val="NoSpacing"/>
              <w:jc w:val="center"/>
              <w:rPr>
                <w:rFonts w:ascii="Times New Roman" w:hAnsi="Times New Roman" w:cs="Times New Roman"/>
                <w:sz w:val="24"/>
                <w:szCs w:val="24"/>
              </w:rPr>
            </w:pPr>
            <w:r w:rsidRPr="00AD640D">
              <w:rPr>
                <w:rFonts w:ascii="Times New Roman" w:hAnsi="Times New Roman" w:cs="Times New Roman"/>
                <w:sz w:val="24"/>
                <w:szCs w:val="24"/>
              </w:rPr>
              <w:t>6.000</w:t>
            </w:r>
          </w:p>
        </w:tc>
        <w:tc>
          <w:tcPr>
            <w:tcW w:w="838" w:type="dxa"/>
            <w:shd w:val="clear" w:color="auto" w:fill="auto"/>
          </w:tcPr>
          <w:p w:rsidR="00BE02F6" w:rsidRPr="00AD640D" w:rsidRDefault="00BE02F6" w:rsidP="00BE02F6">
            <w:pPr>
              <w:pStyle w:val="NoSpacing"/>
              <w:jc w:val="center"/>
              <w:rPr>
                <w:rFonts w:ascii="Times New Roman" w:hAnsi="Times New Roman" w:cs="Times New Roman"/>
                <w:sz w:val="24"/>
                <w:szCs w:val="24"/>
              </w:rPr>
            </w:pPr>
            <w:r w:rsidRPr="00AD640D">
              <w:rPr>
                <w:rFonts w:ascii="Times New Roman" w:hAnsi="Times New Roman" w:cs="Times New Roman"/>
                <w:sz w:val="24"/>
                <w:szCs w:val="24"/>
              </w:rPr>
              <w:t>7,00</w:t>
            </w:r>
          </w:p>
        </w:tc>
      </w:tr>
      <w:tr w:rsidR="00AD640D" w:rsidRPr="00AD640D" w:rsidTr="00BE02F6">
        <w:trPr>
          <w:trHeight w:val="330"/>
          <w:tblCellSpacing w:w="20" w:type="dxa"/>
        </w:trPr>
        <w:tc>
          <w:tcPr>
            <w:tcW w:w="2152" w:type="dxa"/>
            <w:shd w:val="clear" w:color="auto" w:fill="auto"/>
            <w:hideMark/>
          </w:tcPr>
          <w:p w:rsidR="00BE02F6" w:rsidRPr="00AD640D" w:rsidRDefault="00BE02F6" w:rsidP="00BE02F6">
            <w:pPr>
              <w:pStyle w:val="NoSpacing"/>
              <w:rPr>
                <w:rFonts w:ascii="Times New Roman" w:eastAsia="Times New Roman" w:hAnsi="Times New Roman" w:cs="Times New Roman"/>
                <w:sz w:val="24"/>
                <w:szCs w:val="24"/>
              </w:rPr>
            </w:pPr>
            <w:r w:rsidRPr="00AD640D">
              <w:rPr>
                <w:rFonts w:ascii="Times New Roman" w:eastAsia="Times New Roman" w:hAnsi="Times New Roman" w:cs="Times New Roman"/>
                <w:sz w:val="24"/>
                <w:szCs w:val="24"/>
              </w:rPr>
              <w:t>šesta skupina</w:t>
            </w:r>
          </w:p>
        </w:tc>
        <w:tc>
          <w:tcPr>
            <w:tcW w:w="1405" w:type="dxa"/>
            <w:shd w:val="clear" w:color="auto" w:fill="auto"/>
            <w:noWrap/>
            <w:hideMark/>
          </w:tcPr>
          <w:p w:rsidR="00BE02F6" w:rsidRPr="00AD640D" w:rsidRDefault="00BE02F6" w:rsidP="00BE02F6">
            <w:pPr>
              <w:pStyle w:val="NoSpacing"/>
              <w:jc w:val="center"/>
              <w:rPr>
                <w:rFonts w:ascii="Times New Roman" w:hAnsi="Times New Roman" w:cs="Times New Roman"/>
                <w:sz w:val="24"/>
                <w:szCs w:val="24"/>
              </w:rPr>
            </w:pPr>
            <w:r w:rsidRPr="00AD640D">
              <w:rPr>
                <w:rFonts w:ascii="Times New Roman" w:hAnsi="Times New Roman" w:cs="Times New Roman"/>
                <w:sz w:val="24"/>
                <w:szCs w:val="24"/>
              </w:rPr>
              <w:t>300.000,01</w:t>
            </w:r>
          </w:p>
        </w:tc>
        <w:tc>
          <w:tcPr>
            <w:tcW w:w="1405" w:type="dxa"/>
            <w:shd w:val="clear" w:color="auto" w:fill="auto"/>
            <w:noWrap/>
            <w:hideMark/>
          </w:tcPr>
          <w:p w:rsidR="00BE02F6" w:rsidRPr="00AD640D" w:rsidRDefault="00BE02F6" w:rsidP="00BE02F6">
            <w:pPr>
              <w:pStyle w:val="NoSpacing"/>
              <w:jc w:val="center"/>
              <w:rPr>
                <w:rFonts w:ascii="Times New Roman" w:hAnsi="Times New Roman" w:cs="Times New Roman"/>
                <w:sz w:val="24"/>
                <w:szCs w:val="24"/>
              </w:rPr>
            </w:pPr>
            <w:r w:rsidRPr="00AD640D">
              <w:rPr>
                <w:rFonts w:ascii="Times New Roman" w:hAnsi="Times New Roman" w:cs="Times New Roman"/>
                <w:sz w:val="24"/>
                <w:szCs w:val="24"/>
              </w:rPr>
              <w:t>350.000,00</w:t>
            </w:r>
          </w:p>
        </w:tc>
        <w:tc>
          <w:tcPr>
            <w:tcW w:w="1471" w:type="dxa"/>
            <w:shd w:val="clear" w:color="auto" w:fill="auto"/>
            <w:noWrap/>
          </w:tcPr>
          <w:p w:rsidR="00BE02F6" w:rsidRPr="00AD640D" w:rsidRDefault="00BE02F6" w:rsidP="00BE02F6">
            <w:pPr>
              <w:pStyle w:val="NoSpacing"/>
              <w:jc w:val="center"/>
              <w:rPr>
                <w:rFonts w:ascii="Times New Roman" w:hAnsi="Times New Roman" w:cs="Times New Roman"/>
                <w:sz w:val="24"/>
                <w:szCs w:val="24"/>
              </w:rPr>
            </w:pPr>
            <w:r w:rsidRPr="00AD640D">
              <w:rPr>
                <w:rFonts w:ascii="Times New Roman" w:hAnsi="Times New Roman" w:cs="Times New Roman"/>
                <w:sz w:val="24"/>
                <w:szCs w:val="24"/>
              </w:rPr>
              <w:t>9.500</w:t>
            </w:r>
          </w:p>
        </w:tc>
        <w:tc>
          <w:tcPr>
            <w:tcW w:w="838" w:type="dxa"/>
            <w:shd w:val="clear" w:color="auto" w:fill="auto"/>
          </w:tcPr>
          <w:p w:rsidR="00BE02F6" w:rsidRPr="00AD640D" w:rsidRDefault="00BE02F6" w:rsidP="00BE02F6">
            <w:pPr>
              <w:pStyle w:val="NoSpacing"/>
              <w:jc w:val="center"/>
              <w:rPr>
                <w:rFonts w:ascii="Times New Roman" w:hAnsi="Times New Roman" w:cs="Times New Roman"/>
                <w:sz w:val="24"/>
                <w:szCs w:val="24"/>
              </w:rPr>
            </w:pPr>
            <w:r w:rsidRPr="00AD640D">
              <w:rPr>
                <w:rFonts w:ascii="Times New Roman" w:hAnsi="Times New Roman" w:cs="Times New Roman"/>
                <w:sz w:val="24"/>
                <w:szCs w:val="24"/>
              </w:rPr>
              <w:t>9,00</w:t>
            </w:r>
          </w:p>
        </w:tc>
      </w:tr>
      <w:tr w:rsidR="00AD640D" w:rsidRPr="00AD640D" w:rsidTr="00BE02F6">
        <w:trPr>
          <w:trHeight w:val="315"/>
          <w:tblCellSpacing w:w="20" w:type="dxa"/>
        </w:trPr>
        <w:tc>
          <w:tcPr>
            <w:tcW w:w="2152" w:type="dxa"/>
            <w:shd w:val="clear" w:color="auto" w:fill="auto"/>
            <w:hideMark/>
          </w:tcPr>
          <w:p w:rsidR="00BE02F6" w:rsidRPr="00AD640D" w:rsidRDefault="00BE02F6" w:rsidP="00BE02F6">
            <w:pPr>
              <w:pStyle w:val="NoSpacing"/>
              <w:rPr>
                <w:rFonts w:ascii="Times New Roman" w:eastAsia="Times New Roman" w:hAnsi="Times New Roman" w:cs="Times New Roman"/>
                <w:sz w:val="24"/>
                <w:szCs w:val="24"/>
              </w:rPr>
            </w:pPr>
            <w:r w:rsidRPr="00AD640D">
              <w:rPr>
                <w:rFonts w:ascii="Times New Roman" w:eastAsia="Times New Roman" w:hAnsi="Times New Roman" w:cs="Times New Roman"/>
                <w:sz w:val="24"/>
                <w:szCs w:val="24"/>
              </w:rPr>
              <w:t>sedma skupina</w:t>
            </w:r>
          </w:p>
        </w:tc>
        <w:tc>
          <w:tcPr>
            <w:tcW w:w="1405" w:type="dxa"/>
            <w:shd w:val="clear" w:color="auto" w:fill="auto"/>
            <w:noWrap/>
            <w:hideMark/>
          </w:tcPr>
          <w:p w:rsidR="00BE02F6" w:rsidRPr="00AD640D" w:rsidRDefault="00BE02F6" w:rsidP="00BE02F6">
            <w:pPr>
              <w:pStyle w:val="NoSpacing"/>
              <w:jc w:val="center"/>
              <w:rPr>
                <w:rFonts w:ascii="Times New Roman" w:hAnsi="Times New Roman" w:cs="Times New Roman"/>
                <w:sz w:val="24"/>
                <w:szCs w:val="24"/>
              </w:rPr>
            </w:pPr>
            <w:r w:rsidRPr="00AD640D">
              <w:rPr>
                <w:rFonts w:ascii="Times New Roman" w:hAnsi="Times New Roman" w:cs="Times New Roman"/>
                <w:sz w:val="24"/>
                <w:szCs w:val="24"/>
              </w:rPr>
              <w:t>350.000,01</w:t>
            </w:r>
          </w:p>
        </w:tc>
        <w:tc>
          <w:tcPr>
            <w:tcW w:w="1405" w:type="dxa"/>
            <w:shd w:val="clear" w:color="auto" w:fill="auto"/>
            <w:noWrap/>
            <w:hideMark/>
          </w:tcPr>
          <w:p w:rsidR="00BE02F6" w:rsidRPr="00AD640D" w:rsidRDefault="00BE02F6" w:rsidP="00BE02F6">
            <w:pPr>
              <w:pStyle w:val="NoSpacing"/>
              <w:jc w:val="center"/>
              <w:rPr>
                <w:rFonts w:ascii="Times New Roman" w:hAnsi="Times New Roman" w:cs="Times New Roman"/>
                <w:sz w:val="24"/>
                <w:szCs w:val="24"/>
              </w:rPr>
            </w:pPr>
            <w:r w:rsidRPr="00AD640D">
              <w:rPr>
                <w:rFonts w:ascii="Times New Roman" w:hAnsi="Times New Roman" w:cs="Times New Roman"/>
                <w:sz w:val="24"/>
                <w:szCs w:val="24"/>
              </w:rPr>
              <w:t>400.000,00</w:t>
            </w:r>
          </w:p>
        </w:tc>
        <w:tc>
          <w:tcPr>
            <w:tcW w:w="1471" w:type="dxa"/>
            <w:shd w:val="clear" w:color="auto" w:fill="auto"/>
            <w:noWrap/>
          </w:tcPr>
          <w:p w:rsidR="00BE02F6" w:rsidRPr="00AD640D" w:rsidRDefault="00BE02F6" w:rsidP="00BE02F6">
            <w:pPr>
              <w:pStyle w:val="NoSpacing"/>
              <w:jc w:val="center"/>
              <w:rPr>
                <w:rFonts w:ascii="Times New Roman" w:hAnsi="Times New Roman" w:cs="Times New Roman"/>
                <w:sz w:val="24"/>
                <w:szCs w:val="24"/>
              </w:rPr>
            </w:pPr>
            <w:r w:rsidRPr="00AD640D">
              <w:rPr>
                <w:rFonts w:ascii="Times New Roman" w:hAnsi="Times New Roman" w:cs="Times New Roman"/>
                <w:sz w:val="24"/>
                <w:szCs w:val="24"/>
              </w:rPr>
              <w:t>14.000</w:t>
            </w:r>
          </w:p>
        </w:tc>
        <w:tc>
          <w:tcPr>
            <w:tcW w:w="838" w:type="dxa"/>
            <w:shd w:val="clear" w:color="auto" w:fill="auto"/>
          </w:tcPr>
          <w:p w:rsidR="00BE02F6" w:rsidRPr="00AD640D" w:rsidRDefault="00BE02F6" w:rsidP="00BE02F6">
            <w:pPr>
              <w:pStyle w:val="NoSpacing"/>
              <w:jc w:val="center"/>
              <w:rPr>
                <w:rFonts w:ascii="Times New Roman" w:hAnsi="Times New Roman" w:cs="Times New Roman"/>
                <w:sz w:val="24"/>
                <w:szCs w:val="24"/>
              </w:rPr>
            </w:pPr>
            <w:r w:rsidRPr="00AD640D">
              <w:rPr>
                <w:rFonts w:ascii="Times New Roman" w:hAnsi="Times New Roman" w:cs="Times New Roman"/>
                <w:sz w:val="24"/>
                <w:szCs w:val="24"/>
              </w:rPr>
              <w:t>11,00</w:t>
            </w:r>
          </w:p>
        </w:tc>
      </w:tr>
      <w:tr w:rsidR="00AD640D" w:rsidRPr="00AD640D" w:rsidTr="00BE02F6">
        <w:trPr>
          <w:trHeight w:val="315"/>
          <w:tblCellSpacing w:w="20" w:type="dxa"/>
        </w:trPr>
        <w:tc>
          <w:tcPr>
            <w:tcW w:w="2152" w:type="dxa"/>
            <w:shd w:val="clear" w:color="auto" w:fill="auto"/>
            <w:hideMark/>
          </w:tcPr>
          <w:p w:rsidR="00BE02F6" w:rsidRPr="00AD640D" w:rsidRDefault="00BE02F6" w:rsidP="00BE02F6">
            <w:pPr>
              <w:pStyle w:val="NoSpacing"/>
              <w:rPr>
                <w:rFonts w:ascii="Times New Roman" w:eastAsia="Times New Roman" w:hAnsi="Times New Roman" w:cs="Times New Roman"/>
                <w:sz w:val="24"/>
                <w:szCs w:val="24"/>
              </w:rPr>
            </w:pPr>
            <w:r w:rsidRPr="00AD640D">
              <w:rPr>
                <w:rFonts w:ascii="Times New Roman" w:eastAsia="Times New Roman" w:hAnsi="Times New Roman" w:cs="Times New Roman"/>
                <w:sz w:val="24"/>
                <w:szCs w:val="24"/>
              </w:rPr>
              <w:t>osma skupina</w:t>
            </w:r>
          </w:p>
        </w:tc>
        <w:tc>
          <w:tcPr>
            <w:tcW w:w="1405" w:type="dxa"/>
            <w:shd w:val="clear" w:color="auto" w:fill="auto"/>
            <w:noWrap/>
            <w:hideMark/>
          </w:tcPr>
          <w:p w:rsidR="00BE02F6" w:rsidRPr="00AD640D" w:rsidRDefault="00BE02F6" w:rsidP="00BE02F6">
            <w:pPr>
              <w:pStyle w:val="NoSpacing"/>
              <w:jc w:val="center"/>
              <w:rPr>
                <w:rFonts w:ascii="Times New Roman" w:hAnsi="Times New Roman" w:cs="Times New Roman"/>
                <w:sz w:val="24"/>
                <w:szCs w:val="24"/>
              </w:rPr>
            </w:pPr>
            <w:r w:rsidRPr="00AD640D">
              <w:rPr>
                <w:rFonts w:ascii="Times New Roman" w:hAnsi="Times New Roman" w:cs="Times New Roman"/>
                <w:sz w:val="24"/>
                <w:szCs w:val="24"/>
              </w:rPr>
              <w:t>400.000,01</w:t>
            </w:r>
          </w:p>
        </w:tc>
        <w:tc>
          <w:tcPr>
            <w:tcW w:w="1405" w:type="dxa"/>
            <w:shd w:val="clear" w:color="auto" w:fill="auto"/>
            <w:noWrap/>
            <w:hideMark/>
          </w:tcPr>
          <w:p w:rsidR="00BE02F6" w:rsidRPr="00AD640D" w:rsidRDefault="00BE02F6" w:rsidP="00BE02F6">
            <w:pPr>
              <w:pStyle w:val="NoSpacing"/>
              <w:jc w:val="center"/>
              <w:rPr>
                <w:rFonts w:ascii="Times New Roman" w:hAnsi="Times New Roman" w:cs="Times New Roman"/>
                <w:sz w:val="24"/>
                <w:szCs w:val="24"/>
              </w:rPr>
            </w:pPr>
            <w:r w:rsidRPr="00AD640D">
              <w:rPr>
                <w:rFonts w:ascii="Times New Roman" w:hAnsi="Times New Roman" w:cs="Times New Roman"/>
                <w:sz w:val="24"/>
                <w:szCs w:val="24"/>
              </w:rPr>
              <w:t>450.000,00</w:t>
            </w:r>
          </w:p>
        </w:tc>
        <w:tc>
          <w:tcPr>
            <w:tcW w:w="1471" w:type="dxa"/>
            <w:shd w:val="clear" w:color="auto" w:fill="auto"/>
            <w:noWrap/>
          </w:tcPr>
          <w:p w:rsidR="00BE02F6" w:rsidRPr="00AD640D" w:rsidRDefault="00BE02F6" w:rsidP="00BE02F6">
            <w:pPr>
              <w:pStyle w:val="NoSpacing"/>
              <w:jc w:val="center"/>
              <w:rPr>
                <w:rFonts w:ascii="Times New Roman" w:hAnsi="Times New Roman" w:cs="Times New Roman"/>
                <w:sz w:val="24"/>
                <w:szCs w:val="24"/>
              </w:rPr>
            </w:pPr>
            <w:r w:rsidRPr="00AD640D">
              <w:rPr>
                <w:rFonts w:ascii="Times New Roman" w:hAnsi="Times New Roman" w:cs="Times New Roman"/>
                <w:sz w:val="24"/>
                <w:szCs w:val="24"/>
              </w:rPr>
              <w:t>19.500</w:t>
            </w:r>
          </w:p>
        </w:tc>
        <w:tc>
          <w:tcPr>
            <w:tcW w:w="838" w:type="dxa"/>
            <w:shd w:val="clear" w:color="auto" w:fill="auto"/>
          </w:tcPr>
          <w:p w:rsidR="00BE02F6" w:rsidRPr="00AD640D" w:rsidRDefault="00BE02F6" w:rsidP="00BE02F6">
            <w:pPr>
              <w:pStyle w:val="NoSpacing"/>
              <w:jc w:val="center"/>
              <w:rPr>
                <w:rFonts w:ascii="Times New Roman" w:hAnsi="Times New Roman" w:cs="Times New Roman"/>
                <w:sz w:val="24"/>
                <w:szCs w:val="24"/>
              </w:rPr>
            </w:pPr>
            <w:r w:rsidRPr="00AD640D">
              <w:rPr>
                <w:rFonts w:ascii="Times New Roman" w:hAnsi="Times New Roman" w:cs="Times New Roman"/>
                <w:sz w:val="24"/>
                <w:szCs w:val="24"/>
              </w:rPr>
              <w:t>13,00</w:t>
            </w:r>
          </w:p>
        </w:tc>
      </w:tr>
      <w:tr w:rsidR="00AD640D" w:rsidRPr="00AD640D" w:rsidTr="00BE02F6">
        <w:trPr>
          <w:trHeight w:val="315"/>
          <w:tblCellSpacing w:w="20" w:type="dxa"/>
        </w:trPr>
        <w:tc>
          <w:tcPr>
            <w:tcW w:w="2152" w:type="dxa"/>
            <w:shd w:val="clear" w:color="auto" w:fill="auto"/>
            <w:hideMark/>
          </w:tcPr>
          <w:p w:rsidR="00BE02F6" w:rsidRPr="00AD640D" w:rsidRDefault="00BE02F6" w:rsidP="00BE02F6">
            <w:pPr>
              <w:pStyle w:val="NoSpacing"/>
              <w:rPr>
                <w:rFonts w:ascii="Times New Roman" w:eastAsia="Times New Roman" w:hAnsi="Times New Roman" w:cs="Times New Roman"/>
                <w:sz w:val="24"/>
                <w:szCs w:val="24"/>
              </w:rPr>
            </w:pPr>
            <w:r w:rsidRPr="00AD640D">
              <w:rPr>
                <w:rFonts w:ascii="Times New Roman" w:eastAsia="Times New Roman" w:hAnsi="Times New Roman" w:cs="Times New Roman"/>
                <w:sz w:val="24"/>
                <w:szCs w:val="24"/>
              </w:rPr>
              <w:t>deveta skupina</w:t>
            </w:r>
          </w:p>
        </w:tc>
        <w:tc>
          <w:tcPr>
            <w:tcW w:w="1405" w:type="dxa"/>
            <w:shd w:val="clear" w:color="auto" w:fill="auto"/>
            <w:noWrap/>
            <w:hideMark/>
          </w:tcPr>
          <w:p w:rsidR="00BE02F6" w:rsidRPr="00AD640D" w:rsidRDefault="00BE02F6" w:rsidP="00BE02F6">
            <w:pPr>
              <w:pStyle w:val="NoSpacing"/>
              <w:jc w:val="center"/>
              <w:rPr>
                <w:rFonts w:ascii="Times New Roman" w:hAnsi="Times New Roman" w:cs="Times New Roman"/>
                <w:sz w:val="24"/>
                <w:szCs w:val="24"/>
              </w:rPr>
            </w:pPr>
            <w:r w:rsidRPr="00AD640D">
              <w:rPr>
                <w:rFonts w:ascii="Times New Roman" w:hAnsi="Times New Roman" w:cs="Times New Roman"/>
                <w:sz w:val="24"/>
                <w:szCs w:val="24"/>
              </w:rPr>
              <w:t>450.000,01</w:t>
            </w:r>
          </w:p>
        </w:tc>
        <w:tc>
          <w:tcPr>
            <w:tcW w:w="1405" w:type="dxa"/>
            <w:shd w:val="clear" w:color="auto" w:fill="auto"/>
            <w:noWrap/>
            <w:hideMark/>
          </w:tcPr>
          <w:p w:rsidR="00BE02F6" w:rsidRPr="00AD640D" w:rsidRDefault="00BE02F6" w:rsidP="00BE02F6">
            <w:pPr>
              <w:pStyle w:val="NoSpacing"/>
              <w:jc w:val="center"/>
              <w:rPr>
                <w:rFonts w:ascii="Times New Roman" w:hAnsi="Times New Roman" w:cs="Times New Roman"/>
                <w:sz w:val="24"/>
                <w:szCs w:val="24"/>
              </w:rPr>
            </w:pPr>
            <w:r w:rsidRPr="00AD640D">
              <w:rPr>
                <w:rFonts w:ascii="Times New Roman" w:hAnsi="Times New Roman" w:cs="Times New Roman"/>
                <w:sz w:val="24"/>
                <w:szCs w:val="24"/>
              </w:rPr>
              <w:t>500.000,00</w:t>
            </w:r>
          </w:p>
        </w:tc>
        <w:tc>
          <w:tcPr>
            <w:tcW w:w="1471" w:type="dxa"/>
            <w:shd w:val="clear" w:color="auto" w:fill="auto"/>
            <w:noWrap/>
          </w:tcPr>
          <w:p w:rsidR="00BE02F6" w:rsidRPr="00AD640D" w:rsidRDefault="00BE02F6" w:rsidP="00BE02F6">
            <w:pPr>
              <w:pStyle w:val="NoSpacing"/>
              <w:jc w:val="center"/>
              <w:rPr>
                <w:rFonts w:ascii="Times New Roman" w:hAnsi="Times New Roman" w:cs="Times New Roman"/>
                <w:sz w:val="24"/>
                <w:szCs w:val="24"/>
              </w:rPr>
            </w:pPr>
            <w:r w:rsidRPr="00AD640D">
              <w:rPr>
                <w:rFonts w:ascii="Times New Roman" w:hAnsi="Times New Roman" w:cs="Times New Roman"/>
                <w:sz w:val="24"/>
                <w:szCs w:val="24"/>
              </w:rPr>
              <w:t>26.000</w:t>
            </w:r>
          </w:p>
        </w:tc>
        <w:tc>
          <w:tcPr>
            <w:tcW w:w="838" w:type="dxa"/>
            <w:shd w:val="clear" w:color="auto" w:fill="auto"/>
          </w:tcPr>
          <w:p w:rsidR="00BE02F6" w:rsidRPr="00AD640D" w:rsidRDefault="00BE02F6" w:rsidP="00BE02F6">
            <w:pPr>
              <w:pStyle w:val="NoSpacing"/>
              <w:jc w:val="center"/>
              <w:rPr>
                <w:rFonts w:ascii="Times New Roman" w:hAnsi="Times New Roman" w:cs="Times New Roman"/>
                <w:sz w:val="24"/>
                <w:szCs w:val="24"/>
              </w:rPr>
            </w:pPr>
            <w:r w:rsidRPr="00AD640D">
              <w:rPr>
                <w:rFonts w:ascii="Times New Roman" w:hAnsi="Times New Roman" w:cs="Times New Roman"/>
                <w:sz w:val="24"/>
                <w:szCs w:val="24"/>
              </w:rPr>
              <w:t>14,00</w:t>
            </w:r>
          </w:p>
        </w:tc>
      </w:tr>
      <w:tr w:rsidR="00AD640D" w:rsidRPr="00AD640D" w:rsidTr="00BE02F6">
        <w:trPr>
          <w:trHeight w:val="315"/>
          <w:tblCellSpacing w:w="20" w:type="dxa"/>
        </w:trPr>
        <w:tc>
          <w:tcPr>
            <w:tcW w:w="2152" w:type="dxa"/>
            <w:shd w:val="clear" w:color="auto" w:fill="auto"/>
            <w:hideMark/>
          </w:tcPr>
          <w:p w:rsidR="00BE02F6" w:rsidRPr="00AD640D" w:rsidRDefault="00BE02F6" w:rsidP="00BE02F6">
            <w:pPr>
              <w:pStyle w:val="NoSpacing"/>
              <w:rPr>
                <w:rFonts w:ascii="Times New Roman" w:eastAsia="Times New Roman" w:hAnsi="Times New Roman" w:cs="Times New Roman"/>
                <w:sz w:val="24"/>
                <w:szCs w:val="24"/>
              </w:rPr>
            </w:pPr>
            <w:r w:rsidRPr="00AD640D">
              <w:rPr>
                <w:rFonts w:ascii="Times New Roman" w:eastAsia="Times New Roman" w:hAnsi="Times New Roman" w:cs="Times New Roman"/>
                <w:sz w:val="24"/>
                <w:szCs w:val="24"/>
              </w:rPr>
              <w:t>deseta skupina</w:t>
            </w:r>
          </w:p>
        </w:tc>
        <w:tc>
          <w:tcPr>
            <w:tcW w:w="1405" w:type="dxa"/>
            <w:shd w:val="clear" w:color="auto" w:fill="auto"/>
            <w:noWrap/>
            <w:hideMark/>
          </w:tcPr>
          <w:p w:rsidR="00BE02F6" w:rsidRPr="00AD640D" w:rsidRDefault="00BE02F6" w:rsidP="00BE02F6">
            <w:pPr>
              <w:pStyle w:val="NoSpacing"/>
              <w:jc w:val="center"/>
              <w:rPr>
                <w:rFonts w:ascii="Times New Roman" w:hAnsi="Times New Roman" w:cs="Times New Roman"/>
                <w:sz w:val="24"/>
                <w:szCs w:val="24"/>
              </w:rPr>
            </w:pPr>
            <w:r w:rsidRPr="00AD640D">
              <w:rPr>
                <w:rFonts w:ascii="Times New Roman" w:hAnsi="Times New Roman" w:cs="Times New Roman"/>
                <w:sz w:val="24"/>
                <w:szCs w:val="24"/>
              </w:rPr>
              <w:t>500.000,01</w:t>
            </w:r>
          </w:p>
        </w:tc>
        <w:tc>
          <w:tcPr>
            <w:tcW w:w="1405" w:type="dxa"/>
            <w:shd w:val="clear" w:color="auto" w:fill="auto"/>
            <w:noWrap/>
            <w:hideMark/>
          </w:tcPr>
          <w:p w:rsidR="00BE02F6" w:rsidRPr="00AD640D" w:rsidRDefault="00BE02F6" w:rsidP="00BE02F6">
            <w:pPr>
              <w:pStyle w:val="NoSpacing"/>
              <w:jc w:val="center"/>
              <w:rPr>
                <w:rFonts w:ascii="Times New Roman" w:hAnsi="Times New Roman" w:cs="Times New Roman"/>
                <w:sz w:val="24"/>
                <w:szCs w:val="24"/>
              </w:rPr>
            </w:pPr>
            <w:r w:rsidRPr="00AD640D">
              <w:rPr>
                <w:rFonts w:ascii="Times New Roman" w:hAnsi="Times New Roman" w:cs="Times New Roman"/>
                <w:sz w:val="24"/>
                <w:szCs w:val="24"/>
              </w:rPr>
              <w:t>550.000,00</w:t>
            </w:r>
          </w:p>
        </w:tc>
        <w:tc>
          <w:tcPr>
            <w:tcW w:w="1471" w:type="dxa"/>
            <w:shd w:val="clear" w:color="auto" w:fill="auto"/>
            <w:noWrap/>
          </w:tcPr>
          <w:p w:rsidR="00BE02F6" w:rsidRPr="00AD640D" w:rsidRDefault="00BE02F6" w:rsidP="00BE02F6">
            <w:pPr>
              <w:pStyle w:val="NoSpacing"/>
              <w:jc w:val="center"/>
              <w:rPr>
                <w:rFonts w:ascii="Times New Roman" w:hAnsi="Times New Roman" w:cs="Times New Roman"/>
                <w:sz w:val="24"/>
                <w:szCs w:val="24"/>
              </w:rPr>
            </w:pPr>
            <w:r w:rsidRPr="00AD640D">
              <w:rPr>
                <w:rFonts w:ascii="Times New Roman" w:hAnsi="Times New Roman" w:cs="Times New Roman"/>
                <w:sz w:val="24"/>
                <w:szCs w:val="24"/>
              </w:rPr>
              <w:t>33.000</w:t>
            </w:r>
          </w:p>
        </w:tc>
        <w:tc>
          <w:tcPr>
            <w:tcW w:w="838" w:type="dxa"/>
            <w:shd w:val="clear" w:color="auto" w:fill="auto"/>
          </w:tcPr>
          <w:p w:rsidR="00BE02F6" w:rsidRPr="00AD640D" w:rsidRDefault="00BE02F6" w:rsidP="00BE02F6">
            <w:pPr>
              <w:pStyle w:val="NoSpacing"/>
              <w:jc w:val="center"/>
              <w:rPr>
                <w:rFonts w:ascii="Times New Roman" w:hAnsi="Times New Roman" w:cs="Times New Roman"/>
                <w:sz w:val="24"/>
                <w:szCs w:val="24"/>
              </w:rPr>
            </w:pPr>
            <w:r w:rsidRPr="00AD640D">
              <w:rPr>
                <w:rFonts w:ascii="Times New Roman" w:hAnsi="Times New Roman" w:cs="Times New Roman"/>
                <w:sz w:val="24"/>
                <w:szCs w:val="24"/>
              </w:rPr>
              <w:t>15,00</w:t>
            </w:r>
          </w:p>
        </w:tc>
      </w:tr>
      <w:tr w:rsidR="00AD640D" w:rsidRPr="00AD640D" w:rsidTr="00BE02F6">
        <w:trPr>
          <w:trHeight w:val="315"/>
          <w:tblCellSpacing w:w="20" w:type="dxa"/>
        </w:trPr>
        <w:tc>
          <w:tcPr>
            <w:tcW w:w="2152" w:type="dxa"/>
            <w:shd w:val="clear" w:color="auto" w:fill="auto"/>
          </w:tcPr>
          <w:p w:rsidR="00BE02F6" w:rsidRPr="00AD640D" w:rsidRDefault="00BE02F6" w:rsidP="00BE02F6">
            <w:pPr>
              <w:pStyle w:val="NoSpacing"/>
              <w:rPr>
                <w:rFonts w:ascii="Times New Roman" w:eastAsia="Times New Roman" w:hAnsi="Times New Roman" w:cs="Times New Roman"/>
                <w:sz w:val="24"/>
                <w:szCs w:val="24"/>
              </w:rPr>
            </w:pPr>
            <w:r w:rsidRPr="00AD640D">
              <w:rPr>
                <w:rFonts w:ascii="Times New Roman" w:eastAsia="Times New Roman" w:hAnsi="Times New Roman" w:cs="Times New Roman"/>
                <w:sz w:val="24"/>
                <w:szCs w:val="24"/>
              </w:rPr>
              <w:t>jedanaesta skupina</w:t>
            </w:r>
          </w:p>
        </w:tc>
        <w:tc>
          <w:tcPr>
            <w:tcW w:w="1405" w:type="dxa"/>
            <w:shd w:val="clear" w:color="auto" w:fill="auto"/>
            <w:noWrap/>
          </w:tcPr>
          <w:p w:rsidR="00BE02F6" w:rsidRPr="00AD640D" w:rsidRDefault="00BE02F6" w:rsidP="00BE02F6">
            <w:pPr>
              <w:pStyle w:val="NoSpacing"/>
              <w:jc w:val="center"/>
              <w:rPr>
                <w:rFonts w:ascii="Times New Roman" w:hAnsi="Times New Roman" w:cs="Times New Roman"/>
                <w:sz w:val="24"/>
                <w:szCs w:val="24"/>
              </w:rPr>
            </w:pPr>
            <w:r w:rsidRPr="00AD640D">
              <w:rPr>
                <w:rFonts w:ascii="Times New Roman" w:hAnsi="Times New Roman" w:cs="Times New Roman"/>
                <w:sz w:val="24"/>
                <w:szCs w:val="24"/>
              </w:rPr>
              <w:t>550.000,01</w:t>
            </w:r>
          </w:p>
        </w:tc>
        <w:tc>
          <w:tcPr>
            <w:tcW w:w="1405" w:type="dxa"/>
            <w:shd w:val="clear" w:color="auto" w:fill="auto"/>
            <w:noWrap/>
          </w:tcPr>
          <w:p w:rsidR="00BE02F6" w:rsidRPr="00AD640D" w:rsidRDefault="00BE02F6" w:rsidP="00BE02F6">
            <w:pPr>
              <w:pStyle w:val="NoSpacing"/>
              <w:jc w:val="center"/>
              <w:rPr>
                <w:rFonts w:ascii="Times New Roman" w:hAnsi="Times New Roman" w:cs="Times New Roman"/>
                <w:sz w:val="24"/>
                <w:szCs w:val="24"/>
              </w:rPr>
            </w:pPr>
            <w:r w:rsidRPr="00AD640D">
              <w:rPr>
                <w:rFonts w:ascii="Times New Roman" w:hAnsi="Times New Roman" w:cs="Times New Roman"/>
                <w:sz w:val="24"/>
                <w:szCs w:val="24"/>
              </w:rPr>
              <w:t>600.000,00</w:t>
            </w:r>
          </w:p>
        </w:tc>
        <w:tc>
          <w:tcPr>
            <w:tcW w:w="1471" w:type="dxa"/>
            <w:shd w:val="clear" w:color="auto" w:fill="auto"/>
            <w:noWrap/>
          </w:tcPr>
          <w:p w:rsidR="00BE02F6" w:rsidRPr="00AD640D" w:rsidRDefault="00BE02F6" w:rsidP="00BE02F6">
            <w:pPr>
              <w:pStyle w:val="NoSpacing"/>
              <w:jc w:val="center"/>
              <w:rPr>
                <w:rFonts w:ascii="Times New Roman" w:hAnsi="Times New Roman" w:cs="Times New Roman"/>
                <w:sz w:val="24"/>
                <w:szCs w:val="24"/>
              </w:rPr>
            </w:pPr>
            <w:r w:rsidRPr="00AD640D">
              <w:rPr>
                <w:rFonts w:ascii="Times New Roman" w:hAnsi="Times New Roman" w:cs="Times New Roman"/>
                <w:sz w:val="24"/>
                <w:szCs w:val="24"/>
              </w:rPr>
              <w:t>40.500</w:t>
            </w:r>
          </w:p>
        </w:tc>
        <w:tc>
          <w:tcPr>
            <w:tcW w:w="838" w:type="dxa"/>
            <w:shd w:val="clear" w:color="auto" w:fill="auto"/>
          </w:tcPr>
          <w:p w:rsidR="00BE02F6" w:rsidRPr="00AD640D" w:rsidRDefault="00BE02F6" w:rsidP="00BE02F6">
            <w:pPr>
              <w:pStyle w:val="NoSpacing"/>
              <w:jc w:val="center"/>
              <w:rPr>
                <w:rFonts w:ascii="Times New Roman" w:hAnsi="Times New Roman" w:cs="Times New Roman"/>
                <w:sz w:val="24"/>
                <w:szCs w:val="24"/>
              </w:rPr>
            </w:pPr>
            <w:r w:rsidRPr="00AD640D">
              <w:rPr>
                <w:rFonts w:ascii="Times New Roman" w:hAnsi="Times New Roman" w:cs="Times New Roman"/>
                <w:sz w:val="24"/>
                <w:szCs w:val="24"/>
              </w:rPr>
              <w:t>16,00</w:t>
            </w:r>
          </w:p>
        </w:tc>
      </w:tr>
      <w:tr w:rsidR="00AD640D" w:rsidRPr="00AD640D" w:rsidTr="00AD640D">
        <w:trPr>
          <w:trHeight w:val="315"/>
          <w:tblCellSpacing w:w="20" w:type="dxa"/>
        </w:trPr>
        <w:tc>
          <w:tcPr>
            <w:tcW w:w="2152" w:type="dxa"/>
            <w:tcBorders>
              <w:top w:val="single" w:sz="4" w:space="0" w:color="auto"/>
              <w:bottom w:val="single" w:sz="4" w:space="0" w:color="auto"/>
            </w:tcBorders>
            <w:shd w:val="clear" w:color="auto" w:fill="auto"/>
          </w:tcPr>
          <w:p w:rsidR="00BE02F6" w:rsidRPr="00AD640D" w:rsidRDefault="00BE02F6" w:rsidP="00BE02F6">
            <w:pPr>
              <w:pStyle w:val="NoSpacing"/>
              <w:rPr>
                <w:rFonts w:ascii="Times New Roman" w:eastAsia="Times New Roman" w:hAnsi="Times New Roman" w:cs="Times New Roman"/>
                <w:sz w:val="24"/>
                <w:szCs w:val="24"/>
              </w:rPr>
            </w:pPr>
            <w:r w:rsidRPr="00AD640D">
              <w:rPr>
                <w:rFonts w:ascii="Times New Roman" w:eastAsia="Times New Roman" w:hAnsi="Times New Roman" w:cs="Times New Roman"/>
                <w:sz w:val="24"/>
                <w:szCs w:val="24"/>
              </w:rPr>
              <w:t>dvanaesta skupina</w:t>
            </w:r>
          </w:p>
        </w:tc>
        <w:tc>
          <w:tcPr>
            <w:tcW w:w="1405" w:type="dxa"/>
            <w:tcBorders>
              <w:top w:val="single" w:sz="4" w:space="0" w:color="auto"/>
              <w:bottom w:val="single" w:sz="4" w:space="0" w:color="auto"/>
            </w:tcBorders>
            <w:shd w:val="clear" w:color="auto" w:fill="auto"/>
            <w:noWrap/>
          </w:tcPr>
          <w:p w:rsidR="00BE02F6" w:rsidRPr="00AD640D" w:rsidRDefault="00BE02F6" w:rsidP="00BE02F6">
            <w:pPr>
              <w:pStyle w:val="NoSpacing"/>
              <w:jc w:val="center"/>
              <w:rPr>
                <w:rFonts w:ascii="Times New Roman" w:hAnsi="Times New Roman" w:cs="Times New Roman"/>
                <w:sz w:val="24"/>
                <w:szCs w:val="24"/>
              </w:rPr>
            </w:pPr>
            <w:r w:rsidRPr="00AD640D">
              <w:rPr>
                <w:rFonts w:ascii="Times New Roman" w:hAnsi="Times New Roman" w:cs="Times New Roman"/>
                <w:sz w:val="24"/>
                <w:szCs w:val="24"/>
              </w:rPr>
              <w:t>600.000,01</w:t>
            </w:r>
          </w:p>
        </w:tc>
        <w:tc>
          <w:tcPr>
            <w:tcW w:w="1405" w:type="dxa"/>
            <w:tcBorders>
              <w:top w:val="single" w:sz="4" w:space="0" w:color="auto"/>
              <w:bottom w:val="single" w:sz="4" w:space="0" w:color="auto"/>
            </w:tcBorders>
            <w:shd w:val="clear" w:color="auto" w:fill="auto"/>
            <w:noWrap/>
          </w:tcPr>
          <w:p w:rsidR="00BE02F6" w:rsidRPr="00AD640D" w:rsidRDefault="00BE02F6" w:rsidP="00BE02F6">
            <w:pPr>
              <w:pStyle w:val="NoSpacing"/>
              <w:jc w:val="center"/>
              <w:rPr>
                <w:rFonts w:ascii="Times New Roman" w:hAnsi="Times New Roman" w:cs="Times New Roman"/>
                <w:sz w:val="24"/>
                <w:szCs w:val="24"/>
              </w:rPr>
            </w:pPr>
          </w:p>
        </w:tc>
        <w:tc>
          <w:tcPr>
            <w:tcW w:w="1471" w:type="dxa"/>
            <w:tcBorders>
              <w:top w:val="single" w:sz="4" w:space="0" w:color="auto"/>
              <w:bottom w:val="single" w:sz="4" w:space="0" w:color="auto"/>
            </w:tcBorders>
            <w:shd w:val="clear" w:color="auto" w:fill="auto"/>
            <w:noWrap/>
          </w:tcPr>
          <w:p w:rsidR="00BE02F6" w:rsidRPr="00AD640D" w:rsidRDefault="00BE02F6" w:rsidP="00BE02F6">
            <w:pPr>
              <w:pStyle w:val="NoSpacing"/>
              <w:jc w:val="center"/>
              <w:rPr>
                <w:rFonts w:ascii="Times New Roman" w:hAnsi="Times New Roman" w:cs="Times New Roman"/>
                <w:sz w:val="24"/>
                <w:szCs w:val="24"/>
              </w:rPr>
            </w:pPr>
            <w:r w:rsidRPr="00AD640D">
              <w:rPr>
                <w:rFonts w:ascii="Times New Roman" w:hAnsi="Times New Roman" w:cs="Times New Roman"/>
                <w:sz w:val="24"/>
                <w:szCs w:val="24"/>
              </w:rPr>
              <w:t>48.500</w:t>
            </w:r>
          </w:p>
        </w:tc>
        <w:tc>
          <w:tcPr>
            <w:tcW w:w="838" w:type="dxa"/>
            <w:tcBorders>
              <w:top w:val="single" w:sz="4" w:space="0" w:color="auto"/>
              <w:bottom w:val="single" w:sz="4" w:space="0" w:color="auto"/>
            </w:tcBorders>
            <w:shd w:val="clear" w:color="auto" w:fill="auto"/>
          </w:tcPr>
          <w:p w:rsidR="00BE02F6" w:rsidRPr="00AD640D" w:rsidRDefault="00BE02F6" w:rsidP="00BE02F6">
            <w:pPr>
              <w:pStyle w:val="NoSpacing"/>
              <w:jc w:val="center"/>
              <w:rPr>
                <w:rFonts w:ascii="Times New Roman" w:hAnsi="Times New Roman" w:cs="Times New Roman"/>
                <w:sz w:val="24"/>
                <w:szCs w:val="24"/>
              </w:rPr>
            </w:pPr>
            <w:r w:rsidRPr="00AD640D">
              <w:rPr>
                <w:rFonts w:ascii="Times New Roman" w:hAnsi="Times New Roman" w:cs="Times New Roman"/>
                <w:sz w:val="24"/>
                <w:szCs w:val="24"/>
              </w:rPr>
              <w:t>17,00</w:t>
            </w:r>
          </w:p>
        </w:tc>
      </w:tr>
    </w:tbl>
    <w:p w:rsidR="00BE02F6" w:rsidRPr="00AD640D" w:rsidRDefault="00BE02F6" w:rsidP="00BE02F6">
      <w:pPr>
        <w:jc w:val="both"/>
      </w:pPr>
    </w:p>
    <w:p w:rsidR="00BE02F6" w:rsidRPr="00AD640D" w:rsidRDefault="00BE02F6" w:rsidP="00BE02F6">
      <w:pPr>
        <w:jc w:val="both"/>
      </w:pPr>
      <w:r w:rsidRPr="00AD640D">
        <w:t>Tablica 2 – dizelsko gorivo</w:t>
      </w:r>
    </w:p>
    <w:p w:rsidR="00BE02F6" w:rsidRPr="00AD640D" w:rsidRDefault="00BE02F6" w:rsidP="00BE02F6">
      <w:pPr>
        <w:jc w:val="both"/>
      </w:pPr>
    </w:p>
    <w:tbl>
      <w:tblPr>
        <w:tblW w:w="7519" w:type="dxa"/>
        <w:tblCellSpacing w:w="20" w:type="dxa"/>
        <w:tblBorders>
          <w:insideH w:val="single" w:sz="4" w:space="0" w:color="auto"/>
          <w:insideV w:val="single" w:sz="4" w:space="0" w:color="auto"/>
        </w:tblBorders>
        <w:tblLook w:val="04A0" w:firstRow="1" w:lastRow="0" w:firstColumn="1" w:lastColumn="0" w:noHBand="0" w:noVBand="1"/>
      </w:tblPr>
      <w:tblGrid>
        <w:gridCol w:w="1831"/>
        <w:gridCol w:w="933"/>
        <w:gridCol w:w="667"/>
        <w:gridCol w:w="1097"/>
        <w:gridCol w:w="1096"/>
        <w:gridCol w:w="1895"/>
      </w:tblGrid>
      <w:tr w:rsidR="00AD640D" w:rsidRPr="00AD640D" w:rsidTr="00BE02F6">
        <w:trPr>
          <w:trHeight w:val="605"/>
          <w:tblCellSpacing w:w="20" w:type="dxa"/>
        </w:trPr>
        <w:tc>
          <w:tcPr>
            <w:tcW w:w="1805" w:type="dxa"/>
            <w:shd w:val="clear" w:color="auto" w:fill="auto"/>
            <w:hideMark/>
          </w:tcPr>
          <w:p w:rsidR="00BE02F6" w:rsidRPr="00AD640D" w:rsidRDefault="00BE02F6" w:rsidP="00BE02F6">
            <w:pPr>
              <w:jc w:val="both"/>
            </w:pPr>
            <w:r w:rsidRPr="00AD640D">
              <w:t> </w:t>
            </w:r>
          </w:p>
        </w:tc>
        <w:tc>
          <w:tcPr>
            <w:tcW w:w="2597" w:type="dxa"/>
            <w:gridSpan w:val="3"/>
            <w:shd w:val="clear" w:color="auto" w:fill="auto"/>
            <w:noWrap/>
            <w:hideMark/>
          </w:tcPr>
          <w:p w:rsidR="00BE02F6" w:rsidRPr="00AD640D" w:rsidRDefault="00BE02F6" w:rsidP="00BE02F6">
            <w:pPr>
              <w:jc w:val="both"/>
            </w:pPr>
            <w:r w:rsidRPr="00AD640D">
              <w:t>Emisija CO</w:t>
            </w:r>
            <w:r w:rsidRPr="00AD640D">
              <w:rPr>
                <w:vertAlign w:val="subscript"/>
              </w:rPr>
              <w:t>2</w:t>
            </w:r>
            <w:r w:rsidRPr="00AD640D">
              <w:t xml:space="preserve"> (g/km)</w:t>
            </w:r>
          </w:p>
        </w:tc>
        <w:tc>
          <w:tcPr>
            <w:tcW w:w="1036" w:type="dxa"/>
            <w:shd w:val="clear" w:color="auto" w:fill="auto"/>
            <w:noWrap/>
            <w:hideMark/>
          </w:tcPr>
          <w:p w:rsidR="00BE02F6" w:rsidRPr="00AD640D" w:rsidRDefault="00BE02F6" w:rsidP="00BE02F6">
            <w:pPr>
              <w:jc w:val="center"/>
            </w:pPr>
            <w:r w:rsidRPr="00AD640D">
              <w:t>ON u kn</w:t>
            </w:r>
          </w:p>
        </w:tc>
        <w:tc>
          <w:tcPr>
            <w:tcW w:w="1881" w:type="dxa"/>
            <w:shd w:val="clear" w:color="auto" w:fill="auto"/>
            <w:hideMark/>
          </w:tcPr>
          <w:p w:rsidR="00BE02F6" w:rsidRPr="00AD640D" w:rsidRDefault="00BE02F6" w:rsidP="00BE02F6">
            <w:r w:rsidRPr="00AD640D">
              <w:t>Iznos u kn za 1</w:t>
            </w:r>
          </w:p>
          <w:p w:rsidR="00BE02F6" w:rsidRPr="00AD640D" w:rsidRDefault="00BE02F6" w:rsidP="00BE02F6">
            <w:r w:rsidRPr="00AD640D">
              <w:t>g /km CO</w:t>
            </w:r>
            <w:r w:rsidRPr="00AD640D">
              <w:rPr>
                <w:vertAlign w:val="subscript"/>
              </w:rPr>
              <w:t>2</w:t>
            </w:r>
            <w:r w:rsidRPr="00AD640D">
              <w:t xml:space="preserve"> </w:t>
            </w:r>
          </w:p>
        </w:tc>
      </w:tr>
      <w:tr w:rsidR="00AD640D" w:rsidRPr="00AD640D" w:rsidTr="00BE02F6">
        <w:trPr>
          <w:trHeight w:val="315"/>
          <w:tblCellSpacing w:w="20" w:type="dxa"/>
        </w:trPr>
        <w:tc>
          <w:tcPr>
            <w:tcW w:w="1805" w:type="dxa"/>
            <w:shd w:val="clear" w:color="auto" w:fill="auto"/>
            <w:hideMark/>
          </w:tcPr>
          <w:p w:rsidR="00BE02F6" w:rsidRPr="00AD640D" w:rsidRDefault="00BE02F6" w:rsidP="00BE02F6">
            <w:pPr>
              <w:jc w:val="both"/>
            </w:pPr>
            <w:r w:rsidRPr="00AD640D">
              <w:t>prva skupina</w:t>
            </w:r>
          </w:p>
        </w:tc>
        <w:tc>
          <w:tcPr>
            <w:tcW w:w="873" w:type="dxa"/>
            <w:shd w:val="clear" w:color="auto" w:fill="auto"/>
            <w:noWrap/>
            <w:hideMark/>
          </w:tcPr>
          <w:p w:rsidR="00BE02F6" w:rsidRPr="00AD640D" w:rsidRDefault="00BE02F6" w:rsidP="00BE02F6">
            <w:pPr>
              <w:jc w:val="center"/>
              <w:rPr>
                <w:lang w:val="en-GB"/>
              </w:rPr>
            </w:pPr>
            <w:r w:rsidRPr="00AD640D">
              <w:rPr>
                <w:lang w:val="en-GB"/>
              </w:rPr>
              <w:t>70</w:t>
            </w:r>
          </w:p>
        </w:tc>
        <w:tc>
          <w:tcPr>
            <w:tcW w:w="607" w:type="dxa"/>
            <w:shd w:val="clear" w:color="auto" w:fill="auto"/>
            <w:noWrap/>
            <w:hideMark/>
          </w:tcPr>
          <w:p w:rsidR="00BE02F6" w:rsidRPr="00AD640D" w:rsidRDefault="00BE02F6" w:rsidP="00BE02F6">
            <w:pPr>
              <w:jc w:val="center"/>
              <w:rPr>
                <w:lang w:val="en-GB"/>
              </w:rPr>
            </w:pPr>
            <w:r w:rsidRPr="00AD640D">
              <w:rPr>
                <w:lang w:val="en-GB"/>
              </w:rPr>
              <w:t>do</w:t>
            </w:r>
          </w:p>
        </w:tc>
        <w:tc>
          <w:tcPr>
            <w:tcW w:w="1037" w:type="dxa"/>
            <w:shd w:val="clear" w:color="auto" w:fill="auto"/>
            <w:noWrap/>
            <w:hideMark/>
          </w:tcPr>
          <w:p w:rsidR="00BE02F6" w:rsidRPr="00AD640D" w:rsidRDefault="00BE02F6" w:rsidP="00BE02F6">
            <w:pPr>
              <w:jc w:val="center"/>
              <w:rPr>
                <w:lang w:val="en-GB"/>
              </w:rPr>
            </w:pPr>
            <w:r w:rsidRPr="00AD640D">
              <w:rPr>
                <w:lang w:val="en-GB"/>
              </w:rPr>
              <w:t>85</w:t>
            </w:r>
          </w:p>
        </w:tc>
        <w:tc>
          <w:tcPr>
            <w:tcW w:w="1036" w:type="dxa"/>
            <w:shd w:val="clear" w:color="auto" w:fill="auto"/>
            <w:noWrap/>
            <w:hideMark/>
          </w:tcPr>
          <w:p w:rsidR="00BE02F6" w:rsidRPr="00AD640D" w:rsidRDefault="00BE02F6" w:rsidP="00BE02F6">
            <w:pPr>
              <w:jc w:val="center"/>
              <w:rPr>
                <w:lang w:val="en-GB"/>
              </w:rPr>
            </w:pPr>
            <w:r w:rsidRPr="00AD640D">
              <w:rPr>
                <w:lang w:val="en-GB"/>
              </w:rPr>
              <w:t>185</w:t>
            </w:r>
          </w:p>
        </w:tc>
        <w:tc>
          <w:tcPr>
            <w:tcW w:w="1881" w:type="dxa"/>
            <w:shd w:val="clear" w:color="auto" w:fill="auto"/>
            <w:hideMark/>
          </w:tcPr>
          <w:p w:rsidR="00BE02F6" w:rsidRPr="00AD640D" w:rsidRDefault="00BE02F6" w:rsidP="00BE02F6">
            <w:pPr>
              <w:jc w:val="center"/>
              <w:rPr>
                <w:lang w:val="en-GB"/>
              </w:rPr>
            </w:pPr>
            <w:r w:rsidRPr="00AD640D">
              <w:rPr>
                <w:lang w:val="en-GB"/>
              </w:rPr>
              <w:t>55</w:t>
            </w:r>
          </w:p>
        </w:tc>
      </w:tr>
      <w:tr w:rsidR="00AD640D" w:rsidRPr="00AD640D" w:rsidTr="00BE02F6">
        <w:trPr>
          <w:trHeight w:val="315"/>
          <w:tblCellSpacing w:w="20" w:type="dxa"/>
        </w:trPr>
        <w:tc>
          <w:tcPr>
            <w:tcW w:w="1805" w:type="dxa"/>
            <w:shd w:val="clear" w:color="auto" w:fill="auto"/>
            <w:hideMark/>
          </w:tcPr>
          <w:p w:rsidR="00BE02F6" w:rsidRPr="00AD640D" w:rsidRDefault="00BE02F6" w:rsidP="00BE02F6">
            <w:pPr>
              <w:jc w:val="both"/>
            </w:pPr>
            <w:r w:rsidRPr="00AD640D">
              <w:t>druga skupina</w:t>
            </w:r>
          </w:p>
        </w:tc>
        <w:tc>
          <w:tcPr>
            <w:tcW w:w="873" w:type="dxa"/>
            <w:shd w:val="clear" w:color="auto" w:fill="auto"/>
            <w:noWrap/>
            <w:hideMark/>
          </w:tcPr>
          <w:p w:rsidR="00BE02F6" w:rsidRPr="00AD640D" w:rsidRDefault="00BE02F6" w:rsidP="00BE02F6">
            <w:pPr>
              <w:jc w:val="center"/>
              <w:rPr>
                <w:lang w:val="en-GB"/>
              </w:rPr>
            </w:pPr>
            <w:r w:rsidRPr="00AD640D">
              <w:rPr>
                <w:lang w:val="en-GB"/>
              </w:rPr>
              <w:t>85</w:t>
            </w:r>
          </w:p>
        </w:tc>
        <w:tc>
          <w:tcPr>
            <w:tcW w:w="607" w:type="dxa"/>
            <w:shd w:val="clear" w:color="auto" w:fill="auto"/>
            <w:noWrap/>
            <w:hideMark/>
          </w:tcPr>
          <w:p w:rsidR="00BE02F6" w:rsidRPr="00AD640D" w:rsidRDefault="00BE02F6" w:rsidP="00BE02F6">
            <w:pPr>
              <w:jc w:val="center"/>
              <w:rPr>
                <w:lang w:val="en-GB"/>
              </w:rPr>
            </w:pPr>
            <w:r w:rsidRPr="00AD640D">
              <w:rPr>
                <w:lang w:val="en-GB"/>
              </w:rPr>
              <w:t>do</w:t>
            </w:r>
          </w:p>
        </w:tc>
        <w:tc>
          <w:tcPr>
            <w:tcW w:w="1037" w:type="dxa"/>
            <w:shd w:val="clear" w:color="auto" w:fill="auto"/>
            <w:noWrap/>
            <w:hideMark/>
          </w:tcPr>
          <w:p w:rsidR="00BE02F6" w:rsidRPr="00AD640D" w:rsidRDefault="00BE02F6" w:rsidP="00BE02F6">
            <w:pPr>
              <w:jc w:val="center"/>
              <w:rPr>
                <w:lang w:val="en-GB"/>
              </w:rPr>
            </w:pPr>
            <w:r w:rsidRPr="00AD640D">
              <w:rPr>
                <w:lang w:val="en-GB"/>
              </w:rPr>
              <w:t>120</w:t>
            </w:r>
          </w:p>
        </w:tc>
        <w:tc>
          <w:tcPr>
            <w:tcW w:w="1036" w:type="dxa"/>
            <w:shd w:val="clear" w:color="auto" w:fill="auto"/>
            <w:noWrap/>
            <w:hideMark/>
          </w:tcPr>
          <w:p w:rsidR="00BE02F6" w:rsidRPr="00AD640D" w:rsidRDefault="00BE02F6" w:rsidP="00BE02F6">
            <w:pPr>
              <w:jc w:val="center"/>
              <w:rPr>
                <w:lang w:val="en-GB"/>
              </w:rPr>
            </w:pPr>
            <w:r w:rsidRPr="00AD640D">
              <w:rPr>
                <w:lang w:val="en-GB"/>
              </w:rPr>
              <w:t>1.010</w:t>
            </w:r>
          </w:p>
        </w:tc>
        <w:tc>
          <w:tcPr>
            <w:tcW w:w="1881" w:type="dxa"/>
            <w:shd w:val="clear" w:color="auto" w:fill="auto"/>
            <w:hideMark/>
          </w:tcPr>
          <w:p w:rsidR="00BE02F6" w:rsidRPr="00AD640D" w:rsidRDefault="00BE02F6" w:rsidP="00BE02F6">
            <w:pPr>
              <w:jc w:val="center"/>
              <w:rPr>
                <w:lang w:val="en-GB"/>
              </w:rPr>
            </w:pPr>
            <w:r w:rsidRPr="00AD640D">
              <w:rPr>
                <w:lang w:val="en-GB"/>
              </w:rPr>
              <w:t>175</w:t>
            </w:r>
          </w:p>
        </w:tc>
      </w:tr>
      <w:tr w:rsidR="00AD640D" w:rsidRPr="00AD640D" w:rsidTr="00BE02F6">
        <w:trPr>
          <w:trHeight w:val="315"/>
          <w:tblCellSpacing w:w="20" w:type="dxa"/>
        </w:trPr>
        <w:tc>
          <w:tcPr>
            <w:tcW w:w="1805" w:type="dxa"/>
            <w:shd w:val="clear" w:color="auto" w:fill="auto"/>
            <w:hideMark/>
          </w:tcPr>
          <w:p w:rsidR="00BE02F6" w:rsidRPr="00AD640D" w:rsidRDefault="00BE02F6" w:rsidP="00BE02F6">
            <w:pPr>
              <w:jc w:val="both"/>
            </w:pPr>
            <w:r w:rsidRPr="00AD640D">
              <w:t>treća skupina</w:t>
            </w:r>
          </w:p>
        </w:tc>
        <w:tc>
          <w:tcPr>
            <w:tcW w:w="873" w:type="dxa"/>
            <w:shd w:val="clear" w:color="auto" w:fill="auto"/>
            <w:noWrap/>
            <w:hideMark/>
          </w:tcPr>
          <w:p w:rsidR="00BE02F6" w:rsidRPr="00AD640D" w:rsidRDefault="00BE02F6" w:rsidP="00BE02F6">
            <w:pPr>
              <w:jc w:val="center"/>
              <w:rPr>
                <w:lang w:val="en-GB"/>
              </w:rPr>
            </w:pPr>
            <w:r w:rsidRPr="00AD640D">
              <w:rPr>
                <w:lang w:val="en-GB"/>
              </w:rPr>
              <w:t>120</w:t>
            </w:r>
          </w:p>
        </w:tc>
        <w:tc>
          <w:tcPr>
            <w:tcW w:w="607" w:type="dxa"/>
            <w:shd w:val="clear" w:color="auto" w:fill="auto"/>
            <w:noWrap/>
            <w:hideMark/>
          </w:tcPr>
          <w:p w:rsidR="00BE02F6" w:rsidRPr="00AD640D" w:rsidRDefault="00BE02F6" w:rsidP="00BE02F6">
            <w:pPr>
              <w:jc w:val="center"/>
              <w:rPr>
                <w:lang w:val="en-GB"/>
              </w:rPr>
            </w:pPr>
            <w:r w:rsidRPr="00AD640D">
              <w:rPr>
                <w:lang w:val="en-GB"/>
              </w:rPr>
              <w:t>do</w:t>
            </w:r>
          </w:p>
        </w:tc>
        <w:tc>
          <w:tcPr>
            <w:tcW w:w="1037" w:type="dxa"/>
            <w:shd w:val="clear" w:color="auto" w:fill="auto"/>
            <w:noWrap/>
            <w:hideMark/>
          </w:tcPr>
          <w:p w:rsidR="00BE02F6" w:rsidRPr="00AD640D" w:rsidRDefault="00BE02F6" w:rsidP="00BE02F6">
            <w:pPr>
              <w:jc w:val="center"/>
              <w:rPr>
                <w:lang w:val="en-GB"/>
              </w:rPr>
            </w:pPr>
            <w:r w:rsidRPr="00AD640D">
              <w:rPr>
                <w:lang w:val="en-GB"/>
              </w:rPr>
              <w:t>140</w:t>
            </w:r>
          </w:p>
        </w:tc>
        <w:tc>
          <w:tcPr>
            <w:tcW w:w="1036" w:type="dxa"/>
            <w:shd w:val="clear" w:color="auto" w:fill="auto"/>
            <w:noWrap/>
            <w:hideMark/>
          </w:tcPr>
          <w:p w:rsidR="00BE02F6" w:rsidRPr="00AD640D" w:rsidRDefault="00BE02F6" w:rsidP="00BE02F6">
            <w:pPr>
              <w:jc w:val="center"/>
              <w:rPr>
                <w:lang w:val="en-GB"/>
              </w:rPr>
            </w:pPr>
            <w:r w:rsidRPr="00AD640D">
              <w:rPr>
                <w:lang w:val="en-GB"/>
              </w:rPr>
              <w:t>7.135</w:t>
            </w:r>
          </w:p>
        </w:tc>
        <w:tc>
          <w:tcPr>
            <w:tcW w:w="1881" w:type="dxa"/>
            <w:shd w:val="clear" w:color="auto" w:fill="auto"/>
            <w:hideMark/>
          </w:tcPr>
          <w:p w:rsidR="00BE02F6" w:rsidRPr="00AD640D" w:rsidRDefault="00BE02F6" w:rsidP="00BE02F6">
            <w:pPr>
              <w:jc w:val="center"/>
              <w:rPr>
                <w:lang w:val="en-GB"/>
              </w:rPr>
            </w:pPr>
            <w:r w:rsidRPr="00AD640D">
              <w:rPr>
                <w:lang w:val="en-GB"/>
              </w:rPr>
              <w:t>1.150</w:t>
            </w:r>
          </w:p>
        </w:tc>
      </w:tr>
      <w:tr w:rsidR="00AD640D" w:rsidRPr="00AD640D" w:rsidTr="00BE02F6">
        <w:trPr>
          <w:trHeight w:val="315"/>
          <w:tblCellSpacing w:w="20" w:type="dxa"/>
        </w:trPr>
        <w:tc>
          <w:tcPr>
            <w:tcW w:w="1805" w:type="dxa"/>
            <w:shd w:val="clear" w:color="auto" w:fill="auto"/>
            <w:hideMark/>
          </w:tcPr>
          <w:p w:rsidR="00BE02F6" w:rsidRPr="00AD640D" w:rsidRDefault="00BE02F6" w:rsidP="00BE02F6">
            <w:pPr>
              <w:jc w:val="both"/>
            </w:pPr>
            <w:r w:rsidRPr="00AD640D">
              <w:t>četvrta skupina</w:t>
            </w:r>
          </w:p>
        </w:tc>
        <w:tc>
          <w:tcPr>
            <w:tcW w:w="873" w:type="dxa"/>
            <w:shd w:val="clear" w:color="auto" w:fill="auto"/>
            <w:noWrap/>
            <w:hideMark/>
          </w:tcPr>
          <w:p w:rsidR="00BE02F6" w:rsidRPr="00AD640D" w:rsidRDefault="00BE02F6" w:rsidP="00BE02F6">
            <w:pPr>
              <w:jc w:val="center"/>
              <w:rPr>
                <w:lang w:val="en-GB"/>
              </w:rPr>
            </w:pPr>
            <w:r w:rsidRPr="00AD640D">
              <w:rPr>
                <w:lang w:val="en-GB"/>
              </w:rPr>
              <w:t>140</w:t>
            </w:r>
          </w:p>
        </w:tc>
        <w:tc>
          <w:tcPr>
            <w:tcW w:w="607" w:type="dxa"/>
            <w:shd w:val="clear" w:color="auto" w:fill="auto"/>
            <w:noWrap/>
            <w:hideMark/>
          </w:tcPr>
          <w:p w:rsidR="00BE02F6" w:rsidRPr="00AD640D" w:rsidRDefault="00BE02F6" w:rsidP="00BE02F6">
            <w:pPr>
              <w:jc w:val="center"/>
              <w:rPr>
                <w:lang w:val="en-GB"/>
              </w:rPr>
            </w:pPr>
            <w:r w:rsidRPr="00AD640D">
              <w:rPr>
                <w:lang w:val="en-GB"/>
              </w:rPr>
              <w:t>do</w:t>
            </w:r>
          </w:p>
        </w:tc>
        <w:tc>
          <w:tcPr>
            <w:tcW w:w="1037" w:type="dxa"/>
            <w:shd w:val="clear" w:color="auto" w:fill="auto"/>
            <w:noWrap/>
            <w:hideMark/>
          </w:tcPr>
          <w:p w:rsidR="00BE02F6" w:rsidRPr="00AD640D" w:rsidRDefault="00BE02F6" w:rsidP="00BE02F6">
            <w:pPr>
              <w:jc w:val="center"/>
              <w:rPr>
                <w:lang w:val="en-GB"/>
              </w:rPr>
            </w:pPr>
            <w:r w:rsidRPr="00AD640D">
              <w:rPr>
                <w:lang w:val="en-GB"/>
              </w:rPr>
              <w:t>170</w:t>
            </w:r>
          </w:p>
        </w:tc>
        <w:tc>
          <w:tcPr>
            <w:tcW w:w="1036" w:type="dxa"/>
            <w:shd w:val="clear" w:color="auto" w:fill="auto"/>
            <w:noWrap/>
            <w:hideMark/>
          </w:tcPr>
          <w:p w:rsidR="00BE02F6" w:rsidRPr="00AD640D" w:rsidRDefault="00BE02F6" w:rsidP="00BE02F6">
            <w:pPr>
              <w:jc w:val="center"/>
              <w:rPr>
                <w:lang w:val="en-GB"/>
              </w:rPr>
            </w:pPr>
            <w:r w:rsidRPr="00AD640D">
              <w:rPr>
                <w:lang w:val="en-GB"/>
              </w:rPr>
              <w:t>30.135</w:t>
            </w:r>
          </w:p>
        </w:tc>
        <w:tc>
          <w:tcPr>
            <w:tcW w:w="1881" w:type="dxa"/>
            <w:shd w:val="clear" w:color="auto" w:fill="auto"/>
            <w:hideMark/>
          </w:tcPr>
          <w:p w:rsidR="00BE02F6" w:rsidRPr="00AD640D" w:rsidRDefault="00BE02F6" w:rsidP="00BE02F6">
            <w:pPr>
              <w:jc w:val="center"/>
              <w:rPr>
                <w:lang w:val="en-GB"/>
              </w:rPr>
            </w:pPr>
            <w:r w:rsidRPr="00AD640D">
              <w:rPr>
                <w:lang w:val="en-GB"/>
              </w:rPr>
              <w:t>1.250</w:t>
            </w:r>
          </w:p>
        </w:tc>
      </w:tr>
      <w:tr w:rsidR="00AD640D" w:rsidRPr="00AD640D" w:rsidTr="00BE02F6">
        <w:trPr>
          <w:trHeight w:val="315"/>
          <w:tblCellSpacing w:w="20" w:type="dxa"/>
        </w:trPr>
        <w:tc>
          <w:tcPr>
            <w:tcW w:w="1805" w:type="dxa"/>
            <w:shd w:val="clear" w:color="auto" w:fill="auto"/>
          </w:tcPr>
          <w:p w:rsidR="00BE02F6" w:rsidRPr="00AD640D" w:rsidRDefault="00BE02F6" w:rsidP="00BE02F6">
            <w:pPr>
              <w:jc w:val="both"/>
            </w:pPr>
            <w:r w:rsidRPr="00AD640D">
              <w:t>peta skupina</w:t>
            </w:r>
          </w:p>
        </w:tc>
        <w:tc>
          <w:tcPr>
            <w:tcW w:w="873" w:type="dxa"/>
            <w:shd w:val="clear" w:color="auto" w:fill="auto"/>
            <w:noWrap/>
          </w:tcPr>
          <w:p w:rsidR="00BE02F6" w:rsidRPr="00AD640D" w:rsidRDefault="00BE02F6" w:rsidP="00BE02F6">
            <w:pPr>
              <w:jc w:val="center"/>
              <w:rPr>
                <w:lang w:val="en-GB"/>
              </w:rPr>
            </w:pPr>
            <w:r w:rsidRPr="00AD640D">
              <w:rPr>
                <w:lang w:val="en-GB"/>
              </w:rPr>
              <w:t>170</w:t>
            </w:r>
          </w:p>
        </w:tc>
        <w:tc>
          <w:tcPr>
            <w:tcW w:w="607" w:type="dxa"/>
            <w:shd w:val="clear" w:color="auto" w:fill="auto"/>
            <w:noWrap/>
          </w:tcPr>
          <w:p w:rsidR="00BE02F6" w:rsidRPr="00AD640D" w:rsidRDefault="00BE02F6" w:rsidP="00BE02F6">
            <w:pPr>
              <w:jc w:val="center"/>
              <w:rPr>
                <w:lang w:val="en-GB"/>
              </w:rPr>
            </w:pPr>
            <w:r w:rsidRPr="00AD640D">
              <w:rPr>
                <w:lang w:val="en-GB"/>
              </w:rPr>
              <w:t>do</w:t>
            </w:r>
          </w:p>
        </w:tc>
        <w:tc>
          <w:tcPr>
            <w:tcW w:w="1037" w:type="dxa"/>
            <w:shd w:val="clear" w:color="auto" w:fill="auto"/>
            <w:noWrap/>
          </w:tcPr>
          <w:p w:rsidR="00BE02F6" w:rsidRPr="00AD640D" w:rsidRDefault="00BE02F6" w:rsidP="00BE02F6">
            <w:pPr>
              <w:jc w:val="center"/>
              <w:rPr>
                <w:lang w:val="en-GB"/>
              </w:rPr>
            </w:pPr>
            <w:r w:rsidRPr="00AD640D">
              <w:rPr>
                <w:lang w:val="en-GB"/>
              </w:rPr>
              <w:t>200</w:t>
            </w:r>
          </w:p>
        </w:tc>
        <w:tc>
          <w:tcPr>
            <w:tcW w:w="1036" w:type="dxa"/>
            <w:shd w:val="clear" w:color="auto" w:fill="auto"/>
            <w:noWrap/>
          </w:tcPr>
          <w:p w:rsidR="00BE02F6" w:rsidRPr="00AD640D" w:rsidRDefault="00BE02F6" w:rsidP="00BE02F6">
            <w:pPr>
              <w:jc w:val="center"/>
              <w:rPr>
                <w:lang w:val="en-GB"/>
              </w:rPr>
            </w:pPr>
            <w:r w:rsidRPr="00AD640D">
              <w:rPr>
                <w:lang w:val="en-GB"/>
              </w:rPr>
              <w:t>67.635</w:t>
            </w:r>
          </w:p>
        </w:tc>
        <w:tc>
          <w:tcPr>
            <w:tcW w:w="1881" w:type="dxa"/>
            <w:shd w:val="clear" w:color="auto" w:fill="auto"/>
          </w:tcPr>
          <w:p w:rsidR="00BE02F6" w:rsidRPr="00AD640D" w:rsidRDefault="00BE02F6" w:rsidP="00BE02F6">
            <w:pPr>
              <w:jc w:val="center"/>
              <w:rPr>
                <w:lang w:val="en-GB"/>
              </w:rPr>
            </w:pPr>
            <w:r w:rsidRPr="00AD640D">
              <w:rPr>
                <w:lang w:val="en-GB"/>
              </w:rPr>
              <w:t>1.350</w:t>
            </w:r>
          </w:p>
        </w:tc>
      </w:tr>
      <w:tr w:rsidR="00BE02F6" w:rsidRPr="00AD640D" w:rsidTr="00BE02F6">
        <w:trPr>
          <w:trHeight w:val="330"/>
          <w:tblCellSpacing w:w="20" w:type="dxa"/>
        </w:trPr>
        <w:tc>
          <w:tcPr>
            <w:tcW w:w="1805" w:type="dxa"/>
            <w:tcBorders>
              <w:top w:val="single" w:sz="4" w:space="0" w:color="auto"/>
              <w:bottom w:val="single" w:sz="4" w:space="0" w:color="auto"/>
            </w:tcBorders>
            <w:shd w:val="clear" w:color="auto" w:fill="auto"/>
            <w:hideMark/>
          </w:tcPr>
          <w:p w:rsidR="00BE02F6" w:rsidRPr="00AD640D" w:rsidRDefault="00BE02F6" w:rsidP="00BE02F6">
            <w:pPr>
              <w:jc w:val="both"/>
            </w:pPr>
            <w:r w:rsidRPr="00AD640D">
              <w:t>šesta skupina</w:t>
            </w:r>
          </w:p>
        </w:tc>
        <w:tc>
          <w:tcPr>
            <w:tcW w:w="873" w:type="dxa"/>
            <w:tcBorders>
              <w:top w:val="single" w:sz="4" w:space="0" w:color="auto"/>
              <w:bottom w:val="single" w:sz="4" w:space="0" w:color="auto"/>
            </w:tcBorders>
            <w:shd w:val="clear" w:color="auto" w:fill="auto"/>
            <w:noWrap/>
            <w:hideMark/>
          </w:tcPr>
          <w:p w:rsidR="00BE02F6" w:rsidRPr="00AD640D" w:rsidRDefault="00BE02F6" w:rsidP="00BE02F6">
            <w:pPr>
              <w:jc w:val="center"/>
              <w:rPr>
                <w:lang w:val="en-GB"/>
              </w:rPr>
            </w:pPr>
            <w:r w:rsidRPr="00AD640D">
              <w:rPr>
                <w:lang w:val="en-GB"/>
              </w:rPr>
              <w:t>200</w:t>
            </w:r>
          </w:p>
        </w:tc>
        <w:tc>
          <w:tcPr>
            <w:tcW w:w="607" w:type="dxa"/>
            <w:tcBorders>
              <w:top w:val="single" w:sz="4" w:space="0" w:color="auto"/>
              <w:bottom w:val="single" w:sz="4" w:space="0" w:color="auto"/>
            </w:tcBorders>
            <w:shd w:val="clear" w:color="auto" w:fill="auto"/>
            <w:noWrap/>
            <w:hideMark/>
          </w:tcPr>
          <w:p w:rsidR="00BE02F6" w:rsidRPr="00AD640D" w:rsidRDefault="00BE02F6" w:rsidP="00BE02F6">
            <w:pPr>
              <w:jc w:val="center"/>
              <w:rPr>
                <w:lang w:val="en-GB"/>
              </w:rPr>
            </w:pPr>
            <w:r w:rsidRPr="00AD640D">
              <w:rPr>
                <w:lang w:val="en-GB"/>
              </w:rPr>
              <w:t>do</w:t>
            </w:r>
          </w:p>
        </w:tc>
        <w:tc>
          <w:tcPr>
            <w:tcW w:w="1037" w:type="dxa"/>
            <w:tcBorders>
              <w:top w:val="single" w:sz="4" w:space="0" w:color="auto"/>
              <w:bottom w:val="single" w:sz="4" w:space="0" w:color="auto"/>
            </w:tcBorders>
            <w:shd w:val="clear" w:color="auto" w:fill="auto"/>
            <w:noWrap/>
            <w:hideMark/>
          </w:tcPr>
          <w:p w:rsidR="00BE02F6" w:rsidRPr="00AD640D" w:rsidRDefault="00BE02F6" w:rsidP="00BE02F6">
            <w:pPr>
              <w:jc w:val="both"/>
              <w:rPr>
                <w:lang w:val="en-GB"/>
              </w:rPr>
            </w:pPr>
          </w:p>
        </w:tc>
        <w:tc>
          <w:tcPr>
            <w:tcW w:w="1036" w:type="dxa"/>
            <w:tcBorders>
              <w:top w:val="single" w:sz="4" w:space="0" w:color="auto"/>
              <w:bottom w:val="single" w:sz="4" w:space="0" w:color="auto"/>
            </w:tcBorders>
            <w:shd w:val="clear" w:color="auto" w:fill="auto"/>
            <w:noWrap/>
            <w:hideMark/>
          </w:tcPr>
          <w:p w:rsidR="00BE02F6" w:rsidRPr="00AD640D" w:rsidRDefault="00BE02F6" w:rsidP="00BE02F6">
            <w:pPr>
              <w:jc w:val="center"/>
              <w:rPr>
                <w:lang w:val="en-GB"/>
              </w:rPr>
            </w:pPr>
            <w:r w:rsidRPr="00AD640D">
              <w:rPr>
                <w:lang w:val="en-GB"/>
              </w:rPr>
              <w:t>108.135</w:t>
            </w:r>
          </w:p>
        </w:tc>
        <w:tc>
          <w:tcPr>
            <w:tcW w:w="1881" w:type="dxa"/>
            <w:tcBorders>
              <w:top w:val="single" w:sz="4" w:space="0" w:color="auto"/>
              <w:bottom w:val="single" w:sz="4" w:space="0" w:color="auto"/>
            </w:tcBorders>
            <w:shd w:val="clear" w:color="auto" w:fill="auto"/>
            <w:hideMark/>
          </w:tcPr>
          <w:p w:rsidR="00BE02F6" w:rsidRPr="00AD640D" w:rsidRDefault="00BE02F6" w:rsidP="00BE02F6">
            <w:pPr>
              <w:jc w:val="center"/>
              <w:rPr>
                <w:lang w:val="en-GB"/>
              </w:rPr>
            </w:pPr>
            <w:r w:rsidRPr="00AD640D">
              <w:rPr>
                <w:lang w:val="en-GB"/>
              </w:rPr>
              <w:t>1.450</w:t>
            </w:r>
          </w:p>
        </w:tc>
      </w:tr>
    </w:tbl>
    <w:p w:rsidR="00BE02F6" w:rsidRPr="00AD640D" w:rsidRDefault="00BE02F6" w:rsidP="00BE02F6">
      <w:pPr>
        <w:jc w:val="both"/>
        <w:rPr>
          <w:b/>
        </w:rPr>
      </w:pPr>
    </w:p>
    <w:p w:rsidR="00BE02F6" w:rsidRPr="00AD640D" w:rsidRDefault="00BE02F6" w:rsidP="00BE02F6">
      <w:pPr>
        <w:jc w:val="both"/>
      </w:pPr>
      <w:r w:rsidRPr="00AD640D">
        <w:t>Tablica 3 – benzin, ukapljeni naftni plin, prirodni plin i druga goriva osim dizelskog</w:t>
      </w:r>
    </w:p>
    <w:p w:rsidR="00BE02F6" w:rsidRPr="00AD640D" w:rsidRDefault="00BE02F6" w:rsidP="00BE02F6">
      <w:pPr>
        <w:jc w:val="both"/>
      </w:pPr>
    </w:p>
    <w:tbl>
      <w:tblPr>
        <w:tblW w:w="0" w:type="auto"/>
        <w:tblCellSpacing w:w="20" w:type="dxa"/>
        <w:tblBorders>
          <w:insideH w:val="single" w:sz="4" w:space="0" w:color="auto"/>
          <w:insideV w:val="single" w:sz="4" w:space="0" w:color="auto"/>
        </w:tblBorders>
        <w:tblLook w:val="04A0" w:firstRow="1" w:lastRow="0" w:firstColumn="1" w:lastColumn="0" w:noHBand="0" w:noVBand="1"/>
      </w:tblPr>
      <w:tblGrid>
        <w:gridCol w:w="1849"/>
        <w:gridCol w:w="1043"/>
        <w:gridCol w:w="800"/>
        <w:gridCol w:w="1010"/>
        <w:gridCol w:w="1073"/>
        <w:gridCol w:w="1814"/>
      </w:tblGrid>
      <w:tr w:rsidR="00AD640D" w:rsidRPr="00AD640D" w:rsidTr="00BE02F6">
        <w:trPr>
          <w:trHeight w:val="631"/>
          <w:tblCellSpacing w:w="20" w:type="dxa"/>
        </w:trPr>
        <w:tc>
          <w:tcPr>
            <w:tcW w:w="1789" w:type="dxa"/>
            <w:shd w:val="clear" w:color="auto" w:fill="auto"/>
          </w:tcPr>
          <w:p w:rsidR="00BE02F6" w:rsidRPr="00AD640D" w:rsidRDefault="00BE02F6" w:rsidP="00BE02F6">
            <w:pPr>
              <w:jc w:val="both"/>
              <w:rPr>
                <w:lang w:val="pl-PL"/>
              </w:rPr>
            </w:pPr>
          </w:p>
        </w:tc>
        <w:tc>
          <w:tcPr>
            <w:tcW w:w="2773" w:type="dxa"/>
            <w:gridSpan w:val="3"/>
            <w:shd w:val="clear" w:color="auto" w:fill="auto"/>
            <w:noWrap/>
          </w:tcPr>
          <w:p w:rsidR="00BE02F6" w:rsidRPr="00AD640D" w:rsidRDefault="00BE02F6" w:rsidP="00BE02F6">
            <w:pPr>
              <w:rPr>
                <w:lang w:val="en-GB"/>
              </w:rPr>
            </w:pPr>
            <w:r w:rsidRPr="00AD640D">
              <w:t>Emisija CO</w:t>
            </w:r>
            <w:r w:rsidRPr="00AD640D">
              <w:rPr>
                <w:vertAlign w:val="subscript"/>
              </w:rPr>
              <w:t>2</w:t>
            </w:r>
            <w:r w:rsidRPr="00AD640D">
              <w:t xml:space="preserve"> (g/km)</w:t>
            </w:r>
          </w:p>
        </w:tc>
        <w:tc>
          <w:tcPr>
            <w:tcW w:w="1013" w:type="dxa"/>
            <w:shd w:val="clear" w:color="auto" w:fill="auto"/>
            <w:noWrap/>
          </w:tcPr>
          <w:p w:rsidR="00BE02F6" w:rsidRPr="00AD640D" w:rsidRDefault="00BE02F6" w:rsidP="00BE02F6">
            <w:pPr>
              <w:jc w:val="center"/>
            </w:pPr>
            <w:r w:rsidRPr="00AD640D">
              <w:t>ON u kn</w:t>
            </w:r>
          </w:p>
        </w:tc>
        <w:tc>
          <w:tcPr>
            <w:tcW w:w="1744" w:type="dxa"/>
            <w:shd w:val="clear" w:color="auto" w:fill="auto"/>
            <w:noWrap/>
          </w:tcPr>
          <w:p w:rsidR="00BE02F6" w:rsidRPr="00AD640D" w:rsidRDefault="00BE02F6" w:rsidP="00BE02F6">
            <w:r w:rsidRPr="00AD640D">
              <w:t>Iznos u kn za 1</w:t>
            </w:r>
          </w:p>
          <w:p w:rsidR="00BE02F6" w:rsidRPr="00AD640D" w:rsidRDefault="00BE02F6" w:rsidP="00BE02F6">
            <w:pPr>
              <w:rPr>
                <w:lang w:val="pl-PL"/>
              </w:rPr>
            </w:pPr>
            <w:r w:rsidRPr="00AD640D">
              <w:t>g /km CO</w:t>
            </w:r>
            <w:r w:rsidRPr="00AD640D">
              <w:rPr>
                <w:vertAlign w:val="subscript"/>
              </w:rPr>
              <w:t>2</w:t>
            </w:r>
            <w:r w:rsidRPr="00AD640D">
              <w:t xml:space="preserve"> </w:t>
            </w:r>
          </w:p>
        </w:tc>
      </w:tr>
      <w:tr w:rsidR="00AD640D" w:rsidRPr="00AD640D" w:rsidTr="00BE02F6">
        <w:trPr>
          <w:trHeight w:val="300"/>
          <w:tblCellSpacing w:w="20" w:type="dxa"/>
        </w:trPr>
        <w:tc>
          <w:tcPr>
            <w:tcW w:w="1789" w:type="dxa"/>
            <w:shd w:val="clear" w:color="auto" w:fill="auto"/>
          </w:tcPr>
          <w:p w:rsidR="00BE02F6" w:rsidRPr="00AD640D" w:rsidRDefault="00BE02F6" w:rsidP="00BE02F6">
            <w:pPr>
              <w:jc w:val="both"/>
            </w:pPr>
            <w:r w:rsidRPr="00AD640D">
              <w:t>prva skupina</w:t>
            </w:r>
          </w:p>
        </w:tc>
        <w:tc>
          <w:tcPr>
            <w:tcW w:w="983" w:type="dxa"/>
            <w:shd w:val="clear" w:color="auto" w:fill="auto"/>
            <w:noWrap/>
            <w:hideMark/>
          </w:tcPr>
          <w:p w:rsidR="00BE02F6" w:rsidRPr="00AD640D" w:rsidRDefault="00BE02F6" w:rsidP="00BE02F6">
            <w:pPr>
              <w:jc w:val="center"/>
              <w:rPr>
                <w:lang w:val="en-GB"/>
              </w:rPr>
            </w:pPr>
            <w:r w:rsidRPr="00AD640D">
              <w:rPr>
                <w:lang w:val="en-GB"/>
              </w:rPr>
              <w:t>75</w:t>
            </w:r>
          </w:p>
        </w:tc>
        <w:tc>
          <w:tcPr>
            <w:tcW w:w="740" w:type="dxa"/>
            <w:shd w:val="clear" w:color="auto" w:fill="auto"/>
            <w:noWrap/>
            <w:hideMark/>
          </w:tcPr>
          <w:p w:rsidR="00BE02F6" w:rsidRPr="00AD640D" w:rsidRDefault="00BE02F6" w:rsidP="00BE02F6">
            <w:pPr>
              <w:jc w:val="center"/>
              <w:rPr>
                <w:lang w:val="en-GB"/>
              </w:rPr>
            </w:pPr>
            <w:r w:rsidRPr="00AD640D">
              <w:rPr>
                <w:lang w:val="en-GB"/>
              </w:rPr>
              <w:t>do</w:t>
            </w:r>
          </w:p>
        </w:tc>
        <w:tc>
          <w:tcPr>
            <w:tcW w:w="970" w:type="dxa"/>
            <w:shd w:val="clear" w:color="auto" w:fill="auto"/>
          </w:tcPr>
          <w:p w:rsidR="00BE02F6" w:rsidRPr="00AD640D" w:rsidRDefault="00BE02F6" w:rsidP="00BE02F6">
            <w:pPr>
              <w:jc w:val="center"/>
              <w:rPr>
                <w:lang w:val="en-GB"/>
              </w:rPr>
            </w:pPr>
            <w:r w:rsidRPr="00AD640D">
              <w:rPr>
                <w:lang w:val="en-GB"/>
              </w:rPr>
              <w:t>90</w:t>
            </w:r>
          </w:p>
        </w:tc>
        <w:tc>
          <w:tcPr>
            <w:tcW w:w="1013" w:type="dxa"/>
            <w:shd w:val="clear" w:color="auto" w:fill="auto"/>
            <w:noWrap/>
            <w:hideMark/>
          </w:tcPr>
          <w:p w:rsidR="00BE02F6" w:rsidRPr="00AD640D" w:rsidRDefault="00BE02F6" w:rsidP="00BE02F6">
            <w:pPr>
              <w:jc w:val="center"/>
              <w:rPr>
                <w:lang w:val="en-GB"/>
              </w:rPr>
            </w:pPr>
            <w:r w:rsidRPr="00AD640D">
              <w:rPr>
                <w:lang w:val="en-GB"/>
              </w:rPr>
              <w:t>95</w:t>
            </w:r>
          </w:p>
        </w:tc>
        <w:tc>
          <w:tcPr>
            <w:tcW w:w="1744" w:type="dxa"/>
            <w:shd w:val="clear" w:color="auto" w:fill="auto"/>
            <w:noWrap/>
            <w:hideMark/>
          </w:tcPr>
          <w:p w:rsidR="00BE02F6" w:rsidRPr="00AD640D" w:rsidRDefault="00BE02F6" w:rsidP="00BE02F6">
            <w:pPr>
              <w:jc w:val="center"/>
              <w:rPr>
                <w:lang w:val="en-GB"/>
              </w:rPr>
            </w:pPr>
            <w:r w:rsidRPr="00AD640D">
              <w:rPr>
                <w:lang w:val="en-GB"/>
              </w:rPr>
              <w:t>35</w:t>
            </w:r>
          </w:p>
        </w:tc>
      </w:tr>
      <w:tr w:rsidR="00AD640D" w:rsidRPr="00AD640D" w:rsidTr="00BE02F6">
        <w:trPr>
          <w:trHeight w:val="300"/>
          <w:tblCellSpacing w:w="20" w:type="dxa"/>
        </w:trPr>
        <w:tc>
          <w:tcPr>
            <w:tcW w:w="1789" w:type="dxa"/>
            <w:shd w:val="clear" w:color="auto" w:fill="auto"/>
          </w:tcPr>
          <w:p w:rsidR="00BE02F6" w:rsidRPr="00AD640D" w:rsidRDefault="00BE02F6" w:rsidP="00BE02F6">
            <w:pPr>
              <w:jc w:val="both"/>
            </w:pPr>
            <w:r w:rsidRPr="00AD640D">
              <w:t>druga skupina</w:t>
            </w:r>
          </w:p>
        </w:tc>
        <w:tc>
          <w:tcPr>
            <w:tcW w:w="983" w:type="dxa"/>
            <w:shd w:val="clear" w:color="auto" w:fill="auto"/>
            <w:noWrap/>
            <w:hideMark/>
          </w:tcPr>
          <w:p w:rsidR="00BE02F6" w:rsidRPr="00AD640D" w:rsidRDefault="00BE02F6" w:rsidP="00BE02F6">
            <w:pPr>
              <w:jc w:val="center"/>
              <w:rPr>
                <w:lang w:val="en-GB"/>
              </w:rPr>
            </w:pPr>
            <w:r w:rsidRPr="00AD640D">
              <w:rPr>
                <w:lang w:val="en-GB"/>
              </w:rPr>
              <w:t>90</w:t>
            </w:r>
          </w:p>
        </w:tc>
        <w:tc>
          <w:tcPr>
            <w:tcW w:w="740" w:type="dxa"/>
            <w:shd w:val="clear" w:color="auto" w:fill="auto"/>
            <w:noWrap/>
            <w:hideMark/>
          </w:tcPr>
          <w:p w:rsidR="00BE02F6" w:rsidRPr="00AD640D" w:rsidRDefault="00BE02F6" w:rsidP="00BE02F6">
            <w:pPr>
              <w:jc w:val="center"/>
              <w:rPr>
                <w:lang w:val="en-GB"/>
              </w:rPr>
            </w:pPr>
            <w:r w:rsidRPr="00AD640D">
              <w:rPr>
                <w:lang w:val="en-GB"/>
              </w:rPr>
              <w:t>do</w:t>
            </w:r>
          </w:p>
        </w:tc>
        <w:tc>
          <w:tcPr>
            <w:tcW w:w="970" w:type="dxa"/>
            <w:shd w:val="clear" w:color="auto" w:fill="auto"/>
          </w:tcPr>
          <w:p w:rsidR="00BE02F6" w:rsidRPr="00AD640D" w:rsidRDefault="00BE02F6" w:rsidP="00BE02F6">
            <w:pPr>
              <w:jc w:val="center"/>
              <w:rPr>
                <w:lang w:val="en-GB"/>
              </w:rPr>
            </w:pPr>
            <w:r w:rsidRPr="00AD640D">
              <w:rPr>
                <w:lang w:val="en-GB"/>
              </w:rPr>
              <w:t>120</w:t>
            </w:r>
          </w:p>
        </w:tc>
        <w:tc>
          <w:tcPr>
            <w:tcW w:w="1013" w:type="dxa"/>
            <w:shd w:val="clear" w:color="auto" w:fill="auto"/>
            <w:noWrap/>
            <w:hideMark/>
          </w:tcPr>
          <w:p w:rsidR="00BE02F6" w:rsidRPr="00AD640D" w:rsidRDefault="00BE02F6" w:rsidP="00BE02F6">
            <w:pPr>
              <w:jc w:val="center"/>
              <w:rPr>
                <w:lang w:val="en-GB"/>
              </w:rPr>
            </w:pPr>
            <w:r w:rsidRPr="00AD640D">
              <w:rPr>
                <w:lang w:val="en-GB"/>
              </w:rPr>
              <w:t>620</w:t>
            </w:r>
          </w:p>
        </w:tc>
        <w:tc>
          <w:tcPr>
            <w:tcW w:w="1744" w:type="dxa"/>
            <w:shd w:val="clear" w:color="auto" w:fill="auto"/>
            <w:noWrap/>
            <w:hideMark/>
          </w:tcPr>
          <w:p w:rsidR="00BE02F6" w:rsidRPr="00AD640D" w:rsidRDefault="00BE02F6" w:rsidP="00BE02F6">
            <w:pPr>
              <w:jc w:val="center"/>
              <w:rPr>
                <w:lang w:val="en-GB"/>
              </w:rPr>
            </w:pPr>
            <w:r w:rsidRPr="00AD640D">
              <w:rPr>
                <w:lang w:val="en-GB"/>
              </w:rPr>
              <w:t>135</w:t>
            </w:r>
          </w:p>
        </w:tc>
      </w:tr>
      <w:tr w:rsidR="00AD640D" w:rsidRPr="00AD640D" w:rsidTr="00BE02F6">
        <w:trPr>
          <w:trHeight w:val="300"/>
          <w:tblCellSpacing w:w="20" w:type="dxa"/>
        </w:trPr>
        <w:tc>
          <w:tcPr>
            <w:tcW w:w="1789" w:type="dxa"/>
            <w:shd w:val="clear" w:color="auto" w:fill="auto"/>
          </w:tcPr>
          <w:p w:rsidR="00BE02F6" w:rsidRPr="00AD640D" w:rsidRDefault="00BE02F6" w:rsidP="00BE02F6">
            <w:pPr>
              <w:jc w:val="both"/>
            </w:pPr>
            <w:r w:rsidRPr="00AD640D">
              <w:t>treća skupina</w:t>
            </w:r>
          </w:p>
        </w:tc>
        <w:tc>
          <w:tcPr>
            <w:tcW w:w="983" w:type="dxa"/>
            <w:shd w:val="clear" w:color="auto" w:fill="auto"/>
            <w:noWrap/>
            <w:hideMark/>
          </w:tcPr>
          <w:p w:rsidR="00BE02F6" w:rsidRPr="00AD640D" w:rsidRDefault="00BE02F6" w:rsidP="00BE02F6">
            <w:pPr>
              <w:jc w:val="center"/>
              <w:rPr>
                <w:lang w:val="en-GB"/>
              </w:rPr>
            </w:pPr>
            <w:r w:rsidRPr="00AD640D">
              <w:rPr>
                <w:lang w:val="en-GB"/>
              </w:rPr>
              <w:t>120</w:t>
            </w:r>
          </w:p>
        </w:tc>
        <w:tc>
          <w:tcPr>
            <w:tcW w:w="740" w:type="dxa"/>
            <w:shd w:val="clear" w:color="auto" w:fill="auto"/>
            <w:noWrap/>
            <w:hideMark/>
          </w:tcPr>
          <w:p w:rsidR="00BE02F6" w:rsidRPr="00AD640D" w:rsidRDefault="00BE02F6" w:rsidP="00BE02F6">
            <w:pPr>
              <w:jc w:val="center"/>
              <w:rPr>
                <w:lang w:val="en-GB"/>
              </w:rPr>
            </w:pPr>
            <w:r w:rsidRPr="00AD640D">
              <w:rPr>
                <w:lang w:val="en-GB"/>
              </w:rPr>
              <w:t>do</w:t>
            </w:r>
          </w:p>
        </w:tc>
        <w:tc>
          <w:tcPr>
            <w:tcW w:w="970" w:type="dxa"/>
            <w:shd w:val="clear" w:color="auto" w:fill="auto"/>
          </w:tcPr>
          <w:p w:rsidR="00BE02F6" w:rsidRPr="00AD640D" w:rsidRDefault="00BE02F6" w:rsidP="00BE02F6">
            <w:pPr>
              <w:jc w:val="center"/>
              <w:rPr>
                <w:lang w:val="en-GB"/>
              </w:rPr>
            </w:pPr>
            <w:r w:rsidRPr="00AD640D">
              <w:rPr>
                <w:lang w:val="en-GB"/>
              </w:rPr>
              <w:t>140</w:t>
            </w:r>
          </w:p>
        </w:tc>
        <w:tc>
          <w:tcPr>
            <w:tcW w:w="1013" w:type="dxa"/>
            <w:shd w:val="clear" w:color="auto" w:fill="auto"/>
            <w:noWrap/>
            <w:hideMark/>
          </w:tcPr>
          <w:p w:rsidR="00BE02F6" w:rsidRPr="00AD640D" w:rsidRDefault="00BE02F6" w:rsidP="00BE02F6">
            <w:pPr>
              <w:jc w:val="center"/>
              <w:rPr>
                <w:lang w:val="en-GB"/>
              </w:rPr>
            </w:pPr>
            <w:r w:rsidRPr="00AD640D">
              <w:rPr>
                <w:lang w:val="en-GB"/>
              </w:rPr>
              <w:t>4.670</w:t>
            </w:r>
          </w:p>
        </w:tc>
        <w:tc>
          <w:tcPr>
            <w:tcW w:w="1744" w:type="dxa"/>
            <w:shd w:val="clear" w:color="auto" w:fill="auto"/>
            <w:noWrap/>
            <w:hideMark/>
          </w:tcPr>
          <w:p w:rsidR="00BE02F6" w:rsidRPr="00AD640D" w:rsidRDefault="00BE02F6" w:rsidP="00BE02F6">
            <w:pPr>
              <w:jc w:val="center"/>
              <w:rPr>
                <w:lang w:val="en-GB"/>
              </w:rPr>
            </w:pPr>
            <w:r w:rsidRPr="00AD640D">
              <w:rPr>
                <w:lang w:val="en-GB"/>
              </w:rPr>
              <w:t>450</w:t>
            </w:r>
          </w:p>
        </w:tc>
      </w:tr>
      <w:tr w:rsidR="00AD640D" w:rsidRPr="00AD640D" w:rsidTr="00BE02F6">
        <w:trPr>
          <w:trHeight w:val="300"/>
          <w:tblCellSpacing w:w="20" w:type="dxa"/>
        </w:trPr>
        <w:tc>
          <w:tcPr>
            <w:tcW w:w="1789" w:type="dxa"/>
            <w:shd w:val="clear" w:color="auto" w:fill="auto"/>
          </w:tcPr>
          <w:p w:rsidR="00BE02F6" w:rsidRPr="00AD640D" w:rsidRDefault="00BE02F6" w:rsidP="00BE02F6">
            <w:pPr>
              <w:jc w:val="both"/>
            </w:pPr>
            <w:r w:rsidRPr="00AD640D">
              <w:t>četvrta skupina</w:t>
            </w:r>
          </w:p>
        </w:tc>
        <w:tc>
          <w:tcPr>
            <w:tcW w:w="983" w:type="dxa"/>
            <w:shd w:val="clear" w:color="auto" w:fill="auto"/>
            <w:noWrap/>
            <w:hideMark/>
          </w:tcPr>
          <w:p w:rsidR="00BE02F6" w:rsidRPr="00AD640D" w:rsidRDefault="00BE02F6" w:rsidP="00BE02F6">
            <w:pPr>
              <w:jc w:val="center"/>
              <w:rPr>
                <w:lang w:val="en-GB"/>
              </w:rPr>
            </w:pPr>
            <w:r w:rsidRPr="00AD640D">
              <w:rPr>
                <w:lang w:val="en-GB"/>
              </w:rPr>
              <w:t>140</w:t>
            </w:r>
          </w:p>
        </w:tc>
        <w:tc>
          <w:tcPr>
            <w:tcW w:w="740" w:type="dxa"/>
            <w:shd w:val="clear" w:color="auto" w:fill="auto"/>
            <w:noWrap/>
            <w:hideMark/>
          </w:tcPr>
          <w:p w:rsidR="00BE02F6" w:rsidRPr="00AD640D" w:rsidRDefault="00BE02F6" w:rsidP="00BE02F6">
            <w:pPr>
              <w:jc w:val="center"/>
              <w:rPr>
                <w:lang w:val="en-GB"/>
              </w:rPr>
            </w:pPr>
            <w:r w:rsidRPr="00AD640D">
              <w:rPr>
                <w:lang w:val="en-GB"/>
              </w:rPr>
              <w:t>do</w:t>
            </w:r>
          </w:p>
        </w:tc>
        <w:tc>
          <w:tcPr>
            <w:tcW w:w="970" w:type="dxa"/>
            <w:shd w:val="clear" w:color="auto" w:fill="auto"/>
          </w:tcPr>
          <w:p w:rsidR="00BE02F6" w:rsidRPr="00AD640D" w:rsidRDefault="00BE02F6" w:rsidP="00BE02F6">
            <w:pPr>
              <w:jc w:val="center"/>
              <w:rPr>
                <w:lang w:val="en-GB"/>
              </w:rPr>
            </w:pPr>
            <w:r w:rsidRPr="00AD640D">
              <w:rPr>
                <w:lang w:val="en-GB"/>
              </w:rPr>
              <w:t>170</w:t>
            </w:r>
          </w:p>
        </w:tc>
        <w:tc>
          <w:tcPr>
            <w:tcW w:w="1013" w:type="dxa"/>
            <w:shd w:val="clear" w:color="auto" w:fill="auto"/>
            <w:noWrap/>
            <w:hideMark/>
          </w:tcPr>
          <w:p w:rsidR="00BE02F6" w:rsidRPr="00AD640D" w:rsidRDefault="00BE02F6" w:rsidP="00BE02F6">
            <w:pPr>
              <w:jc w:val="center"/>
              <w:rPr>
                <w:lang w:val="en-GB"/>
              </w:rPr>
            </w:pPr>
            <w:r w:rsidRPr="00AD640D">
              <w:rPr>
                <w:lang w:val="en-GB"/>
              </w:rPr>
              <w:t>13.670</w:t>
            </w:r>
          </w:p>
        </w:tc>
        <w:tc>
          <w:tcPr>
            <w:tcW w:w="1744" w:type="dxa"/>
            <w:shd w:val="clear" w:color="auto" w:fill="auto"/>
            <w:noWrap/>
            <w:hideMark/>
          </w:tcPr>
          <w:p w:rsidR="00BE02F6" w:rsidRPr="00AD640D" w:rsidRDefault="00BE02F6" w:rsidP="00BE02F6">
            <w:pPr>
              <w:jc w:val="center"/>
              <w:rPr>
                <w:lang w:val="en-GB"/>
              </w:rPr>
            </w:pPr>
            <w:r w:rsidRPr="00AD640D">
              <w:rPr>
                <w:lang w:val="en-GB"/>
              </w:rPr>
              <w:t>700</w:t>
            </w:r>
          </w:p>
        </w:tc>
      </w:tr>
      <w:tr w:rsidR="00AD640D" w:rsidRPr="00AD640D" w:rsidTr="00BE02F6">
        <w:trPr>
          <w:trHeight w:val="300"/>
          <w:tblCellSpacing w:w="20" w:type="dxa"/>
        </w:trPr>
        <w:tc>
          <w:tcPr>
            <w:tcW w:w="1789" w:type="dxa"/>
            <w:shd w:val="clear" w:color="auto" w:fill="auto"/>
          </w:tcPr>
          <w:p w:rsidR="00BE02F6" w:rsidRPr="00AD640D" w:rsidRDefault="00BE02F6" w:rsidP="00BE02F6">
            <w:pPr>
              <w:jc w:val="both"/>
            </w:pPr>
            <w:r w:rsidRPr="00AD640D">
              <w:t>peta skupina</w:t>
            </w:r>
          </w:p>
        </w:tc>
        <w:tc>
          <w:tcPr>
            <w:tcW w:w="983" w:type="dxa"/>
            <w:shd w:val="clear" w:color="auto" w:fill="auto"/>
            <w:noWrap/>
          </w:tcPr>
          <w:p w:rsidR="00BE02F6" w:rsidRPr="00AD640D" w:rsidRDefault="00BE02F6" w:rsidP="00BE02F6">
            <w:pPr>
              <w:jc w:val="center"/>
              <w:rPr>
                <w:lang w:val="en-GB"/>
              </w:rPr>
            </w:pPr>
            <w:r w:rsidRPr="00AD640D">
              <w:rPr>
                <w:lang w:val="en-GB"/>
              </w:rPr>
              <w:t>170</w:t>
            </w:r>
          </w:p>
        </w:tc>
        <w:tc>
          <w:tcPr>
            <w:tcW w:w="740" w:type="dxa"/>
            <w:shd w:val="clear" w:color="auto" w:fill="auto"/>
            <w:noWrap/>
          </w:tcPr>
          <w:p w:rsidR="00BE02F6" w:rsidRPr="00AD640D" w:rsidRDefault="00BE02F6" w:rsidP="00BE02F6">
            <w:pPr>
              <w:jc w:val="center"/>
              <w:rPr>
                <w:lang w:val="en-GB"/>
              </w:rPr>
            </w:pPr>
            <w:r w:rsidRPr="00AD640D">
              <w:rPr>
                <w:lang w:val="en-GB"/>
              </w:rPr>
              <w:t>do</w:t>
            </w:r>
          </w:p>
        </w:tc>
        <w:tc>
          <w:tcPr>
            <w:tcW w:w="970" w:type="dxa"/>
            <w:shd w:val="clear" w:color="auto" w:fill="auto"/>
          </w:tcPr>
          <w:p w:rsidR="00BE02F6" w:rsidRPr="00AD640D" w:rsidRDefault="00BE02F6" w:rsidP="00BE02F6">
            <w:pPr>
              <w:jc w:val="center"/>
              <w:rPr>
                <w:lang w:val="en-GB"/>
              </w:rPr>
            </w:pPr>
            <w:r w:rsidRPr="00AD640D">
              <w:rPr>
                <w:lang w:val="en-GB"/>
              </w:rPr>
              <w:t>200</w:t>
            </w:r>
          </w:p>
        </w:tc>
        <w:tc>
          <w:tcPr>
            <w:tcW w:w="1013" w:type="dxa"/>
            <w:shd w:val="clear" w:color="auto" w:fill="auto"/>
            <w:noWrap/>
          </w:tcPr>
          <w:p w:rsidR="00BE02F6" w:rsidRPr="00AD640D" w:rsidRDefault="00BE02F6" w:rsidP="00BE02F6">
            <w:pPr>
              <w:jc w:val="center"/>
              <w:rPr>
                <w:lang w:val="en-GB"/>
              </w:rPr>
            </w:pPr>
            <w:r w:rsidRPr="00AD640D">
              <w:rPr>
                <w:lang w:val="en-GB"/>
              </w:rPr>
              <w:t>34.670</w:t>
            </w:r>
          </w:p>
        </w:tc>
        <w:tc>
          <w:tcPr>
            <w:tcW w:w="1744" w:type="dxa"/>
            <w:shd w:val="clear" w:color="auto" w:fill="auto"/>
            <w:noWrap/>
          </w:tcPr>
          <w:p w:rsidR="00BE02F6" w:rsidRPr="00AD640D" w:rsidRDefault="00BE02F6" w:rsidP="00BE02F6">
            <w:pPr>
              <w:jc w:val="center"/>
              <w:rPr>
                <w:lang w:val="en-GB"/>
              </w:rPr>
            </w:pPr>
            <w:r w:rsidRPr="00AD640D">
              <w:rPr>
                <w:lang w:val="en-GB"/>
              </w:rPr>
              <w:t>1.200</w:t>
            </w:r>
          </w:p>
        </w:tc>
      </w:tr>
      <w:tr w:rsidR="00BE02F6" w:rsidRPr="00AD640D" w:rsidTr="00BE02F6">
        <w:trPr>
          <w:trHeight w:val="300"/>
          <w:tblCellSpacing w:w="20" w:type="dxa"/>
        </w:trPr>
        <w:tc>
          <w:tcPr>
            <w:tcW w:w="1789" w:type="dxa"/>
            <w:tcBorders>
              <w:top w:val="single" w:sz="4" w:space="0" w:color="auto"/>
              <w:bottom w:val="single" w:sz="4" w:space="0" w:color="auto"/>
            </w:tcBorders>
            <w:shd w:val="clear" w:color="auto" w:fill="auto"/>
          </w:tcPr>
          <w:p w:rsidR="00BE02F6" w:rsidRPr="00AD640D" w:rsidRDefault="00BE02F6" w:rsidP="00BE02F6">
            <w:pPr>
              <w:jc w:val="both"/>
            </w:pPr>
            <w:r w:rsidRPr="00AD640D">
              <w:t>šesta skupina</w:t>
            </w:r>
          </w:p>
        </w:tc>
        <w:tc>
          <w:tcPr>
            <w:tcW w:w="983" w:type="dxa"/>
            <w:tcBorders>
              <w:top w:val="single" w:sz="4" w:space="0" w:color="auto"/>
              <w:bottom w:val="single" w:sz="4" w:space="0" w:color="auto"/>
            </w:tcBorders>
            <w:shd w:val="clear" w:color="auto" w:fill="auto"/>
            <w:noWrap/>
            <w:hideMark/>
          </w:tcPr>
          <w:p w:rsidR="00BE02F6" w:rsidRPr="00AD640D" w:rsidRDefault="00BE02F6" w:rsidP="00BE02F6">
            <w:pPr>
              <w:jc w:val="center"/>
              <w:rPr>
                <w:lang w:val="en-GB"/>
              </w:rPr>
            </w:pPr>
            <w:r w:rsidRPr="00AD640D">
              <w:rPr>
                <w:lang w:val="en-GB"/>
              </w:rPr>
              <w:t>200</w:t>
            </w:r>
          </w:p>
        </w:tc>
        <w:tc>
          <w:tcPr>
            <w:tcW w:w="740" w:type="dxa"/>
            <w:tcBorders>
              <w:top w:val="single" w:sz="4" w:space="0" w:color="auto"/>
              <w:bottom w:val="single" w:sz="4" w:space="0" w:color="auto"/>
            </w:tcBorders>
            <w:shd w:val="clear" w:color="auto" w:fill="auto"/>
            <w:noWrap/>
            <w:hideMark/>
          </w:tcPr>
          <w:p w:rsidR="00BE02F6" w:rsidRPr="00AD640D" w:rsidRDefault="00BE02F6" w:rsidP="00BE02F6">
            <w:pPr>
              <w:jc w:val="center"/>
              <w:rPr>
                <w:lang w:val="en-GB"/>
              </w:rPr>
            </w:pPr>
            <w:r w:rsidRPr="00AD640D">
              <w:rPr>
                <w:lang w:val="en-GB"/>
              </w:rPr>
              <w:t>do</w:t>
            </w:r>
          </w:p>
        </w:tc>
        <w:tc>
          <w:tcPr>
            <w:tcW w:w="970" w:type="dxa"/>
            <w:tcBorders>
              <w:top w:val="single" w:sz="4" w:space="0" w:color="auto"/>
              <w:bottom w:val="single" w:sz="4" w:space="0" w:color="auto"/>
            </w:tcBorders>
            <w:shd w:val="clear" w:color="auto" w:fill="auto"/>
          </w:tcPr>
          <w:p w:rsidR="00BE02F6" w:rsidRPr="00AD640D" w:rsidRDefault="00BE02F6" w:rsidP="00BE02F6">
            <w:pPr>
              <w:jc w:val="both"/>
              <w:rPr>
                <w:lang w:val="en-GB"/>
              </w:rPr>
            </w:pPr>
          </w:p>
        </w:tc>
        <w:tc>
          <w:tcPr>
            <w:tcW w:w="1013" w:type="dxa"/>
            <w:tcBorders>
              <w:top w:val="single" w:sz="4" w:space="0" w:color="auto"/>
              <w:bottom w:val="single" w:sz="4" w:space="0" w:color="auto"/>
            </w:tcBorders>
            <w:shd w:val="clear" w:color="auto" w:fill="auto"/>
            <w:noWrap/>
            <w:hideMark/>
          </w:tcPr>
          <w:p w:rsidR="00BE02F6" w:rsidRPr="00AD640D" w:rsidRDefault="00BE02F6" w:rsidP="00BE02F6">
            <w:pPr>
              <w:jc w:val="center"/>
              <w:rPr>
                <w:lang w:val="en-GB"/>
              </w:rPr>
            </w:pPr>
            <w:r w:rsidRPr="00AD640D">
              <w:rPr>
                <w:lang w:val="en-GB"/>
              </w:rPr>
              <w:t>70.670</w:t>
            </w:r>
          </w:p>
        </w:tc>
        <w:tc>
          <w:tcPr>
            <w:tcW w:w="1744" w:type="dxa"/>
            <w:tcBorders>
              <w:top w:val="single" w:sz="4" w:space="0" w:color="auto"/>
              <w:bottom w:val="single" w:sz="4" w:space="0" w:color="auto"/>
            </w:tcBorders>
            <w:shd w:val="clear" w:color="auto" w:fill="auto"/>
            <w:noWrap/>
            <w:hideMark/>
          </w:tcPr>
          <w:p w:rsidR="00BE02F6" w:rsidRPr="00AD640D" w:rsidRDefault="00BE02F6" w:rsidP="00BE02F6">
            <w:pPr>
              <w:jc w:val="center"/>
              <w:rPr>
                <w:lang w:val="en-GB"/>
              </w:rPr>
            </w:pPr>
            <w:r w:rsidRPr="00AD640D">
              <w:rPr>
                <w:lang w:val="en-GB"/>
              </w:rPr>
              <w:t>1.300</w:t>
            </w:r>
          </w:p>
        </w:tc>
      </w:tr>
    </w:tbl>
    <w:p w:rsidR="00BE02F6" w:rsidRPr="00AD640D" w:rsidRDefault="00BE02F6" w:rsidP="00BE02F6">
      <w:pPr>
        <w:jc w:val="both"/>
        <w:rPr>
          <w:bCs/>
        </w:rPr>
      </w:pPr>
    </w:p>
    <w:p w:rsidR="00BE02F6" w:rsidRPr="00AD640D" w:rsidRDefault="00BE02F6" w:rsidP="00BE02F6">
      <w:pPr>
        <w:ind w:firstLine="708"/>
        <w:jc w:val="both"/>
        <w:rPr>
          <w:bCs/>
        </w:rPr>
      </w:pPr>
      <w:r w:rsidRPr="00AD640D">
        <w:rPr>
          <w:bCs/>
        </w:rPr>
        <w:t>(2) Iznos prosječne emisije ugljičnog dioksida (CO</w:t>
      </w:r>
      <w:r w:rsidRPr="00AD640D">
        <w:rPr>
          <w:bCs/>
          <w:vertAlign w:val="subscript"/>
        </w:rPr>
        <w:t>2</w:t>
      </w:r>
      <w:r w:rsidRPr="00AD640D">
        <w:rPr>
          <w:bCs/>
        </w:rPr>
        <w:t xml:space="preserve">) iz stavka 1. ovoga članka utvrđuje se </w:t>
      </w:r>
      <w:r w:rsidRPr="00AD640D">
        <w:rPr>
          <w:bCs/>
          <w:vertAlign w:val="subscript"/>
        </w:rPr>
        <w:t xml:space="preserve"> </w:t>
      </w:r>
      <w:r w:rsidRPr="00AD640D">
        <w:rPr>
          <w:bCs/>
        </w:rPr>
        <w:t>na temelju certifikata o sukladnosti (COC dokumenta), potvrde proizvođača prema podatku o iznosu prosječne emisije ugljičnog dioksida (CO</w:t>
      </w:r>
      <w:r w:rsidRPr="00AD640D">
        <w:rPr>
          <w:bCs/>
          <w:vertAlign w:val="subscript"/>
        </w:rPr>
        <w:t>2</w:t>
      </w:r>
      <w:r w:rsidRPr="00AD640D">
        <w:rPr>
          <w:bCs/>
        </w:rPr>
        <w:t>) u kombiniranoj vožnji, izjave o sukladnosti ili potvrde o sukladnosti pojedinačno pregledanog vozila prema podatku o iznosu prosječne emisije ugljičnog dioksida (CO</w:t>
      </w:r>
      <w:r w:rsidRPr="00AD640D">
        <w:rPr>
          <w:bCs/>
          <w:vertAlign w:val="subscript"/>
        </w:rPr>
        <w:t>2</w:t>
      </w:r>
      <w:r w:rsidRPr="00AD640D">
        <w:rPr>
          <w:bCs/>
        </w:rPr>
        <w:t xml:space="preserve">) u kombiniranoj vožnji izraženom sukladno Novom europskom ciklusu vožnje („New European Driving Cycle“) (u daljnjem tekstu: NEDC) ili sukladno koreliranom NEDC-u, ako je motorno vozilo homologirano sukladno Globalno </w:t>
      </w:r>
      <w:r w:rsidRPr="00AD640D">
        <w:rPr>
          <w:bCs/>
        </w:rPr>
        <w:lastRenderedPageBreak/>
        <w:t>usklađenom ispitnom postupku za laka vozila („Worldwide Harmonised Light Vehicle Test Procedure“ (u daljnjem tekstu: WLTP).</w:t>
      </w:r>
    </w:p>
    <w:p w:rsidR="00BE02F6" w:rsidRPr="00AD640D" w:rsidRDefault="00BE02F6" w:rsidP="00392F28">
      <w:pPr>
        <w:jc w:val="both"/>
        <w:rPr>
          <w:bCs/>
        </w:rPr>
      </w:pPr>
    </w:p>
    <w:p w:rsidR="00BE02F6" w:rsidRPr="00AD640D" w:rsidRDefault="00BE02F6" w:rsidP="00BE02F6">
      <w:pPr>
        <w:ind w:firstLine="708"/>
        <w:jc w:val="both"/>
      </w:pPr>
      <w:r w:rsidRPr="00AD640D">
        <w:rPr>
          <w:bCs/>
        </w:rPr>
        <w:t>(3)</w:t>
      </w:r>
      <w:r w:rsidRPr="00AD640D">
        <w:t xml:space="preserve"> Posebni porez na motorna vozila</w:t>
      </w:r>
      <w:r w:rsidRPr="00AD640D">
        <w:rPr>
          <w:bCs/>
        </w:rPr>
        <w:t xml:space="preserve"> </w:t>
      </w:r>
      <w:r w:rsidRPr="00AD640D">
        <w:t xml:space="preserve">iz članka 5. stavka </w:t>
      </w:r>
      <w:r w:rsidRPr="00AD640D">
        <w:rPr>
          <w:bCs/>
        </w:rPr>
        <w:t>1. točaka 1. i 3. Zakona te druga motorna vozila prenamijenjena u takva motorna vozila</w:t>
      </w:r>
      <w:r w:rsidRPr="00AD640D">
        <w:t xml:space="preserve"> koja su prvi puta registrirana od 1. siječnja 2021.</w:t>
      </w:r>
      <w:r w:rsidRPr="00AD640D">
        <w:rPr>
          <w:bCs/>
        </w:rPr>
        <w:t xml:space="preserve"> plaća se prema prosječnoj emisiji ugljičnog dioksida (CO</w:t>
      </w:r>
      <w:r w:rsidRPr="00AD640D">
        <w:rPr>
          <w:bCs/>
          <w:vertAlign w:val="subscript"/>
        </w:rPr>
        <w:t>2</w:t>
      </w:r>
      <w:r w:rsidRPr="00AD640D">
        <w:rPr>
          <w:bCs/>
        </w:rPr>
        <w:t xml:space="preserve">) ovisno o vrsti goriva koje vozilo koristi za pogon i prodajnoj cijeni motornog vozila prema izrazu </w:t>
      </w:r>
      <w:r w:rsidRPr="00AD640D">
        <w:t xml:space="preserve">PP = (VN + PC) + (ON + EN), u kojem je: </w:t>
      </w:r>
    </w:p>
    <w:p w:rsidR="00BE02F6" w:rsidRPr="00AD640D" w:rsidRDefault="00BE02F6" w:rsidP="00BE02F6">
      <w:pPr>
        <w:jc w:val="both"/>
      </w:pPr>
    </w:p>
    <w:p w:rsidR="00BE02F6" w:rsidRPr="00AD640D" w:rsidRDefault="00BE02F6" w:rsidP="00BE02F6">
      <w:pPr>
        <w:jc w:val="both"/>
      </w:pPr>
      <w:r w:rsidRPr="00AD640D">
        <w:t xml:space="preserve">PP – posebni porez u kunama </w:t>
      </w:r>
    </w:p>
    <w:p w:rsidR="00BE02F6" w:rsidRPr="00AD640D" w:rsidRDefault="00BE02F6" w:rsidP="00BE02F6">
      <w:pPr>
        <w:jc w:val="both"/>
      </w:pPr>
    </w:p>
    <w:p w:rsidR="00BE02F6" w:rsidRPr="00AD640D" w:rsidRDefault="00BE02F6" w:rsidP="00BE02F6">
      <w:pPr>
        <w:jc w:val="both"/>
      </w:pPr>
      <w:r w:rsidRPr="00AD640D">
        <w:t>VN – vrijednosna naknada u kunama</w:t>
      </w:r>
    </w:p>
    <w:p w:rsidR="00BE02F6" w:rsidRPr="00AD640D" w:rsidRDefault="00BE02F6" w:rsidP="00BE02F6">
      <w:pPr>
        <w:jc w:val="both"/>
        <w:rPr>
          <w:vertAlign w:val="subscript"/>
        </w:rPr>
      </w:pPr>
    </w:p>
    <w:p w:rsidR="00BE02F6" w:rsidRPr="00AD640D" w:rsidRDefault="00BE02F6" w:rsidP="00BE02F6">
      <w:pPr>
        <w:jc w:val="both"/>
      </w:pPr>
      <w:r w:rsidRPr="00AD640D">
        <w:t xml:space="preserve">PC – naknada koja se utvrđuje na način da se od prodajne cijene motornog vozila oduzme najniži iznos za skupinu kojoj motorno vozilo pripada prema Tablici 4 i tako dobiveni iznos pomnoži s postotkom utvrđenim za skupinu kojoj motorno vozilo pripada prema Tablici 4 </w:t>
      </w:r>
    </w:p>
    <w:p w:rsidR="00BE02F6" w:rsidRPr="00AD640D" w:rsidRDefault="00BE02F6" w:rsidP="00BE02F6">
      <w:pPr>
        <w:jc w:val="both"/>
      </w:pPr>
    </w:p>
    <w:p w:rsidR="00BE02F6" w:rsidRPr="00AD640D" w:rsidRDefault="00BE02F6" w:rsidP="00BE02F6">
      <w:pPr>
        <w:jc w:val="both"/>
      </w:pPr>
      <w:r w:rsidRPr="00AD640D">
        <w:t>ON – osnovna naknada u kunama prema Tablici 5 ili Tablici 6</w:t>
      </w:r>
    </w:p>
    <w:p w:rsidR="00BE02F6" w:rsidRPr="00AD640D" w:rsidRDefault="00BE02F6" w:rsidP="00BE02F6">
      <w:pPr>
        <w:jc w:val="both"/>
      </w:pPr>
    </w:p>
    <w:p w:rsidR="00BE02F6" w:rsidRPr="00AD640D" w:rsidRDefault="00BE02F6" w:rsidP="00BE02F6">
      <w:pPr>
        <w:jc w:val="both"/>
        <w:rPr>
          <w:vertAlign w:val="subscript"/>
        </w:rPr>
      </w:pPr>
      <w:r w:rsidRPr="00AD640D">
        <w:t>EN – naknada koja se utvrđuje na način da se od iznosa prosječne emisije ugljičnog dioksida (CO</w:t>
      </w:r>
      <w:r w:rsidRPr="00AD640D">
        <w:rPr>
          <w:vertAlign w:val="subscript"/>
        </w:rPr>
        <w:t>2</w:t>
      </w:r>
      <w:r w:rsidRPr="00AD640D">
        <w:t xml:space="preserve">) </w:t>
      </w:r>
      <w:r w:rsidRPr="00AD640D">
        <w:rPr>
          <w:vertAlign w:val="subscript"/>
        </w:rPr>
        <w:t xml:space="preserve"> </w:t>
      </w:r>
      <w:r w:rsidRPr="00AD640D">
        <w:t>motornog vozila oduzme najniži iznos za skupinu kojoj motorno vozilo pripada prema Tablici 5 ili Tablici 6 i tako dobiveni iznos pomnoži s pripadajućim iznosom u kunama za jedan g/km CO</w:t>
      </w:r>
      <w:r w:rsidRPr="00AD640D">
        <w:rPr>
          <w:vertAlign w:val="subscript"/>
        </w:rPr>
        <w:t>2</w:t>
      </w:r>
      <w:r w:rsidRPr="00AD640D">
        <w:t>.</w:t>
      </w:r>
      <w:r w:rsidRPr="00AD640D">
        <w:rPr>
          <w:vertAlign w:val="subscript"/>
        </w:rPr>
        <w:t xml:space="preserve"> </w:t>
      </w:r>
    </w:p>
    <w:p w:rsidR="00BE02F6" w:rsidRPr="00AD640D" w:rsidRDefault="00BE02F6" w:rsidP="00392F28">
      <w:pPr>
        <w:jc w:val="both"/>
        <w:rPr>
          <w:bCs/>
        </w:rPr>
      </w:pPr>
      <w:r w:rsidRPr="00AD640D">
        <w:rPr>
          <w:bCs/>
        </w:rPr>
        <w:t xml:space="preserve"> </w:t>
      </w:r>
    </w:p>
    <w:p w:rsidR="00BE02F6" w:rsidRPr="00AD640D" w:rsidRDefault="00BE02F6" w:rsidP="00BE02F6">
      <w:pPr>
        <w:jc w:val="both"/>
        <w:rPr>
          <w:bCs/>
        </w:rPr>
      </w:pPr>
      <w:r w:rsidRPr="00AD640D">
        <w:t>Tablica</w:t>
      </w:r>
      <w:r w:rsidRPr="00AD640D">
        <w:rPr>
          <w:bCs/>
        </w:rPr>
        <w:t xml:space="preserve"> 4</w:t>
      </w:r>
    </w:p>
    <w:p w:rsidR="00BE02F6" w:rsidRPr="00AD640D" w:rsidRDefault="00BE02F6" w:rsidP="00BE02F6">
      <w:pPr>
        <w:jc w:val="both"/>
        <w:rPr>
          <w:bCs/>
        </w:rPr>
      </w:pPr>
    </w:p>
    <w:tbl>
      <w:tblPr>
        <w:tblW w:w="7511" w:type="dxa"/>
        <w:tblCellSpacing w:w="20" w:type="dxa"/>
        <w:tblBorders>
          <w:insideH w:val="single" w:sz="4" w:space="0" w:color="auto"/>
          <w:insideV w:val="single" w:sz="4" w:space="0" w:color="auto"/>
        </w:tblBorders>
        <w:tblLook w:val="04A0" w:firstRow="1" w:lastRow="0" w:firstColumn="1" w:lastColumn="0" w:noHBand="0" w:noVBand="1"/>
      </w:tblPr>
      <w:tblGrid>
        <w:gridCol w:w="2156"/>
        <w:gridCol w:w="1465"/>
        <w:gridCol w:w="1465"/>
        <w:gridCol w:w="1531"/>
        <w:gridCol w:w="894"/>
      </w:tblGrid>
      <w:tr w:rsidR="00AD640D" w:rsidRPr="00AD640D" w:rsidTr="00BE02F6">
        <w:trPr>
          <w:trHeight w:val="605"/>
          <w:tblCellSpacing w:w="20" w:type="dxa"/>
        </w:trPr>
        <w:tc>
          <w:tcPr>
            <w:tcW w:w="2152" w:type="dxa"/>
            <w:shd w:val="clear" w:color="auto" w:fill="auto"/>
            <w:hideMark/>
          </w:tcPr>
          <w:p w:rsidR="00BE02F6" w:rsidRPr="00AD640D" w:rsidRDefault="00BE02F6" w:rsidP="00BE02F6">
            <w:pPr>
              <w:jc w:val="both"/>
            </w:pPr>
            <w:r w:rsidRPr="00AD640D">
              <w:t> </w:t>
            </w:r>
          </w:p>
        </w:tc>
        <w:tc>
          <w:tcPr>
            <w:tcW w:w="2850" w:type="dxa"/>
            <w:gridSpan w:val="2"/>
            <w:shd w:val="clear" w:color="auto" w:fill="auto"/>
            <w:noWrap/>
            <w:hideMark/>
          </w:tcPr>
          <w:p w:rsidR="00BE02F6" w:rsidRPr="00AD640D" w:rsidRDefault="00BE02F6" w:rsidP="00BE02F6">
            <w:pPr>
              <w:jc w:val="both"/>
            </w:pPr>
            <w:r w:rsidRPr="00AD640D">
              <w:t>Prodajna cijena motornog vozila u kn</w:t>
            </w:r>
          </w:p>
        </w:tc>
        <w:tc>
          <w:tcPr>
            <w:tcW w:w="1471" w:type="dxa"/>
            <w:shd w:val="clear" w:color="auto" w:fill="auto"/>
            <w:noWrap/>
            <w:hideMark/>
          </w:tcPr>
          <w:p w:rsidR="00BE02F6" w:rsidRPr="00AD640D" w:rsidRDefault="00BE02F6" w:rsidP="00BE02F6">
            <w:pPr>
              <w:jc w:val="both"/>
            </w:pPr>
            <w:r w:rsidRPr="00AD640D">
              <w:t>VN u kn</w:t>
            </w:r>
          </w:p>
        </w:tc>
        <w:tc>
          <w:tcPr>
            <w:tcW w:w="838" w:type="dxa"/>
            <w:shd w:val="clear" w:color="auto" w:fill="auto"/>
            <w:hideMark/>
          </w:tcPr>
          <w:p w:rsidR="00BE02F6" w:rsidRPr="00AD640D" w:rsidRDefault="00BE02F6" w:rsidP="00BE02F6">
            <w:pPr>
              <w:jc w:val="center"/>
            </w:pPr>
            <w:r w:rsidRPr="00AD640D">
              <w:t>%</w:t>
            </w:r>
          </w:p>
        </w:tc>
      </w:tr>
      <w:tr w:rsidR="00AD640D" w:rsidRPr="00AD640D" w:rsidTr="00BE02F6">
        <w:trPr>
          <w:trHeight w:val="315"/>
          <w:tblCellSpacing w:w="20" w:type="dxa"/>
        </w:trPr>
        <w:tc>
          <w:tcPr>
            <w:tcW w:w="2152" w:type="dxa"/>
            <w:shd w:val="clear" w:color="auto" w:fill="auto"/>
            <w:hideMark/>
          </w:tcPr>
          <w:p w:rsidR="00BE02F6" w:rsidRPr="00AD640D" w:rsidRDefault="00BE02F6" w:rsidP="00BE02F6">
            <w:pPr>
              <w:pStyle w:val="NoSpacing"/>
              <w:rPr>
                <w:rFonts w:ascii="Times New Roman" w:eastAsia="Times New Roman" w:hAnsi="Times New Roman" w:cs="Times New Roman"/>
                <w:sz w:val="24"/>
                <w:szCs w:val="24"/>
              </w:rPr>
            </w:pPr>
            <w:r w:rsidRPr="00AD640D">
              <w:rPr>
                <w:rFonts w:ascii="Times New Roman" w:eastAsia="Times New Roman" w:hAnsi="Times New Roman" w:cs="Times New Roman"/>
                <w:sz w:val="24"/>
                <w:szCs w:val="24"/>
              </w:rPr>
              <w:t>prva skupina</w:t>
            </w:r>
          </w:p>
        </w:tc>
        <w:tc>
          <w:tcPr>
            <w:tcW w:w="1405" w:type="dxa"/>
            <w:shd w:val="clear" w:color="auto" w:fill="auto"/>
            <w:noWrap/>
            <w:hideMark/>
          </w:tcPr>
          <w:p w:rsidR="00BE02F6" w:rsidRPr="00AD640D" w:rsidRDefault="00BE02F6" w:rsidP="00BE02F6">
            <w:pPr>
              <w:pStyle w:val="NoSpacing"/>
              <w:jc w:val="center"/>
              <w:rPr>
                <w:rFonts w:ascii="Times New Roman" w:hAnsi="Times New Roman" w:cs="Times New Roman"/>
                <w:sz w:val="24"/>
                <w:szCs w:val="24"/>
              </w:rPr>
            </w:pPr>
            <w:r w:rsidRPr="00AD640D">
              <w:rPr>
                <w:rFonts w:ascii="Times New Roman" w:hAnsi="Times New Roman" w:cs="Times New Roman"/>
                <w:sz w:val="24"/>
                <w:szCs w:val="24"/>
              </w:rPr>
              <w:t>0,00</w:t>
            </w:r>
          </w:p>
        </w:tc>
        <w:tc>
          <w:tcPr>
            <w:tcW w:w="1405" w:type="dxa"/>
            <w:shd w:val="clear" w:color="auto" w:fill="auto"/>
            <w:noWrap/>
            <w:hideMark/>
          </w:tcPr>
          <w:p w:rsidR="00BE02F6" w:rsidRPr="00AD640D" w:rsidRDefault="00BE02F6" w:rsidP="00BE02F6">
            <w:pPr>
              <w:pStyle w:val="NoSpacing"/>
              <w:jc w:val="center"/>
              <w:rPr>
                <w:rFonts w:ascii="Times New Roman" w:hAnsi="Times New Roman" w:cs="Times New Roman"/>
                <w:sz w:val="24"/>
                <w:szCs w:val="24"/>
              </w:rPr>
            </w:pPr>
            <w:r w:rsidRPr="00AD640D">
              <w:rPr>
                <w:rFonts w:ascii="Times New Roman" w:hAnsi="Times New Roman" w:cs="Times New Roman"/>
                <w:sz w:val="24"/>
                <w:szCs w:val="24"/>
              </w:rPr>
              <w:t>100.000,00</w:t>
            </w:r>
          </w:p>
        </w:tc>
        <w:tc>
          <w:tcPr>
            <w:tcW w:w="1471" w:type="dxa"/>
            <w:shd w:val="clear" w:color="auto" w:fill="auto"/>
            <w:noWrap/>
          </w:tcPr>
          <w:p w:rsidR="00BE02F6" w:rsidRPr="00AD640D" w:rsidRDefault="00BE02F6" w:rsidP="00BE02F6">
            <w:pPr>
              <w:pStyle w:val="NoSpacing"/>
              <w:jc w:val="center"/>
              <w:rPr>
                <w:rFonts w:ascii="Times New Roman" w:hAnsi="Times New Roman" w:cs="Times New Roman"/>
                <w:sz w:val="24"/>
                <w:szCs w:val="24"/>
              </w:rPr>
            </w:pPr>
            <w:r w:rsidRPr="00AD640D">
              <w:rPr>
                <w:rFonts w:ascii="Times New Roman" w:hAnsi="Times New Roman" w:cs="Times New Roman"/>
                <w:sz w:val="24"/>
                <w:szCs w:val="24"/>
              </w:rPr>
              <w:t>0</w:t>
            </w:r>
          </w:p>
        </w:tc>
        <w:tc>
          <w:tcPr>
            <w:tcW w:w="838" w:type="dxa"/>
            <w:shd w:val="clear" w:color="auto" w:fill="auto"/>
          </w:tcPr>
          <w:p w:rsidR="00BE02F6" w:rsidRPr="00AD640D" w:rsidRDefault="00BE02F6" w:rsidP="00BE02F6">
            <w:pPr>
              <w:pStyle w:val="NoSpacing"/>
              <w:jc w:val="center"/>
              <w:rPr>
                <w:rFonts w:ascii="Times New Roman" w:hAnsi="Times New Roman" w:cs="Times New Roman"/>
                <w:sz w:val="24"/>
                <w:szCs w:val="24"/>
              </w:rPr>
            </w:pPr>
          </w:p>
        </w:tc>
      </w:tr>
      <w:tr w:rsidR="00AD640D" w:rsidRPr="00AD640D" w:rsidTr="00BE02F6">
        <w:trPr>
          <w:trHeight w:val="315"/>
          <w:tblCellSpacing w:w="20" w:type="dxa"/>
        </w:trPr>
        <w:tc>
          <w:tcPr>
            <w:tcW w:w="2152" w:type="dxa"/>
            <w:shd w:val="clear" w:color="auto" w:fill="auto"/>
            <w:hideMark/>
          </w:tcPr>
          <w:p w:rsidR="00BE02F6" w:rsidRPr="00AD640D" w:rsidRDefault="00BE02F6" w:rsidP="00BE02F6">
            <w:pPr>
              <w:pStyle w:val="NoSpacing"/>
              <w:rPr>
                <w:rFonts w:ascii="Times New Roman" w:eastAsia="Times New Roman" w:hAnsi="Times New Roman" w:cs="Times New Roman"/>
                <w:sz w:val="24"/>
                <w:szCs w:val="24"/>
              </w:rPr>
            </w:pPr>
            <w:r w:rsidRPr="00AD640D">
              <w:rPr>
                <w:rFonts w:ascii="Times New Roman" w:eastAsia="Times New Roman" w:hAnsi="Times New Roman" w:cs="Times New Roman"/>
                <w:sz w:val="24"/>
                <w:szCs w:val="24"/>
              </w:rPr>
              <w:t>druga skupina</w:t>
            </w:r>
          </w:p>
        </w:tc>
        <w:tc>
          <w:tcPr>
            <w:tcW w:w="1405" w:type="dxa"/>
            <w:shd w:val="clear" w:color="auto" w:fill="auto"/>
            <w:noWrap/>
            <w:hideMark/>
          </w:tcPr>
          <w:p w:rsidR="00BE02F6" w:rsidRPr="00AD640D" w:rsidRDefault="00BE02F6" w:rsidP="00BE02F6">
            <w:pPr>
              <w:pStyle w:val="NoSpacing"/>
              <w:jc w:val="center"/>
              <w:rPr>
                <w:rFonts w:ascii="Times New Roman" w:hAnsi="Times New Roman" w:cs="Times New Roman"/>
                <w:sz w:val="24"/>
                <w:szCs w:val="24"/>
              </w:rPr>
            </w:pPr>
            <w:r w:rsidRPr="00AD640D">
              <w:rPr>
                <w:rFonts w:ascii="Times New Roman" w:hAnsi="Times New Roman" w:cs="Times New Roman"/>
                <w:sz w:val="24"/>
                <w:szCs w:val="24"/>
              </w:rPr>
              <w:t>100.000,01</w:t>
            </w:r>
          </w:p>
        </w:tc>
        <w:tc>
          <w:tcPr>
            <w:tcW w:w="1405" w:type="dxa"/>
            <w:shd w:val="clear" w:color="auto" w:fill="auto"/>
            <w:noWrap/>
            <w:hideMark/>
          </w:tcPr>
          <w:p w:rsidR="00BE02F6" w:rsidRPr="00AD640D" w:rsidRDefault="00BE02F6" w:rsidP="00BE02F6">
            <w:pPr>
              <w:pStyle w:val="NoSpacing"/>
              <w:jc w:val="center"/>
              <w:rPr>
                <w:rFonts w:ascii="Times New Roman" w:hAnsi="Times New Roman" w:cs="Times New Roman"/>
                <w:sz w:val="24"/>
                <w:szCs w:val="24"/>
              </w:rPr>
            </w:pPr>
            <w:r w:rsidRPr="00AD640D">
              <w:rPr>
                <w:rFonts w:ascii="Times New Roman" w:hAnsi="Times New Roman" w:cs="Times New Roman"/>
                <w:sz w:val="24"/>
                <w:szCs w:val="24"/>
              </w:rPr>
              <w:t>150.000,00</w:t>
            </w:r>
          </w:p>
        </w:tc>
        <w:tc>
          <w:tcPr>
            <w:tcW w:w="1471" w:type="dxa"/>
            <w:shd w:val="clear" w:color="auto" w:fill="auto"/>
            <w:noWrap/>
          </w:tcPr>
          <w:p w:rsidR="00BE02F6" w:rsidRPr="00AD640D" w:rsidRDefault="00BE02F6" w:rsidP="00BE02F6">
            <w:pPr>
              <w:pStyle w:val="NoSpacing"/>
              <w:jc w:val="center"/>
              <w:rPr>
                <w:rFonts w:ascii="Times New Roman" w:hAnsi="Times New Roman" w:cs="Times New Roman"/>
                <w:sz w:val="24"/>
                <w:szCs w:val="24"/>
              </w:rPr>
            </w:pPr>
            <w:r w:rsidRPr="00AD640D">
              <w:rPr>
                <w:rFonts w:ascii="Times New Roman" w:hAnsi="Times New Roman" w:cs="Times New Roman"/>
                <w:sz w:val="24"/>
                <w:szCs w:val="24"/>
              </w:rPr>
              <w:t>0</w:t>
            </w:r>
          </w:p>
        </w:tc>
        <w:tc>
          <w:tcPr>
            <w:tcW w:w="838" w:type="dxa"/>
            <w:shd w:val="clear" w:color="auto" w:fill="auto"/>
          </w:tcPr>
          <w:p w:rsidR="00BE02F6" w:rsidRPr="00AD640D" w:rsidRDefault="00BE02F6" w:rsidP="00BE02F6">
            <w:pPr>
              <w:pStyle w:val="NoSpacing"/>
              <w:jc w:val="center"/>
              <w:rPr>
                <w:rFonts w:ascii="Times New Roman" w:hAnsi="Times New Roman" w:cs="Times New Roman"/>
                <w:sz w:val="24"/>
                <w:szCs w:val="24"/>
              </w:rPr>
            </w:pPr>
          </w:p>
        </w:tc>
      </w:tr>
      <w:tr w:rsidR="00AD640D" w:rsidRPr="00AD640D" w:rsidTr="00BE02F6">
        <w:trPr>
          <w:trHeight w:val="315"/>
          <w:tblCellSpacing w:w="20" w:type="dxa"/>
        </w:trPr>
        <w:tc>
          <w:tcPr>
            <w:tcW w:w="2152" w:type="dxa"/>
            <w:shd w:val="clear" w:color="auto" w:fill="auto"/>
            <w:hideMark/>
          </w:tcPr>
          <w:p w:rsidR="00BE02F6" w:rsidRPr="00AD640D" w:rsidRDefault="00BE02F6" w:rsidP="00BE02F6">
            <w:pPr>
              <w:pStyle w:val="NoSpacing"/>
              <w:rPr>
                <w:rFonts w:ascii="Times New Roman" w:eastAsia="Times New Roman" w:hAnsi="Times New Roman" w:cs="Times New Roman"/>
                <w:sz w:val="24"/>
                <w:szCs w:val="24"/>
              </w:rPr>
            </w:pPr>
            <w:r w:rsidRPr="00AD640D">
              <w:rPr>
                <w:rFonts w:ascii="Times New Roman" w:eastAsia="Times New Roman" w:hAnsi="Times New Roman" w:cs="Times New Roman"/>
                <w:sz w:val="24"/>
                <w:szCs w:val="24"/>
              </w:rPr>
              <w:t>treća skupina</w:t>
            </w:r>
          </w:p>
        </w:tc>
        <w:tc>
          <w:tcPr>
            <w:tcW w:w="1405" w:type="dxa"/>
            <w:shd w:val="clear" w:color="auto" w:fill="auto"/>
            <w:noWrap/>
            <w:hideMark/>
          </w:tcPr>
          <w:p w:rsidR="00BE02F6" w:rsidRPr="00AD640D" w:rsidRDefault="00BE02F6" w:rsidP="00BE02F6">
            <w:pPr>
              <w:pStyle w:val="NoSpacing"/>
              <w:jc w:val="center"/>
              <w:rPr>
                <w:rFonts w:ascii="Times New Roman" w:hAnsi="Times New Roman" w:cs="Times New Roman"/>
                <w:sz w:val="24"/>
                <w:szCs w:val="24"/>
              </w:rPr>
            </w:pPr>
            <w:r w:rsidRPr="00AD640D">
              <w:rPr>
                <w:rFonts w:ascii="Times New Roman" w:hAnsi="Times New Roman" w:cs="Times New Roman"/>
                <w:sz w:val="24"/>
                <w:szCs w:val="24"/>
              </w:rPr>
              <w:t>150.000,01</w:t>
            </w:r>
          </w:p>
        </w:tc>
        <w:tc>
          <w:tcPr>
            <w:tcW w:w="1405" w:type="dxa"/>
            <w:shd w:val="clear" w:color="auto" w:fill="auto"/>
            <w:noWrap/>
            <w:hideMark/>
          </w:tcPr>
          <w:p w:rsidR="00BE02F6" w:rsidRPr="00AD640D" w:rsidRDefault="00BE02F6" w:rsidP="00BE02F6">
            <w:pPr>
              <w:pStyle w:val="NoSpacing"/>
              <w:jc w:val="center"/>
              <w:rPr>
                <w:rFonts w:ascii="Times New Roman" w:hAnsi="Times New Roman" w:cs="Times New Roman"/>
                <w:sz w:val="24"/>
                <w:szCs w:val="24"/>
              </w:rPr>
            </w:pPr>
            <w:r w:rsidRPr="00AD640D">
              <w:rPr>
                <w:rFonts w:ascii="Times New Roman" w:hAnsi="Times New Roman" w:cs="Times New Roman"/>
                <w:sz w:val="24"/>
                <w:szCs w:val="24"/>
              </w:rPr>
              <w:t>200.000,00</w:t>
            </w:r>
          </w:p>
        </w:tc>
        <w:tc>
          <w:tcPr>
            <w:tcW w:w="1471" w:type="dxa"/>
            <w:shd w:val="clear" w:color="auto" w:fill="auto"/>
            <w:noWrap/>
          </w:tcPr>
          <w:p w:rsidR="00BE02F6" w:rsidRPr="00AD640D" w:rsidRDefault="00BE02F6" w:rsidP="00BE02F6">
            <w:pPr>
              <w:pStyle w:val="NoSpacing"/>
              <w:jc w:val="center"/>
              <w:rPr>
                <w:rFonts w:ascii="Times New Roman" w:hAnsi="Times New Roman" w:cs="Times New Roman"/>
                <w:sz w:val="24"/>
                <w:szCs w:val="24"/>
              </w:rPr>
            </w:pPr>
            <w:r w:rsidRPr="00AD640D">
              <w:rPr>
                <w:rFonts w:ascii="Times New Roman" w:hAnsi="Times New Roman" w:cs="Times New Roman"/>
                <w:sz w:val="24"/>
                <w:szCs w:val="24"/>
              </w:rPr>
              <w:t>0</w:t>
            </w:r>
          </w:p>
        </w:tc>
        <w:tc>
          <w:tcPr>
            <w:tcW w:w="838" w:type="dxa"/>
            <w:shd w:val="clear" w:color="auto" w:fill="auto"/>
          </w:tcPr>
          <w:p w:rsidR="00BE02F6" w:rsidRPr="00AD640D" w:rsidRDefault="00BE02F6" w:rsidP="00BE02F6">
            <w:pPr>
              <w:pStyle w:val="NoSpacing"/>
              <w:jc w:val="center"/>
              <w:rPr>
                <w:rFonts w:ascii="Times New Roman" w:hAnsi="Times New Roman" w:cs="Times New Roman"/>
                <w:sz w:val="24"/>
                <w:szCs w:val="24"/>
              </w:rPr>
            </w:pPr>
          </w:p>
        </w:tc>
      </w:tr>
      <w:tr w:rsidR="00AD640D" w:rsidRPr="00AD640D" w:rsidTr="00BE02F6">
        <w:trPr>
          <w:trHeight w:val="315"/>
          <w:tblCellSpacing w:w="20" w:type="dxa"/>
        </w:trPr>
        <w:tc>
          <w:tcPr>
            <w:tcW w:w="2152" w:type="dxa"/>
            <w:shd w:val="clear" w:color="auto" w:fill="auto"/>
            <w:hideMark/>
          </w:tcPr>
          <w:p w:rsidR="00BE02F6" w:rsidRPr="00AD640D" w:rsidRDefault="00BE02F6" w:rsidP="00BE02F6">
            <w:pPr>
              <w:pStyle w:val="NoSpacing"/>
              <w:rPr>
                <w:rFonts w:ascii="Times New Roman" w:eastAsia="Times New Roman" w:hAnsi="Times New Roman" w:cs="Times New Roman"/>
                <w:sz w:val="24"/>
                <w:szCs w:val="24"/>
              </w:rPr>
            </w:pPr>
            <w:r w:rsidRPr="00AD640D">
              <w:rPr>
                <w:rFonts w:ascii="Times New Roman" w:eastAsia="Times New Roman" w:hAnsi="Times New Roman" w:cs="Times New Roman"/>
                <w:sz w:val="24"/>
                <w:szCs w:val="24"/>
              </w:rPr>
              <w:t>četvrta skupina</w:t>
            </w:r>
          </w:p>
        </w:tc>
        <w:tc>
          <w:tcPr>
            <w:tcW w:w="1405" w:type="dxa"/>
            <w:shd w:val="clear" w:color="auto" w:fill="auto"/>
            <w:noWrap/>
            <w:hideMark/>
          </w:tcPr>
          <w:p w:rsidR="00BE02F6" w:rsidRPr="00AD640D" w:rsidRDefault="00BE02F6" w:rsidP="00BE02F6">
            <w:pPr>
              <w:pStyle w:val="NoSpacing"/>
              <w:jc w:val="center"/>
              <w:rPr>
                <w:rFonts w:ascii="Times New Roman" w:hAnsi="Times New Roman" w:cs="Times New Roman"/>
                <w:sz w:val="24"/>
                <w:szCs w:val="24"/>
              </w:rPr>
            </w:pPr>
            <w:r w:rsidRPr="00AD640D">
              <w:rPr>
                <w:rFonts w:ascii="Times New Roman" w:hAnsi="Times New Roman" w:cs="Times New Roman"/>
                <w:sz w:val="24"/>
                <w:szCs w:val="24"/>
              </w:rPr>
              <w:t>200.000,01</w:t>
            </w:r>
          </w:p>
        </w:tc>
        <w:tc>
          <w:tcPr>
            <w:tcW w:w="1405" w:type="dxa"/>
            <w:shd w:val="clear" w:color="auto" w:fill="auto"/>
            <w:noWrap/>
            <w:hideMark/>
          </w:tcPr>
          <w:p w:rsidR="00BE02F6" w:rsidRPr="00AD640D" w:rsidRDefault="00BE02F6" w:rsidP="00BE02F6">
            <w:pPr>
              <w:pStyle w:val="NoSpacing"/>
              <w:jc w:val="center"/>
              <w:rPr>
                <w:rFonts w:ascii="Times New Roman" w:hAnsi="Times New Roman" w:cs="Times New Roman"/>
                <w:sz w:val="24"/>
                <w:szCs w:val="24"/>
              </w:rPr>
            </w:pPr>
            <w:r w:rsidRPr="00AD640D">
              <w:rPr>
                <w:rFonts w:ascii="Times New Roman" w:hAnsi="Times New Roman" w:cs="Times New Roman"/>
                <w:sz w:val="24"/>
                <w:szCs w:val="24"/>
              </w:rPr>
              <w:t>250.000,00</w:t>
            </w:r>
          </w:p>
        </w:tc>
        <w:tc>
          <w:tcPr>
            <w:tcW w:w="1471" w:type="dxa"/>
            <w:shd w:val="clear" w:color="auto" w:fill="auto"/>
            <w:noWrap/>
          </w:tcPr>
          <w:p w:rsidR="00BE02F6" w:rsidRPr="00AD640D" w:rsidRDefault="00BE02F6" w:rsidP="00BE02F6">
            <w:pPr>
              <w:pStyle w:val="NoSpacing"/>
              <w:jc w:val="center"/>
              <w:rPr>
                <w:rFonts w:ascii="Times New Roman" w:hAnsi="Times New Roman" w:cs="Times New Roman"/>
                <w:sz w:val="24"/>
                <w:szCs w:val="24"/>
              </w:rPr>
            </w:pPr>
            <w:r w:rsidRPr="00AD640D">
              <w:rPr>
                <w:rFonts w:ascii="Times New Roman" w:hAnsi="Times New Roman" w:cs="Times New Roman"/>
                <w:sz w:val="24"/>
                <w:szCs w:val="24"/>
              </w:rPr>
              <w:t>3.000</w:t>
            </w:r>
          </w:p>
        </w:tc>
        <w:tc>
          <w:tcPr>
            <w:tcW w:w="838" w:type="dxa"/>
            <w:shd w:val="clear" w:color="auto" w:fill="auto"/>
          </w:tcPr>
          <w:p w:rsidR="00BE02F6" w:rsidRPr="00AD640D" w:rsidRDefault="00BE02F6" w:rsidP="00BE02F6">
            <w:pPr>
              <w:pStyle w:val="NoSpacing"/>
              <w:jc w:val="center"/>
              <w:rPr>
                <w:rFonts w:ascii="Times New Roman" w:hAnsi="Times New Roman" w:cs="Times New Roman"/>
                <w:sz w:val="24"/>
                <w:szCs w:val="24"/>
              </w:rPr>
            </w:pPr>
            <w:r w:rsidRPr="00AD640D">
              <w:rPr>
                <w:rFonts w:ascii="Times New Roman" w:hAnsi="Times New Roman" w:cs="Times New Roman"/>
                <w:sz w:val="24"/>
                <w:szCs w:val="24"/>
              </w:rPr>
              <w:t>3,00</w:t>
            </w:r>
          </w:p>
        </w:tc>
      </w:tr>
      <w:tr w:rsidR="00AD640D" w:rsidRPr="00AD640D" w:rsidTr="00BE02F6">
        <w:trPr>
          <w:trHeight w:val="315"/>
          <w:tblCellSpacing w:w="20" w:type="dxa"/>
        </w:trPr>
        <w:tc>
          <w:tcPr>
            <w:tcW w:w="2152" w:type="dxa"/>
            <w:shd w:val="clear" w:color="auto" w:fill="auto"/>
          </w:tcPr>
          <w:p w:rsidR="00BE02F6" w:rsidRPr="00AD640D" w:rsidRDefault="00BE02F6" w:rsidP="00BE02F6">
            <w:pPr>
              <w:pStyle w:val="NoSpacing"/>
              <w:rPr>
                <w:rFonts w:ascii="Times New Roman" w:eastAsia="Times New Roman" w:hAnsi="Times New Roman" w:cs="Times New Roman"/>
                <w:sz w:val="24"/>
                <w:szCs w:val="24"/>
              </w:rPr>
            </w:pPr>
            <w:r w:rsidRPr="00AD640D">
              <w:rPr>
                <w:rFonts w:ascii="Times New Roman" w:eastAsia="Times New Roman" w:hAnsi="Times New Roman" w:cs="Times New Roman"/>
                <w:sz w:val="24"/>
                <w:szCs w:val="24"/>
              </w:rPr>
              <w:t>peta skupina</w:t>
            </w:r>
          </w:p>
        </w:tc>
        <w:tc>
          <w:tcPr>
            <w:tcW w:w="1405" w:type="dxa"/>
            <w:shd w:val="clear" w:color="auto" w:fill="auto"/>
            <w:noWrap/>
          </w:tcPr>
          <w:p w:rsidR="00BE02F6" w:rsidRPr="00AD640D" w:rsidRDefault="00BE02F6" w:rsidP="00BE02F6">
            <w:pPr>
              <w:pStyle w:val="NoSpacing"/>
              <w:jc w:val="center"/>
              <w:rPr>
                <w:rFonts w:ascii="Times New Roman" w:hAnsi="Times New Roman" w:cs="Times New Roman"/>
                <w:sz w:val="24"/>
                <w:szCs w:val="24"/>
              </w:rPr>
            </w:pPr>
            <w:r w:rsidRPr="00AD640D">
              <w:rPr>
                <w:rFonts w:ascii="Times New Roman" w:hAnsi="Times New Roman" w:cs="Times New Roman"/>
                <w:sz w:val="24"/>
                <w:szCs w:val="24"/>
              </w:rPr>
              <w:t>250.000,01</w:t>
            </w:r>
          </w:p>
        </w:tc>
        <w:tc>
          <w:tcPr>
            <w:tcW w:w="1405" w:type="dxa"/>
            <w:shd w:val="clear" w:color="auto" w:fill="auto"/>
            <w:noWrap/>
          </w:tcPr>
          <w:p w:rsidR="00BE02F6" w:rsidRPr="00AD640D" w:rsidRDefault="00BE02F6" w:rsidP="00BE02F6">
            <w:pPr>
              <w:pStyle w:val="NoSpacing"/>
              <w:jc w:val="center"/>
              <w:rPr>
                <w:rFonts w:ascii="Times New Roman" w:hAnsi="Times New Roman" w:cs="Times New Roman"/>
                <w:sz w:val="24"/>
                <w:szCs w:val="24"/>
              </w:rPr>
            </w:pPr>
            <w:r w:rsidRPr="00AD640D">
              <w:rPr>
                <w:rFonts w:ascii="Times New Roman" w:hAnsi="Times New Roman" w:cs="Times New Roman"/>
                <w:sz w:val="24"/>
                <w:szCs w:val="24"/>
              </w:rPr>
              <w:t>300.000,00</w:t>
            </w:r>
          </w:p>
        </w:tc>
        <w:tc>
          <w:tcPr>
            <w:tcW w:w="1471" w:type="dxa"/>
            <w:shd w:val="clear" w:color="auto" w:fill="auto"/>
            <w:noWrap/>
          </w:tcPr>
          <w:p w:rsidR="00BE02F6" w:rsidRPr="00AD640D" w:rsidRDefault="00BE02F6" w:rsidP="00BE02F6">
            <w:pPr>
              <w:pStyle w:val="NoSpacing"/>
              <w:jc w:val="center"/>
              <w:rPr>
                <w:rFonts w:ascii="Times New Roman" w:hAnsi="Times New Roman" w:cs="Times New Roman"/>
                <w:sz w:val="24"/>
                <w:szCs w:val="24"/>
              </w:rPr>
            </w:pPr>
            <w:r w:rsidRPr="00AD640D">
              <w:rPr>
                <w:rFonts w:ascii="Times New Roman" w:hAnsi="Times New Roman" w:cs="Times New Roman"/>
                <w:sz w:val="24"/>
                <w:szCs w:val="24"/>
              </w:rPr>
              <w:t>4.500</w:t>
            </w:r>
          </w:p>
        </w:tc>
        <w:tc>
          <w:tcPr>
            <w:tcW w:w="838" w:type="dxa"/>
            <w:shd w:val="clear" w:color="auto" w:fill="auto"/>
          </w:tcPr>
          <w:p w:rsidR="00BE02F6" w:rsidRPr="00AD640D" w:rsidRDefault="00BE02F6" w:rsidP="00BE02F6">
            <w:pPr>
              <w:pStyle w:val="NoSpacing"/>
              <w:jc w:val="center"/>
              <w:rPr>
                <w:rFonts w:ascii="Times New Roman" w:hAnsi="Times New Roman" w:cs="Times New Roman"/>
                <w:sz w:val="24"/>
                <w:szCs w:val="24"/>
              </w:rPr>
            </w:pPr>
            <w:r w:rsidRPr="00AD640D">
              <w:rPr>
                <w:rFonts w:ascii="Times New Roman" w:hAnsi="Times New Roman" w:cs="Times New Roman"/>
                <w:sz w:val="24"/>
                <w:szCs w:val="24"/>
              </w:rPr>
              <w:t>5,00</w:t>
            </w:r>
          </w:p>
        </w:tc>
      </w:tr>
      <w:tr w:rsidR="00AD640D" w:rsidRPr="00AD640D" w:rsidTr="00BE02F6">
        <w:trPr>
          <w:trHeight w:val="330"/>
          <w:tblCellSpacing w:w="20" w:type="dxa"/>
        </w:trPr>
        <w:tc>
          <w:tcPr>
            <w:tcW w:w="2152" w:type="dxa"/>
            <w:shd w:val="clear" w:color="auto" w:fill="auto"/>
            <w:hideMark/>
          </w:tcPr>
          <w:p w:rsidR="00BE02F6" w:rsidRPr="00AD640D" w:rsidRDefault="00BE02F6" w:rsidP="00BE02F6">
            <w:pPr>
              <w:pStyle w:val="NoSpacing"/>
              <w:rPr>
                <w:rFonts w:ascii="Times New Roman" w:eastAsia="Times New Roman" w:hAnsi="Times New Roman" w:cs="Times New Roman"/>
                <w:sz w:val="24"/>
                <w:szCs w:val="24"/>
              </w:rPr>
            </w:pPr>
            <w:r w:rsidRPr="00AD640D">
              <w:rPr>
                <w:rFonts w:ascii="Times New Roman" w:eastAsia="Times New Roman" w:hAnsi="Times New Roman" w:cs="Times New Roman"/>
                <w:sz w:val="24"/>
                <w:szCs w:val="24"/>
              </w:rPr>
              <w:t>šesta skupina</w:t>
            </w:r>
          </w:p>
        </w:tc>
        <w:tc>
          <w:tcPr>
            <w:tcW w:w="1405" w:type="dxa"/>
            <w:shd w:val="clear" w:color="auto" w:fill="auto"/>
            <w:noWrap/>
            <w:hideMark/>
          </w:tcPr>
          <w:p w:rsidR="00BE02F6" w:rsidRPr="00AD640D" w:rsidRDefault="00BE02F6" w:rsidP="00BE02F6">
            <w:pPr>
              <w:pStyle w:val="NoSpacing"/>
              <w:jc w:val="center"/>
              <w:rPr>
                <w:rFonts w:ascii="Times New Roman" w:hAnsi="Times New Roman" w:cs="Times New Roman"/>
                <w:sz w:val="24"/>
                <w:szCs w:val="24"/>
              </w:rPr>
            </w:pPr>
            <w:r w:rsidRPr="00AD640D">
              <w:rPr>
                <w:rFonts w:ascii="Times New Roman" w:hAnsi="Times New Roman" w:cs="Times New Roman"/>
                <w:sz w:val="24"/>
                <w:szCs w:val="24"/>
              </w:rPr>
              <w:t>300.000,01</w:t>
            </w:r>
          </w:p>
        </w:tc>
        <w:tc>
          <w:tcPr>
            <w:tcW w:w="1405" w:type="dxa"/>
            <w:shd w:val="clear" w:color="auto" w:fill="auto"/>
            <w:noWrap/>
            <w:hideMark/>
          </w:tcPr>
          <w:p w:rsidR="00BE02F6" w:rsidRPr="00AD640D" w:rsidRDefault="00BE02F6" w:rsidP="00BE02F6">
            <w:pPr>
              <w:pStyle w:val="NoSpacing"/>
              <w:jc w:val="center"/>
              <w:rPr>
                <w:rFonts w:ascii="Times New Roman" w:hAnsi="Times New Roman" w:cs="Times New Roman"/>
                <w:sz w:val="24"/>
                <w:szCs w:val="24"/>
              </w:rPr>
            </w:pPr>
            <w:r w:rsidRPr="00AD640D">
              <w:rPr>
                <w:rFonts w:ascii="Times New Roman" w:hAnsi="Times New Roman" w:cs="Times New Roman"/>
                <w:sz w:val="24"/>
                <w:szCs w:val="24"/>
              </w:rPr>
              <w:t>350.000,00</w:t>
            </w:r>
          </w:p>
        </w:tc>
        <w:tc>
          <w:tcPr>
            <w:tcW w:w="1471" w:type="dxa"/>
            <w:shd w:val="clear" w:color="auto" w:fill="auto"/>
            <w:noWrap/>
          </w:tcPr>
          <w:p w:rsidR="00BE02F6" w:rsidRPr="00AD640D" w:rsidRDefault="00BE02F6" w:rsidP="00BE02F6">
            <w:pPr>
              <w:pStyle w:val="NoSpacing"/>
              <w:jc w:val="center"/>
              <w:rPr>
                <w:rFonts w:ascii="Times New Roman" w:hAnsi="Times New Roman" w:cs="Times New Roman"/>
                <w:sz w:val="24"/>
                <w:szCs w:val="24"/>
              </w:rPr>
            </w:pPr>
            <w:r w:rsidRPr="00AD640D">
              <w:rPr>
                <w:rFonts w:ascii="Times New Roman" w:hAnsi="Times New Roman" w:cs="Times New Roman"/>
                <w:sz w:val="24"/>
                <w:szCs w:val="24"/>
              </w:rPr>
              <w:t>7.000</w:t>
            </w:r>
          </w:p>
        </w:tc>
        <w:tc>
          <w:tcPr>
            <w:tcW w:w="838" w:type="dxa"/>
            <w:shd w:val="clear" w:color="auto" w:fill="auto"/>
          </w:tcPr>
          <w:p w:rsidR="00BE02F6" w:rsidRPr="00AD640D" w:rsidRDefault="00BE02F6" w:rsidP="00BE02F6">
            <w:pPr>
              <w:pStyle w:val="NoSpacing"/>
              <w:jc w:val="center"/>
              <w:rPr>
                <w:rFonts w:ascii="Times New Roman" w:hAnsi="Times New Roman" w:cs="Times New Roman"/>
                <w:sz w:val="24"/>
                <w:szCs w:val="24"/>
              </w:rPr>
            </w:pPr>
            <w:r w:rsidRPr="00AD640D">
              <w:rPr>
                <w:rFonts w:ascii="Times New Roman" w:hAnsi="Times New Roman" w:cs="Times New Roman"/>
                <w:sz w:val="24"/>
                <w:szCs w:val="24"/>
              </w:rPr>
              <w:t>7,00</w:t>
            </w:r>
          </w:p>
        </w:tc>
      </w:tr>
      <w:tr w:rsidR="00AD640D" w:rsidRPr="00AD640D" w:rsidTr="00BE02F6">
        <w:trPr>
          <w:trHeight w:val="315"/>
          <w:tblCellSpacing w:w="20" w:type="dxa"/>
        </w:trPr>
        <w:tc>
          <w:tcPr>
            <w:tcW w:w="2152" w:type="dxa"/>
            <w:shd w:val="clear" w:color="auto" w:fill="auto"/>
            <w:hideMark/>
          </w:tcPr>
          <w:p w:rsidR="00BE02F6" w:rsidRPr="00AD640D" w:rsidRDefault="00BE02F6" w:rsidP="00BE02F6">
            <w:pPr>
              <w:pStyle w:val="NoSpacing"/>
              <w:rPr>
                <w:rFonts w:ascii="Times New Roman" w:eastAsia="Times New Roman" w:hAnsi="Times New Roman" w:cs="Times New Roman"/>
                <w:sz w:val="24"/>
                <w:szCs w:val="24"/>
              </w:rPr>
            </w:pPr>
            <w:r w:rsidRPr="00AD640D">
              <w:rPr>
                <w:rFonts w:ascii="Times New Roman" w:eastAsia="Times New Roman" w:hAnsi="Times New Roman" w:cs="Times New Roman"/>
                <w:sz w:val="24"/>
                <w:szCs w:val="24"/>
              </w:rPr>
              <w:t>sedma skupina</w:t>
            </w:r>
          </w:p>
        </w:tc>
        <w:tc>
          <w:tcPr>
            <w:tcW w:w="1405" w:type="dxa"/>
            <w:shd w:val="clear" w:color="auto" w:fill="auto"/>
            <w:noWrap/>
            <w:hideMark/>
          </w:tcPr>
          <w:p w:rsidR="00BE02F6" w:rsidRPr="00AD640D" w:rsidRDefault="00BE02F6" w:rsidP="00BE02F6">
            <w:pPr>
              <w:pStyle w:val="NoSpacing"/>
              <w:jc w:val="center"/>
              <w:rPr>
                <w:rFonts w:ascii="Times New Roman" w:hAnsi="Times New Roman" w:cs="Times New Roman"/>
                <w:sz w:val="24"/>
                <w:szCs w:val="24"/>
              </w:rPr>
            </w:pPr>
            <w:r w:rsidRPr="00AD640D">
              <w:rPr>
                <w:rFonts w:ascii="Times New Roman" w:hAnsi="Times New Roman" w:cs="Times New Roman"/>
                <w:sz w:val="24"/>
                <w:szCs w:val="24"/>
              </w:rPr>
              <w:t>350.000,01</w:t>
            </w:r>
          </w:p>
        </w:tc>
        <w:tc>
          <w:tcPr>
            <w:tcW w:w="1405" w:type="dxa"/>
            <w:shd w:val="clear" w:color="auto" w:fill="auto"/>
            <w:noWrap/>
            <w:hideMark/>
          </w:tcPr>
          <w:p w:rsidR="00BE02F6" w:rsidRPr="00AD640D" w:rsidRDefault="00BE02F6" w:rsidP="00BE02F6">
            <w:pPr>
              <w:pStyle w:val="NoSpacing"/>
              <w:jc w:val="center"/>
              <w:rPr>
                <w:rFonts w:ascii="Times New Roman" w:hAnsi="Times New Roman" w:cs="Times New Roman"/>
                <w:sz w:val="24"/>
                <w:szCs w:val="24"/>
              </w:rPr>
            </w:pPr>
            <w:r w:rsidRPr="00AD640D">
              <w:rPr>
                <w:rFonts w:ascii="Times New Roman" w:hAnsi="Times New Roman" w:cs="Times New Roman"/>
                <w:sz w:val="24"/>
                <w:szCs w:val="24"/>
              </w:rPr>
              <w:t>400.000,00</w:t>
            </w:r>
          </w:p>
        </w:tc>
        <w:tc>
          <w:tcPr>
            <w:tcW w:w="1471" w:type="dxa"/>
            <w:shd w:val="clear" w:color="auto" w:fill="auto"/>
            <w:noWrap/>
          </w:tcPr>
          <w:p w:rsidR="00BE02F6" w:rsidRPr="00AD640D" w:rsidRDefault="00BE02F6" w:rsidP="00BE02F6">
            <w:pPr>
              <w:pStyle w:val="NoSpacing"/>
              <w:jc w:val="center"/>
              <w:rPr>
                <w:rFonts w:ascii="Times New Roman" w:hAnsi="Times New Roman" w:cs="Times New Roman"/>
                <w:sz w:val="24"/>
                <w:szCs w:val="24"/>
              </w:rPr>
            </w:pPr>
            <w:r w:rsidRPr="00AD640D">
              <w:rPr>
                <w:rFonts w:ascii="Times New Roman" w:hAnsi="Times New Roman" w:cs="Times New Roman"/>
                <w:sz w:val="24"/>
                <w:szCs w:val="24"/>
              </w:rPr>
              <w:t>10.500</w:t>
            </w:r>
          </w:p>
        </w:tc>
        <w:tc>
          <w:tcPr>
            <w:tcW w:w="838" w:type="dxa"/>
            <w:shd w:val="clear" w:color="auto" w:fill="auto"/>
          </w:tcPr>
          <w:p w:rsidR="00BE02F6" w:rsidRPr="00AD640D" w:rsidRDefault="00BE02F6" w:rsidP="00BE02F6">
            <w:pPr>
              <w:pStyle w:val="NoSpacing"/>
              <w:jc w:val="center"/>
              <w:rPr>
                <w:rFonts w:ascii="Times New Roman" w:hAnsi="Times New Roman" w:cs="Times New Roman"/>
                <w:sz w:val="24"/>
                <w:szCs w:val="24"/>
              </w:rPr>
            </w:pPr>
            <w:r w:rsidRPr="00AD640D">
              <w:rPr>
                <w:rFonts w:ascii="Times New Roman" w:hAnsi="Times New Roman" w:cs="Times New Roman"/>
                <w:sz w:val="24"/>
                <w:szCs w:val="24"/>
              </w:rPr>
              <w:t>9,00</w:t>
            </w:r>
          </w:p>
        </w:tc>
      </w:tr>
      <w:tr w:rsidR="00AD640D" w:rsidRPr="00AD640D" w:rsidTr="00BE02F6">
        <w:trPr>
          <w:trHeight w:val="315"/>
          <w:tblCellSpacing w:w="20" w:type="dxa"/>
        </w:trPr>
        <w:tc>
          <w:tcPr>
            <w:tcW w:w="2152" w:type="dxa"/>
            <w:shd w:val="clear" w:color="auto" w:fill="auto"/>
            <w:hideMark/>
          </w:tcPr>
          <w:p w:rsidR="00BE02F6" w:rsidRPr="00AD640D" w:rsidRDefault="00BE02F6" w:rsidP="00BE02F6">
            <w:pPr>
              <w:pStyle w:val="NoSpacing"/>
              <w:rPr>
                <w:rFonts w:ascii="Times New Roman" w:eastAsia="Times New Roman" w:hAnsi="Times New Roman" w:cs="Times New Roman"/>
                <w:sz w:val="24"/>
                <w:szCs w:val="24"/>
              </w:rPr>
            </w:pPr>
            <w:r w:rsidRPr="00AD640D">
              <w:rPr>
                <w:rFonts w:ascii="Times New Roman" w:eastAsia="Times New Roman" w:hAnsi="Times New Roman" w:cs="Times New Roman"/>
                <w:sz w:val="24"/>
                <w:szCs w:val="24"/>
              </w:rPr>
              <w:t>osma skupina</w:t>
            </w:r>
          </w:p>
        </w:tc>
        <w:tc>
          <w:tcPr>
            <w:tcW w:w="1405" w:type="dxa"/>
            <w:shd w:val="clear" w:color="auto" w:fill="auto"/>
            <w:noWrap/>
            <w:hideMark/>
          </w:tcPr>
          <w:p w:rsidR="00BE02F6" w:rsidRPr="00AD640D" w:rsidRDefault="00BE02F6" w:rsidP="00BE02F6">
            <w:pPr>
              <w:pStyle w:val="NoSpacing"/>
              <w:jc w:val="center"/>
              <w:rPr>
                <w:rFonts w:ascii="Times New Roman" w:hAnsi="Times New Roman" w:cs="Times New Roman"/>
                <w:sz w:val="24"/>
                <w:szCs w:val="24"/>
              </w:rPr>
            </w:pPr>
            <w:r w:rsidRPr="00AD640D">
              <w:rPr>
                <w:rFonts w:ascii="Times New Roman" w:hAnsi="Times New Roman" w:cs="Times New Roman"/>
                <w:sz w:val="24"/>
                <w:szCs w:val="24"/>
              </w:rPr>
              <w:t>400.000,01</w:t>
            </w:r>
          </w:p>
        </w:tc>
        <w:tc>
          <w:tcPr>
            <w:tcW w:w="1405" w:type="dxa"/>
            <w:shd w:val="clear" w:color="auto" w:fill="auto"/>
            <w:noWrap/>
            <w:hideMark/>
          </w:tcPr>
          <w:p w:rsidR="00BE02F6" w:rsidRPr="00AD640D" w:rsidRDefault="00BE02F6" w:rsidP="00BE02F6">
            <w:pPr>
              <w:pStyle w:val="NoSpacing"/>
              <w:jc w:val="center"/>
              <w:rPr>
                <w:rFonts w:ascii="Times New Roman" w:hAnsi="Times New Roman" w:cs="Times New Roman"/>
                <w:sz w:val="24"/>
                <w:szCs w:val="24"/>
              </w:rPr>
            </w:pPr>
            <w:r w:rsidRPr="00AD640D">
              <w:rPr>
                <w:rFonts w:ascii="Times New Roman" w:hAnsi="Times New Roman" w:cs="Times New Roman"/>
                <w:sz w:val="24"/>
                <w:szCs w:val="24"/>
              </w:rPr>
              <w:t>450.000,00</w:t>
            </w:r>
          </w:p>
        </w:tc>
        <w:tc>
          <w:tcPr>
            <w:tcW w:w="1471" w:type="dxa"/>
            <w:shd w:val="clear" w:color="auto" w:fill="auto"/>
            <w:noWrap/>
          </w:tcPr>
          <w:p w:rsidR="00BE02F6" w:rsidRPr="00AD640D" w:rsidRDefault="00BE02F6" w:rsidP="00BE02F6">
            <w:pPr>
              <w:pStyle w:val="NoSpacing"/>
              <w:jc w:val="center"/>
              <w:rPr>
                <w:rFonts w:ascii="Times New Roman" w:hAnsi="Times New Roman" w:cs="Times New Roman"/>
                <w:sz w:val="24"/>
                <w:szCs w:val="24"/>
              </w:rPr>
            </w:pPr>
            <w:r w:rsidRPr="00AD640D">
              <w:rPr>
                <w:rFonts w:ascii="Times New Roman" w:hAnsi="Times New Roman" w:cs="Times New Roman"/>
                <w:sz w:val="24"/>
                <w:szCs w:val="24"/>
              </w:rPr>
              <w:t>15.000</w:t>
            </w:r>
          </w:p>
        </w:tc>
        <w:tc>
          <w:tcPr>
            <w:tcW w:w="838" w:type="dxa"/>
            <w:shd w:val="clear" w:color="auto" w:fill="auto"/>
          </w:tcPr>
          <w:p w:rsidR="00BE02F6" w:rsidRPr="00AD640D" w:rsidRDefault="00BE02F6" w:rsidP="00BE02F6">
            <w:pPr>
              <w:pStyle w:val="NoSpacing"/>
              <w:jc w:val="center"/>
              <w:rPr>
                <w:rFonts w:ascii="Times New Roman" w:hAnsi="Times New Roman" w:cs="Times New Roman"/>
                <w:sz w:val="24"/>
                <w:szCs w:val="24"/>
              </w:rPr>
            </w:pPr>
            <w:r w:rsidRPr="00AD640D">
              <w:rPr>
                <w:rFonts w:ascii="Times New Roman" w:hAnsi="Times New Roman" w:cs="Times New Roman"/>
                <w:sz w:val="24"/>
                <w:szCs w:val="24"/>
              </w:rPr>
              <w:t>11,00</w:t>
            </w:r>
          </w:p>
        </w:tc>
      </w:tr>
      <w:tr w:rsidR="00AD640D" w:rsidRPr="00AD640D" w:rsidTr="00BE02F6">
        <w:trPr>
          <w:trHeight w:val="315"/>
          <w:tblCellSpacing w:w="20" w:type="dxa"/>
        </w:trPr>
        <w:tc>
          <w:tcPr>
            <w:tcW w:w="2152" w:type="dxa"/>
            <w:shd w:val="clear" w:color="auto" w:fill="auto"/>
            <w:hideMark/>
          </w:tcPr>
          <w:p w:rsidR="00BE02F6" w:rsidRPr="00AD640D" w:rsidRDefault="00BE02F6" w:rsidP="00BE02F6">
            <w:pPr>
              <w:pStyle w:val="NoSpacing"/>
              <w:rPr>
                <w:rFonts w:ascii="Times New Roman" w:eastAsia="Times New Roman" w:hAnsi="Times New Roman" w:cs="Times New Roman"/>
                <w:sz w:val="24"/>
                <w:szCs w:val="24"/>
              </w:rPr>
            </w:pPr>
            <w:r w:rsidRPr="00AD640D">
              <w:rPr>
                <w:rFonts w:ascii="Times New Roman" w:eastAsia="Times New Roman" w:hAnsi="Times New Roman" w:cs="Times New Roman"/>
                <w:sz w:val="24"/>
                <w:szCs w:val="24"/>
              </w:rPr>
              <w:t>deveta skupina</w:t>
            </w:r>
          </w:p>
        </w:tc>
        <w:tc>
          <w:tcPr>
            <w:tcW w:w="1405" w:type="dxa"/>
            <w:shd w:val="clear" w:color="auto" w:fill="auto"/>
            <w:noWrap/>
            <w:hideMark/>
          </w:tcPr>
          <w:p w:rsidR="00BE02F6" w:rsidRPr="00AD640D" w:rsidRDefault="00BE02F6" w:rsidP="00BE02F6">
            <w:pPr>
              <w:pStyle w:val="NoSpacing"/>
              <w:jc w:val="center"/>
              <w:rPr>
                <w:rFonts w:ascii="Times New Roman" w:hAnsi="Times New Roman" w:cs="Times New Roman"/>
                <w:sz w:val="24"/>
                <w:szCs w:val="24"/>
              </w:rPr>
            </w:pPr>
            <w:r w:rsidRPr="00AD640D">
              <w:rPr>
                <w:rFonts w:ascii="Times New Roman" w:hAnsi="Times New Roman" w:cs="Times New Roman"/>
                <w:sz w:val="24"/>
                <w:szCs w:val="24"/>
              </w:rPr>
              <w:t>450.000,01</w:t>
            </w:r>
          </w:p>
        </w:tc>
        <w:tc>
          <w:tcPr>
            <w:tcW w:w="1405" w:type="dxa"/>
            <w:shd w:val="clear" w:color="auto" w:fill="auto"/>
            <w:noWrap/>
            <w:hideMark/>
          </w:tcPr>
          <w:p w:rsidR="00BE02F6" w:rsidRPr="00AD640D" w:rsidRDefault="00BE02F6" w:rsidP="00BE02F6">
            <w:pPr>
              <w:pStyle w:val="NoSpacing"/>
              <w:jc w:val="center"/>
              <w:rPr>
                <w:rFonts w:ascii="Times New Roman" w:hAnsi="Times New Roman" w:cs="Times New Roman"/>
                <w:sz w:val="24"/>
                <w:szCs w:val="24"/>
              </w:rPr>
            </w:pPr>
            <w:r w:rsidRPr="00AD640D">
              <w:rPr>
                <w:rFonts w:ascii="Times New Roman" w:hAnsi="Times New Roman" w:cs="Times New Roman"/>
                <w:sz w:val="24"/>
                <w:szCs w:val="24"/>
              </w:rPr>
              <w:t>500.000,00</w:t>
            </w:r>
          </w:p>
        </w:tc>
        <w:tc>
          <w:tcPr>
            <w:tcW w:w="1471" w:type="dxa"/>
            <w:shd w:val="clear" w:color="auto" w:fill="auto"/>
            <w:noWrap/>
          </w:tcPr>
          <w:p w:rsidR="00BE02F6" w:rsidRPr="00AD640D" w:rsidRDefault="00BE02F6" w:rsidP="00BE02F6">
            <w:pPr>
              <w:pStyle w:val="NoSpacing"/>
              <w:jc w:val="center"/>
              <w:rPr>
                <w:rFonts w:ascii="Times New Roman" w:hAnsi="Times New Roman" w:cs="Times New Roman"/>
                <w:sz w:val="24"/>
                <w:szCs w:val="24"/>
              </w:rPr>
            </w:pPr>
            <w:r w:rsidRPr="00AD640D">
              <w:rPr>
                <w:rFonts w:ascii="Times New Roman" w:hAnsi="Times New Roman" w:cs="Times New Roman"/>
                <w:sz w:val="24"/>
                <w:szCs w:val="24"/>
              </w:rPr>
              <w:t>20.500</w:t>
            </w:r>
          </w:p>
        </w:tc>
        <w:tc>
          <w:tcPr>
            <w:tcW w:w="838" w:type="dxa"/>
            <w:shd w:val="clear" w:color="auto" w:fill="auto"/>
          </w:tcPr>
          <w:p w:rsidR="00BE02F6" w:rsidRPr="00AD640D" w:rsidRDefault="00BE02F6" w:rsidP="00BE02F6">
            <w:pPr>
              <w:pStyle w:val="NoSpacing"/>
              <w:jc w:val="center"/>
              <w:rPr>
                <w:rFonts w:ascii="Times New Roman" w:hAnsi="Times New Roman" w:cs="Times New Roman"/>
                <w:sz w:val="24"/>
                <w:szCs w:val="24"/>
              </w:rPr>
            </w:pPr>
            <w:r w:rsidRPr="00AD640D">
              <w:rPr>
                <w:rFonts w:ascii="Times New Roman" w:hAnsi="Times New Roman" w:cs="Times New Roman"/>
                <w:sz w:val="24"/>
                <w:szCs w:val="24"/>
              </w:rPr>
              <w:t>13,00</w:t>
            </w:r>
          </w:p>
        </w:tc>
      </w:tr>
      <w:tr w:rsidR="00AD640D" w:rsidRPr="00AD640D" w:rsidTr="00BE02F6">
        <w:trPr>
          <w:trHeight w:val="315"/>
          <w:tblCellSpacing w:w="20" w:type="dxa"/>
        </w:trPr>
        <w:tc>
          <w:tcPr>
            <w:tcW w:w="2152" w:type="dxa"/>
            <w:shd w:val="clear" w:color="auto" w:fill="auto"/>
            <w:hideMark/>
          </w:tcPr>
          <w:p w:rsidR="00BE02F6" w:rsidRPr="00AD640D" w:rsidRDefault="00BE02F6" w:rsidP="00BE02F6">
            <w:pPr>
              <w:pStyle w:val="NoSpacing"/>
              <w:rPr>
                <w:rFonts w:ascii="Times New Roman" w:eastAsia="Times New Roman" w:hAnsi="Times New Roman" w:cs="Times New Roman"/>
                <w:sz w:val="24"/>
                <w:szCs w:val="24"/>
              </w:rPr>
            </w:pPr>
            <w:r w:rsidRPr="00AD640D">
              <w:rPr>
                <w:rFonts w:ascii="Times New Roman" w:eastAsia="Times New Roman" w:hAnsi="Times New Roman" w:cs="Times New Roman"/>
                <w:sz w:val="24"/>
                <w:szCs w:val="24"/>
              </w:rPr>
              <w:t>deseta skupina</w:t>
            </w:r>
          </w:p>
        </w:tc>
        <w:tc>
          <w:tcPr>
            <w:tcW w:w="1405" w:type="dxa"/>
            <w:shd w:val="clear" w:color="auto" w:fill="auto"/>
            <w:noWrap/>
            <w:hideMark/>
          </w:tcPr>
          <w:p w:rsidR="00BE02F6" w:rsidRPr="00AD640D" w:rsidRDefault="00BE02F6" w:rsidP="00BE02F6">
            <w:pPr>
              <w:pStyle w:val="NoSpacing"/>
              <w:jc w:val="center"/>
              <w:rPr>
                <w:rFonts w:ascii="Times New Roman" w:hAnsi="Times New Roman" w:cs="Times New Roman"/>
                <w:sz w:val="24"/>
                <w:szCs w:val="24"/>
              </w:rPr>
            </w:pPr>
            <w:r w:rsidRPr="00AD640D">
              <w:rPr>
                <w:rFonts w:ascii="Times New Roman" w:hAnsi="Times New Roman" w:cs="Times New Roman"/>
                <w:sz w:val="24"/>
                <w:szCs w:val="24"/>
              </w:rPr>
              <w:t>500.000,01</w:t>
            </w:r>
          </w:p>
        </w:tc>
        <w:tc>
          <w:tcPr>
            <w:tcW w:w="1405" w:type="dxa"/>
            <w:shd w:val="clear" w:color="auto" w:fill="auto"/>
            <w:noWrap/>
            <w:hideMark/>
          </w:tcPr>
          <w:p w:rsidR="00BE02F6" w:rsidRPr="00AD640D" w:rsidRDefault="00BE02F6" w:rsidP="00BE02F6">
            <w:pPr>
              <w:pStyle w:val="NoSpacing"/>
              <w:jc w:val="center"/>
              <w:rPr>
                <w:rFonts w:ascii="Times New Roman" w:hAnsi="Times New Roman" w:cs="Times New Roman"/>
                <w:sz w:val="24"/>
                <w:szCs w:val="24"/>
              </w:rPr>
            </w:pPr>
            <w:r w:rsidRPr="00AD640D">
              <w:rPr>
                <w:rFonts w:ascii="Times New Roman" w:hAnsi="Times New Roman" w:cs="Times New Roman"/>
                <w:sz w:val="24"/>
                <w:szCs w:val="24"/>
              </w:rPr>
              <w:t>550.000,00</w:t>
            </w:r>
          </w:p>
        </w:tc>
        <w:tc>
          <w:tcPr>
            <w:tcW w:w="1471" w:type="dxa"/>
            <w:shd w:val="clear" w:color="auto" w:fill="auto"/>
            <w:noWrap/>
          </w:tcPr>
          <w:p w:rsidR="00BE02F6" w:rsidRPr="00AD640D" w:rsidRDefault="00BE02F6" w:rsidP="00BE02F6">
            <w:pPr>
              <w:pStyle w:val="NoSpacing"/>
              <w:jc w:val="center"/>
              <w:rPr>
                <w:rFonts w:ascii="Times New Roman" w:hAnsi="Times New Roman" w:cs="Times New Roman"/>
                <w:sz w:val="24"/>
                <w:szCs w:val="24"/>
              </w:rPr>
            </w:pPr>
            <w:r w:rsidRPr="00AD640D">
              <w:rPr>
                <w:rFonts w:ascii="Times New Roman" w:hAnsi="Times New Roman" w:cs="Times New Roman"/>
                <w:sz w:val="24"/>
                <w:szCs w:val="24"/>
              </w:rPr>
              <w:t>27.000</w:t>
            </w:r>
          </w:p>
        </w:tc>
        <w:tc>
          <w:tcPr>
            <w:tcW w:w="838" w:type="dxa"/>
            <w:shd w:val="clear" w:color="auto" w:fill="auto"/>
          </w:tcPr>
          <w:p w:rsidR="00BE02F6" w:rsidRPr="00AD640D" w:rsidRDefault="00BE02F6" w:rsidP="00BE02F6">
            <w:pPr>
              <w:pStyle w:val="NoSpacing"/>
              <w:jc w:val="center"/>
              <w:rPr>
                <w:rFonts w:ascii="Times New Roman" w:hAnsi="Times New Roman" w:cs="Times New Roman"/>
                <w:sz w:val="24"/>
                <w:szCs w:val="24"/>
              </w:rPr>
            </w:pPr>
            <w:r w:rsidRPr="00AD640D">
              <w:rPr>
                <w:rFonts w:ascii="Times New Roman" w:hAnsi="Times New Roman" w:cs="Times New Roman"/>
                <w:sz w:val="24"/>
                <w:szCs w:val="24"/>
              </w:rPr>
              <w:t>15,00</w:t>
            </w:r>
          </w:p>
        </w:tc>
      </w:tr>
      <w:tr w:rsidR="00AD640D" w:rsidRPr="00AD640D" w:rsidTr="00BE02F6">
        <w:trPr>
          <w:trHeight w:val="315"/>
          <w:tblCellSpacing w:w="20" w:type="dxa"/>
        </w:trPr>
        <w:tc>
          <w:tcPr>
            <w:tcW w:w="2152" w:type="dxa"/>
            <w:shd w:val="clear" w:color="auto" w:fill="auto"/>
          </w:tcPr>
          <w:p w:rsidR="00BE02F6" w:rsidRPr="00AD640D" w:rsidRDefault="00BE02F6" w:rsidP="00BE02F6">
            <w:pPr>
              <w:pStyle w:val="NoSpacing"/>
              <w:rPr>
                <w:rFonts w:ascii="Times New Roman" w:eastAsia="Times New Roman" w:hAnsi="Times New Roman" w:cs="Times New Roman"/>
                <w:sz w:val="24"/>
                <w:szCs w:val="24"/>
              </w:rPr>
            </w:pPr>
            <w:r w:rsidRPr="00AD640D">
              <w:rPr>
                <w:rFonts w:ascii="Times New Roman" w:eastAsia="Times New Roman" w:hAnsi="Times New Roman" w:cs="Times New Roman"/>
                <w:sz w:val="24"/>
                <w:szCs w:val="24"/>
              </w:rPr>
              <w:t>jedanaesta skupina</w:t>
            </w:r>
          </w:p>
        </w:tc>
        <w:tc>
          <w:tcPr>
            <w:tcW w:w="1405" w:type="dxa"/>
            <w:shd w:val="clear" w:color="auto" w:fill="auto"/>
            <w:noWrap/>
          </w:tcPr>
          <w:p w:rsidR="00BE02F6" w:rsidRPr="00AD640D" w:rsidRDefault="00BE02F6" w:rsidP="00BE02F6">
            <w:pPr>
              <w:pStyle w:val="NoSpacing"/>
              <w:jc w:val="center"/>
              <w:rPr>
                <w:rFonts w:ascii="Times New Roman" w:hAnsi="Times New Roman" w:cs="Times New Roman"/>
                <w:sz w:val="24"/>
                <w:szCs w:val="24"/>
              </w:rPr>
            </w:pPr>
            <w:r w:rsidRPr="00AD640D">
              <w:rPr>
                <w:rFonts w:ascii="Times New Roman" w:hAnsi="Times New Roman" w:cs="Times New Roman"/>
                <w:sz w:val="24"/>
                <w:szCs w:val="24"/>
              </w:rPr>
              <w:t>550.000,01</w:t>
            </w:r>
          </w:p>
        </w:tc>
        <w:tc>
          <w:tcPr>
            <w:tcW w:w="1405" w:type="dxa"/>
            <w:shd w:val="clear" w:color="auto" w:fill="auto"/>
            <w:noWrap/>
          </w:tcPr>
          <w:p w:rsidR="00BE02F6" w:rsidRPr="00AD640D" w:rsidRDefault="00BE02F6" w:rsidP="00BE02F6">
            <w:pPr>
              <w:pStyle w:val="NoSpacing"/>
              <w:jc w:val="center"/>
              <w:rPr>
                <w:rFonts w:ascii="Times New Roman" w:hAnsi="Times New Roman" w:cs="Times New Roman"/>
                <w:sz w:val="24"/>
                <w:szCs w:val="24"/>
              </w:rPr>
            </w:pPr>
            <w:r w:rsidRPr="00AD640D">
              <w:rPr>
                <w:rFonts w:ascii="Times New Roman" w:hAnsi="Times New Roman" w:cs="Times New Roman"/>
                <w:sz w:val="24"/>
                <w:szCs w:val="24"/>
              </w:rPr>
              <w:t>600.000,00</w:t>
            </w:r>
          </w:p>
        </w:tc>
        <w:tc>
          <w:tcPr>
            <w:tcW w:w="1471" w:type="dxa"/>
            <w:shd w:val="clear" w:color="auto" w:fill="auto"/>
            <w:noWrap/>
          </w:tcPr>
          <w:p w:rsidR="00BE02F6" w:rsidRPr="00AD640D" w:rsidRDefault="00BE02F6" w:rsidP="00BE02F6">
            <w:pPr>
              <w:pStyle w:val="NoSpacing"/>
              <w:jc w:val="center"/>
              <w:rPr>
                <w:rFonts w:ascii="Times New Roman" w:hAnsi="Times New Roman" w:cs="Times New Roman"/>
                <w:sz w:val="24"/>
                <w:szCs w:val="24"/>
              </w:rPr>
            </w:pPr>
            <w:r w:rsidRPr="00AD640D">
              <w:rPr>
                <w:rFonts w:ascii="Times New Roman" w:hAnsi="Times New Roman" w:cs="Times New Roman"/>
                <w:sz w:val="24"/>
                <w:szCs w:val="24"/>
              </w:rPr>
              <w:t>34.500</w:t>
            </w:r>
          </w:p>
        </w:tc>
        <w:tc>
          <w:tcPr>
            <w:tcW w:w="838" w:type="dxa"/>
            <w:shd w:val="clear" w:color="auto" w:fill="auto"/>
          </w:tcPr>
          <w:p w:rsidR="00BE02F6" w:rsidRPr="00AD640D" w:rsidRDefault="00BE02F6" w:rsidP="00BE02F6">
            <w:pPr>
              <w:pStyle w:val="NoSpacing"/>
              <w:jc w:val="center"/>
              <w:rPr>
                <w:rFonts w:ascii="Times New Roman" w:hAnsi="Times New Roman" w:cs="Times New Roman"/>
                <w:sz w:val="24"/>
                <w:szCs w:val="24"/>
              </w:rPr>
            </w:pPr>
            <w:r w:rsidRPr="00AD640D">
              <w:rPr>
                <w:rFonts w:ascii="Times New Roman" w:hAnsi="Times New Roman" w:cs="Times New Roman"/>
                <w:sz w:val="24"/>
                <w:szCs w:val="24"/>
              </w:rPr>
              <w:t>16,00</w:t>
            </w:r>
          </w:p>
        </w:tc>
      </w:tr>
      <w:tr w:rsidR="00BE02F6" w:rsidRPr="00AD640D" w:rsidTr="00BE02F6">
        <w:trPr>
          <w:trHeight w:val="315"/>
          <w:tblCellSpacing w:w="20" w:type="dxa"/>
        </w:trPr>
        <w:tc>
          <w:tcPr>
            <w:tcW w:w="2152" w:type="dxa"/>
            <w:shd w:val="clear" w:color="auto" w:fill="auto"/>
          </w:tcPr>
          <w:p w:rsidR="00BE02F6" w:rsidRPr="00AD640D" w:rsidRDefault="00BE02F6" w:rsidP="00BE02F6">
            <w:pPr>
              <w:pStyle w:val="NoSpacing"/>
              <w:rPr>
                <w:rFonts w:ascii="Times New Roman" w:eastAsia="Times New Roman" w:hAnsi="Times New Roman" w:cs="Times New Roman"/>
                <w:sz w:val="24"/>
                <w:szCs w:val="24"/>
              </w:rPr>
            </w:pPr>
            <w:r w:rsidRPr="00AD640D">
              <w:rPr>
                <w:rFonts w:ascii="Times New Roman" w:eastAsia="Times New Roman" w:hAnsi="Times New Roman" w:cs="Times New Roman"/>
                <w:sz w:val="24"/>
                <w:szCs w:val="24"/>
              </w:rPr>
              <w:t>dvanaesta skupina</w:t>
            </w:r>
          </w:p>
        </w:tc>
        <w:tc>
          <w:tcPr>
            <w:tcW w:w="1405" w:type="dxa"/>
            <w:shd w:val="clear" w:color="auto" w:fill="auto"/>
            <w:noWrap/>
          </w:tcPr>
          <w:p w:rsidR="00BE02F6" w:rsidRPr="00AD640D" w:rsidRDefault="00BE02F6" w:rsidP="00BE02F6">
            <w:pPr>
              <w:pStyle w:val="NoSpacing"/>
              <w:jc w:val="center"/>
              <w:rPr>
                <w:rFonts w:ascii="Times New Roman" w:hAnsi="Times New Roman" w:cs="Times New Roman"/>
                <w:sz w:val="24"/>
                <w:szCs w:val="24"/>
              </w:rPr>
            </w:pPr>
            <w:r w:rsidRPr="00AD640D">
              <w:rPr>
                <w:rFonts w:ascii="Times New Roman" w:hAnsi="Times New Roman" w:cs="Times New Roman"/>
                <w:sz w:val="24"/>
                <w:szCs w:val="24"/>
              </w:rPr>
              <w:t>600.000,01</w:t>
            </w:r>
          </w:p>
        </w:tc>
        <w:tc>
          <w:tcPr>
            <w:tcW w:w="1405" w:type="dxa"/>
            <w:shd w:val="clear" w:color="auto" w:fill="auto"/>
            <w:noWrap/>
          </w:tcPr>
          <w:p w:rsidR="00BE02F6" w:rsidRPr="00AD640D" w:rsidRDefault="00BE02F6" w:rsidP="00BE02F6">
            <w:pPr>
              <w:pStyle w:val="NoSpacing"/>
              <w:jc w:val="center"/>
              <w:rPr>
                <w:rFonts w:ascii="Times New Roman" w:hAnsi="Times New Roman" w:cs="Times New Roman"/>
                <w:sz w:val="24"/>
                <w:szCs w:val="24"/>
              </w:rPr>
            </w:pPr>
          </w:p>
        </w:tc>
        <w:tc>
          <w:tcPr>
            <w:tcW w:w="1471" w:type="dxa"/>
            <w:shd w:val="clear" w:color="auto" w:fill="auto"/>
            <w:noWrap/>
          </w:tcPr>
          <w:p w:rsidR="00BE02F6" w:rsidRPr="00AD640D" w:rsidRDefault="00BE02F6" w:rsidP="00BE02F6">
            <w:pPr>
              <w:pStyle w:val="NoSpacing"/>
              <w:jc w:val="center"/>
              <w:rPr>
                <w:rFonts w:ascii="Times New Roman" w:hAnsi="Times New Roman" w:cs="Times New Roman"/>
                <w:sz w:val="24"/>
                <w:szCs w:val="24"/>
              </w:rPr>
            </w:pPr>
            <w:r w:rsidRPr="00AD640D">
              <w:rPr>
                <w:rFonts w:ascii="Times New Roman" w:hAnsi="Times New Roman" w:cs="Times New Roman"/>
                <w:sz w:val="24"/>
                <w:szCs w:val="24"/>
              </w:rPr>
              <w:t>42.500</w:t>
            </w:r>
          </w:p>
        </w:tc>
        <w:tc>
          <w:tcPr>
            <w:tcW w:w="838" w:type="dxa"/>
            <w:shd w:val="clear" w:color="auto" w:fill="auto"/>
          </w:tcPr>
          <w:p w:rsidR="00BE02F6" w:rsidRPr="00AD640D" w:rsidRDefault="00BE02F6" w:rsidP="00BE02F6">
            <w:pPr>
              <w:pStyle w:val="NoSpacing"/>
              <w:jc w:val="center"/>
              <w:rPr>
                <w:rFonts w:ascii="Times New Roman" w:hAnsi="Times New Roman" w:cs="Times New Roman"/>
                <w:sz w:val="24"/>
                <w:szCs w:val="24"/>
              </w:rPr>
            </w:pPr>
            <w:r w:rsidRPr="00AD640D">
              <w:rPr>
                <w:rFonts w:ascii="Times New Roman" w:hAnsi="Times New Roman" w:cs="Times New Roman"/>
                <w:sz w:val="24"/>
                <w:szCs w:val="24"/>
              </w:rPr>
              <w:t>17,00</w:t>
            </w:r>
          </w:p>
        </w:tc>
      </w:tr>
    </w:tbl>
    <w:p w:rsidR="00BE02F6" w:rsidRPr="00AD640D" w:rsidRDefault="00BE02F6" w:rsidP="00392F28">
      <w:pPr>
        <w:jc w:val="both"/>
        <w:rPr>
          <w:bCs/>
        </w:rPr>
      </w:pPr>
    </w:p>
    <w:p w:rsidR="00BE02F6" w:rsidRPr="00AD640D" w:rsidRDefault="00BE02F6" w:rsidP="00BE02F6">
      <w:pPr>
        <w:jc w:val="both"/>
      </w:pPr>
      <w:r w:rsidRPr="00AD640D">
        <w:t>Tablica 5 – dizelsko gorivo</w:t>
      </w:r>
    </w:p>
    <w:p w:rsidR="00BE02F6" w:rsidRPr="00AD640D" w:rsidRDefault="00BE02F6" w:rsidP="00BE02F6">
      <w:pPr>
        <w:jc w:val="both"/>
      </w:pPr>
    </w:p>
    <w:tbl>
      <w:tblPr>
        <w:tblW w:w="7519" w:type="dxa"/>
        <w:tblCellSpacing w:w="20" w:type="dxa"/>
        <w:tblBorders>
          <w:insideH w:val="single" w:sz="4" w:space="0" w:color="auto"/>
          <w:insideV w:val="single" w:sz="4" w:space="0" w:color="auto"/>
        </w:tblBorders>
        <w:tblLook w:val="04A0" w:firstRow="1" w:lastRow="0" w:firstColumn="1" w:lastColumn="0" w:noHBand="0" w:noVBand="1"/>
      </w:tblPr>
      <w:tblGrid>
        <w:gridCol w:w="1797"/>
        <w:gridCol w:w="953"/>
        <w:gridCol w:w="687"/>
        <w:gridCol w:w="1117"/>
        <w:gridCol w:w="1116"/>
        <w:gridCol w:w="1849"/>
      </w:tblGrid>
      <w:tr w:rsidR="00AD640D" w:rsidRPr="00AD640D" w:rsidTr="00BE02F6">
        <w:trPr>
          <w:trHeight w:val="605"/>
          <w:tblCellSpacing w:w="20" w:type="dxa"/>
        </w:trPr>
        <w:tc>
          <w:tcPr>
            <w:tcW w:w="1771" w:type="dxa"/>
            <w:shd w:val="clear" w:color="auto" w:fill="auto"/>
            <w:hideMark/>
          </w:tcPr>
          <w:p w:rsidR="00BE02F6" w:rsidRPr="00AD640D" w:rsidRDefault="00BE02F6" w:rsidP="00BE02F6">
            <w:pPr>
              <w:jc w:val="both"/>
            </w:pPr>
            <w:r w:rsidRPr="00AD640D">
              <w:t> </w:t>
            </w:r>
          </w:p>
        </w:tc>
        <w:tc>
          <w:tcPr>
            <w:tcW w:w="2657" w:type="dxa"/>
            <w:gridSpan w:val="3"/>
            <w:shd w:val="clear" w:color="auto" w:fill="auto"/>
            <w:noWrap/>
            <w:hideMark/>
          </w:tcPr>
          <w:p w:rsidR="00BE02F6" w:rsidRPr="00AD640D" w:rsidRDefault="00BE02F6" w:rsidP="00BE02F6">
            <w:pPr>
              <w:jc w:val="both"/>
            </w:pPr>
            <w:r w:rsidRPr="00AD640D">
              <w:t>Emisija CO</w:t>
            </w:r>
            <w:r w:rsidRPr="00AD640D">
              <w:rPr>
                <w:vertAlign w:val="subscript"/>
              </w:rPr>
              <w:t>2</w:t>
            </w:r>
            <w:r w:rsidRPr="00AD640D">
              <w:t xml:space="preserve"> (g/km)</w:t>
            </w:r>
          </w:p>
        </w:tc>
        <w:tc>
          <w:tcPr>
            <w:tcW w:w="1056" w:type="dxa"/>
            <w:shd w:val="clear" w:color="auto" w:fill="auto"/>
            <w:noWrap/>
            <w:hideMark/>
          </w:tcPr>
          <w:p w:rsidR="00BE02F6" w:rsidRPr="00AD640D" w:rsidRDefault="00BE02F6" w:rsidP="00BE02F6">
            <w:pPr>
              <w:jc w:val="center"/>
            </w:pPr>
            <w:r w:rsidRPr="00AD640D">
              <w:t>ON u kn</w:t>
            </w:r>
          </w:p>
        </w:tc>
        <w:tc>
          <w:tcPr>
            <w:tcW w:w="1835" w:type="dxa"/>
            <w:shd w:val="clear" w:color="auto" w:fill="auto"/>
            <w:hideMark/>
          </w:tcPr>
          <w:p w:rsidR="00BE02F6" w:rsidRPr="00AD640D" w:rsidRDefault="00BE02F6" w:rsidP="00BE02F6">
            <w:r w:rsidRPr="00AD640D">
              <w:t>Iznos u kn za 1</w:t>
            </w:r>
          </w:p>
          <w:p w:rsidR="00BE02F6" w:rsidRPr="00AD640D" w:rsidRDefault="00BE02F6" w:rsidP="00BE02F6">
            <w:r w:rsidRPr="00AD640D">
              <w:t>g /km CO</w:t>
            </w:r>
            <w:r w:rsidRPr="00AD640D">
              <w:rPr>
                <w:vertAlign w:val="subscript"/>
              </w:rPr>
              <w:t>2</w:t>
            </w:r>
            <w:r w:rsidRPr="00AD640D">
              <w:t xml:space="preserve"> </w:t>
            </w:r>
          </w:p>
        </w:tc>
      </w:tr>
      <w:tr w:rsidR="00AD640D" w:rsidRPr="00AD640D" w:rsidTr="00BE02F6">
        <w:trPr>
          <w:trHeight w:val="315"/>
          <w:tblCellSpacing w:w="20" w:type="dxa"/>
        </w:trPr>
        <w:tc>
          <w:tcPr>
            <w:tcW w:w="1771" w:type="dxa"/>
            <w:shd w:val="clear" w:color="auto" w:fill="auto"/>
            <w:hideMark/>
          </w:tcPr>
          <w:p w:rsidR="00BE02F6" w:rsidRPr="00AD640D" w:rsidRDefault="00BE02F6" w:rsidP="00BE02F6">
            <w:pPr>
              <w:jc w:val="both"/>
            </w:pPr>
            <w:r w:rsidRPr="00AD640D">
              <w:lastRenderedPageBreak/>
              <w:t>prva skupina</w:t>
            </w:r>
          </w:p>
        </w:tc>
        <w:tc>
          <w:tcPr>
            <w:tcW w:w="893" w:type="dxa"/>
            <w:shd w:val="clear" w:color="auto" w:fill="auto"/>
            <w:noWrap/>
            <w:hideMark/>
          </w:tcPr>
          <w:p w:rsidR="00BE02F6" w:rsidRPr="00AD640D" w:rsidRDefault="00BE02F6" w:rsidP="00BE02F6">
            <w:pPr>
              <w:jc w:val="center"/>
              <w:rPr>
                <w:lang w:val="en-GB"/>
              </w:rPr>
            </w:pPr>
            <w:r w:rsidRPr="00AD640D">
              <w:rPr>
                <w:lang w:val="en-GB"/>
              </w:rPr>
              <w:t>95</w:t>
            </w:r>
          </w:p>
        </w:tc>
        <w:tc>
          <w:tcPr>
            <w:tcW w:w="627" w:type="dxa"/>
            <w:shd w:val="clear" w:color="auto" w:fill="auto"/>
            <w:noWrap/>
            <w:hideMark/>
          </w:tcPr>
          <w:p w:rsidR="00BE02F6" w:rsidRPr="00AD640D" w:rsidRDefault="00BE02F6" w:rsidP="00BE02F6">
            <w:pPr>
              <w:jc w:val="center"/>
              <w:rPr>
                <w:lang w:val="en-GB"/>
              </w:rPr>
            </w:pPr>
            <w:r w:rsidRPr="00AD640D">
              <w:rPr>
                <w:lang w:val="en-GB"/>
              </w:rPr>
              <w:t>do</w:t>
            </w:r>
          </w:p>
        </w:tc>
        <w:tc>
          <w:tcPr>
            <w:tcW w:w="1057" w:type="dxa"/>
            <w:shd w:val="clear" w:color="auto" w:fill="auto"/>
            <w:noWrap/>
            <w:hideMark/>
          </w:tcPr>
          <w:p w:rsidR="00BE02F6" w:rsidRPr="00AD640D" w:rsidRDefault="00BE02F6" w:rsidP="00BE02F6">
            <w:pPr>
              <w:jc w:val="center"/>
              <w:rPr>
                <w:lang w:val="en-GB"/>
              </w:rPr>
            </w:pPr>
            <w:r w:rsidRPr="00AD640D">
              <w:rPr>
                <w:lang w:val="en-GB"/>
              </w:rPr>
              <w:t>125</w:t>
            </w:r>
          </w:p>
        </w:tc>
        <w:tc>
          <w:tcPr>
            <w:tcW w:w="1056" w:type="dxa"/>
            <w:shd w:val="clear" w:color="auto" w:fill="auto"/>
            <w:noWrap/>
            <w:hideMark/>
          </w:tcPr>
          <w:p w:rsidR="00BE02F6" w:rsidRPr="00AD640D" w:rsidRDefault="00BE02F6" w:rsidP="00BE02F6">
            <w:pPr>
              <w:jc w:val="center"/>
              <w:rPr>
                <w:lang w:val="en-GB"/>
              </w:rPr>
            </w:pPr>
            <w:r w:rsidRPr="00AD640D">
              <w:rPr>
                <w:lang w:val="en-GB"/>
              </w:rPr>
              <w:t>85</w:t>
            </w:r>
          </w:p>
        </w:tc>
        <w:tc>
          <w:tcPr>
            <w:tcW w:w="1835" w:type="dxa"/>
            <w:shd w:val="clear" w:color="auto" w:fill="auto"/>
            <w:hideMark/>
          </w:tcPr>
          <w:p w:rsidR="00BE02F6" w:rsidRPr="00AD640D" w:rsidRDefault="00BE02F6" w:rsidP="00BE02F6">
            <w:pPr>
              <w:jc w:val="center"/>
              <w:rPr>
                <w:lang w:val="en-GB"/>
              </w:rPr>
            </w:pPr>
            <w:r w:rsidRPr="00AD640D">
              <w:rPr>
                <w:lang w:val="en-GB"/>
              </w:rPr>
              <w:t>105</w:t>
            </w:r>
          </w:p>
        </w:tc>
      </w:tr>
      <w:tr w:rsidR="00AD640D" w:rsidRPr="00AD640D" w:rsidTr="00BE02F6">
        <w:trPr>
          <w:trHeight w:val="315"/>
          <w:tblCellSpacing w:w="20" w:type="dxa"/>
        </w:trPr>
        <w:tc>
          <w:tcPr>
            <w:tcW w:w="1771" w:type="dxa"/>
            <w:shd w:val="clear" w:color="auto" w:fill="auto"/>
            <w:hideMark/>
          </w:tcPr>
          <w:p w:rsidR="00BE02F6" w:rsidRPr="00AD640D" w:rsidRDefault="00BE02F6" w:rsidP="00BE02F6">
            <w:pPr>
              <w:jc w:val="both"/>
            </w:pPr>
            <w:r w:rsidRPr="00AD640D">
              <w:t>druga skupina</w:t>
            </w:r>
          </w:p>
        </w:tc>
        <w:tc>
          <w:tcPr>
            <w:tcW w:w="893" w:type="dxa"/>
            <w:shd w:val="clear" w:color="auto" w:fill="auto"/>
            <w:noWrap/>
            <w:hideMark/>
          </w:tcPr>
          <w:p w:rsidR="00BE02F6" w:rsidRPr="00AD640D" w:rsidRDefault="00BE02F6" w:rsidP="00BE02F6">
            <w:pPr>
              <w:jc w:val="center"/>
              <w:rPr>
                <w:lang w:val="en-GB"/>
              </w:rPr>
            </w:pPr>
            <w:r w:rsidRPr="00AD640D">
              <w:rPr>
                <w:lang w:val="en-GB"/>
              </w:rPr>
              <w:t>125</w:t>
            </w:r>
          </w:p>
        </w:tc>
        <w:tc>
          <w:tcPr>
            <w:tcW w:w="627" w:type="dxa"/>
            <w:shd w:val="clear" w:color="auto" w:fill="auto"/>
            <w:noWrap/>
            <w:hideMark/>
          </w:tcPr>
          <w:p w:rsidR="00BE02F6" w:rsidRPr="00AD640D" w:rsidRDefault="00BE02F6" w:rsidP="00BE02F6">
            <w:pPr>
              <w:jc w:val="center"/>
              <w:rPr>
                <w:lang w:val="en-GB"/>
              </w:rPr>
            </w:pPr>
            <w:r w:rsidRPr="00AD640D">
              <w:rPr>
                <w:lang w:val="en-GB"/>
              </w:rPr>
              <w:t>do</w:t>
            </w:r>
          </w:p>
        </w:tc>
        <w:tc>
          <w:tcPr>
            <w:tcW w:w="1057" w:type="dxa"/>
            <w:shd w:val="clear" w:color="auto" w:fill="auto"/>
            <w:noWrap/>
            <w:hideMark/>
          </w:tcPr>
          <w:p w:rsidR="00BE02F6" w:rsidRPr="00AD640D" w:rsidRDefault="00BE02F6" w:rsidP="00BE02F6">
            <w:pPr>
              <w:jc w:val="center"/>
              <w:rPr>
                <w:lang w:val="en-GB"/>
              </w:rPr>
            </w:pPr>
            <w:r w:rsidRPr="00AD640D">
              <w:rPr>
                <w:lang w:val="en-GB"/>
              </w:rPr>
              <w:t>155</w:t>
            </w:r>
          </w:p>
        </w:tc>
        <w:tc>
          <w:tcPr>
            <w:tcW w:w="1056" w:type="dxa"/>
            <w:shd w:val="clear" w:color="auto" w:fill="auto"/>
            <w:noWrap/>
            <w:hideMark/>
          </w:tcPr>
          <w:p w:rsidR="00BE02F6" w:rsidRPr="00AD640D" w:rsidRDefault="00BE02F6" w:rsidP="00BE02F6">
            <w:pPr>
              <w:jc w:val="center"/>
              <w:rPr>
                <w:lang w:val="en-GB"/>
              </w:rPr>
            </w:pPr>
            <w:r w:rsidRPr="00AD640D">
              <w:rPr>
                <w:lang w:val="en-GB"/>
              </w:rPr>
              <w:t>3.235</w:t>
            </w:r>
          </w:p>
        </w:tc>
        <w:tc>
          <w:tcPr>
            <w:tcW w:w="1835" w:type="dxa"/>
            <w:shd w:val="clear" w:color="auto" w:fill="auto"/>
            <w:hideMark/>
          </w:tcPr>
          <w:p w:rsidR="00BE02F6" w:rsidRPr="00AD640D" w:rsidRDefault="00BE02F6" w:rsidP="00BE02F6">
            <w:pPr>
              <w:jc w:val="center"/>
              <w:rPr>
                <w:lang w:val="en-GB"/>
              </w:rPr>
            </w:pPr>
            <w:r w:rsidRPr="00AD640D">
              <w:rPr>
                <w:lang w:val="en-GB"/>
              </w:rPr>
              <w:t>185</w:t>
            </w:r>
          </w:p>
        </w:tc>
      </w:tr>
      <w:tr w:rsidR="00AD640D" w:rsidRPr="00AD640D" w:rsidTr="00BE02F6">
        <w:trPr>
          <w:trHeight w:val="315"/>
          <w:tblCellSpacing w:w="20" w:type="dxa"/>
        </w:trPr>
        <w:tc>
          <w:tcPr>
            <w:tcW w:w="1771" w:type="dxa"/>
            <w:shd w:val="clear" w:color="auto" w:fill="auto"/>
            <w:hideMark/>
          </w:tcPr>
          <w:p w:rsidR="00BE02F6" w:rsidRPr="00AD640D" w:rsidRDefault="00BE02F6" w:rsidP="00BE02F6">
            <w:pPr>
              <w:jc w:val="both"/>
            </w:pPr>
            <w:r w:rsidRPr="00AD640D">
              <w:t>treća skupina</w:t>
            </w:r>
          </w:p>
        </w:tc>
        <w:tc>
          <w:tcPr>
            <w:tcW w:w="893" w:type="dxa"/>
            <w:shd w:val="clear" w:color="auto" w:fill="auto"/>
            <w:noWrap/>
            <w:hideMark/>
          </w:tcPr>
          <w:p w:rsidR="00BE02F6" w:rsidRPr="00AD640D" w:rsidRDefault="00BE02F6" w:rsidP="00BE02F6">
            <w:pPr>
              <w:jc w:val="center"/>
              <w:rPr>
                <w:lang w:val="en-GB"/>
              </w:rPr>
            </w:pPr>
            <w:r w:rsidRPr="00AD640D">
              <w:rPr>
                <w:lang w:val="en-GB"/>
              </w:rPr>
              <w:t>155</w:t>
            </w:r>
          </w:p>
        </w:tc>
        <w:tc>
          <w:tcPr>
            <w:tcW w:w="627" w:type="dxa"/>
            <w:shd w:val="clear" w:color="auto" w:fill="auto"/>
            <w:noWrap/>
            <w:hideMark/>
          </w:tcPr>
          <w:p w:rsidR="00BE02F6" w:rsidRPr="00AD640D" w:rsidRDefault="00BE02F6" w:rsidP="00BE02F6">
            <w:pPr>
              <w:jc w:val="center"/>
              <w:rPr>
                <w:lang w:val="en-GB"/>
              </w:rPr>
            </w:pPr>
            <w:r w:rsidRPr="00AD640D">
              <w:rPr>
                <w:lang w:val="en-GB"/>
              </w:rPr>
              <w:t>do</w:t>
            </w:r>
          </w:p>
        </w:tc>
        <w:tc>
          <w:tcPr>
            <w:tcW w:w="1057" w:type="dxa"/>
            <w:shd w:val="clear" w:color="auto" w:fill="auto"/>
            <w:noWrap/>
            <w:hideMark/>
          </w:tcPr>
          <w:p w:rsidR="00BE02F6" w:rsidRPr="00AD640D" w:rsidRDefault="00BE02F6" w:rsidP="00BE02F6">
            <w:pPr>
              <w:jc w:val="center"/>
              <w:rPr>
                <w:lang w:val="en-GB"/>
              </w:rPr>
            </w:pPr>
            <w:r w:rsidRPr="00AD640D">
              <w:rPr>
                <w:lang w:val="en-GB"/>
              </w:rPr>
              <w:t>190</w:t>
            </w:r>
          </w:p>
        </w:tc>
        <w:tc>
          <w:tcPr>
            <w:tcW w:w="1056" w:type="dxa"/>
            <w:shd w:val="clear" w:color="auto" w:fill="auto"/>
            <w:noWrap/>
            <w:hideMark/>
          </w:tcPr>
          <w:p w:rsidR="00BE02F6" w:rsidRPr="00AD640D" w:rsidRDefault="00BE02F6" w:rsidP="00BE02F6">
            <w:pPr>
              <w:jc w:val="center"/>
              <w:rPr>
                <w:lang w:val="en-GB"/>
              </w:rPr>
            </w:pPr>
            <w:r w:rsidRPr="00AD640D">
              <w:rPr>
                <w:lang w:val="en-GB"/>
              </w:rPr>
              <w:t>8.785</w:t>
            </w:r>
          </w:p>
        </w:tc>
        <w:tc>
          <w:tcPr>
            <w:tcW w:w="1835" w:type="dxa"/>
            <w:shd w:val="clear" w:color="auto" w:fill="auto"/>
            <w:hideMark/>
          </w:tcPr>
          <w:p w:rsidR="00BE02F6" w:rsidRPr="00AD640D" w:rsidRDefault="00BE02F6" w:rsidP="00BE02F6">
            <w:pPr>
              <w:jc w:val="center"/>
              <w:rPr>
                <w:lang w:val="en-GB"/>
              </w:rPr>
            </w:pPr>
            <w:r w:rsidRPr="00AD640D">
              <w:rPr>
                <w:lang w:val="en-GB"/>
              </w:rPr>
              <w:t>1.100</w:t>
            </w:r>
          </w:p>
        </w:tc>
      </w:tr>
      <w:tr w:rsidR="00AD640D" w:rsidRPr="00AD640D" w:rsidTr="00BE02F6">
        <w:trPr>
          <w:trHeight w:val="315"/>
          <w:tblCellSpacing w:w="20" w:type="dxa"/>
        </w:trPr>
        <w:tc>
          <w:tcPr>
            <w:tcW w:w="1771" w:type="dxa"/>
            <w:shd w:val="clear" w:color="auto" w:fill="auto"/>
            <w:hideMark/>
          </w:tcPr>
          <w:p w:rsidR="00BE02F6" w:rsidRPr="00AD640D" w:rsidRDefault="00BE02F6" w:rsidP="00BE02F6">
            <w:pPr>
              <w:jc w:val="both"/>
            </w:pPr>
            <w:r w:rsidRPr="00AD640D">
              <w:t>četvrta skupina</w:t>
            </w:r>
          </w:p>
        </w:tc>
        <w:tc>
          <w:tcPr>
            <w:tcW w:w="893" w:type="dxa"/>
            <w:shd w:val="clear" w:color="auto" w:fill="auto"/>
            <w:noWrap/>
            <w:hideMark/>
          </w:tcPr>
          <w:p w:rsidR="00BE02F6" w:rsidRPr="00AD640D" w:rsidRDefault="00BE02F6" w:rsidP="00BE02F6">
            <w:pPr>
              <w:jc w:val="center"/>
              <w:rPr>
                <w:lang w:val="en-GB"/>
              </w:rPr>
            </w:pPr>
            <w:r w:rsidRPr="00AD640D">
              <w:rPr>
                <w:lang w:val="en-GB"/>
              </w:rPr>
              <w:t>190</w:t>
            </w:r>
          </w:p>
        </w:tc>
        <w:tc>
          <w:tcPr>
            <w:tcW w:w="627" w:type="dxa"/>
            <w:shd w:val="clear" w:color="auto" w:fill="auto"/>
            <w:noWrap/>
            <w:hideMark/>
          </w:tcPr>
          <w:p w:rsidR="00BE02F6" w:rsidRPr="00AD640D" w:rsidRDefault="00BE02F6" w:rsidP="00BE02F6">
            <w:pPr>
              <w:jc w:val="center"/>
              <w:rPr>
                <w:lang w:val="en-GB"/>
              </w:rPr>
            </w:pPr>
            <w:r w:rsidRPr="00AD640D">
              <w:rPr>
                <w:lang w:val="en-GB"/>
              </w:rPr>
              <w:t>do</w:t>
            </w:r>
          </w:p>
        </w:tc>
        <w:tc>
          <w:tcPr>
            <w:tcW w:w="1057" w:type="dxa"/>
            <w:shd w:val="clear" w:color="auto" w:fill="auto"/>
            <w:noWrap/>
            <w:hideMark/>
          </w:tcPr>
          <w:p w:rsidR="00BE02F6" w:rsidRPr="00AD640D" w:rsidRDefault="00BE02F6" w:rsidP="00BE02F6">
            <w:pPr>
              <w:jc w:val="center"/>
              <w:rPr>
                <w:lang w:val="en-GB"/>
              </w:rPr>
            </w:pPr>
            <w:r w:rsidRPr="00AD640D">
              <w:rPr>
                <w:lang w:val="en-GB"/>
              </w:rPr>
              <w:t>215</w:t>
            </w:r>
          </w:p>
        </w:tc>
        <w:tc>
          <w:tcPr>
            <w:tcW w:w="1056" w:type="dxa"/>
            <w:shd w:val="clear" w:color="auto" w:fill="auto"/>
            <w:noWrap/>
            <w:hideMark/>
          </w:tcPr>
          <w:p w:rsidR="00BE02F6" w:rsidRPr="00AD640D" w:rsidRDefault="00BE02F6" w:rsidP="00BE02F6">
            <w:pPr>
              <w:jc w:val="center"/>
              <w:rPr>
                <w:lang w:val="en-GB"/>
              </w:rPr>
            </w:pPr>
            <w:r w:rsidRPr="00AD640D">
              <w:rPr>
                <w:lang w:val="en-GB"/>
              </w:rPr>
              <w:t>47.285</w:t>
            </w:r>
          </w:p>
        </w:tc>
        <w:tc>
          <w:tcPr>
            <w:tcW w:w="1835" w:type="dxa"/>
            <w:shd w:val="clear" w:color="auto" w:fill="auto"/>
            <w:hideMark/>
          </w:tcPr>
          <w:p w:rsidR="00BE02F6" w:rsidRPr="00AD640D" w:rsidRDefault="00BE02F6" w:rsidP="00BE02F6">
            <w:pPr>
              <w:jc w:val="center"/>
              <w:rPr>
                <w:lang w:val="en-GB"/>
              </w:rPr>
            </w:pPr>
            <w:r w:rsidRPr="00AD640D">
              <w:rPr>
                <w:lang w:val="en-GB"/>
              </w:rPr>
              <w:t>1.250</w:t>
            </w:r>
          </w:p>
        </w:tc>
      </w:tr>
      <w:tr w:rsidR="00AD640D" w:rsidRPr="00AD640D" w:rsidTr="00BE02F6">
        <w:trPr>
          <w:trHeight w:val="315"/>
          <w:tblCellSpacing w:w="20" w:type="dxa"/>
        </w:trPr>
        <w:tc>
          <w:tcPr>
            <w:tcW w:w="1771" w:type="dxa"/>
            <w:shd w:val="clear" w:color="auto" w:fill="auto"/>
          </w:tcPr>
          <w:p w:rsidR="00BE02F6" w:rsidRPr="00AD640D" w:rsidRDefault="00BE02F6" w:rsidP="00BE02F6">
            <w:pPr>
              <w:jc w:val="both"/>
            </w:pPr>
            <w:r w:rsidRPr="00AD640D">
              <w:t>peta skupina</w:t>
            </w:r>
          </w:p>
        </w:tc>
        <w:tc>
          <w:tcPr>
            <w:tcW w:w="893" w:type="dxa"/>
            <w:shd w:val="clear" w:color="auto" w:fill="auto"/>
            <w:noWrap/>
          </w:tcPr>
          <w:p w:rsidR="00BE02F6" w:rsidRPr="00AD640D" w:rsidRDefault="00BE02F6" w:rsidP="00BE02F6">
            <w:pPr>
              <w:jc w:val="center"/>
              <w:rPr>
                <w:lang w:val="en-GB"/>
              </w:rPr>
            </w:pPr>
            <w:r w:rsidRPr="00AD640D">
              <w:rPr>
                <w:lang w:val="en-GB"/>
              </w:rPr>
              <w:t>215</w:t>
            </w:r>
          </w:p>
        </w:tc>
        <w:tc>
          <w:tcPr>
            <w:tcW w:w="627" w:type="dxa"/>
            <w:shd w:val="clear" w:color="auto" w:fill="auto"/>
            <w:noWrap/>
          </w:tcPr>
          <w:p w:rsidR="00BE02F6" w:rsidRPr="00AD640D" w:rsidRDefault="00BE02F6" w:rsidP="00BE02F6">
            <w:pPr>
              <w:jc w:val="center"/>
              <w:rPr>
                <w:lang w:val="en-GB"/>
              </w:rPr>
            </w:pPr>
            <w:r w:rsidRPr="00AD640D">
              <w:rPr>
                <w:lang w:val="en-GB"/>
              </w:rPr>
              <w:t>do</w:t>
            </w:r>
          </w:p>
        </w:tc>
        <w:tc>
          <w:tcPr>
            <w:tcW w:w="1057" w:type="dxa"/>
            <w:shd w:val="clear" w:color="auto" w:fill="auto"/>
            <w:noWrap/>
          </w:tcPr>
          <w:p w:rsidR="00BE02F6" w:rsidRPr="00AD640D" w:rsidRDefault="00BE02F6" w:rsidP="00BE02F6">
            <w:pPr>
              <w:jc w:val="center"/>
              <w:rPr>
                <w:lang w:val="en-GB"/>
              </w:rPr>
            </w:pPr>
            <w:r w:rsidRPr="00AD640D">
              <w:rPr>
                <w:lang w:val="en-GB"/>
              </w:rPr>
              <w:t>255</w:t>
            </w:r>
          </w:p>
        </w:tc>
        <w:tc>
          <w:tcPr>
            <w:tcW w:w="1056" w:type="dxa"/>
            <w:shd w:val="clear" w:color="auto" w:fill="auto"/>
            <w:noWrap/>
          </w:tcPr>
          <w:p w:rsidR="00BE02F6" w:rsidRPr="00AD640D" w:rsidRDefault="00BE02F6" w:rsidP="00BE02F6">
            <w:pPr>
              <w:jc w:val="center"/>
              <w:rPr>
                <w:lang w:val="en-GB"/>
              </w:rPr>
            </w:pPr>
            <w:r w:rsidRPr="00AD640D">
              <w:rPr>
                <w:lang w:val="en-GB"/>
              </w:rPr>
              <w:t>78.535</w:t>
            </w:r>
          </w:p>
        </w:tc>
        <w:tc>
          <w:tcPr>
            <w:tcW w:w="1835" w:type="dxa"/>
            <w:shd w:val="clear" w:color="auto" w:fill="auto"/>
          </w:tcPr>
          <w:p w:rsidR="00BE02F6" w:rsidRPr="00AD640D" w:rsidRDefault="00BE02F6" w:rsidP="00BE02F6">
            <w:pPr>
              <w:jc w:val="center"/>
              <w:rPr>
                <w:lang w:val="en-GB"/>
              </w:rPr>
            </w:pPr>
            <w:r w:rsidRPr="00AD640D">
              <w:rPr>
                <w:lang w:val="en-GB"/>
              </w:rPr>
              <w:t>1.350</w:t>
            </w:r>
          </w:p>
        </w:tc>
      </w:tr>
      <w:tr w:rsidR="00BE02F6" w:rsidRPr="00AD640D" w:rsidTr="00BE02F6">
        <w:trPr>
          <w:trHeight w:val="330"/>
          <w:tblCellSpacing w:w="20" w:type="dxa"/>
        </w:trPr>
        <w:tc>
          <w:tcPr>
            <w:tcW w:w="1771" w:type="dxa"/>
            <w:shd w:val="clear" w:color="auto" w:fill="auto"/>
            <w:hideMark/>
          </w:tcPr>
          <w:p w:rsidR="00BE02F6" w:rsidRPr="00AD640D" w:rsidRDefault="00BE02F6" w:rsidP="00BE02F6">
            <w:pPr>
              <w:jc w:val="both"/>
            </w:pPr>
            <w:r w:rsidRPr="00AD640D">
              <w:t>šesta skupina</w:t>
            </w:r>
          </w:p>
        </w:tc>
        <w:tc>
          <w:tcPr>
            <w:tcW w:w="893" w:type="dxa"/>
            <w:shd w:val="clear" w:color="auto" w:fill="auto"/>
            <w:noWrap/>
            <w:hideMark/>
          </w:tcPr>
          <w:p w:rsidR="00BE02F6" w:rsidRPr="00AD640D" w:rsidRDefault="00BE02F6" w:rsidP="00BE02F6">
            <w:pPr>
              <w:jc w:val="center"/>
              <w:rPr>
                <w:lang w:val="en-GB"/>
              </w:rPr>
            </w:pPr>
            <w:r w:rsidRPr="00AD640D">
              <w:rPr>
                <w:lang w:val="en-GB"/>
              </w:rPr>
              <w:t>255</w:t>
            </w:r>
          </w:p>
        </w:tc>
        <w:tc>
          <w:tcPr>
            <w:tcW w:w="627" w:type="dxa"/>
            <w:shd w:val="clear" w:color="auto" w:fill="auto"/>
            <w:noWrap/>
            <w:hideMark/>
          </w:tcPr>
          <w:p w:rsidR="00BE02F6" w:rsidRPr="00AD640D" w:rsidRDefault="00BE02F6" w:rsidP="00BE02F6">
            <w:pPr>
              <w:jc w:val="center"/>
              <w:rPr>
                <w:lang w:val="en-GB"/>
              </w:rPr>
            </w:pPr>
            <w:r w:rsidRPr="00AD640D">
              <w:rPr>
                <w:lang w:val="en-GB"/>
              </w:rPr>
              <w:t>do</w:t>
            </w:r>
          </w:p>
        </w:tc>
        <w:tc>
          <w:tcPr>
            <w:tcW w:w="1057" w:type="dxa"/>
            <w:shd w:val="clear" w:color="auto" w:fill="auto"/>
            <w:noWrap/>
            <w:hideMark/>
          </w:tcPr>
          <w:p w:rsidR="00BE02F6" w:rsidRPr="00AD640D" w:rsidRDefault="00BE02F6" w:rsidP="00BE02F6">
            <w:pPr>
              <w:jc w:val="center"/>
              <w:rPr>
                <w:lang w:val="en-GB"/>
              </w:rPr>
            </w:pPr>
          </w:p>
        </w:tc>
        <w:tc>
          <w:tcPr>
            <w:tcW w:w="1056" w:type="dxa"/>
            <w:shd w:val="clear" w:color="auto" w:fill="auto"/>
            <w:noWrap/>
            <w:hideMark/>
          </w:tcPr>
          <w:p w:rsidR="00BE02F6" w:rsidRPr="00AD640D" w:rsidRDefault="00BE02F6" w:rsidP="00BE02F6">
            <w:pPr>
              <w:jc w:val="center"/>
              <w:rPr>
                <w:lang w:val="en-GB"/>
              </w:rPr>
            </w:pPr>
            <w:r w:rsidRPr="00AD640D">
              <w:rPr>
                <w:lang w:val="en-GB"/>
              </w:rPr>
              <w:t>132.535</w:t>
            </w:r>
          </w:p>
        </w:tc>
        <w:tc>
          <w:tcPr>
            <w:tcW w:w="1835" w:type="dxa"/>
            <w:shd w:val="clear" w:color="auto" w:fill="auto"/>
            <w:hideMark/>
          </w:tcPr>
          <w:p w:rsidR="00BE02F6" w:rsidRPr="00AD640D" w:rsidRDefault="00BE02F6" w:rsidP="00BE02F6">
            <w:pPr>
              <w:jc w:val="center"/>
              <w:rPr>
                <w:lang w:val="en-GB"/>
              </w:rPr>
            </w:pPr>
            <w:r w:rsidRPr="00AD640D">
              <w:rPr>
                <w:lang w:val="en-GB"/>
              </w:rPr>
              <w:t>1.550</w:t>
            </w:r>
          </w:p>
        </w:tc>
      </w:tr>
    </w:tbl>
    <w:p w:rsidR="00BE02F6" w:rsidRPr="00AD640D" w:rsidRDefault="00BE02F6" w:rsidP="00BE02F6">
      <w:pPr>
        <w:jc w:val="both"/>
      </w:pPr>
    </w:p>
    <w:p w:rsidR="00BE02F6" w:rsidRPr="00AD640D" w:rsidRDefault="00BE02F6" w:rsidP="00BE02F6">
      <w:pPr>
        <w:jc w:val="both"/>
      </w:pPr>
      <w:r w:rsidRPr="00AD640D">
        <w:t>Tablica 6 – benzin, ukapljeni naftni plin, prirodni plin i druga goriva osim dizelskog</w:t>
      </w:r>
    </w:p>
    <w:p w:rsidR="00BE02F6" w:rsidRPr="00AD640D" w:rsidRDefault="00BE02F6" w:rsidP="00BE02F6">
      <w:pPr>
        <w:jc w:val="both"/>
      </w:pPr>
    </w:p>
    <w:tbl>
      <w:tblPr>
        <w:tblW w:w="0" w:type="auto"/>
        <w:tblCellSpacing w:w="20" w:type="dxa"/>
        <w:tblBorders>
          <w:insideH w:val="single" w:sz="4" w:space="0" w:color="auto"/>
          <w:insideV w:val="single" w:sz="4" w:space="0" w:color="auto"/>
        </w:tblBorders>
        <w:tblLook w:val="04A0" w:firstRow="1" w:lastRow="0" w:firstColumn="1" w:lastColumn="0" w:noHBand="0" w:noVBand="1"/>
      </w:tblPr>
      <w:tblGrid>
        <w:gridCol w:w="1849"/>
        <w:gridCol w:w="1063"/>
        <w:gridCol w:w="820"/>
        <w:gridCol w:w="1010"/>
        <w:gridCol w:w="1093"/>
        <w:gridCol w:w="1824"/>
      </w:tblGrid>
      <w:tr w:rsidR="00AD640D" w:rsidRPr="00AD640D" w:rsidTr="00BE02F6">
        <w:trPr>
          <w:trHeight w:val="631"/>
          <w:tblCellSpacing w:w="20" w:type="dxa"/>
        </w:trPr>
        <w:tc>
          <w:tcPr>
            <w:tcW w:w="1789" w:type="dxa"/>
            <w:shd w:val="clear" w:color="auto" w:fill="auto"/>
          </w:tcPr>
          <w:p w:rsidR="00BE02F6" w:rsidRPr="00AD640D" w:rsidRDefault="00BE02F6" w:rsidP="00BE02F6">
            <w:pPr>
              <w:jc w:val="both"/>
              <w:rPr>
                <w:lang w:val="pl-PL"/>
              </w:rPr>
            </w:pPr>
          </w:p>
        </w:tc>
        <w:tc>
          <w:tcPr>
            <w:tcW w:w="2813" w:type="dxa"/>
            <w:gridSpan w:val="3"/>
            <w:shd w:val="clear" w:color="auto" w:fill="auto"/>
            <w:noWrap/>
          </w:tcPr>
          <w:p w:rsidR="00BE02F6" w:rsidRPr="00AD640D" w:rsidRDefault="00BE02F6" w:rsidP="00BE02F6">
            <w:pPr>
              <w:rPr>
                <w:lang w:val="en-GB"/>
              </w:rPr>
            </w:pPr>
            <w:r w:rsidRPr="00AD640D">
              <w:t>Emisija CO</w:t>
            </w:r>
            <w:r w:rsidRPr="00AD640D">
              <w:rPr>
                <w:vertAlign w:val="subscript"/>
              </w:rPr>
              <w:t>2</w:t>
            </w:r>
            <w:r w:rsidRPr="00AD640D">
              <w:t xml:space="preserve"> (g/km)</w:t>
            </w:r>
          </w:p>
        </w:tc>
        <w:tc>
          <w:tcPr>
            <w:tcW w:w="1033" w:type="dxa"/>
            <w:shd w:val="clear" w:color="auto" w:fill="auto"/>
            <w:noWrap/>
          </w:tcPr>
          <w:p w:rsidR="00BE02F6" w:rsidRPr="00AD640D" w:rsidRDefault="00BE02F6" w:rsidP="00BE02F6">
            <w:pPr>
              <w:jc w:val="center"/>
            </w:pPr>
            <w:r w:rsidRPr="00AD640D">
              <w:t>ON u kn</w:t>
            </w:r>
          </w:p>
        </w:tc>
        <w:tc>
          <w:tcPr>
            <w:tcW w:w="1754" w:type="dxa"/>
            <w:shd w:val="clear" w:color="auto" w:fill="auto"/>
            <w:noWrap/>
          </w:tcPr>
          <w:p w:rsidR="00BE02F6" w:rsidRPr="00AD640D" w:rsidRDefault="00BE02F6" w:rsidP="00BE02F6">
            <w:r w:rsidRPr="00AD640D">
              <w:t>Iznos u kn za 1</w:t>
            </w:r>
          </w:p>
          <w:p w:rsidR="00BE02F6" w:rsidRPr="00AD640D" w:rsidRDefault="00BE02F6" w:rsidP="00BE02F6">
            <w:pPr>
              <w:rPr>
                <w:lang w:val="pl-PL"/>
              </w:rPr>
            </w:pPr>
            <w:r w:rsidRPr="00AD640D">
              <w:t>g /km CO</w:t>
            </w:r>
            <w:r w:rsidRPr="00AD640D">
              <w:rPr>
                <w:vertAlign w:val="subscript"/>
              </w:rPr>
              <w:t>2</w:t>
            </w:r>
            <w:r w:rsidRPr="00AD640D">
              <w:t xml:space="preserve"> </w:t>
            </w:r>
          </w:p>
        </w:tc>
      </w:tr>
      <w:tr w:rsidR="00AD640D" w:rsidRPr="00AD640D" w:rsidTr="00BE02F6">
        <w:trPr>
          <w:trHeight w:val="300"/>
          <w:tblCellSpacing w:w="20" w:type="dxa"/>
        </w:trPr>
        <w:tc>
          <w:tcPr>
            <w:tcW w:w="1789" w:type="dxa"/>
            <w:shd w:val="clear" w:color="auto" w:fill="auto"/>
          </w:tcPr>
          <w:p w:rsidR="00BE02F6" w:rsidRPr="00AD640D" w:rsidRDefault="00BE02F6" w:rsidP="00BE02F6">
            <w:pPr>
              <w:jc w:val="both"/>
            </w:pPr>
            <w:r w:rsidRPr="00AD640D">
              <w:t>prva skupina</w:t>
            </w:r>
          </w:p>
        </w:tc>
        <w:tc>
          <w:tcPr>
            <w:tcW w:w="1003" w:type="dxa"/>
            <w:shd w:val="clear" w:color="auto" w:fill="auto"/>
            <w:noWrap/>
            <w:hideMark/>
          </w:tcPr>
          <w:p w:rsidR="00BE02F6" w:rsidRPr="00AD640D" w:rsidRDefault="00BE02F6" w:rsidP="00BE02F6">
            <w:pPr>
              <w:jc w:val="center"/>
              <w:rPr>
                <w:lang w:val="en-GB"/>
              </w:rPr>
            </w:pPr>
            <w:r w:rsidRPr="00AD640D">
              <w:rPr>
                <w:lang w:val="en-GB"/>
              </w:rPr>
              <w:t>95</w:t>
            </w:r>
          </w:p>
        </w:tc>
        <w:tc>
          <w:tcPr>
            <w:tcW w:w="760" w:type="dxa"/>
            <w:shd w:val="clear" w:color="auto" w:fill="auto"/>
            <w:noWrap/>
            <w:hideMark/>
          </w:tcPr>
          <w:p w:rsidR="00BE02F6" w:rsidRPr="00AD640D" w:rsidRDefault="00BE02F6" w:rsidP="00BE02F6">
            <w:pPr>
              <w:jc w:val="center"/>
              <w:rPr>
                <w:lang w:val="en-GB"/>
              </w:rPr>
            </w:pPr>
            <w:r w:rsidRPr="00AD640D">
              <w:rPr>
                <w:lang w:val="en-GB"/>
              </w:rPr>
              <w:t>do</w:t>
            </w:r>
          </w:p>
        </w:tc>
        <w:tc>
          <w:tcPr>
            <w:tcW w:w="970" w:type="dxa"/>
            <w:shd w:val="clear" w:color="auto" w:fill="auto"/>
          </w:tcPr>
          <w:p w:rsidR="00BE02F6" w:rsidRPr="00AD640D" w:rsidRDefault="00BE02F6" w:rsidP="00BE02F6">
            <w:pPr>
              <w:jc w:val="center"/>
              <w:rPr>
                <w:lang w:val="en-GB"/>
              </w:rPr>
            </w:pPr>
            <w:r w:rsidRPr="00AD640D">
              <w:rPr>
                <w:lang w:val="en-GB"/>
              </w:rPr>
              <w:t>125</w:t>
            </w:r>
          </w:p>
        </w:tc>
        <w:tc>
          <w:tcPr>
            <w:tcW w:w="1033" w:type="dxa"/>
            <w:shd w:val="clear" w:color="auto" w:fill="auto"/>
            <w:noWrap/>
            <w:hideMark/>
          </w:tcPr>
          <w:p w:rsidR="00BE02F6" w:rsidRPr="00AD640D" w:rsidRDefault="00BE02F6" w:rsidP="00BE02F6">
            <w:pPr>
              <w:jc w:val="center"/>
              <w:rPr>
                <w:lang w:val="en-GB"/>
              </w:rPr>
            </w:pPr>
            <w:r w:rsidRPr="00AD640D">
              <w:rPr>
                <w:lang w:val="en-GB"/>
              </w:rPr>
              <w:t>25</w:t>
            </w:r>
          </w:p>
        </w:tc>
        <w:tc>
          <w:tcPr>
            <w:tcW w:w="1754" w:type="dxa"/>
            <w:shd w:val="clear" w:color="auto" w:fill="auto"/>
            <w:noWrap/>
            <w:hideMark/>
          </w:tcPr>
          <w:p w:rsidR="00BE02F6" w:rsidRPr="00AD640D" w:rsidRDefault="00BE02F6" w:rsidP="00BE02F6">
            <w:pPr>
              <w:jc w:val="center"/>
              <w:rPr>
                <w:lang w:val="en-GB"/>
              </w:rPr>
            </w:pPr>
            <w:r w:rsidRPr="00AD640D">
              <w:rPr>
                <w:lang w:val="en-GB"/>
              </w:rPr>
              <w:t>45</w:t>
            </w:r>
          </w:p>
        </w:tc>
      </w:tr>
      <w:tr w:rsidR="00AD640D" w:rsidRPr="00AD640D" w:rsidTr="00BE02F6">
        <w:trPr>
          <w:trHeight w:val="300"/>
          <w:tblCellSpacing w:w="20" w:type="dxa"/>
        </w:trPr>
        <w:tc>
          <w:tcPr>
            <w:tcW w:w="1789" w:type="dxa"/>
            <w:shd w:val="clear" w:color="auto" w:fill="auto"/>
          </w:tcPr>
          <w:p w:rsidR="00BE02F6" w:rsidRPr="00AD640D" w:rsidRDefault="00BE02F6" w:rsidP="00BE02F6">
            <w:pPr>
              <w:jc w:val="both"/>
            </w:pPr>
            <w:r w:rsidRPr="00AD640D">
              <w:t>druga skupina</w:t>
            </w:r>
          </w:p>
        </w:tc>
        <w:tc>
          <w:tcPr>
            <w:tcW w:w="1003" w:type="dxa"/>
            <w:shd w:val="clear" w:color="auto" w:fill="auto"/>
            <w:noWrap/>
            <w:hideMark/>
          </w:tcPr>
          <w:p w:rsidR="00BE02F6" w:rsidRPr="00AD640D" w:rsidRDefault="00BE02F6" w:rsidP="00BE02F6">
            <w:pPr>
              <w:jc w:val="center"/>
              <w:rPr>
                <w:lang w:val="en-GB"/>
              </w:rPr>
            </w:pPr>
            <w:r w:rsidRPr="00AD640D">
              <w:rPr>
                <w:lang w:val="en-GB"/>
              </w:rPr>
              <w:t>125</w:t>
            </w:r>
          </w:p>
        </w:tc>
        <w:tc>
          <w:tcPr>
            <w:tcW w:w="760" w:type="dxa"/>
            <w:shd w:val="clear" w:color="auto" w:fill="auto"/>
            <w:noWrap/>
            <w:hideMark/>
          </w:tcPr>
          <w:p w:rsidR="00BE02F6" w:rsidRPr="00AD640D" w:rsidRDefault="00BE02F6" w:rsidP="00BE02F6">
            <w:pPr>
              <w:jc w:val="center"/>
              <w:rPr>
                <w:lang w:val="en-GB"/>
              </w:rPr>
            </w:pPr>
            <w:r w:rsidRPr="00AD640D">
              <w:rPr>
                <w:lang w:val="en-GB"/>
              </w:rPr>
              <w:t>do</w:t>
            </w:r>
          </w:p>
        </w:tc>
        <w:tc>
          <w:tcPr>
            <w:tcW w:w="970" w:type="dxa"/>
            <w:shd w:val="clear" w:color="auto" w:fill="auto"/>
          </w:tcPr>
          <w:p w:rsidR="00BE02F6" w:rsidRPr="00AD640D" w:rsidRDefault="00BE02F6" w:rsidP="00BE02F6">
            <w:pPr>
              <w:jc w:val="center"/>
              <w:rPr>
                <w:lang w:val="en-GB"/>
              </w:rPr>
            </w:pPr>
            <w:r w:rsidRPr="00AD640D">
              <w:rPr>
                <w:lang w:val="en-GB"/>
              </w:rPr>
              <w:t>155</w:t>
            </w:r>
          </w:p>
        </w:tc>
        <w:tc>
          <w:tcPr>
            <w:tcW w:w="1033" w:type="dxa"/>
            <w:shd w:val="clear" w:color="auto" w:fill="auto"/>
            <w:noWrap/>
            <w:hideMark/>
          </w:tcPr>
          <w:p w:rsidR="00BE02F6" w:rsidRPr="00AD640D" w:rsidRDefault="00BE02F6" w:rsidP="00BE02F6">
            <w:pPr>
              <w:jc w:val="center"/>
              <w:rPr>
                <w:lang w:val="en-GB"/>
              </w:rPr>
            </w:pPr>
            <w:r w:rsidRPr="00AD640D">
              <w:rPr>
                <w:lang w:val="en-GB"/>
              </w:rPr>
              <w:t>1.375</w:t>
            </w:r>
          </w:p>
        </w:tc>
        <w:tc>
          <w:tcPr>
            <w:tcW w:w="1754" w:type="dxa"/>
            <w:shd w:val="clear" w:color="auto" w:fill="auto"/>
            <w:noWrap/>
            <w:hideMark/>
          </w:tcPr>
          <w:p w:rsidR="00BE02F6" w:rsidRPr="00AD640D" w:rsidRDefault="00BE02F6" w:rsidP="00BE02F6">
            <w:pPr>
              <w:jc w:val="center"/>
              <w:rPr>
                <w:lang w:val="en-GB"/>
              </w:rPr>
            </w:pPr>
            <w:r w:rsidRPr="00AD640D">
              <w:rPr>
                <w:lang w:val="en-GB"/>
              </w:rPr>
              <w:t>140</w:t>
            </w:r>
          </w:p>
        </w:tc>
      </w:tr>
      <w:tr w:rsidR="00AD640D" w:rsidRPr="00AD640D" w:rsidTr="00BE02F6">
        <w:trPr>
          <w:trHeight w:val="300"/>
          <w:tblCellSpacing w:w="20" w:type="dxa"/>
        </w:trPr>
        <w:tc>
          <w:tcPr>
            <w:tcW w:w="1789" w:type="dxa"/>
            <w:shd w:val="clear" w:color="auto" w:fill="auto"/>
          </w:tcPr>
          <w:p w:rsidR="00BE02F6" w:rsidRPr="00AD640D" w:rsidRDefault="00BE02F6" w:rsidP="00BE02F6">
            <w:pPr>
              <w:jc w:val="both"/>
            </w:pPr>
            <w:r w:rsidRPr="00AD640D">
              <w:t>treća skupina</w:t>
            </w:r>
          </w:p>
        </w:tc>
        <w:tc>
          <w:tcPr>
            <w:tcW w:w="1003" w:type="dxa"/>
            <w:shd w:val="clear" w:color="auto" w:fill="auto"/>
            <w:noWrap/>
            <w:hideMark/>
          </w:tcPr>
          <w:p w:rsidR="00BE02F6" w:rsidRPr="00AD640D" w:rsidRDefault="00BE02F6" w:rsidP="00BE02F6">
            <w:pPr>
              <w:jc w:val="center"/>
              <w:rPr>
                <w:lang w:val="en-GB"/>
              </w:rPr>
            </w:pPr>
            <w:r w:rsidRPr="00AD640D">
              <w:rPr>
                <w:lang w:val="en-GB"/>
              </w:rPr>
              <w:t>155</w:t>
            </w:r>
          </w:p>
        </w:tc>
        <w:tc>
          <w:tcPr>
            <w:tcW w:w="760" w:type="dxa"/>
            <w:shd w:val="clear" w:color="auto" w:fill="auto"/>
            <w:noWrap/>
            <w:hideMark/>
          </w:tcPr>
          <w:p w:rsidR="00BE02F6" w:rsidRPr="00AD640D" w:rsidRDefault="00BE02F6" w:rsidP="00BE02F6">
            <w:pPr>
              <w:jc w:val="center"/>
              <w:rPr>
                <w:lang w:val="en-GB"/>
              </w:rPr>
            </w:pPr>
            <w:r w:rsidRPr="00AD640D">
              <w:rPr>
                <w:lang w:val="en-GB"/>
              </w:rPr>
              <w:t>do</w:t>
            </w:r>
          </w:p>
        </w:tc>
        <w:tc>
          <w:tcPr>
            <w:tcW w:w="970" w:type="dxa"/>
            <w:shd w:val="clear" w:color="auto" w:fill="auto"/>
          </w:tcPr>
          <w:p w:rsidR="00BE02F6" w:rsidRPr="00AD640D" w:rsidRDefault="00BE02F6" w:rsidP="00BE02F6">
            <w:pPr>
              <w:jc w:val="center"/>
              <w:rPr>
                <w:lang w:val="en-GB"/>
              </w:rPr>
            </w:pPr>
            <w:r w:rsidRPr="00AD640D">
              <w:rPr>
                <w:lang w:val="en-GB"/>
              </w:rPr>
              <w:t>175</w:t>
            </w:r>
          </w:p>
        </w:tc>
        <w:tc>
          <w:tcPr>
            <w:tcW w:w="1033" w:type="dxa"/>
            <w:shd w:val="clear" w:color="auto" w:fill="auto"/>
            <w:noWrap/>
            <w:hideMark/>
          </w:tcPr>
          <w:p w:rsidR="00BE02F6" w:rsidRPr="00AD640D" w:rsidRDefault="00BE02F6" w:rsidP="00BE02F6">
            <w:pPr>
              <w:jc w:val="center"/>
              <w:rPr>
                <w:lang w:val="en-GB"/>
              </w:rPr>
            </w:pPr>
            <w:r w:rsidRPr="00AD640D">
              <w:rPr>
                <w:lang w:val="en-GB"/>
              </w:rPr>
              <w:t>5.575</w:t>
            </w:r>
          </w:p>
        </w:tc>
        <w:tc>
          <w:tcPr>
            <w:tcW w:w="1754" w:type="dxa"/>
            <w:shd w:val="clear" w:color="auto" w:fill="auto"/>
            <w:noWrap/>
            <w:hideMark/>
          </w:tcPr>
          <w:p w:rsidR="00BE02F6" w:rsidRPr="00AD640D" w:rsidRDefault="00BE02F6" w:rsidP="00BE02F6">
            <w:pPr>
              <w:jc w:val="center"/>
              <w:rPr>
                <w:lang w:val="en-GB"/>
              </w:rPr>
            </w:pPr>
            <w:r w:rsidRPr="00AD640D">
              <w:rPr>
                <w:lang w:val="en-GB"/>
              </w:rPr>
              <w:t>555</w:t>
            </w:r>
          </w:p>
        </w:tc>
      </w:tr>
      <w:tr w:rsidR="00AD640D" w:rsidRPr="00AD640D" w:rsidTr="00BE02F6">
        <w:trPr>
          <w:trHeight w:val="300"/>
          <w:tblCellSpacing w:w="20" w:type="dxa"/>
        </w:trPr>
        <w:tc>
          <w:tcPr>
            <w:tcW w:w="1789" w:type="dxa"/>
            <w:shd w:val="clear" w:color="auto" w:fill="auto"/>
          </w:tcPr>
          <w:p w:rsidR="00BE02F6" w:rsidRPr="00AD640D" w:rsidRDefault="00BE02F6" w:rsidP="00BE02F6">
            <w:pPr>
              <w:jc w:val="both"/>
            </w:pPr>
            <w:r w:rsidRPr="00AD640D">
              <w:t>četvrta skupina</w:t>
            </w:r>
          </w:p>
        </w:tc>
        <w:tc>
          <w:tcPr>
            <w:tcW w:w="1003" w:type="dxa"/>
            <w:shd w:val="clear" w:color="auto" w:fill="auto"/>
            <w:noWrap/>
            <w:hideMark/>
          </w:tcPr>
          <w:p w:rsidR="00BE02F6" w:rsidRPr="00AD640D" w:rsidRDefault="00BE02F6" w:rsidP="00BE02F6">
            <w:pPr>
              <w:jc w:val="center"/>
              <w:rPr>
                <w:lang w:val="en-GB"/>
              </w:rPr>
            </w:pPr>
            <w:r w:rsidRPr="00AD640D">
              <w:rPr>
                <w:lang w:val="en-GB"/>
              </w:rPr>
              <w:t>175</w:t>
            </w:r>
          </w:p>
        </w:tc>
        <w:tc>
          <w:tcPr>
            <w:tcW w:w="760" w:type="dxa"/>
            <w:shd w:val="clear" w:color="auto" w:fill="auto"/>
            <w:noWrap/>
            <w:hideMark/>
          </w:tcPr>
          <w:p w:rsidR="00BE02F6" w:rsidRPr="00AD640D" w:rsidRDefault="00BE02F6" w:rsidP="00BE02F6">
            <w:pPr>
              <w:jc w:val="center"/>
              <w:rPr>
                <w:lang w:val="en-GB"/>
              </w:rPr>
            </w:pPr>
            <w:r w:rsidRPr="00AD640D">
              <w:rPr>
                <w:lang w:val="en-GB"/>
              </w:rPr>
              <w:t>do</w:t>
            </w:r>
          </w:p>
        </w:tc>
        <w:tc>
          <w:tcPr>
            <w:tcW w:w="970" w:type="dxa"/>
            <w:shd w:val="clear" w:color="auto" w:fill="auto"/>
          </w:tcPr>
          <w:p w:rsidR="00BE02F6" w:rsidRPr="00AD640D" w:rsidRDefault="00BE02F6" w:rsidP="00BE02F6">
            <w:pPr>
              <w:jc w:val="center"/>
              <w:rPr>
                <w:lang w:val="en-GB"/>
              </w:rPr>
            </w:pPr>
            <w:r w:rsidRPr="00AD640D">
              <w:rPr>
                <w:lang w:val="en-GB"/>
              </w:rPr>
              <w:t>200</w:t>
            </w:r>
          </w:p>
        </w:tc>
        <w:tc>
          <w:tcPr>
            <w:tcW w:w="1033" w:type="dxa"/>
            <w:shd w:val="clear" w:color="auto" w:fill="auto"/>
            <w:noWrap/>
            <w:hideMark/>
          </w:tcPr>
          <w:p w:rsidR="00BE02F6" w:rsidRPr="00AD640D" w:rsidRDefault="00BE02F6" w:rsidP="00BE02F6">
            <w:pPr>
              <w:jc w:val="center"/>
              <w:rPr>
                <w:lang w:val="en-GB"/>
              </w:rPr>
            </w:pPr>
            <w:r w:rsidRPr="00AD640D">
              <w:rPr>
                <w:lang w:val="en-GB"/>
              </w:rPr>
              <w:t>16.675</w:t>
            </w:r>
          </w:p>
        </w:tc>
        <w:tc>
          <w:tcPr>
            <w:tcW w:w="1754" w:type="dxa"/>
            <w:shd w:val="clear" w:color="auto" w:fill="auto"/>
            <w:noWrap/>
            <w:hideMark/>
          </w:tcPr>
          <w:p w:rsidR="00BE02F6" w:rsidRPr="00AD640D" w:rsidRDefault="00BE02F6" w:rsidP="00BE02F6">
            <w:pPr>
              <w:jc w:val="center"/>
              <w:rPr>
                <w:lang w:val="en-GB"/>
              </w:rPr>
            </w:pPr>
            <w:r w:rsidRPr="00AD640D">
              <w:rPr>
                <w:lang w:val="en-GB"/>
              </w:rPr>
              <w:t>725</w:t>
            </w:r>
          </w:p>
        </w:tc>
      </w:tr>
      <w:tr w:rsidR="00AD640D" w:rsidRPr="00AD640D" w:rsidTr="00BE02F6">
        <w:trPr>
          <w:trHeight w:val="300"/>
          <w:tblCellSpacing w:w="20" w:type="dxa"/>
        </w:trPr>
        <w:tc>
          <w:tcPr>
            <w:tcW w:w="1789" w:type="dxa"/>
            <w:shd w:val="clear" w:color="auto" w:fill="auto"/>
          </w:tcPr>
          <w:p w:rsidR="00BE02F6" w:rsidRPr="00AD640D" w:rsidRDefault="00BE02F6" w:rsidP="00BE02F6">
            <w:pPr>
              <w:jc w:val="both"/>
            </w:pPr>
            <w:r w:rsidRPr="00AD640D">
              <w:t>peta skupina</w:t>
            </w:r>
          </w:p>
        </w:tc>
        <w:tc>
          <w:tcPr>
            <w:tcW w:w="1003" w:type="dxa"/>
            <w:shd w:val="clear" w:color="auto" w:fill="auto"/>
            <w:noWrap/>
          </w:tcPr>
          <w:p w:rsidR="00BE02F6" w:rsidRPr="00AD640D" w:rsidRDefault="00BE02F6" w:rsidP="00BE02F6">
            <w:pPr>
              <w:jc w:val="center"/>
              <w:rPr>
                <w:lang w:val="en-GB"/>
              </w:rPr>
            </w:pPr>
            <w:r w:rsidRPr="00AD640D">
              <w:rPr>
                <w:lang w:val="en-GB"/>
              </w:rPr>
              <w:t>200</w:t>
            </w:r>
          </w:p>
        </w:tc>
        <w:tc>
          <w:tcPr>
            <w:tcW w:w="760" w:type="dxa"/>
            <w:shd w:val="clear" w:color="auto" w:fill="auto"/>
            <w:noWrap/>
          </w:tcPr>
          <w:p w:rsidR="00BE02F6" w:rsidRPr="00AD640D" w:rsidRDefault="00BE02F6" w:rsidP="00BE02F6">
            <w:pPr>
              <w:jc w:val="center"/>
              <w:rPr>
                <w:lang w:val="en-GB"/>
              </w:rPr>
            </w:pPr>
            <w:r w:rsidRPr="00AD640D">
              <w:rPr>
                <w:lang w:val="en-GB"/>
              </w:rPr>
              <w:t>do</w:t>
            </w:r>
          </w:p>
        </w:tc>
        <w:tc>
          <w:tcPr>
            <w:tcW w:w="970" w:type="dxa"/>
            <w:shd w:val="clear" w:color="auto" w:fill="auto"/>
          </w:tcPr>
          <w:p w:rsidR="00BE02F6" w:rsidRPr="00AD640D" w:rsidRDefault="00BE02F6" w:rsidP="00BE02F6">
            <w:pPr>
              <w:jc w:val="center"/>
              <w:rPr>
                <w:lang w:val="en-GB"/>
              </w:rPr>
            </w:pPr>
            <w:r w:rsidRPr="00AD640D">
              <w:rPr>
                <w:lang w:val="en-GB"/>
              </w:rPr>
              <w:t>240</w:t>
            </w:r>
          </w:p>
        </w:tc>
        <w:tc>
          <w:tcPr>
            <w:tcW w:w="1033" w:type="dxa"/>
            <w:shd w:val="clear" w:color="auto" w:fill="auto"/>
            <w:noWrap/>
          </w:tcPr>
          <w:p w:rsidR="00BE02F6" w:rsidRPr="00AD640D" w:rsidRDefault="00BE02F6" w:rsidP="00BE02F6">
            <w:pPr>
              <w:jc w:val="center"/>
              <w:rPr>
                <w:lang w:val="en-GB"/>
              </w:rPr>
            </w:pPr>
            <w:r w:rsidRPr="00AD640D">
              <w:rPr>
                <w:lang w:val="en-GB"/>
              </w:rPr>
              <w:t>34.800</w:t>
            </w:r>
          </w:p>
        </w:tc>
        <w:tc>
          <w:tcPr>
            <w:tcW w:w="1754" w:type="dxa"/>
            <w:shd w:val="clear" w:color="auto" w:fill="auto"/>
            <w:noWrap/>
          </w:tcPr>
          <w:p w:rsidR="00BE02F6" w:rsidRPr="00AD640D" w:rsidRDefault="00BE02F6" w:rsidP="00BE02F6">
            <w:pPr>
              <w:jc w:val="center"/>
              <w:rPr>
                <w:lang w:val="en-GB"/>
              </w:rPr>
            </w:pPr>
            <w:r w:rsidRPr="00AD640D">
              <w:rPr>
                <w:lang w:val="en-GB"/>
              </w:rPr>
              <w:t>975</w:t>
            </w:r>
          </w:p>
        </w:tc>
      </w:tr>
      <w:tr w:rsidR="00AD640D" w:rsidRPr="00AD640D" w:rsidTr="00BE02F6">
        <w:trPr>
          <w:trHeight w:val="300"/>
          <w:tblCellSpacing w:w="20" w:type="dxa"/>
        </w:trPr>
        <w:tc>
          <w:tcPr>
            <w:tcW w:w="1789" w:type="dxa"/>
            <w:tcBorders>
              <w:top w:val="single" w:sz="4" w:space="0" w:color="auto"/>
              <w:bottom w:val="single" w:sz="4" w:space="0" w:color="auto"/>
            </w:tcBorders>
            <w:shd w:val="clear" w:color="auto" w:fill="auto"/>
          </w:tcPr>
          <w:p w:rsidR="00BE02F6" w:rsidRPr="00AD640D" w:rsidRDefault="00BE02F6" w:rsidP="00BE02F6">
            <w:pPr>
              <w:jc w:val="both"/>
            </w:pPr>
            <w:r w:rsidRPr="00AD640D">
              <w:t>šesta skupina</w:t>
            </w:r>
          </w:p>
        </w:tc>
        <w:tc>
          <w:tcPr>
            <w:tcW w:w="1003" w:type="dxa"/>
            <w:tcBorders>
              <w:top w:val="single" w:sz="4" w:space="0" w:color="auto"/>
              <w:bottom w:val="single" w:sz="4" w:space="0" w:color="auto"/>
            </w:tcBorders>
            <w:shd w:val="clear" w:color="auto" w:fill="auto"/>
            <w:noWrap/>
            <w:hideMark/>
          </w:tcPr>
          <w:p w:rsidR="00BE02F6" w:rsidRPr="00AD640D" w:rsidRDefault="00BE02F6" w:rsidP="00BE02F6">
            <w:pPr>
              <w:jc w:val="center"/>
              <w:rPr>
                <w:lang w:val="en-GB"/>
              </w:rPr>
            </w:pPr>
            <w:r w:rsidRPr="00AD640D">
              <w:rPr>
                <w:lang w:val="en-GB"/>
              </w:rPr>
              <w:t>240</w:t>
            </w:r>
          </w:p>
        </w:tc>
        <w:tc>
          <w:tcPr>
            <w:tcW w:w="760" w:type="dxa"/>
            <w:tcBorders>
              <w:top w:val="single" w:sz="4" w:space="0" w:color="auto"/>
              <w:bottom w:val="single" w:sz="4" w:space="0" w:color="auto"/>
            </w:tcBorders>
            <w:shd w:val="clear" w:color="auto" w:fill="auto"/>
            <w:noWrap/>
            <w:hideMark/>
          </w:tcPr>
          <w:p w:rsidR="00BE02F6" w:rsidRPr="00AD640D" w:rsidRDefault="00BE02F6" w:rsidP="00BE02F6">
            <w:pPr>
              <w:jc w:val="center"/>
              <w:rPr>
                <w:lang w:val="en-GB"/>
              </w:rPr>
            </w:pPr>
            <w:r w:rsidRPr="00AD640D">
              <w:rPr>
                <w:lang w:val="en-GB"/>
              </w:rPr>
              <w:t>do</w:t>
            </w:r>
          </w:p>
        </w:tc>
        <w:tc>
          <w:tcPr>
            <w:tcW w:w="970" w:type="dxa"/>
            <w:tcBorders>
              <w:top w:val="single" w:sz="4" w:space="0" w:color="auto"/>
              <w:bottom w:val="single" w:sz="4" w:space="0" w:color="auto"/>
            </w:tcBorders>
            <w:shd w:val="clear" w:color="auto" w:fill="auto"/>
          </w:tcPr>
          <w:p w:rsidR="00BE02F6" w:rsidRPr="00AD640D" w:rsidRDefault="00BE02F6" w:rsidP="00BE02F6">
            <w:pPr>
              <w:jc w:val="center"/>
              <w:rPr>
                <w:lang w:val="en-GB"/>
              </w:rPr>
            </w:pPr>
          </w:p>
        </w:tc>
        <w:tc>
          <w:tcPr>
            <w:tcW w:w="1033" w:type="dxa"/>
            <w:tcBorders>
              <w:top w:val="single" w:sz="4" w:space="0" w:color="auto"/>
              <w:bottom w:val="single" w:sz="4" w:space="0" w:color="auto"/>
            </w:tcBorders>
            <w:shd w:val="clear" w:color="auto" w:fill="auto"/>
            <w:noWrap/>
            <w:hideMark/>
          </w:tcPr>
          <w:p w:rsidR="00BE02F6" w:rsidRPr="00AD640D" w:rsidRDefault="00BE02F6" w:rsidP="00BE02F6">
            <w:pPr>
              <w:jc w:val="center"/>
              <w:rPr>
                <w:lang w:val="en-GB"/>
              </w:rPr>
            </w:pPr>
            <w:r w:rsidRPr="00AD640D">
              <w:rPr>
                <w:lang w:val="en-GB"/>
              </w:rPr>
              <w:t>73.800</w:t>
            </w:r>
          </w:p>
        </w:tc>
        <w:tc>
          <w:tcPr>
            <w:tcW w:w="1754" w:type="dxa"/>
            <w:tcBorders>
              <w:top w:val="single" w:sz="4" w:space="0" w:color="auto"/>
              <w:bottom w:val="single" w:sz="4" w:space="0" w:color="auto"/>
            </w:tcBorders>
            <w:shd w:val="clear" w:color="auto" w:fill="auto"/>
            <w:noWrap/>
            <w:hideMark/>
          </w:tcPr>
          <w:p w:rsidR="00BE02F6" w:rsidRPr="00AD640D" w:rsidRDefault="00BE02F6" w:rsidP="00BE02F6">
            <w:pPr>
              <w:jc w:val="center"/>
              <w:rPr>
                <w:lang w:val="en-GB"/>
              </w:rPr>
            </w:pPr>
            <w:r w:rsidRPr="00AD640D">
              <w:rPr>
                <w:lang w:val="en-GB"/>
              </w:rPr>
              <w:t>1.650</w:t>
            </w:r>
          </w:p>
        </w:tc>
      </w:tr>
    </w:tbl>
    <w:p w:rsidR="00BE02F6" w:rsidRPr="00AD640D" w:rsidRDefault="00BE02F6" w:rsidP="00BE02F6">
      <w:pPr>
        <w:jc w:val="both"/>
      </w:pPr>
    </w:p>
    <w:p w:rsidR="00BE02F6" w:rsidRPr="00AD640D" w:rsidRDefault="00BE02F6" w:rsidP="00BE02F6">
      <w:pPr>
        <w:ind w:firstLine="708"/>
        <w:jc w:val="both"/>
        <w:rPr>
          <w:bCs/>
        </w:rPr>
      </w:pPr>
      <w:r w:rsidRPr="00AD640D">
        <w:rPr>
          <w:bCs/>
        </w:rPr>
        <w:t>(4) Iznos prosječne emisije ugljičnog dioksida (CO</w:t>
      </w:r>
      <w:r w:rsidRPr="00AD640D">
        <w:rPr>
          <w:bCs/>
          <w:vertAlign w:val="subscript"/>
        </w:rPr>
        <w:t>2</w:t>
      </w:r>
      <w:r w:rsidRPr="00AD640D">
        <w:rPr>
          <w:bCs/>
        </w:rPr>
        <w:t xml:space="preserve">) iz stavka 3. ovoga članka utvrđuje se </w:t>
      </w:r>
      <w:r w:rsidRPr="00AD640D">
        <w:rPr>
          <w:bCs/>
          <w:vertAlign w:val="subscript"/>
        </w:rPr>
        <w:t xml:space="preserve"> </w:t>
      </w:r>
      <w:r w:rsidRPr="00AD640D">
        <w:rPr>
          <w:bCs/>
        </w:rPr>
        <w:t>na temelju certifikata o sukladnosti (COC dokumenta), potvrde proizvođača prema podatku o iznosu prosječne emisije ugljičnog dioksida (CO</w:t>
      </w:r>
      <w:r w:rsidRPr="00AD640D">
        <w:rPr>
          <w:bCs/>
          <w:vertAlign w:val="subscript"/>
        </w:rPr>
        <w:t>2</w:t>
      </w:r>
      <w:r w:rsidRPr="00AD640D">
        <w:rPr>
          <w:bCs/>
        </w:rPr>
        <w:t>) u kombiniranoj vožnji, izjave o sukladnosti ili potvrde o sukladnosti pojedinačno pregledanog vozila prema podatku o iznosu prosječne emisije ugljičnog dioksida (CO</w:t>
      </w:r>
      <w:r w:rsidRPr="00AD640D">
        <w:rPr>
          <w:bCs/>
          <w:vertAlign w:val="subscript"/>
        </w:rPr>
        <w:t>2</w:t>
      </w:r>
      <w:r w:rsidRPr="00AD640D">
        <w:rPr>
          <w:bCs/>
        </w:rPr>
        <w:t xml:space="preserve">) u kombiniranoj vožnji izraženom sukladno WLTP-u. </w:t>
      </w:r>
    </w:p>
    <w:p w:rsidR="00BE02F6" w:rsidRPr="00AD640D" w:rsidRDefault="00BE02F6" w:rsidP="00BE02F6">
      <w:pPr>
        <w:jc w:val="both"/>
        <w:rPr>
          <w:bCs/>
        </w:rPr>
      </w:pPr>
    </w:p>
    <w:p w:rsidR="00BE02F6" w:rsidRPr="00AD640D" w:rsidRDefault="00BE02F6" w:rsidP="00BE02F6">
      <w:pPr>
        <w:ind w:firstLine="708"/>
        <w:jc w:val="both"/>
        <w:rPr>
          <w:bCs/>
        </w:rPr>
      </w:pPr>
      <w:r w:rsidRPr="00AD640D">
        <w:rPr>
          <w:bCs/>
        </w:rPr>
        <w:t>(5) Na motorna vozila iz članka 5. stavka 1. točke 3. Zakona</w:t>
      </w:r>
      <w:r w:rsidRPr="00AD640D">
        <w:t xml:space="preserve"> </w:t>
      </w:r>
      <w:r w:rsidRPr="00AD640D">
        <w:rPr>
          <w:bCs/>
        </w:rPr>
        <w:t>te druga motorna vozila prenamijenjena u motorna vozila iz članka 5. stavka 1. točke 3. Zakona, a koja se razvrstavaju u tarifnu oznaku KN 8704 posebni porez se plaća prema izrazu PP = (S x KS), u kojem je:</w:t>
      </w:r>
    </w:p>
    <w:p w:rsidR="00BE02F6" w:rsidRPr="00AD640D" w:rsidRDefault="00BE02F6" w:rsidP="00BE02F6">
      <w:pPr>
        <w:jc w:val="both"/>
        <w:rPr>
          <w:bCs/>
        </w:rPr>
      </w:pPr>
    </w:p>
    <w:p w:rsidR="00BE02F6" w:rsidRPr="00AD640D" w:rsidRDefault="00BE02F6" w:rsidP="00BE02F6">
      <w:pPr>
        <w:jc w:val="both"/>
        <w:rPr>
          <w:bCs/>
        </w:rPr>
      </w:pPr>
      <w:r w:rsidRPr="00AD640D">
        <w:rPr>
          <w:bCs/>
        </w:rPr>
        <w:t>PP – posebni porez u kunama</w:t>
      </w:r>
    </w:p>
    <w:p w:rsidR="00BE02F6" w:rsidRPr="00AD640D" w:rsidRDefault="00BE02F6" w:rsidP="00BE02F6">
      <w:pPr>
        <w:jc w:val="both"/>
        <w:rPr>
          <w:bCs/>
        </w:rPr>
      </w:pPr>
    </w:p>
    <w:p w:rsidR="00BE02F6" w:rsidRPr="00AD640D" w:rsidRDefault="00BE02F6" w:rsidP="00BE02F6">
      <w:pPr>
        <w:jc w:val="both"/>
        <w:rPr>
          <w:bCs/>
        </w:rPr>
      </w:pPr>
      <w:r w:rsidRPr="00AD640D">
        <w:rPr>
          <w:bCs/>
        </w:rPr>
        <w:t>S – snaga motora u kilovatima (kW)</w:t>
      </w:r>
    </w:p>
    <w:p w:rsidR="00BE02F6" w:rsidRPr="00AD640D" w:rsidRDefault="00BE02F6" w:rsidP="00BE02F6">
      <w:pPr>
        <w:jc w:val="both"/>
        <w:rPr>
          <w:bCs/>
        </w:rPr>
      </w:pPr>
    </w:p>
    <w:p w:rsidR="00BE02F6" w:rsidRPr="00AD640D" w:rsidRDefault="00BE02F6" w:rsidP="00392F28">
      <w:pPr>
        <w:jc w:val="both"/>
      </w:pPr>
      <w:r w:rsidRPr="00AD640D">
        <w:rPr>
          <w:bCs/>
        </w:rPr>
        <w:t xml:space="preserve">KS – </w:t>
      </w:r>
      <w:r w:rsidRPr="00AD640D">
        <w:t>koeficijent snage motora u iznosu od 225,00 kuna.</w:t>
      </w:r>
    </w:p>
    <w:p w:rsidR="00392F28" w:rsidRPr="00AD640D" w:rsidRDefault="00392F28" w:rsidP="00392F28"/>
    <w:p w:rsidR="00BE02F6" w:rsidRPr="00AD640D" w:rsidRDefault="00226F46" w:rsidP="00136A23">
      <w:pPr>
        <w:ind w:firstLine="708"/>
        <w:jc w:val="center"/>
        <w:rPr>
          <w:rFonts w:eastAsia="Arial Unicode MS"/>
          <w:i/>
        </w:rPr>
      </w:pPr>
      <w:r w:rsidRPr="00AD640D">
        <w:rPr>
          <w:rFonts w:eastAsia="Arial Unicode MS"/>
          <w:i/>
        </w:rPr>
        <w:t>Obračun p</w:t>
      </w:r>
      <w:r w:rsidR="00BE02F6" w:rsidRPr="00AD640D">
        <w:rPr>
          <w:rFonts w:eastAsia="Arial Unicode MS"/>
          <w:i/>
        </w:rPr>
        <w:t>osebn</w:t>
      </w:r>
      <w:r w:rsidRPr="00AD640D">
        <w:rPr>
          <w:rFonts w:eastAsia="Arial Unicode MS"/>
          <w:i/>
        </w:rPr>
        <w:t>og</w:t>
      </w:r>
      <w:r w:rsidR="00BE02F6" w:rsidRPr="00AD640D">
        <w:rPr>
          <w:rFonts w:eastAsia="Arial Unicode MS"/>
          <w:i/>
        </w:rPr>
        <w:t xml:space="preserve"> porez</w:t>
      </w:r>
      <w:r w:rsidRPr="00AD640D">
        <w:rPr>
          <w:rFonts w:eastAsia="Arial Unicode MS"/>
          <w:i/>
        </w:rPr>
        <w:t>a</w:t>
      </w:r>
      <w:r w:rsidR="00BE02F6" w:rsidRPr="00AD640D">
        <w:rPr>
          <w:rFonts w:eastAsia="Arial Unicode MS"/>
          <w:i/>
        </w:rPr>
        <w:t xml:space="preserve"> na </w:t>
      </w:r>
      <w:r w:rsidR="00136A23" w:rsidRPr="00AD640D">
        <w:rPr>
          <w:rFonts w:eastAsia="Arial Unicode MS"/>
          <w:i/>
        </w:rPr>
        <w:t xml:space="preserve">motorna vozila za </w:t>
      </w:r>
      <w:r w:rsidR="00BE02F6" w:rsidRPr="00AD640D">
        <w:rPr>
          <w:rFonts w:eastAsia="Arial Unicode MS"/>
          <w:i/>
        </w:rPr>
        <w:t>motocikle</w:t>
      </w:r>
      <w:r w:rsidR="005D289B" w:rsidRPr="00AD640D">
        <w:rPr>
          <w:rFonts w:eastAsia="Arial Unicode MS"/>
          <w:i/>
        </w:rPr>
        <w:t xml:space="preserve"> </w:t>
      </w:r>
      <w:r w:rsidR="00BE02F6" w:rsidRPr="00AD640D">
        <w:rPr>
          <w:rFonts w:eastAsia="Arial Unicode MS"/>
          <w:i/>
        </w:rPr>
        <w:t>i „ATV“ vozila</w:t>
      </w:r>
    </w:p>
    <w:p w:rsidR="00392F28" w:rsidRPr="00AD640D" w:rsidRDefault="00392F28" w:rsidP="00392F28">
      <w:pPr>
        <w:ind w:firstLine="708"/>
        <w:jc w:val="center"/>
        <w:rPr>
          <w:rFonts w:eastAsia="Arial Unicode MS"/>
          <w:i/>
        </w:rPr>
      </w:pPr>
    </w:p>
    <w:p w:rsidR="00BE02F6" w:rsidRPr="00AD640D" w:rsidRDefault="00BE02F6" w:rsidP="00392F28">
      <w:pPr>
        <w:jc w:val="center"/>
        <w:rPr>
          <w:rFonts w:eastAsia="Arial Unicode MS"/>
          <w:b/>
          <w:bCs/>
        </w:rPr>
      </w:pPr>
      <w:r w:rsidRPr="00AD640D">
        <w:rPr>
          <w:rFonts w:eastAsia="Arial Unicode MS"/>
          <w:b/>
          <w:bCs/>
        </w:rPr>
        <w:t>Članak 3.</w:t>
      </w:r>
    </w:p>
    <w:p w:rsidR="00392F28" w:rsidRPr="00AD640D" w:rsidRDefault="00392F28" w:rsidP="00392F28">
      <w:pPr>
        <w:jc w:val="center"/>
      </w:pPr>
    </w:p>
    <w:p w:rsidR="00BE02F6" w:rsidRPr="00AD640D" w:rsidRDefault="00BE02F6" w:rsidP="00392F28">
      <w:pPr>
        <w:jc w:val="both"/>
      </w:pPr>
      <w:r w:rsidRPr="00AD640D">
        <w:rPr>
          <w:rFonts w:eastAsia="Arial Unicode MS"/>
          <w:bCs/>
        </w:rPr>
        <w:tab/>
        <w:t xml:space="preserve">(1) </w:t>
      </w:r>
      <w:r w:rsidRPr="00AD640D">
        <w:t xml:space="preserve">Posebni porez na motorna vozila iz članka 5. stavka </w:t>
      </w:r>
      <w:r w:rsidRPr="00AD640D">
        <w:rPr>
          <w:bCs/>
        </w:rPr>
        <w:t xml:space="preserve">1. točaka 2. i 4. Zakona te druga motorna vozila prenamijenjena u takva motorna vozila </w:t>
      </w:r>
      <w:r w:rsidRPr="00AD640D">
        <w:t>plaća se prema izrazu PP = (O x KO), u kojem je:</w:t>
      </w:r>
    </w:p>
    <w:p w:rsidR="00BE02F6" w:rsidRPr="00AD640D" w:rsidRDefault="00BE02F6" w:rsidP="00BE02F6">
      <w:pPr>
        <w:jc w:val="both"/>
      </w:pPr>
    </w:p>
    <w:p w:rsidR="00BE02F6" w:rsidRPr="00AD640D" w:rsidRDefault="00BE02F6" w:rsidP="00BE02F6">
      <w:pPr>
        <w:jc w:val="both"/>
      </w:pPr>
      <w:r w:rsidRPr="00AD640D">
        <w:t>PP – posebni porez u kunama</w:t>
      </w:r>
    </w:p>
    <w:p w:rsidR="00BE02F6" w:rsidRPr="00AD640D" w:rsidRDefault="00BE02F6" w:rsidP="00BE02F6">
      <w:pPr>
        <w:jc w:val="both"/>
      </w:pPr>
    </w:p>
    <w:p w:rsidR="00BE02F6" w:rsidRPr="00AD640D" w:rsidRDefault="00BE02F6" w:rsidP="00BE02F6">
      <w:pPr>
        <w:jc w:val="both"/>
      </w:pPr>
      <w:r w:rsidRPr="00AD640D">
        <w:t>O – obujam motora u kubičnim centimetrima (cm³) prema Tablici 7</w:t>
      </w:r>
    </w:p>
    <w:p w:rsidR="00BE02F6" w:rsidRPr="00AD640D" w:rsidRDefault="00BE02F6" w:rsidP="00BE02F6">
      <w:pPr>
        <w:jc w:val="both"/>
      </w:pPr>
    </w:p>
    <w:p w:rsidR="00BE02F6" w:rsidRPr="00AD640D" w:rsidRDefault="00BE02F6" w:rsidP="00BE02F6">
      <w:pPr>
        <w:jc w:val="both"/>
      </w:pPr>
      <w:r w:rsidRPr="00AD640D">
        <w:lastRenderedPageBreak/>
        <w:t>KO – koeficijent obujma motora prema Tablici 7 koji se uvećava ovisno o razini emisije ispušnih plinova na način da se za razinu emisije ispušnih plinova: EURO III uvećava za 5, EURO II uvećava za 10 i EURO I uvećava za 15.</w:t>
      </w:r>
    </w:p>
    <w:p w:rsidR="00BE02F6" w:rsidRPr="00AD640D" w:rsidRDefault="00BE02F6" w:rsidP="00BE02F6">
      <w:pPr>
        <w:jc w:val="both"/>
      </w:pPr>
    </w:p>
    <w:p w:rsidR="00BE02F6" w:rsidRPr="00AD640D" w:rsidRDefault="00BE02F6" w:rsidP="00BE02F6">
      <w:pPr>
        <w:jc w:val="both"/>
      </w:pPr>
      <w:r w:rsidRPr="00AD640D">
        <w:t>Tablica 7 – obujam motora</w:t>
      </w:r>
    </w:p>
    <w:p w:rsidR="00BE02F6" w:rsidRPr="00AD640D" w:rsidRDefault="00BE02F6" w:rsidP="00BE02F6">
      <w:pPr>
        <w:jc w:val="both"/>
      </w:pPr>
    </w:p>
    <w:tbl>
      <w:tblPr>
        <w:tblW w:w="5631" w:type="dxa"/>
        <w:tblCellSpacing w:w="20" w:type="dxa"/>
        <w:tblBorders>
          <w:insideH w:val="single" w:sz="4" w:space="0" w:color="auto"/>
          <w:insideV w:val="single" w:sz="4" w:space="0" w:color="auto"/>
        </w:tblBorders>
        <w:tblLook w:val="04A0" w:firstRow="1" w:lastRow="0" w:firstColumn="1" w:lastColumn="0" w:noHBand="0" w:noVBand="1"/>
      </w:tblPr>
      <w:tblGrid>
        <w:gridCol w:w="2065"/>
        <w:gridCol w:w="780"/>
        <w:gridCol w:w="2040"/>
        <w:gridCol w:w="1006"/>
      </w:tblGrid>
      <w:tr w:rsidR="00AD640D" w:rsidRPr="00AD640D" w:rsidTr="00BE02F6">
        <w:trPr>
          <w:trHeight w:val="255"/>
          <w:tblCellSpacing w:w="20" w:type="dxa"/>
        </w:trPr>
        <w:tc>
          <w:tcPr>
            <w:tcW w:w="4695" w:type="dxa"/>
            <w:gridSpan w:val="3"/>
            <w:shd w:val="clear" w:color="auto" w:fill="auto"/>
            <w:noWrap/>
            <w:hideMark/>
          </w:tcPr>
          <w:p w:rsidR="00BE02F6" w:rsidRPr="00AD640D" w:rsidRDefault="00BE02F6" w:rsidP="00BE02F6">
            <w:pPr>
              <w:jc w:val="both"/>
            </w:pPr>
            <w:r w:rsidRPr="00AD640D">
              <w:rPr>
                <w:bCs/>
              </w:rPr>
              <w:t xml:space="preserve">Obujam motora u kubičnim centimetrima </w:t>
            </w:r>
          </w:p>
        </w:tc>
        <w:tc>
          <w:tcPr>
            <w:tcW w:w="936" w:type="dxa"/>
            <w:shd w:val="clear" w:color="auto" w:fill="auto"/>
            <w:noWrap/>
            <w:hideMark/>
          </w:tcPr>
          <w:p w:rsidR="00BE02F6" w:rsidRPr="00AD640D" w:rsidRDefault="00BE02F6" w:rsidP="00BE02F6">
            <w:pPr>
              <w:jc w:val="center"/>
            </w:pPr>
            <w:r w:rsidRPr="00AD640D">
              <w:rPr>
                <w:bCs/>
              </w:rPr>
              <w:t>KO</w:t>
            </w:r>
          </w:p>
        </w:tc>
      </w:tr>
      <w:tr w:rsidR="00AD640D" w:rsidRPr="00AD640D" w:rsidTr="00BE02F6">
        <w:trPr>
          <w:trHeight w:val="255"/>
          <w:tblCellSpacing w:w="20" w:type="dxa"/>
        </w:trPr>
        <w:tc>
          <w:tcPr>
            <w:tcW w:w="1995" w:type="dxa"/>
            <w:shd w:val="clear" w:color="auto" w:fill="auto"/>
            <w:noWrap/>
            <w:hideMark/>
          </w:tcPr>
          <w:p w:rsidR="00BE02F6" w:rsidRPr="00AD640D" w:rsidRDefault="00BE02F6" w:rsidP="00BE02F6">
            <w:pPr>
              <w:jc w:val="center"/>
            </w:pPr>
            <w:r w:rsidRPr="00AD640D">
              <w:rPr>
                <w:bCs/>
              </w:rPr>
              <w:t>51</w:t>
            </w:r>
          </w:p>
        </w:tc>
        <w:tc>
          <w:tcPr>
            <w:tcW w:w="720" w:type="dxa"/>
            <w:shd w:val="clear" w:color="auto" w:fill="auto"/>
            <w:noWrap/>
            <w:hideMark/>
          </w:tcPr>
          <w:p w:rsidR="00BE02F6" w:rsidRPr="00AD640D" w:rsidRDefault="00BE02F6" w:rsidP="00BE02F6">
            <w:pPr>
              <w:jc w:val="center"/>
            </w:pPr>
            <w:r w:rsidRPr="00AD640D">
              <w:rPr>
                <w:bCs/>
              </w:rPr>
              <w:t>do</w:t>
            </w:r>
          </w:p>
        </w:tc>
        <w:tc>
          <w:tcPr>
            <w:tcW w:w="1980" w:type="dxa"/>
            <w:shd w:val="clear" w:color="auto" w:fill="auto"/>
            <w:noWrap/>
            <w:hideMark/>
          </w:tcPr>
          <w:p w:rsidR="00BE02F6" w:rsidRPr="00AD640D" w:rsidRDefault="00BE02F6" w:rsidP="00BE02F6">
            <w:pPr>
              <w:jc w:val="center"/>
            </w:pPr>
            <w:r w:rsidRPr="00AD640D">
              <w:rPr>
                <w:bCs/>
              </w:rPr>
              <w:t>125</w:t>
            </w:r>
          </w:p>
        </w:tc>
        <w:tc>
          <w:tcPr>
            <w:tcW w:w="936" w:type="dxa"/>
            <w:shd w:val="clear" w:color="auto" w:fill="auto"/>
            <w:noWrap/>
            <w:hideMark/>
          </w:tcPr>
          <w:p w:rsidR="00BE02F6" w:rsidRPr="00AD640D" w:rsidRDefault="00BE02F6" w:rsidP="00BE02F6">
            <w:pPr>
              <w:jc w:val="center"/>
              <w:rPr>
                <w:bCs/>
                <w:iCs/>
                <w:lang w:val="en-GB"/>
              </w:rPr>
            </w:pPr>
            <w:r w:rsidRPr="00AD640D">
              <w:rPr>
                <w:bCs/>
                <w:iCs/>
                <w:lang w:val="en-GB"/>
              </w:rPr>
              <w:t>4</w:t>
            </w:r>
          </w:p>
        </w:tc>
      </w:tr>
      <w:tr w:rsidR="00AD640D" w:rsidRPr="00AD640D" w:rsidTr="00BE02F6">
        <w:trPr>
          <w:trHeight w:val="255"/>
          <w:tblCellSpacing w:w="20" w:type="dxa"/>
        </w:trPr>
        <w:tc>
          <w:tcPr>
            <w:tcW w:w="1995" w:type="dxa"/>
            <w:shd w:val="clear" w:color="auto" w:fill="auto"/>
            <w:noWrap/>
            <w:hideMark/>
          </w:tcPr>
          <w:p w:rsidR="00BE02F6" w:rsidRPr="00AD640D" w:rsidRDefault="00BE02F6" w:rsidP="00BE02F6">
            <w:pPr>
              <w:jc w:val="center"/>
            </w:pPr>
            <w:r w:rsidRPr="00AD640D">
              <w:rPr>
                <w:bCs/>
              </w:rPr>
              <w:t>126</w:t>
            </w:r>
          </w:p>
        </w:tc>
        <w:tc>
          <w:tcPr>
            <w:tcW w:w="720" w:type="dxa"/>
            <w:shd w:val="clear" w:color="auto" w:fill="auto"/>
            <w:noWrap/>
            <w:hideMark/>
          </w:tcPr>
          <w:p w:rsidR="00BE02F6" w:rsidRPr="00AD640D" w:rsidRDefault="00BE02F6" w:rsidP="00BE02F6">
            <w:pPr>
              <w:jc w:val="center"/>
            </w:pPr>
            <w:r w:rsidRPr="00AD640D">
              <w:rPr>
                <w:bCs/>
              </w:rPr>
              <w:t>do</w:t>
            </w:r>
          </w:p>
        </w:tc>
        <w:tc>
          <w:tcPr>
            <w:tcW w:w="1980" w:type="dxa"/>
            <w:shd w:val="clear" w:color="auto" w:fill="auto"/>
            <w:noWrap/>
            <w:hideMark/>
          </w:tcPr>
          <w:p w:rsidR="00BE02F6" w:rsidRPr="00AD640D" w:rsidRDefault="00BE02F6" w:rsidP="00BE02F6">
            <w:pPr>
              <w:jc w:val="center"/>
            </w:pPr>
            <w:r w:rsidRPr="00AD640D">
              <w:rPr>
                <w:bCs/>
              </w:rPr>
              <w:t>300</w:t>
            </w:r>
          </w:p>
        </w:tc>
        <w:tc>
          <w:tcPr>
            <w:tcW w:w="936" w:type="dxa"/>
            <w:shd w:val="clear" w:color="auto" w:fill="auto"/>
            <w:noWrap/>
            <w:hideMark/>
          </w:tcPr>
          <w:p w:rsidR="00BE02F6" w:rsidRPr="00AD640D" w:rsidRDefault="00BE02F6" w:rsidP="00BE02F6">
            <w:pPr>
              <w:jc w:val="center"/>
              <w:rPr>
                <w:bCs/>
                <w:iCs/>
                <w:lang w:val="en-GB"/>
              </w:rPr>
            </w:pPr>
            <w:r w:rsidRPr="00AD640D">
              <w:rPr>
                <w:bCs/>
                <w:iCs/>
                <w:lang w:val="en-GB"/>
              </w:rPr>
              <w:t>6</w:t>
            </w:r>
          </w:p>
        </w:tc>
      </w:tr>
      <w:tr w:rsidR="00AD640D" w:rsidRPr="00AD640D" w:rsidTr="00BE02F6">
        <w:trPr>
          <w:trHeight w:val="255"/>
          <w:tblCellSpacing w:w="20" w:type="dxa"/>
        </w:trPr>
        <w:tc>
          <w:tcPr>
            <w:tcW w:w="1995" w:type="dxa"/>
            <w:shd w:val="clear" w:color="auto" w:fill="auto"/>
            <w:noWrap/>
            <w:hideMark/>
          </w:tcPr>
          <w:p w:rsidR="00BE02F6" w:rsidRPr="00AD640D" w:rsidRDefault="00BE02F6" w:rsidP="00BE02F6">
            <w:pPr>
              <w:jc w:val="center"/>
            </w:pPr>
            <w:r w:rsidRPr="00AD640D">
              <w:rPr>
                <w:bCs/>
              </w:rPr>
              <w:t>301</w:t>
            </w:r>
          </w:p>
        </w:tc>
        <w:tc>
          <w:tcPr>
            <w:tcW w:w="720" w:type="dxa"/>
            <w:shd w:val="clear" w:color="auto" w:fill="auto"/>
            <w:noWrap/>
            <w:hideMark/>
          </w:tcPr>
          <w:p w:rsidR="00BE02F6" w:rsidRPr="00AD640D" w:rsidRDefault="00BE02F6" w:rsidP="00BE02F6">
            <w:pPr>
              <w:jc w:val="center"/>
            </w:pPr>
            <w:r w:rsidRPr="00AD640D">
              <w:rPr>
                <w:bCs/>
              </w:rPr>
              <w:t>do</w:t>
            </w:r>
          </w:p>
        </w:tc>
        <w:tc>
          <w:tcPr>
            <w:tcW w:w="1980" w:type="dxa"/>
            <w:shd w:val="clear" w:color="auto" w:fill="auto"/>
            <w:noWrap/>
            <w:hideMark/>
          </w:tcPr>
          <w:p w:rsidR="00BE02F6" w:rsidRPr="00AD640D" w:rsidRDefault="00BE02F6" w:rsidP="00BE02F6">
            <w:pPr>
              <w:jc w:val="center"/>
            </w:pPr>
            <w:r w:rsidRPr="00AD640D">
              <w:rPr>
                <w:bCs/>
              </w:rPr>
              <w:t>700</w:t>
            </w:r>
          </w:p>
        </w:tc>
        <w:tc>
          <w:tcPr>
            <w:tcW w:w="936" w:type="dxa"/>
            <w:shd w:val="clear" w:color="auto" w:fill="auto"/>
            <w:noWrap/>
            <w:hideMark/>
          </w:tcPr>
          <w:p w:rsidR="00BE02F6" w:rsidRPr="00AD640D" w:rsidRDefault="00BE02F6" w:rsidP="00BE02F6">
            <w:pPr>
              <w:jc w:val="center"/>
              <w:rPr>
                <w:bCs/>
                <w:iCs/>
                <w:lang w:val="en-GB"/>
              </w:rPr>
            </w:pPr>
            <w:r w:rsidRPr="00AD640D">
              <w:rPr>
                <w:bCs/>
                <w:iCs/>
                <w:lang w:val="en-GB"/>
              </w:rPr>
              <w:t>7</w:t>
            </w:r>
          </w:p>
        </w:tc>
      </w:tr>
      <w:tr w:rsidR="00AD640D" w:rsidRPr="00AD640D" w:rsidTr="00BE02F6">
        <w:trPr>
          <w:trHeight w:val="255"/>
          <w:tblCellSpacing w:w="20" w:type="dxa"/>
        </w:trPr>
        <w:tc>
          <w:tcPr>
            <w:tcW w:w="1995" w:type="dxa"/>
            <w:shd w:val="clear" w:color="auto" w:fill="auto"/>
            <w:noWrap/>
            <w:hideMark/>
          </w:tcPr>
          <w:p w:rsidR="00BE02F6" w:rsidRPr="00AD640D" w:rsidRDefault="00BE02F6" w:rsidP="00BE02F6">
            <w:pPr>
              <w:jc w:val="center"/>
            </w:pPr>
            <w:r w:rsidRPr="00AD640D">
              <w:rPr>
                <w:bCs/>
              </w:rPr>
              <w:t>701</w:t>
            </w:r>
          </w:p>
        </w:tc>
        <w:tc>
          <w:tcPr>
            <w:tcW w:w="720" w:type="dxa"/>
            <w:shd w:val="clear" w:color="auto" w:fill="auto"/>
            <w:noWrap/>
            <w:hideMark/>
          </w:tcPr>
          <w:p w:rsidR="00BE02F6" w:rsidRPr="00AD640D" w:rsidRDefault="00BE02F6" w:rsidP="00BE02F6">
            <w:pPr>
              <w:jc w:val="center"/>
            </w:pPr>
            <w:r w:rsidRPr="00AD640D">
              <w:rPr>
                <w:bCs/>
              </w:rPr>
              <w:t>do</w:t>
            </w:r>
          </w:p>
        </w:tc>
        <w:tc>
          <w:tcPr>
            <w:tcW w:w="1980" w:type="dxa"/>
            <w:shd w:val="clear" w:color="auto" w:fill="auto"/>
            <w:noWrap/>
            <w:hideMark/>
          </w:tcPr>
          <w:p w:rsidR="00BE02F6" w:rsidRPr="00AD640D" w:rsidRDefault="00BE02F6" w:rsidP="00BE02F6">
            <w:pPr>
              <w:jc w:val="center"/>
            </w:pPr>
            <w:r w:rsidRPr="00AD640D">
              <w:rPr>
                <w:bCs/>
              </w:rPr>
              <w:t>1000</w:t>
            </w:r>
          </w:p>
        </w:tc>
        <w:tc>
          <w:tcPr>
            <w:tcW w:w="936" w:type="dxa"/>
            <w:shd w:val="clear" w:color="auto" w:fill="auto"/>
            <w:noWrap/>
            <w:hideMark/>
          </w:tcPr>
          <w:p w:rsidR="00BE02F6" w:rsidRPr="00AD640D" w:rsidRDefault="00BE02F6" w:rsidP="00BE02F6">
            <w:pPr>
              <w:jc w:val="center"/>
              <w:rPr>
                <w:bCs/>
                <w:iCs/>
                <w:lang w:val="en-GB"/>
              </w:rPr>
            </w:pPr>
            <w:r w:rsidRPr="00AD640D">
              <w:rPr>
                <w:bCs/>
                <w:iCs/>
                <w:lang w:val="en-GB"/>
              </w:rPr>
              <w:t>8</w:t>
            </w:r>
          </w:p>
        </w:tc>
      </w:tr>
      <w:tr w:rsidR="00BE02F6" w:rsidRPr="00AD640D" w:rsidTr="00BE02F6">
        <w:trPr>
          <w:trHeight w:val="255"/>
          <w:tblCellSpacing w:w="20" w:type="dxa"/>
        </w:trPr>
        <w:tc>
          <w:tcPr>
            <w:tcW w:w="1995" w:type="dxa"/>
            <w:shd w:val="clear" w:color="auto" w:fill="auto"/>
            <w:noWrap/>
          </w:tcPr>
          <w:p w:rsidR="00BE02F6" w:rsidRPr="00AD640D" w:rsidRDefault="00BE02F6" w:rsidP="00BE02F6">
            <w:pPr>
              <w:jc w:val="center"/>
              <w:rPr>
                <w:bCs/>
              </w:rPr>
            </w:pPr>
            <w:r w:rsidRPr="00AD640D">
              <w:rPr>
                <w:bCs/>
              </w:rPr>
              <w:t>1001</w:t>
            </w:r>
          </w:p>
        </w:tc>
        <w:tc>
          <w:tcPr>
            <w:tcW w:w="720" w:type="dxa"/>
            <w:shd w:val="clear" w:color="auto" w:fill="auto"/>
            <w:noWrap/>
          </w:tcPr>
          <w:p w:rsidR="00BE02F6" w:rsidRPr="00AD640D" w:rsidRDefault="00BE02F6" w:rsidP="00BE02F6">
            <w:pPr>
              <w:jc w:val="center"/>
              <w:rPr>
                <w:bCs/>
              </w:rPr>
            </w:pPr>
            <w:r w:rsidRPr="00AD640D">
              <w:rPr>
                <w:bCs/>
              </w:rPr>
              <w:t>do</w:t>
            </w:r>
          </w:p>
        </w:tc>
        <w:tc>
          <w:tcPr>
            <w:tcW w:w="1980" w:type="dxa"/>
            <w:shd w:val="clear" w:color="auto" w:fill="auto"/>
            <w:noWrap/>
          </w:tcPr>
          <w:p w:rsidR="00BE02F6" w:rsidRPr="00AD640D" w:rsidRDefault="00BE02F6" w:rsidP="00BE02F6">
            <w:pPr>
              <w:jc w:val="both"/>
              <w:rPr>
                <w:bCs/>
              </w:rPr>
            </w:pPr>
          </w:p>
        </w:tc>
        <w:tc>
          <w:tcPr>
            <w:tcW w:w="936" w:type="dxa"/>
            <w:shd w:val="clear" w:color="auto" w:fill="auto"/>
            <w:noWrap/>
          </w:tcPr>
          <w:p w:rsidR="00BE02F6" w:rsidRPr="00AD640D" w:rsidRDefault="00BE02F6" w:rsidP="00BE02F6">
            <w:pPr>
              <w:jc w:val="center"/>
              <w:rPr>
                <w:bCs/>
                <w:iCs/>
                <w:lang w:val="en-GB"/>
              </w:rPr>
            </w:pPr>
            <w:r w:rsidRPr="00AD640D">
              <w:rPr>
                <w:bCs/>
                <w:iCs/>
                <w:lang w:val="en-GB"/>
              </w:rPr>
              <w:t>10</w:t>
            </w:r>
          </w:p>
        </w:tc>
      </w:tr>
    </w:tbl>
    <w:p w:rsidR="00BE02F6" w:rsidRPr="00AD640D" w:rsidRDefault="00BE02F6" w:rsidP="00BE02F6">
      <w:pPr>
        <w:tabs>
          <w:tab w:val="left" w:pos="0"/>
        </w:tabs>
        <w:rPr>
          <w:rFonts w:eastAsia="Arial Unicode MS"/>
          <w:bCs/>
        </w:rPr>
      </w:pPr>
    </w:p>
    <w:p w:rsidR="00BE02F6" w:rsidRPr="00AD640D" w:rsidRDefault="00BE02F6" w:rsidP="00BE02F6">
      <w:pPr>
        <w:ind w:firstLine="708"/>
        <w:jc w:val="center"/>
        <w:rPr>
          <w:rFonts w:eastAsia="Arial Unicode MS"/>
          <w:bCs/>
          <w:i/>
        </w:rPr>
      </w:pPr>
      <w:r w:rsidRPr="00AD640D">
        <w:rPr>
          <w:rFonts w:eastAsia="Arial Unicode MS"/>
          <w:bCs/>
          <w:i/>
        </w:rPr>
        <w:t>Prestanak važenja</w:t>
      </w:r>
    </w:p>
    <w:p w:rsidR="00BE02F6" w:rsidRPr="00AD640D" w:rsidRDefault="00BE02F6" w:rsidP="00BE02F6">
      <w:pPr>
        <w:ind w:firstLine="708"/>
        <w:jc w:val="center"/>
        <w:rPr>
          <w:rFonts w:eastAsia="Arial Unicode MS"/>
          <w:bCs/>
          <w:i/>
        </w:rPr>
      </w:pPr>
    </w:p>
    <w:p w:rsidR="00BE02F6" w:rsidRPr="00AD640D" w:rsidRDefault="00BE02F6" w:rsidP="00BE02F6">
      <w:pPr>
        <w:ind w:firstLine="708"/>
        <w:jc w:val="center"/>
        <w:rPr>
          <w:rFonts w:eastAsia="Arial Unicode MS"/>
          <w:b/>
          <w:bCs/>
        </w:rPr>
      </w:pPr>
      <w:r w:rsidRPr="00AD640D">
        <w:rPr>
          <w:rFonts w:eastAsia="Arial Unicode MS"/>
          <w:b/>
          <w:bCs/>
        </w:rPr>
        <w:t>Članak 4.</w:t>
      </w:r>
    </w:p>
    <w:p w:rsidR="00BE02F6" w:rsidRPr="00AD640D" w:rsidRDefault="00BE02F6" w:rsidP="00BE02F6">
      <w:pPr>
        <w:ind w:firstLine="708"/>
        <w:jc w:val="center"/>
        <w:rPr>
          <w:rFonts w:eastAsia="Arial Unicode MS"/>
          <w:b/>
          <w:bCs/>
        </w:rPr>
      </w:pPr>
    </w:p>
    <w:p w:rsidR="00BE02F6" w:rsidRPr="00AD640D" w:rsidRDefault="00BE02F6" w:rsidP="00BE02F6">
      <w:pPr>
        <w:ind w:firstLine="708"/>
        <w:jc w:val="both"/>
      </w:pPr>
      <w:r w:rsidRPr="00AD640D">
        <w:rPr>
          <w:rFonts w:eastAsia="Arial Unicode MS"/>
          <w:bCs/>
        </w:rPr>
        <w:t xml:space="preserve">Danom stupanja na snagu ove Uredbe prestaje važiti </w:t>
      </w:r>
      <w:r w:rsidRPr="00AD640D">
        <w:t>Uredba</w:t>
      </w:r>
      <w:r w:rsidRPr="00AD640D">
        <w:rPr>
          <w:b/>
          <w:bCs/>
          <w:sz w:val="28"/>
          <w:szCs w:val="28"/>
        </w:rPr>
        <w:t xml:space="preserve"> </w:t>
      </w:r>
      <w:r w:rsidRPr="00AD640D">
        <w:rPr>
          <w:bCs/>
        </w:rPr>
        <w:t xml:space="preserve">o načinu izračuna i visinama sastavnica za izračun posebnog poreza na motorna vozila </w:t>
      </w:r>
      <w:r w:rsidRPr="00AD640D">
        <w:t>(„Narodne novine“, broj 109/18).</w:t>
      </w:r>
    </w:p>
    <w:p w:rsidR="00BE02F6" w:rsidRPr="00AD640D" w:rsidRDefault="00BE02F6" w:rsidP="00392F28">
      <w:pPr>
        <w:jc w:val="both"/>
      </w:pPr>
    </w:p>
    <w:p w:rsidR="00BE02F6" w:rsidRPr="00AD640D" w:rsidRDefault="00BE02F6" w:rsidP="00BE02F6">
      <w:pPr>
        <w:ind w:firstLine="708"/>
        <w:jc w:val="center"/>
        <w:rPr>
          <w:rFonts w:eastAsia="Arial Unicode MS"/>
          <w:bCs/>
          <w:i/>
        </w:rPr>
      </w:pPr>
      <w:r w:rsidRPr="00AD640D">
        <w:rPr>
          <w:rFonts w:eastAsia="Arial Unicode MS"/>
          <w:bCs/>
          <w:i/>
        </w:rPr>
        <w:t xml:space="preserve">Stupanje na snagu </w:t>
      </w:r>
    </w:p>
    <w:p w:rsidR="005D289B" w:rsidRPr="00AD640D" w:rsidRDefault="005D289B" w:rsidP="00BE02F6">
      <w:pPr>
        <w:ind w:firstLine="708"/>
        <w:jc w:val="center"/>
        <w:rPr>
          <w:rFonts w:eastAsia="Arial Unicode MS"/>
          <w:bCs/>
          <w:i/>
        </w:rPr>
      </w:pPr>
    </w:p>
    <w:p w:rsidR="00BE02F6" w:rsidRPr="00AD640D" w:rsidRDefault="00BE02F6" w:rsidP="00BE02F6">
      <w:pPr>
        <w:ind w:firstLine="708"/>
        <w:jc w:val="center"/>
        <w:rPr>
          <w:rFonts w:eastAsia="Arial Unicode MS"/>
          <w:b/>
          <w:bCs/>
        </w:rPr>
      </w:pPr>
      <w:r w:rsidRPr="00AD640D">
        <w:rPr>
          <w:rFonts w:eastAsia="Arial Unicode MS"/>
          <w:b/>
          <w:bCs/>
        </w:rPr>
        <w:t>Članak 5.</w:t>
      </w:r>
    </w:p>
    <w:p w:rsidR="00BE02F6" w:rsidRPr="00AD640D" w:rsidRDefault="00BE02F6" w:rsidP="00BE02F6">
      <w:pPr>
        <w:ind w:firstLine="708"/>
        <w:jc w:val="center"/>
        <w:rPr>
          <w:rFonts w:eastAsia="Arial Unicode MS"/>
          <w:b/>
          <w:bCs/>
        </w:rPr>
      </w:pPr>
    </w:p>
    <w:p w:rsidR="00BE02F6" w:rsidRPr="00AD640D" w:rsidRDefault="00BE02F6" w:rsidP="00BE02F6">
      <w:pPr>
        <w:ind w:firstLine="708"/>
        <w:jc w:val="both"/>
      </w:pPr>
      <w:r w:rsidRPr="00AD640D">
        <w:t xml:space="preserve">Ova Uredba objavit će se u „Narodnim novinama“, a stupa na snagu 1. siječnja 2021. godine. </w:t>
      </w:r>
    </w:p>
    <w:p w:rsidR="00BE02F6" w:rsidRPr="00AD640D" w:rsidRDefault="00BE02F6" w:rsidP="00BE02F6">
      <w:pPr>
        <w:jc w:val="both"/>
      </w:pPr>
    </w:p>
    <w:p w:rsidR="00BE02F6" w:rsidRPr="00AD640D" w:rsidRDefault="00BE02F6" w:rsidP="00BE02F6">
      <w:pPr>
        <w:jc w:val="both"/>
      </w:pPr>
    </w:p>
    <w:p w:rsidR="00BE02F6" w:rsidRPr="00AD640D" w:rsidRDefault="00BE02F6" w:rsidP="00BE02F6">
      <w:pPr>
        <w:jc w:val="both"/>
      </w:pPr>
    </w:p>
    <w:p w:rsidR="00BE02F6" w:rsidRPr="00AD640D" w:rsidRDefault="00BE02F6" w:rsidP="00BE02F6">
      <w:pPr>
        <w:jc w:val="both"/>
      </w:pPr>
    </w:p>
    <w:p w:rsidR="00BE02F6" w:rsidRPr="00AD640D" w:rsidRDefault="00BE02F6" w:rsidP="00BE02F6">
      <w:pPr>
        <w:jc w:val="both"/>
      </w:pPr>
    </w:p>
    <w:p w:rsidR="00BE02F6" w:rsidRPr="00AD640D" w:rsidRDefault="00BE02F6" w:rsidP="00BE02F6">
      <w:pPr>
        <w:jc w:val="both"/>
      </w:pPr>
    </w:p>
    <w:p w:rsidR="00BE02F6" w:rsidRPr="00AD640D" w:rsidRDefault="00BE02F6" w:rsidP="00BE02F6">
      <w:pPr>
        <w:jc w:val="both"/>
      </w:pPr>
    </w:p>
    <w:p w:rsidR="00BE02F6" w:rsidRPr="00AD640D" w:rsidRDefault="00BE02F6" w:rsidP="00BE02F6">
      <w:pPr>
        <w:rPr>
          <w:rFonts w:eastAsia="Arial Unicode MS"/>
        </w:rPr>
      </w:pPr>
      <w:r w:rsidRPr="00AD640D">
        <w:rPr>
          <w:rFonts w:eastAsia="Arial Unicode MS"/>
        </w:rPr>
        <w:t xml:space="preserve">KLASA: </w:t>
      </w:r>
    </w:p>
    <w:p w:rsidR="00BE02F6" w:rsidRPr="00AD640D" w:rsidRDefault="00BE02F6" w:rsidP="00BE02F6">
      <w:pPr>
        <w:rPr>
          <w:rFonts w:eastAsia="Arial Unicode MS"/>
        </w:rPr>
      </w:pPr>
      <w:r w:rsidRPr="00AD640D">
        <w:rPr>
          <w:rFonts w:eastAsia="Arial Unicode MS"/>
        </w:rPr>
        <w:t xml:space="preserve">URBROJ: </w:t>
      </w:r>
    </w:p>
    <w:p w:rsidR="00BE02F6" w:rsidRPr="00AD640D" w:rsidRDefault="00BE02F6" w:rsidP="00BE02F6">
      <w:pPr>
        <w:rPr>
          <w:rFonts w:eastAsia="Arial Unicode MS"/>
        </w:rPr>
      </w:pPr>
      <w:r w:rsidRPr="00AD640D">
        <w:rPr>
          <w:rFonts w:eastAsia="Arial Unicode MS"/>
        </w:rPr>
        <w:t xml:space="preserve">Zagreb,     </w:t>
      </w:r>
    </w:p>
    <w:p w:rsidR="00BE02F6" w:rsidRPr="00AD640D" w:rsidRDefault="00BE02F6" w:rsidP="00BE02F6">
      <w:pPr>
        <w:spacing w:before="100" w:beforeAutospacing="1" w:after="100" w:afterAutospacing="1"/>
        <w:ind w:left="5664"/>
        <w:rPr>
          <w:rFonts w:eastAsia="Arial Unicode MS"/>
          <w:b/>
        </w:rPr>
      </w:pPr>
      <w:r w:rsidRPr="00AD640D">
        <w:rPr>
          <w:rFonts w:eastAsia="Arial Unicode MS"/>
        </w:rPr>
        <w:tab/>
      </w:r>
      <w:r w:rsidRPr="00AD640D">
        <w:rPr>
          <w:rFonts w:eastAsia="Arial Unicode MS"/>
          <w:b/>
        </w:rPr>
        <w:t xml:space="preserve">     Predsjednik</w:t>
      </w:r>
    </w:p>
    <w:p w:rsidR="00BE02F6" w:rsidRPr="00AD640D" w:rsidRDefault="00BE02F6" w:rsidP="00BE02F6">
      <w:pPr>
        <w:spacing w:before="100" w:beforeAutospacing="1" w:after="100" w:afterAutospacing="1"/>
        <w:jc w:val="both"/>
        <w:rPr>
          <w:rFonts w:eastAsia="Arial Unicode MS"/>
          <w:b/>
        </w:rPr>
      </w:pPr>
      <w:r w:rsidRPr="00AD640D">
        <w:rPr>
          <w:rFonts w:eastAsia="Arial Unicode MS"/>
        </w:rPr>
        <w:tab/>
      </w:r>
      <w:r w:rsidRPr="00AD640D">
        <w:rPr>
          <w:rFonts w:eastAsia="Arial Unicode MS"/>
        </w:rPr>
        <w:tab/>
      </w:r>
      <w:r w:rsidRPr="00AD640D">
        <w:rPr>
          <w:rFonts w:eastAsia="Arial Unicode MS"/>
        </w:rPr>
        <w:tab/>
      </w:r>
      <w:r w:rsidRPr="00AD640D">
        <w:rPr>
          <w:rFonts w:eastAsia="Arial Unicode MS"/>
        </w:rPr>
        <w:tab/>
      </w:r>
      <w:r w:rsidRPr="00AD640D">
        <w:rPr>
          <w:rFonts w:eastAsia="Arial Unicode MS"/>
        </w:rPr>
        <w:tab/>
      </w:r>
      <w:r w:rsidRPr="00AD640D">
        <w:rPr>
          <w:rFonts w:eastAsia="Arial Unicode MS"/>
        </w:rPr>
        <w:tab/>
      </w:r>
      <w:r w:rsidRPr="00AD640D">
        <w:rPr>
          <w:rFonts w:eastAsia="Arial Unicode MS"/>
        </w:rPr>
        <w:tab/>
      </w:r>
      <w:r w:rsidRPr="00AD640D">
        <w:rPr>
          <w:rFonts w:eastAsia="Arial Unicode MS"/>
        </w:rPr>
        <w:tab/>
        <w:t xml:space="preserve">      </w:t>
      </w:r>
      <w:r w:rsidRPr="00AD640D">
        <w:rPr>
          <w:rFonts w:eastAsia="Arial Unicode MS"/>
          <w:b/>
          <w:bCs/>
        </w:rPr>
        <w:t>mr. sc. Andrej Plenković</w:t>
      </w:r>
      <w:r w:rsidRPr="00AD640D">
        <w:rPr>
          <w:rFonts w:eastAsia="Arial Unicode MS"/>
          <w:b/>
        </w:rPr>
        <w:t xml:space="preserve"> </w:t>
      </w:r>
    </w:p>
    <w:p w:rsidR="00BE02F6" w:rsidRPr="00AD640D" w:rsidRDefault="00BE02F6" w:rsidP="00BE02F6">
      <w:pPr>
        <w:pStyle w:val="NormalWeb"/>
        <w:jc w:val="center"/>
        <w:rPr>
          <w:b/>
        </w:rPr>
      </w:pPr>
    </w:p>
    <w:p w:rsidR="00BE02F6" w:rsidRPr="00AD640D" w:rsidRDefault="00BE02F6" w:rsidP="00BE02F6">
      <w:pPr>
        <w:pStyle w:val="NormalWeb"/>
        <w:jc w:val="center"/>
        <w:rPr>
          <w:b/>
        </w:rPr>
      </w:pPr>
    </w:p>
    <w:p w:rsidR="001F3C75" w:rsidRPr="00AD640D" w:rsidRDefault="001F3C75" w:rsidP="00BE02F6">
      <w:pPr>
        <w:pStyle w:val="NormalWeb"/>
        <w:jc w:val="center"/>
        <w:rPr>
          <w:b/>
        </w:rPr>
      </w:pPr>
    </w:p>
    <w:p w:rsidR="001F3C75" w:rsidRPr="00AD640D" w:rsidRDefault="001F3C75" w:rsidP="00BE02F6">
      <w:pPr>
        <w:pStyle w:val="NormalWeb"/>
        <w:jc w:val="center"/>
        <w:rPr>
          <w:b/>
        </w:rPr>
      </w:pPr>
    </w:p>
    <w:p w:rsidR="00BE02F6" w:rsidRPr="00AD640D" w:rsidRDefault="00BE02F6" w:rsidP="001F3C75">
      <w:pPr>
        <w:pStyle w:val="NormalWeb"/>
        <w:spacing w:before="0" w:beforeAutospacing="0" w:after="0" w:afterAutospacing="0"/>
        <w:jc w:val="center"/>
        <w:rPr>
          <w:b/>
        </w:rPr>
      </w:pPr>
      <w:r w:rsidRPr="00AD640D">
        <w:rPr>
          <w:b/>
        </w:rPr>
        <w:lastRenderedPageBreak/>
        <w:t>OBRAZLOŽENJE</w:t>
      </w:r>
    </w:p>
    <w:p w:rsidR="001F3C75" w:rsidRPr="00AD640D" w:rsidRDefault="001F3C75" w:rsidP="001F3C75">
      <w:pPr>
        <w:pStyle w:val="NormalWeb"/>
        <w:spacing w:before="0" w:beforeAutospacing="0" w:after="0" w:afterAutospacing="0"/>
        <w:jc w:val="center"/>
      </w:pPr>
    </w:p>
    <w:p w:rsidR="00BE02F6" w:rsidRPr="00AD640D" w:rsidRDefault="00BE02F6" w:rsidP="001F3C75">
      <w:pPr>
        <w:jc w:val="both"/>
      </w:pPr>
      <w:r w:rsidRPr="00AD640D">
        <w:t xml:space="preserve">            Pravna  osnova za donošenje predložene Uredbe</w:t>
      </w:r>
      <w:r w:rsidRPr="00AD640D">
        <w:rPr>
          <w:b/>
          <w:bCs/>
        </w:rPr>
        <w:t xml:space="preserve"> </w:t>
      </w:r>
      <w:r w:rsidRPr="00AD640D">
        <w:rPr>
          <w:bCs/>
        </w:rPr>
        <w:t xml:space="preserve">o načinu izračuna i visinama sastavnica za izračun posebnog poreza na motorna vozila </w:t>
      </w:r>
      <w:r w:rsidRPr="00AD640D">
        <w:t>propisana je člankom 12. stavkom 9. i člankom 13. stavkom 3. Zakona o posebnom porezu na motorna vozila (Narodne novine, broj 15/13, 108/13</w:t>
      </w:r>
      <w:r w:rsidRPr="00AD640D">
        <w:rPr>
          <w:bCs/>
        </w:rPr>
        <w:t>– ispravak</w:t>
      </w:r>
      <w:r w:rsidRPr="00AD640D">
        <w:t xml:space="preserve">, 115/16, 127/17 i 121/19; u daljnjem tekstu: Zakon), kojim se daje ovlaštenje Vladi Republike Hrvatske da uredbom utvrđuje način izračuna i visine sastavnica za izračun posebnog poreza iz članka 12. stavaka 1. i 7. i članka 13. stavka 1. Zakona. </w:t>
      </w:r>
    </w:p>
    <w:p w:rsidR="00BE02F6" w:rsidRPr="00AD640D" w:rsidRDefault="00BE02F6" w:rsidP="00BE02F6">
      <w:pPr>
        <w:jc w:val="both"/>
      </w:pPr>
    </w:p>
    <w:p w:rsidR="00BE02F6" w:rsidRPr="00AD640D" w:rsidRDefault="00BE02F6" w:rsidP="00BE02F6">
      <w:pPr>
        <w:ind w:firstLine="708"/>
        <w:jc w:val="both"/>
      </w:pPr>
      <w:r w:rsidRPr="00AD640D">
        <w:t>Uredbom</w:t>
      </w:r>
      <w:r w:rsidRPr="00AD640D">
        <w:rPr>
          <w:b/>
          <w:bCs/>
        </w:rPr>
        <w:t xml:space="preserve"> </w:t>
      </w:r>
      <w:r w:rsidRPr="00AD640D">
        <w:rPr>
          <w:bCs/>
        </w:rPr>
        <w:t xml:space="preserve">o načinu izračuna i visinama sastavnica za izračun posebnog poreza na motorna vozila </w:t>
      </w:r>
      <w:r w:rsidRPr="00AD640D">
        <w:t>(„Narodne novine“, broj 109/18; u daljnjem tekstu Uredba) koja je stupila na snagu 1. siječnja 2019. utvrđen je</w:t>
      </w:r>
      <w:r w:rsidRPr="00AD640D">
        <w:rPr>
          <w:bCs/>
        </w:rPr>
        <w:t xml:space="preserve"> način izračuna i visine sastavnica za izračun posebnog poreza na motorna vozila </w:t>
      </w:r>
      <w:r w:rsidRPr="00AD640D">
        <w:t xml:space="preserve">i to na osobne automobile i ostala motorna vozila namijenjena prvenstveno za prijevoz putnika, motocikle i sl. vozila s pomoćnim motorom, „pick-up“ vozila s dvostrukom kabinom, „ATV“ vozila te druga motorna vozila koja nisu predmet oporezivanja prenamijenjena u takva vozila. </w:t>
      </w:r>
    </w:p>
    <w:p w:rsidR="00BE02F6" w:rsidRPr="00AD640D" w:rsidRDefault="00BE02F6" w:rsidP="001F3C75">
      <w:pPr>
        <w:jc w:val="both"/>
      </w:pPr>
    </w:p>
    <w:p w:rsidR="00BE02F6" w:rsidRPr="00AD640D" w:rsidRDefault="00BE02F6" w:rsidP="00BE02F6">
      <w:pPr>
        <w:tabs>
          <w:tab w:val="left" w:pos="0"/>
        </w:tabs>
        <w:jc w:val="both"/>
      </w:pPr>
      <w:r w:rsidRPr="00AD640D">
        <w:tab/>
        <w:t>Visina posebnog poreza na osobne automobile, kao najzastupljeniju skupinu oporezivih  motornih vozila utvrđuje se prema vrijednosnom i ekološkom kriteriju sukladno emisiji ugljičnog dioksida (CO</w:t>
      </w:r>
      <w:r w:rsidRPr="00AD640D">
        <w:rPr>
          <w:vertAlign w:val="subscript"/>
        </w:rPr>
        <w:t>2</w:t>
      </w:r>
      <w:r w:rsidRPr="00AD640D">
        <w:t>). Oba kriterija su samostalna i neovisna jedan o drugom.</w:t>
      </w:r>
    </w:p>
    <w:p w:rsidR="00BE02F6" w:rsidRPr="00AD640D" w:rsidRDefault="00BE02F6" w:rsidP="00BE02F6">
      <w:pPr>
        <w:tabs>
          <w:tab w:val="left" w:pos="0"/>
        </w:tabs>
        <w:jc w:val="both"/>
      </w:pPr>
    </w:p>
    <w:p w:rsidR="00BE02F6" w:rsidRPr="00AD640D" w:rsidRDefault="00BE02F6" w:rsidP="00BE02F6">
      <w:pPr>
        <w:tabs>
          <w:tab w:val="left" w:pos="0"/>
        </w:tabs>
        <w:jc w:val="both"/>
      </w:pPr>
      <w:r w:rsidRPr="00AD640D">
        <w:tab/>
        <w:t xml:space="preserve">Dana 1. lipnja 2017. donesena je Uredba Komisije (EU) 2017/1151 o dopuni Uredbe (EZ) br. 715/2007 Europskog parlamenta i Vijeća o homologaciji tipa motornih vozila u odnosu na emisije iz lakih osobnih i gospodarskih vozila (Euro 5 i Euro 6) kojom se u EU zakonodavstvo uvodi tzv. Globalno usklađeni ispitni postupak za laka vozila (WLTP - </w:t>
      </w:r>
      <w:r w:rsidRPr="00AD640D">
        <w:rPr>
          <w:i/>
        </w:rPr>
        <w:t>Worldwide Harmonised Light Vehicle Test Procedure)</w:t>
      </w:r>
      <w:r w:rsidRPr="00AD640D">
        <w:t xml:space="preserve"> ili novi sustav mjerenja emisija CO</w:t>
      </w:r>
      <w:r w:rsidRPr="00AD640D">
        <w:rPr>
          <w:vertAlign w:val="subscript"/>
        </w:rPr>
        <w:t>2</w:t>
      </w:r>
      <w:r w:rsidRPr="00AD640D">
        <w:t>, budući da je utvrđeno da „</w:t>
      </w:r>
      <w:r w:rsidRPr="00AD640D">
        <w:rPr>
          <w:i/>
        </w:rPr>
        <w:t>informacije o potrošnji goriva i emisijama CO</w:t>
      </w:r>
      <w:r w:rsidRPr="00AD640D">
        <w:rPr>
          <w:i/>
          <w:vertAlign w:val="subscript"/>
        </w:rPr>
        <w:t>2</w:t>
      </w:r>
      <w:r w:rsidRPr="00AD640D">
        <w:rPr>
          <w:i/>
        </w:rPr>
        <w:t xml:space="preserve"> koje su dobivene ispitivanjem vozila u skladu s NEDC-om (tj. New European Driving Cycle) više nisu zadovoljavajuće i više ne prikazuju stvarne emisije</w:t>
      </w:r>
      <w:r w:rsidRPr="00AD640D">
        <w:t>“.</w:t>
      </w:r>
    </w:p>
    <w:p w:rsidR="00BE02F6" w:rsidRPr="00AD640D" w:rsidRDefault="00BE02F6" w:rsidP="001F3C75">
      <w:pPr>
        <w:jc w:val="both"/>
      </w:pPr>
    </w:p>
    <w:p w:rsidR="00BE02F6" w:rsidRPr="00AD640D" w:rsidRDefault="00BE02F6" w:rsidP="00BE02F6">
      <w:pPr>
        <w:ind w:firstLine="708"/>
        <w:jc w:val="both"/>
      </w:pPr>
      <w:r w:rsidRPr="00AD640D">
        <w:t>Time je dotadašnji NEDC sustav</w:t>
      </w:r>
      <w:r w:rsidRPr="00AD640D">
        <w:rPr>
          <w:vertAlign w:val="subscript"/>
        </w:rPr>
        <w:t xml:space="preserve"> </w:t>
      </w:r>
      <w:r w:rsidRPr="00AD640D">
        <w:t>zamijenjen novim homologacijskim postupkom, odnosno WLTP-om čija primjena daje preciznije i vjerodostojnije podatke o emisijama CO</w:t>
      </w:r>
      <w:r w:rsidRPr="00AD640D">
        <w:rPr>
          <w:vertAlign w:val="subscript"/>
        </w:rPr>
        <w:t>2</w:t>
      </w:r>
      <w:r w:rsidRPr="00AD640D">
        <w:t>. S tim u vezi, puna primjena s prijelaznim razdobljima globalno usklađenog ispitnog postupka WLTP stupila je na snagu 1. rujna 2018. za sve nove modele vozila, dok od 1. siječnja 2019. sva vozila moraju biti homologirana prema WLTP-u. Sve od tada izdane homologacijske isprave sadržavale su pored WLTP podatka o iznosu emisije CO</w:t>
      </w:r>
      <w:r w:rsidRPr="00AD640D">
        <w:rPr>
          <w:vertAlign w:val="subscript"/>
        </w:rPr>
        <w:t>2</w:t>
      </w:r>
      <w:r w:rsidRPr="00AD640D">
        <w:t xml:space="preserve"> u kombiniranoj vožnji i tzv. korelirani NEDC podatak utvrđen CO</w:t>
      </w:r>
      <w:r w:rsidRPr="00AD640D">
        <w:rPr>
          <w:vertAlign w:val="subscript"/>
        </w:rPr>
        <w:t>2</w:t>
      </w:r>
      <w:r w:rsidRPr="00AD640D">
        <w:t>MPAS matematičkom metodom, koji daje nešto manje vrijednosti CO</w:t>
      </w:r>
      <w:r w:rsidRPr="00AD640D">
        <w:rPr>
          <w:vertAlign w:val="subscript"/>
        </w:rPr>
        <w:t>2</w:t>
      </w:r>
      <w:r w:rsidRPr="00AD640D">
        <w:t xml:space="preserve"> od onih utvrđenih WLTP-om, temeljem kojih se utvrđivao posebni porez na motorna vozila. Stoga je Uredbom koja je u primjeni od 1. siječnja 2019., utvrđeno da se do potpune primjene WLTP sustava mjerenja emisija CO</w:t>
      </w:r>
      <w:r w:rsidRPr="00AD640D">
        <w:rPr>
          <w:vertAlign w:val="subscript"/>
        </w:rPr>
        <w:t>2</w:t>
      </w:r>
      <w:r w:rsidRPr="00AD640D">
        <w:t>, za vozila koja u homologacijskim ispravama sadrže iznos prosječne emisije CO</w:t>
      </w:r>
      <w:r w:rsidRPr="00AD640D">
        <w:rPr>
          <w:vertAlign w:val="subscript"/>
        </w:rPr>
        <w:t>2</w:t>
      </w:r>
      <w:r w:rsidRPr="00AD640D">
        <w:t xml:space="preserve"> u kombiniranoj vožnji po WLTP Protokolu primjenjuje podatak o iznosu prosječne emisije CO</w:t>
      </w:r>
      <w:r w:rsidRPr="00AD640D">
        <w:rPr>
          <w:vertAlign w:val="subscript"/>
        </w:rPr>
        <w:t>2</w:t>
      </w:r>
      <w:r w:rsidRPr="00AD640D">
        <w:t xml:space="preserve"> u kombiniranoj vožnji koji je utvrđen CO</w:t>
      </w:r>
      <w:r w:rsidRPr="00AD640D">
        <w:rPr>
          <w:vertAlign w:val="subscript"/>
        </w:rPr>
        <w:t>2</w:t>
      </w:r>
      <w:r w:rsidRPr="00AD640D">
        <w:t>MPAS metodom, odnosno korelirani NEDC CO</w:t>
      </w:r>
      <w:r w:rsidRPr="00AD640D">
        <w:rPr>
          <w:vertAlign w:val="subscript"/>
        </w:rPr>
        <w:t>2</w:t>
      </w:r>
      <w:r w:rsidRPr="00AD640D">
        <w:t xml:space="preserve"> podatak, a za vozila homologirana samo po NEDC Protokolu taj podatak. </w:t>
      </w:r>
    </w:p>
    <w:p w:rsidR="00BE02F6" w:rsidRPr="00AD640D" w:rsidRDefault="00BE02F6" w:rsidP="00BE02F6">
      <w:pPr>
        <w:tabs>
          <w:tab w:val="left" w:pos="0"/>
        </w:tabs>
        <w:jc w:val="both"/>
      </w:pPr>
    </w:p>
    <w:p w:rsidR="00BE02F6" w:rsidRPr="00AD640D" w:rsidRDefault="00BE02F6" w:rsidP="00BE02F6">
      <w:pPr>
        <w:ind w:firstLine="708"/>
        <w:jc w:val="both"/>
      </w:pPr>
      <w:r w:rsidRPr="00AD640D">
        <w:t>Kako 31. prosinca 2020. istječe prijelazno razdoblje za obveznu potpunu primjenu WLTP sustava mjerenja emisija CO</w:t>
      </w:r>
      <w:r w:rsidRPr="00AD640D">
        <w:rPr>
          <w:vertAlign w:val="subscript"/>
        </w:rPr>
        <w:t>2</w:t>
      </w:r>
      <w:r w:rsidRPr="00AD640D">
        <w:t>, s</w:t>
      </w:r>
      <w:r w:rsidRPr="00AD640D">
        <w:rPr>
          <w:bCs/>
        </w:rPr>
        <w:t xml:space="preserve"> time u vezi, </w:t>
      </w:r>
      <w:r w:rsidRPr="00AD640D">
        <w:t>temeljem provedenih analiza, nužnim se ukazuje potreba mijenjanja sastavnica za izračun posebnog poreza na osobne automobile kojima se utvrđuje WLTP CO</w:t>
      </w:r>
      <w:r w:rsidRPr="00AD640D">
        <w:rPr>
          <w:vertAlign w:val="subscript"/>
        </w:rPr>
        <w:t xml:space="preserve">2 </w:t>
      </w:r>
      <w:r w:rsidRPr="00AD640D">
        <w:t xml:space="preserve">podatak, a koji će se registrirati od 1. siječnja 2021. </w:t>
      </w:r>
    </w:p>
    <w:p w:rsidR="00BE02F6" w:rsidRPr="00AD640D" w:rsidRDefault="00BE02F6" w:rsidP="00BE02F6">
      <w:pPr>
        <w:ind w:firstLine="708"/>
        <w:jc w:val="both"/>
      </w:pPr>
    </w:p>
    <w:p w:rsidR="00BE02F6" w:rsidRPr="00AD640D" w:rsidRDefault="00BE02F6" w:rsidP="00BE02F6">
      <w:pPr>
        <w:ind w:firstLine="708"/>
        <w:jc w:val="both"/>
      </w:pPr>
      <w:r w:rsidRPr="00AD640D">
        <w:rPr>
          <w:rFonts w:eastAsia="Calibri"/>
        </w:rPr>
        <w:lastRenderedPageBreak/>
        <w:t>Istovjetna prilagodba se trenutno radi u drugim državama članicama EU koje oporezuju motorna vozila temeljem prosječne emisije CO</w:t>
      </w:r>
      <w:r w:rsidRPr="00AD640D">
        <w:rPr>
          <w:rFonts w:eastAsia="Calibri"/>
          <w:vertAlign w:val="subscript"/>
        </w:rPr>
        <w:t>2</w:t>
      </w:r>
      <w:r w:rsidRPr="00AD640D">
        <w:rPr>
          <w:rFonts w:eastAsia="Calibri"/>
        </w:rPr>
        <w:t xml:space="preserve">, dok je </w:t>
      </w:r>
      <w:r w:rsidRPr="00AD640D">
        <w:t>Nizozemska od 1. srpnja 2020. kao prva država članica počela primjenjivati izračun registracijskog poreza uzimajući u obzir WLTP iznose emisija CO</w:t>
      </w:r>
      <w:r w:rsidRPr="00AD640D">
        <w:rPr>
          <w:vertAlign w:val="subscript"/>
        </w:rPr>
        <w:t>2</w:t>
      </w:r>
      <w:r w:rsidRPr="00AD640D">
        <w:t>.</w:t>
      </w:r>
    </w:p>
    <w:p w:rsidR="00BE02F6" w:rsidRPr="00AD640D" w:rsidRDefault="00BE02F6" w:rsidP="001F3C75">
      <w:pPr>
        <w:contextualSpacing/>
        <w:jc w:val="both"/>
      </w:pPr>
    </w:p>
    <w:p w:rsidR="00BE02F6" w:rsidRPr="00AD640D" w:rsidRDefault="00BE02F6" w:rsidP="00BE02F6">
      <w:pPr>
        <w:ind w:firstLine="708"/>
        <w:jc w:val="both"/>
      </w:pPr>
      <w:r w:rsidRPr="00AD640D">
        <w:t xml:space="preserve">Stoga se ovom Uredbom predlaže izmjena sastavnica </w:t>
      </w:r>
      <w:r w:rsidRPr="00AD640D">
        <w:rPr>
          <w:bCs/>
        </w:rPr>
        <w:t xml:space="preserve">koje se odnose na motorna vozila iz članka 5. stavka 1. točaka 1. i 3. Zakona, odnosno osobne automobile, prvi puta registrirane </w:t>
      </w:r>
      <w:r w:rsidRPr="00AD640D">
        <w:t>od 1. siječnja 2021., na način da će se uskladiti visine sastavnica za izračun vrijednosne komponente kao i razredi i visine sastavnica za izračun ekološke komponente koje uvažavaju poskupljenje novih motornih vozila zbog obveze prilagodbe novim emisijskim standardima te prosječno povećanje emisija CO</w:t>
      </w:r>
      <w:r w:rsidRPr="00AD640D">
        <w:rPr>
          <w:vertAlign w:val="subscript"/>
        </w:rPr>
        <w:t>2</w:t>
      </w:r>
      <w:r w:rsidRPr="00AD640D">
        <w:t xml:space="preserve"> s obzirom da se za takva vozila iznos prosječne emisije CO</w:t>
      </w:r>
      <w:r w:rsidRPr="00AD640D">
        <w:rPr>
          <w:vertAlign w:val="subscript"/>
        </w:rPr>
        <w:t>2</w:t>
      </w:r>
      <w:r w:rsidRPr="00AD640D">
        <w:t xml:space="preserve"> utvrđuje na temelju podatka u kombiniranoj vožnji izraženom sukladno WLTP-u. S obzirom da se radi o dva potpuno neovisna načina mjerenja emisija CO</w:t>
      </w:r>
      <w:r w:rsidRPr="00AD640D">
        <w:rPr>
          <w:vertAlign w:val="subscript"/>
        </w:rPr>
        <w:t>2</w:t>
      </w:r>
      <w:r w:rsidRPr="00AD640D">
        <w:t xml:space="preserve"> ne može se utvrditi indeksirano povećanje emisija, koje varira ne samo između proizvođača, nego i između različitih modela istog proizvođača. S tim u vezi, valja istaknuti da je nizozemski državni institut TNO za potrebe njihovog Ministarstva financija napravio do sada najcjelovitiju analizu prelaska na novi WLTP sustav, na temelju koje je napravljen novi model oporezivanja u Nizozemskoj. Prema procjenama TNO-a prosječno povećanje emisija iznosi negdje oko 25%.    </w:t>
      </w:r>
    </w:p>
    <w:p w:rsidR="00BE02F6" w:rsidRPr="00AD640D" w:rsidRDefault="00BE02F6" w:rsidP="001F3C75">
      <w:pPr>
        <w:contextualSpacing/>
        <w:jc w:val="both"/>
      </w:pPr>
    </w:p>
    <w:p w:rsidR="00BE02F6" w:rsidRPr="00AD640D" w:rsidRDefault="00BE02F6" w:rsidP="00BE02F6">
      <w:pPr>
        <w:ind w:firstLine="708"/>
        <w:jc w:val="both"/>
      </w:pPr>
      <w:r w:rsidRPr="00AD640D">
        <w:t>Na temelju prijedloga Uredbe procjenjuje se smanjenje prihoda Državnog proračuna s naslova posebnog poreza na motorna vozila od cca 161,4 mil. kn na godišnjoj razini ili 12,9% u usporedbi s prihodima iz 2019. godine, uz pretpostavku da volumen oporezivih motornih vozila ostane isti.</w:t>
      </w:r>
    </w:p>
    <w:p w:rsidR="00BE02F6" w:rsidRPr="00AD640D" w:rsidRDefault="00BE02F6" w:rsidP="001F3C75">
      <w:pPr>
        <w:jc w:val="both"/>
      </w:pPr>
      <w:r w:rsidRPr="00AD640D">
        <w:tab/>
      </w:r>
    </w:p>
    <w:p w:rsidR="00BE02F6" w:rsidRPr="00AD640D" w:rsidRDefault="00BE02F6" w:rsidP="00BE02F6">
      <w:pPr>
        <w:ind w:firstLine="708"/>
        <w:jc w:val="both"/>
      </w:pPr>
      <w:r w:rsidRPr="00AD640D">
        <w:t>Razlikovanjem oporezivanja motornih vozila registriranih do 31. prosinca 2020. i od 1. siječnja 2021. godine osigurava se jednaki porezni tretman svih motornih vozila, sukladno pravnoj stečevini EU, odnosno sudskoj praksi Suda EU. Naime, Sud EU je u presudama C-47/88</w:t>
      </w:r>
      <w:r w:rsidRPr="00AD640D">
        <w:rPr>
          <w:i/>
          <w:iCs/>
        </w:rPr>
        <w:t xml:space="preserve"> Komisija v. Danska,</w:t>
      </w:r>
      <w:r w:rsidRPr="00AD640D">
        <w:t xml:space="preserve"> C-345/93 </w:t>
      </w:r>
      <w:r w:rsidRPr="00AD640D">
        <w:rPr>
          <w:i/>
          <w:iCs/>
        </w:rPr>
        <w:t>Nunes Tadeu</w:t>
      </w:r>
      <w:r w:rsidRPr="00AD640D">
        <w:t xml:space="preserve">, C-393/98 </w:t>
      </w:r>
      <w:r w:rsidRPr="00AD640D">
        <w:rPr>
          <w:i/>
          <w:iCs/>
        </w:rPr>
        <w:t>Gomes Valente</w:t>
      </w:r>
      <w:r w:rsidRPr="00AD640D">
        <w:t xml:space="preserve">, C-101/00 </w:t>
      </w:r>
      <w:r w:rsidRPr="00AD640D">
        <w:rPr>
          <w:i/>
          <w:iCs/>
        </w:rPr>
        <w:t>Antti Siilin</w:t>
      </w:r>
      <w:r w:rsidRPr="00AD640D">
        <w:t xml:space="preserve"> kao i u brojnim kasnijim presudama zauzeo pravno stajalište da je članak 110. Ugovora o funkcioniranju EU-a (bivši članak 90. Ugovora o osnivanju Europske zajednice) povrijeđen ukoliko se pri oporezivanju rabljenih motornih vozila posebnim porezom ne uzme u obzir njihova stvarna amortizacija, te ako iznos utvrđenog posebnog poreza za uneseno rabljeno motorno vozilo bude veći od ostatka iznosa posebnog poreza sadržanog u vrijednosti rabljenog motornog vozila istih karakteristika već registriranog u toj državi članici. Dakle, potrebna je potpuna neutralnost u oporezivanju proizvoda koji se već nalaze na domaćem tržištu i proizvoda koji se unose ili uvoze, što se prijedlogom Uredbe nesporno ostvaruje.   </w:t>
      </w:r>
    </w:p>
    <w:p w:rsidR="00BE02F6" w:rsidRPr="00AD640D" w:rsidRDefault="00BE02F6" w:rsidP="001F3C75">
      <w:pPr>
        <w:jc w:val="both"/>
      </w:pPr>
    </w:p>
    <w:p w:rsidR="00BE02F6" w:rsidRPr="00AD640D" w:rsidRDefault="00BE02F6" w:rsidP="00BE02F6">
      <w:pPr>
        <w:ind w:firstLine="360"/>
        <w:jc w:val="both"/>
      </w:pPr>
      <w:r w:rsidRPr="00AD640D">
        <w:rPr>
          <w:rFonts w:eastAsia="Arial Unicode MS"/>
        </w:rPr>
        <w:t xml:space="preserve">  </w:t>
      </w:r>
      <w:r w:rsidRPr="00AD640D">
        <w:rPr>
          <w:rFonts w:eastAsia="Arial Unicode MS"/>
        </w:rPr>
        <w:tab/>
        <w:t xml:space="preserve">Prijedlogom Uredbe </w:t>
      </w:r>
      <w:r w:rsidRPr="00AD640D">
        <w:t xml:space="preserve">mijenjaju se sastavnice (i vrijednosne i ekološke komponente) </w:t>
      </w:r>
      <w:r w:rsidRPr="00AD640D">
        <w:rPr>
          <w:bCs/>
        </w:rPr>
        <w:t>koje se odnose na motorna vozila iz članka 5. stavka 1. točaka 1. i 3. (osobni automobili i ostala vozila konstruirana za prijevoz osoba i „pick-up“ vozila s duplom kabinom iz tarifne oznake KN 8703) i način utvrđivanja iznosa prosječne emisije CO</w:t>
      </w:r>
      <w:r w:rsidRPr="00AD640D">
        <w:rPr>
          <w:bCs/>
          <w:vertAlign w:val="subscript"/>
        </w:rPr>
        <w:t>2</w:t>
      </w:r>
      <w:r w:rsidRPr="00AD640D">
        <w:rPr>
          <w:bCs/>
        </w:rPr>
        <w:t xml:space="preserve"> (izraženom sukladno WLTP-u) samo za vozila prvi puta registrirana od 1. siječnja 2021., dok za ista vozila registrirana do 31. prosinca 2020. te „</w:t>
      </w:r>
      <w:r w:rsidRPr="00AD640D">
        <w:t>pick-up“ vozila s dvostrukom kabinom koja se razvrstavaju u tarifnu oznaku KN 8704, način izračuna i visine sastavnica ostaju iste. Isto tako, ostali su nepromijenjeni način izračuna i visine sastavnica na motorna vozila iz članka 5. stavka 1. točaka 2. i 4. (motocikli i sl. vozila s pomoćnim motorom i „ATV“ vozila).</w:t>
      </w:r>
    </w:p>
    <w:p w:rsidR="00BE02F6" w:rsidRPr="00AD640D" w:rsidRDefault="00BE02F6" w:rsidP="001F3C75">
      <w:pPr>
        <w:jc w:val="both"/>
      </w:pPr>
    </w:p>
    <w:p w:rsidR="00BE02F6" w:rsidRPr="00AD640D" w:rsidRDefault="00BE02F6" w:rsidP="00BE02F6">
      <w:pPr>
        <w:ind w:firstLine="708"/>
        <w:jc w:val="both"/>
      </w:pPr>
      <w:r w:rsidRPr="00AD640D">
        <w:t>Predlaže se stupanje na snagu ove Uredbe 1. siječnja 2021. godine.</w:t>
      </w:r>
    </w:p>
    <w:p w:rsidR="00BE02F6" w:rsidRPr="00AD640D" w:rsidRDefault="00BE02F6" w:rsidP="007E4DF2">
      <w:pPr>
        <w:tabs>
          <w:tab w:val="left" w:pos="720"/>
        </w:tabs>
        <w:jc w:val="both"/>
      </w:pPr>
    </w:p>
    <w:sectPr w:rsidR="00BE02F6" w:rsidRPr="00AD640D" w:rsidSect="00FB0311">
      <w:headerReference w:type="default" r:id="rId15"/>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62EE" w:rsidRDefault="005162EE" w:rsidP="0011560A">
      <w:r>
        <w:separator/>
      </w:r>
    </w:p>
  </w:endnote>
  <w:endnote w:type="continuationSeparator" w:id="0">
    <w:p w:rsidR="005162EE" w:rsidRDefault="005162EE" w:rsidP="00115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62EE" w:rsidRDefault="005162EE" w:rsidP="0011560A">
      <w:r>
        <w:separator/>
      </w:r>
    </w:p>
  </w:footnote>
  <w:footnote w:type="continuationSeparator" w:id="0">
    <w:p w:rsidR="005162EE" w:rsidRDefault="005162EE" w:rsidP="00115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2F6" w:rsidRDefault="00BE02F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0575466"/>
      <w:docPartObj>
        <w:docPartGallery w:val="Page Numbers (Top of Page)"/>
        <w:docPartUnique/>
      </w:docPartObj>
    </w:sdtPr>
    <w:sdtEndPr/>
    <w:sdtContent>
      <w:p w:rsidR="00BE02F6" w:rsidRDefault="005162EE">
        <w:pPr>
          <w:pStyle w:val="Header"/>
          <w:jc w:val="right"/>
        </w:pPr>
      </w:p>
    </w:sdtContent>
  </w:sdt>
  <w:p w:rsidR="00BE02F6" w:rsidRDefault="00BE02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0563526"/>
      <w:docPartObj>
        <w:docPartGallery w:val="Page Numbers (Top of Page)"/>
        <w:docPartUnique/>
      </w:docPartObj>
    </w:sdtPr>
    <w:sdtEndPr/>
    <w:sdtContent>
      <w:p w:rsidR="00BE02F6" w:rsidRDefault="00BE02F6">
        <w:pPr>
          <w:pStyle w:val="Header"/>
          <w:jc w:val="right"/>
        </w:pPr>
        <w:r>
          <w:fldChar w:fldCharType="begin"/>
        </w:r>
        <w:r>
          <w:instrText>PAGE   \* MERGEFORMAT</w:instrText>
        </w:r>
        <w:r>
          <w:fldChar w:fldCharType="separate"/>
        </w:r>
        <w:r w:rsidR="0091715A">
          <w:rPr>
            <w:noProof/>
          </w:rPr>
          <w:t>2</w:t>
        </w:r>
        <w:r>
          <w:fldChar w:fldCharType="end"/>
        </w:r>
      </w:p>
    </w:sdtContent>
  </w:sdt>
  <w:p w:rsidR="00BE02F6" w:rsidRDefault="00BE02F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875D6"/>
    <w:multiLevelType w:val="hybridMultilevel"/>
    <w:tmpl w:val="073CD07A"/>
    <w:lvl w:ilvl="0" w:tplc="7EFCF858">
      <w:start w:val="1"/>
      <w:numFmt w:val="upperRoman"/>
      <w:lvlText w:val="%1."/>
      <w:lvlJc w:val="left"/>
      <w:pPr>
        <w:ind w:left="1440" w:hanging="72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08B408CC"/>
    <w:multiLevelType w:val="hybridMultilevel"/>
    <w:tmpl w:val="C5C001BC"/>
    <w:lvl w:ilvl="0" w:tplc="758CEEB2">
      <w:numFmt w:val="bullet"/>
      <w:lvlText w:val="-"/>
      <w:lvlJc w:val="left"/>
      <w:pPr>
        <w:ind w:left="828" w:hanging="360"/>
      </w:pPr>
      <w:rPr>
        <w:rFonts w:ascii="Times New Roman" w:eastAsia="Times New Roman" w:hAnsi="Times New Roman" w:cs="Times New Roman" w:hint="default"/>
      </w:rPr>
    </w:lvl>
    <w:lvl w:ilvl="1" w:tplc="041A0003" w:tentative="1">
      <w:start w:val="1"/>
      <w:numFmt w:val="bullet"/>
      <w:lvlText w:val="o"/>
      <w:lvlJc w:val="left"/>
      <w:pPr>
        <w:ind w:left="1548" w:hanging="360"/>
      </w:pPr>
      <w:rPr>
        <w:rFonts w:ascii="Courier New" w:hAnsi="Courier New" w:cs="Courier New" w:hint="default"/>
      </w:rPr>
    </w:lvl>
    <w:lvl w:ilvl="2" w:tplc="041A0005" w:tentative="1">
      <w:start w:val="1"/>
      <w:numFmt w:val="bullet"/>
      <w:lvlText w:val=""/>
      <w:lvlJc w:val="left"/>
      <w:pPr>
        <w:ind w:left="2268" w:hanging="360"/>
      </w:pPr>
      <w:rPr>
        <w:rFonts w:ascii="Wingdings" w:hAnsi="Wingdings" w:hint="default"/>
      </w:rPr>
    </w:lvl>
    <w:lvl w:ilvl="3" w:tplc="041A0001" w:tentative="1">
      <w:start w:val="1"/>
      <w:numFmt w:val="bullet"/>
      <w:lvlText w:val=""/>
      <w:lvlJc w:val="left"/>
      <w:pPr>
        <w:ind w:left="2988" w:hanging="360"/>
      </w:pPr>
      <w:rPr>
        <w:rFonts w:ascii="Symbol" w:hAnsi="Symbol" w:hint="default"/>
      </w:rPr>
    </w:lvl>
    <w:lvl w:ilvl="4" w:tplc="041A0003" w:tentative="1">
      <w:start w:val="1"/>
      <w:numFmt w:val="bullet"/>
      <w:lvlText w:val="o"/>
      <w:lvlJc w:val="left"/>
      <w:pPr>
        <w:ind w:left="3708" w:hanging="360"/>
      </w:pPr>
      <w:rPr>
        <w:rFonts w:ascii="Courier New" w:hAnsi="Courier New" w:cs="Courier New" w:hint="default"/>
      </w:rPr>
    </w:lvl>
    <w:lvl w:ilvl="5" w:tplc="041A0005" w:tentative="1">
      <w:start w:val="1"/>
      <w:numFmt w:val="bullet"/>
      <w:lvlText w:val=""/>
      <w:lvlJc w:val="left"/>
      <w:pPr>
        <w:ind w:left="4428" w:hanging="360"/>
      </w:pPr>
      <w:rPr>
        <w:rFonts w:ascii="Wingdings" w:hAnsi="Wingdings" w:hint="default"/>
      </w:rPr>
    </w:lvl>
    <w:lvl w:ilvl="6" w:tplc="041A0001" w:tentative="1">
      <w:start w:val="1"/>
      <w:numFmt w:val="bullet"/>
      <w:lvlText w:val=""/>
      <w:lvlJc w:val="left"/>
      <w:pPr>
        <w:ind w:left="5148" w:hanging="360"/>
      </w:pPr>
      <w:rPr>
        <w:rFonts w:ascii="Symbol" w:hAnsi="Symbol" w:hint="default"/>
      </w:rPr>
    </w:lvl>
    <w:lvl w:ilvl="7" w:tplc="041A0003" w:tentative="1">
      <w:start w:val="1"/>
      <w:numFmt w:val="bullet"/>
      <w:lvlText w:val="o"/>
      <w:lvlJc w:val="left"/>
      <w:pPr>
        <w:ind w:left="5868" w:hanging="360"/>
      </w:pPr>
      <w:rPr>
        <w:rFonts w:ascii="Courier New" w:hAnsi="Courier New" w:cs="Courier New" w:hint="default"/>
      </w:rPr>
    </w:lvl>
    <w:lvl w:ilvl="8" w:tplc="041A0005" w:tentative="1">
      <w:start w:val="1"/>
      <w:numFmt w:val="bullet"/>
      <w:lvlText w:val=""/>
      <w:lvlJc w:val="left"/>
      <w:pPr>
        <w:ind w:left="6588" w:hanging="360"/>
      </w:pPr>
      <w:rPr>
        <w:rFonts w:ascii="Wingdings" w:hAnsi="Wingdings" w:hint="default"/>
      </w:rPr>
    </w:lvl>
  </w:abstractNum>
  <w:abstractNum w:abstractNumId="2" w15:restartNumberingAfterBreak="0">
    <w:nsid w:val="29C240A5"/>
    <w:multiLevelType w:val="hybridMultilevel"/>
    <w:tmpl w:val="45924D5C"/>
    <w:lvl w:ilvl="0" w:tplc="7B7E3846">
      <w:start w:val="2"/>
      <w:numFmt w:val="bullet"/>
      <w:lvlText w:val="-"/>
      <w:lvlJc w:val="left"/>
      <w:pPr>
        <w:ind w:left="2160" w:hanging="360"/>
      </w:pPr>
      <w:rPr>
        <w:rFonts w:ascii="Times New Roman" w:eastAsia="Times New Roman" w:hAnsi="Times New Roman" w:cs="Times New Roman" w:hint="default"/>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3" w15:restartNumberingAfterBreak="0">
    <w:nsid w:val="2F656BDE"/>
    <w:multiLevelType w:val="hybridMultilevel"/>
    <w:tmpl w:val="582CE8C4"/>
    <w:lvl w:ilvl="0" w:tplc="52F01468">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C4407AB"/>
    <w:multiLevelType w:val="hybridMultilevel"/>
    <w:tmpl w:val="9E3ABCB2"/>
    <w:lvl w:ilvl="0" w:tplc="758CEEB2">
      <w:numFmt w:val="bullet"/>
      <w:lvlText w:val="-"/>
      <w:lvlJc w:val="left"/>
      <w:pPr>
        <w:ind w:left="828" w:hanging="360"/>
      </w:pPr>
      <w:rPr>
        <w:rFonts w:ascii="Times New Roman" w:eastAsia="Times New Roman" w:hAnsi="Times New Roman" w:cs="Times New Roman" w:hint="default"/>
      </w:rPr>
    </w:lvl>
    <w:lvl w:ilvl="1" w:tplc="041A0003" w:tentative="1">
      <w:start w:val="1"/>
      <w:numFmt w:val="bullet"/>
      <w:lvlText w:val="o"/>
      <w:lvlJc w:val="left"/>
      <w:pPr>
        <w:ind w:left="1548" w:hanging="360"/>
      </w:pPr>
      <w:rPr>
        <w:rFonts w:ascii="Courier New" w:hAnsi="Courier New" w:cs="Courier New" w:hint="default"/>
      </w:rPr>
    </w:lvl>
    <w:lvl w:ilvl="2" w:tplc="041A0005" w:tentative="1">
      <w:start w:val="1"/>
      <w:numFmt w:val="bullet"/>
      <w:lvlText w:val=""/>
      <w:lvlJc w:val="left"/>
      <w:pPr>
        <w:ind w:left="2268" w:hanging="360"/>
      </w:pPr>
      <w:rPr>
        <w:rFonts w:ascii="Wingdings" w:hAnsi="Wingdings" w:hint="default"/>
      </w:rPr>
    </w:lvl>
    <w:lvl w:ilvl="3" w:tplc="041A0001" w:tentative="1">
      <w:start w:val="1"/>
      <w:numFmt w:val="bullet"/>
      <w:lvlText w:val=""/>
      <w:lvlJc w:val="left"/>
      <w:pPr>
        <w:ind w:left="2988" w:hanging="360"/>
      </w:pPr>
      <w:rPr>
        <w:rFonts w:ascii="Symbol" w:hAnsi="Symbol" w:hint="default"/>
      </w:rPr>
    </w:lvl>
    <w:lvl w:ilvl="4" w:tplc="041A0003" w:tentative="1">
      <w:start w:val="1"/>
      <w:numFmt w:val="bullet"/>
      <w:lvlText w:val="o"/>
      <w:lvlJc w:val="left"/>
      <w:pPr>
        <w:ind w:left="3708" w:hanging="360"/>
      </w:pPr>
      <w:rPr>
        <w:rFonts w:ascii="Courier New" w:hAnsi="Courier New" w:cs="Courier New" w:hint="default"/>
      </w:rPr>
    </w:lvl>
    <w:lvl w:ilvl="5" w:tplc="041A0005" w:tentative="1">
      <w:start w:val="1"/>
      <w:numFmt w:val="bullet"/>
      <w:lvlText w:val=""/>
      <w:lvlJc w:val="left"/>
      <w:pPr>
        <w:ind w:left="4428" w:hanging="360"/>
      </w:pPr>
      <w:rPr>
        <w:rFonts w:ascii="Wingdings" w:hAnsi="Wingdings" w:hint="default"/>
      </w:rPr>
    </w:lvl>
    <w:lvl w:ilvl="6" w:tplc="041A0001" w:tentative="1">
      <w:start w:val="1"/>
      <w:numFmt w:val="bullet"/>
      <w:lvlText w:val=""/>
      <w:lvlJc w:val="left"/>
      <w:pPr>
        <w:ind w:left="5148" w:hanging="360"/>
      </w:pPr>
      <w:rPr>
        <w:rFonts w:ascii="Symbol" w:hAnsi="Symbol" w:hint="default"/>
      </w:rPr>
    </w:lvl>
    <w:lvl w:ilvl="7" w:tplc="041A0003" w:tentative="1">
      <w:start w:val="1"/>
      <w:numFmt w:val="bullet"/>
      <w:lvlText w:val="o"/>
      <w:lvlJc w:val="left"/>
      <w:pPr>
        <w:ind w:left="5868" w:hanging="360"/>
      </w:pPr>
      <w:rPr>
        <w:rFonts w:ascii="Courier New" w:hAnsi="Courier New" w:cs="Courier New" w:hint="default"/>
      </w:rPr>
    </w:lvl>
    <w:lvl w:ilvl="8" w:tplc="041A0005" w:tentative="1">
      <w:start w:val="1"/>
      <w:numFmt w:val="bullet"/>
      <w:lvlText w:val=""/>
      <w:lvlJc w:val="left"/>
      <w:pPr>
        <w:ind w:left="6588" w:hanging="360"/>
      </w:pPr>
      <w:rPr>
        <w:rFonts w:ascii="Wingdings" w:hAnsi="Wingdings" w:hint="default"/>
      </w:rPr>
    </w:lvl>
  </w:abstractNum>
  <w:abstractNum w:abstractNumId="5" w15:restartNumberingAfterBreak="0">
    <w:nsid w:val="77C634A6"/>
    <w:multiLevelType w:val="hybridMultilevel"/>
    <w:tmpl w:val="05FA8540"/>
    <w:lvl w:ilvl="0" w:tplc="30ACAD6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7A4"/>
    <w:rsid w:val="00002244"/>
    <w:rsid w:val="00005727"/>
    <w:rsid w:val="000207D6"/>
    <w:rsid w:val="00025B2E"/>
    <w:rsid w:val="00032CEC"/>
    <w:rsid w:val="00034D79"/>
    <w:rsid w:val="000350D9"/>
    <w:rsid w:val="00040BF5"/>
    <w:rsid w:val="00057310"/>
    <w:rsid w:val="0006025B"/>
    <w:rsid w:val="00060593"/>
    <w:rsid w:val="00063520"/>
    <w:rsid w:val="00067E8B"/>
    <w:rsid w:val="0008256D"/>
    <w:rsid w:val="000831AF"/>
    <w:rsid w:val="00086A6C"/>
    <w:rsid w:val="00087957"/>
    <w:rsid w:val="00093185"/>
    <w:rsid w:val="00094DC5"/>
    <w:rsid w:val="000958E1"/>
    <w:rsid w:val="000A0755"/>
    <w:rsid w:val="000A1D60"/>
    <w:rsid w:val="000A3A3B"/>
    <w:rsid w:val="000B3957"/>
    <w:rsid w:val="000B501A"/>
    <w:rsid w:val="000D1A50"/>
    <w:rsid w:val="000F44E3"/>
    <w:rsid w:val="00100473"/>
    <w:rsid w:val="001015C6"/>
    <w:rsid w:val="0010324D"/>
    <w:rsid w:val="001062B4"/>
    <w:rsid w:val="0011058F"/>
    <w:rsid w:val="0011076D"/>
    <w:rsid w:val="00110E6C"/>
    <w:rsid w:val="001126AB"/>
    <w:rsid w:val="001127C1"/>
    <w:rsid w:val="0011560A"/>
    <w:rsid w:val="00125402"/>
    <w:rsid w:val="00135F1A"/>
    <w:rsid w:val="00136A23"/>
    <w:rsid w:val="00140AA0"/>
    <w:rsid w:val="00142526"/>
    <w:rsid w:val="00146B79"/>
    <w:rsid w:val="00147DE9"/>
    <w:rsid w:val="00153260"/>
    <w:rsid w:val="00161649"/>
    <w:rsid w:val="00170226"/>
    <w:rsid w:val="00171E5E"/>
    <w:rsid w:val="001741AA"/>
    <w:rsid w:val="001803EE"/>
    <w:rsid w:val="00182E57"/>
    <w:rsid w:val="00183C0B"/>
    <w:rsid w:val="001917B2"/>
    <w:rsid w:val="001A13E7"/>
    <w:rsid w:val="001A4717"/>
    <w:rsid w:val="001A4C40"/>
    <w:rsid w:val="001A73FB"/>
    <w:rsid w:val="001B3BF3"/>
    <w:rsid w:val="001B720C"/>
    <w:rsid w:val="001B7A97"/>
    <w:rsid w:val="001D59AE"/>
    <w:rsid w:val="001E7218"/>
    <w:rsid w:val="001F2FCA"/>
    <w:rsid w:val="001F3C75"/>
    <w:rsid w:val="001F5507"/>
    <w:rsid w:val="0020510B"/>
    <w:rsid w:val="002179F8"/>
    <w:rsid w:val="00220956"/>
    <w:rsid w:val="00226F46"/>
    <w:rsid w:val="00236E75"/>
    <w:rsid w:val="0023763F"/>
    <w:rsid w:val="00241CCD"/>
    <w:rsid w:val="00246033"/>
    <w:rsid w:val="00251E55"/>
    <w:rsid w:val="00253497"/>
    <w:rsid w:val="002542AB"/>
    <w:rsid w:val="002568F9"/>
    <w:rsid w:val="002611F5"/>
    <w:rsid w:val="00267694"/>
    <w:rsid w:val="00277DB0"/>
    <w:rsid w:val="0028608D"/>
    <w:rsid w:val="00290067"/>
    <w:rsid w:val="0029163B"/>
    <w:rsid w:val="002A1D77"/>
    <w:rsid w:val="002B0237"/>
    <w:rsid w:val="002B0CC5"/>
    <w:rsid w:val="002B107A"/>
    <w:rsid w:val="002B1982"/>
    <w:rsid w:val="002D0805"/>
    <w:rsid w:val="002D1256"/>
    <w:rsid w:val="002D1814"/>
    <w:rsid w:val="002D6C51"/>
    <w:rsid w:val="002D7C91"/>
    <w:rsid w:val="002E7DD8"/>
    <w:rsid w:val="003033E4"/>
    <w:rsid w:val="00304232"/>
    <w:rsid w:val="00306155"/>
    <w:rsid w:val="003075B6"/>
    <w:rsid w:val="003214EF"/>
    <w:rsid w:val="00323C77"/>
    <w:rsid w:val="00323D5B"/>
    <w:rsid w:val="00327835"/>
    <w:rsid w:val="00334B52"/>
    <w:rsid w:val="00336EE7"/>
    <w:rsid w:val="0033757B"/>
    <w:rsid w:val="003425EC"/>
    <w:rsid w:val="00343425"/>
    <w:rsid w:val="0034351C"/>
    <w:rsid w:val="00345C14"/>
    <w:rsid w:val="00350B26"/>
    <w:rsid w:val="00354281"/>
    <w:rsid w:val="00356F18"/>
    <w:rsid w:val="00356F7A"/>
    <w:rsid w:val="0037151A"/>
    <w:rsid w:val="00371CD8"/>
    <w:rsid w:val="00373E70"/>
    <w:rsid w:val="00381F04"/>
    <w:rsid w:val="0038426B"/>
    <w:rsid w:val="00385463"/>
    <w:rsid w:val="003867C4"/>
    <w:rsid w:val="003920C6"/>
    <w:rsid w:val="003929F5"/>
    <w:rsid w:val="00392F28"/>
    <w:rsid w:val="00394195"/>
    <w:rsid w:val="0039427F"/>
    <w:rsid w:val="00397795"/>
    <w:rsid w:val="003A2F05"/>
    <w:rsid w:val="003B0413"/>
    <w:rsid w:val="003B3F51"/>
    <w:rsid w:val="003C09D8"/>
    <w:rsid w:val="003C5099"/>
    <w:rsid w:val="003C57F4"/>
    <w:rsid w:val="003D47D1"/>
    <w:rsid w:val="003D4938"/>
    <w:rsid w:val="003D5AAC"/>
    <w:rsid w:val="003E35C5"/>
    <w:rsid w:val="003E6B89"/>
    <w:rsid w:val="003F0636"/>
    <w:rsid w:val="003F5623"/>
    <w:rsid w:val="004003A6"/>
    <w:rsid w:val="004039BD"/>
    <w:rsid w:val="00403C7B"/>
    <w:rsid w:val="00404FDC"/>
    <w:rsid w:val="00407842"/>
    <w:rsid w:val="004179F2"/>
    <w:rsid w:val="00420A73"/>
    <w:rsid w:val="00421BB5"/>
    <w:rsid w:val="0042399D"/>
    <w:rsid w:val="00424745"/>
    <w:rsid w:val="004258BE"/>
    <w:rsid w:val="00434207"/>
    <w:rsid w:val="00440D6D"/>
    <w:rsid w:val="00442367"/>
    <w:rsid w:val="00461188"/>
    <w:rsid w:val="00463394"/>
    <w:rsid w:val="00465C01"/>
    <w:rsid w:val="004676C0"/>
    <w:rsid w:val="00485FF1"/>
    <w:rsid w:val="004A00E1"/>
    <w:rsid w:val="004A1411"/>
    <w:rsid w:val="004A776B"/>
    <w:rsid w:val="004B21FB"/>
    <w:rsid w:val="004B7061"/>
    <w:rsid w:val="004C1375"/>
    <w:rsid w:val="004C31D1"/>
    <w:rsid w:val="004C5354"/>
    <w:rsid w:val="004C6FB9"/>
    <w:rsid w:val="004C76F8"/>
    <w:rsid w:val="004E1300"/>
    <w:rsid w:val="004E4E34"/>
    <w:rsid w:val="004E757F"/>
    <w:rsid w:val="004F0F1D"/>
    <w:rsid w:val="004F4467"/>
    <w:rsid w:val="00504248"/>
    <w:rsid w:val="005059E1"/>
    <w:rsid w:val="005136B0"/>
    <w:rsid w:val="005146D6"/>
    <w:rsid w:val="00515CE4"/>
    <w:rsid w:val="005162EE"/>
    <w:rsid w:val="005327BC"/>
    <w:rsid w:val="00535E09"/>
    <w:rsid w:val="005402B5"/>
    <w:rsid w:val="00540C89"/>
    <w:rsid w:val="005555B4"/>
    <w:rsid w:val="00562C8C"/>
    <w:rsid w:val="0056365A"/>
    <w:rsid w:val="00565F5F"/>
    <w:rsid w:val="00571F6C"/>
    <w:rsid w:val="0057499A"/>
    <w:rsid w:val="00585BE6"/>
    <w:rsid w:val="005861F2"/>
    <w:rsid w:val="00587B25"/>
    <w:rsid w:val="005906BB"/>
    <w:rsid w:val="00595875"/>
    <w:rsid w:val="005A0079"/>
    <w:rsid w:val="005A4900"/>
    <w:rsid w:val="005A5D1C"/>
    <w:rsid w:val="005A7330"/>
    <w:rsid w:val="005C3A4C"/>
    <w:rsid w:val="005C564A"/>
    <w:rsid w:val="005D289B"/>
    <w:rsid w:val="005E7CAB"/>
    <w:rsid w:val="005F4727"/>
    <w:rsid w:val="005F7275"/>
    <w:rsid w:val="00604985"/>
    <w:rsid w:val="00607558"/>
    <w:rsid w:val="00621DD7"/>
    <w:rsid w:val="00630DBA"/>
    <w:rsid w:val="00633454"/>
    <w:rsid w:val="006502B6"/>
    <w:rsid w:val="00652604"/>
    <w:rsid w:val="0066110E"/>
    <w:rsid w:val="00675B44"/>
    <w:rsid w:val="00675B67"/>
    <w:rsid w:val="0068013E"/>
    <w:rsid w:val="00681582"/>
    <w:rsid w:val="0068772B"/>
    <w:rsid w:val="00693A4D"/>
    <w:rsid w:val="00694D87"/>
    <w:rsid w:val="0069504C"/>
    <w:rsid w:val="006963AF"/>
    <w:rsid w:val="006A5EA2"/>
    <w:rsid w:val="006B7800"/>
    <w:rsid w:val="006C0CC3"/>
    <w:rsid w:val="006C29C3"/>
    <w:rsid w:val="006D28A4"/>
    <w:rsid w:val="006E14A9"/>
    <w:rsid w:val="006E3715"/>
    <w:rsid w:val="006E611E"/>
    <w:rsid w:val="006E6780"/>
    <w:rsid w:val="006F1EF8"/>
    <w:rsid w:val="006F4D1E"/>
    <w:rsid w:val="006F72A5"/>
    <w:rsid w:val="007006AB"/>
    <w:rsid w:val="007010C7"/>
    <w:rsid w:val="007012D7"/>
    <w:rsid w:val="0070597A"/>
    <w:rsid w:val="00716546"/>
    <w:rsid w:val="0072085C"/>
    <w:rsid w:val="00726165"/>
    <w:rsid w:val="00731AC4"/>
    <w:rsid w:val="007341D2"/>
    <w:rsid w:val="00734B28"/>
    <w:rsid w:val="00736C37"/>
    <w:rsid w:val="007427C3"/>
    <w:rsid w:val="00743158"/>
    <w:rsid w:val="00744876"/>
    <w:rsid w:val="00747EEC"/>
    <w:rsid w:val="007565FC"/>
    <w:rsid w:val="007574DD"/>
    <w:rsid w:val="007638D8"/>
    <w:rsid w:val="00770E3D"/>
    <w:rsid w:val="00777CAA"/>
    <w:rsid w:val="0078648A"/>
    <w:rsid w:val="00795D94"/>
    <w:rsid w:val="00797DCF"/>
    <w:rsid w:val="007A128B"/>
    <w:rsid w:val="007A1768"/>
    <w:rsid w:val="007A1881"/>
    <w:rsid w:val="007B4E0A"/>
    <w:rsid w:val="007C098D"/>
    <w:rsid w:val="007D1681"/>
    <w:rsid w:val="007D439A"/>
    <w:rsid w:val="007E1E66"/>
    <w:rsid w:val="007E3965"/>
    <w:rsid w:val="007E4872"/>
    <w:rsid w:val="007E4DF2"/>
    <w:rsid w:val="007F0127"/>
    <w:rsid w:val="007F3456"/>
    <w:rsid w:val="00800450"/>
    <w:rsid w:val="00805F5D"/>
    <w:rsid w:val="008137B5"/>
    <w:rsid w:val="0082021E"/>
    <w:rsid w:val="008234D9"/>
    <w:rsid w:val="008265C3"/>
    <w:rsid w:val="00833808"/>
    <w:rsid w:val="008353A1"/>
    <w:rsid w:val="008365FD"/>
    <w:rsid w:val="008447C8"/>
    <w:rsid w:val="00860E0D"/>
    <w:rsid w:val="00863309"/>
    <w:rsid w:val="00867F0A"/>
    <w:rsid w:val="00881BBB"/>
    <w:rsid w:val="00891476"/>
    <w:rsid w:val="0089283D"/>
    <w:rsid w:val="00892865"/>
    <w:rsid w:val="00893180"/>
    <w:rsid w:val="008A18AA"/>
    <w:rsid w:val="008A2C7A"/>
    <w:rsid w:val="008A3024"/>
    <w:rsid w:val="008B120D"/>
    <w:rsid w:val="008B5302"/>
    <w:rsid w:val="008B5B51"/>
    <w:rsid w:val="008C0768"/>
    <w:rsid w:val="008C1D0A"/>
    <w:rsid w:val="008C3A00"/>
    <w:rsid w:val="008C59C5"/>
    <w:rsid w:val="008D1418"/>
    <w:rsid w:val="008D1E25"/>
    <w:rsid w:val="008D46E7"/>
    <w:rsid w:val="008E3CFD"/>
    <w:rsid w:val="008E521F"/>
    <w:rsid w:val="008E6EAF"/>
    <w:rsid w:val="008E7C75"/>
    <w:rsid w:val="008F0AB7"/>
    <w:rsid w:val="008F0BD1"/>
    <w:rsid w:val="008F0DD4"/>
    <w:rsid w:val="0090200F"/>
    <w:rsid w:val="009047E4"/>
    <w:rsid w:val="009126B3"/>
    <w:rsid w:val="009135B1"/>
    <w:rsid w:val="009152C4"/>
    <w:rsid w:val="0091715A"/>
    <w:rsid w:val="00930459"/>
    <w:rsid w:val="009452FF"/>
    <w:rsid w:val="0095079B"/>
    <w:rsid w:val="00953BA1"/>
    <w:rsid w:val="00954D08"/>
    <w:rsid w:val="00964DE4"/>
    <w:rsid w:val="00970A3B"/>
    <w:rsid w:val="0097635B"/>
    <w:rsid w:val="009930CA"/>
    <w:rsid w:val="00997211"/>
    <w:rsid w:val="009A0AF2"/>
    <w:rsid w:val="009A48F6"/>
    <w:rsid w:val="009A5EFD"/>
    <w:rsid w:val="009B57EC"/>
    <w:rsid w:val="009B7D57"/>
    <w:rsid w:val="009C0918"/>
    <w:rsid w:val="009C33E1"/>
    <w:rsid w:val="009C4DB2"/>
    <w:rsid w:val="009C4E28"/>
    <w:rsid w:val="009C7815"/>
    <w:rsid w:val="009C7E55"/>
    <w:rsid w:val="009E2F90"/>
    <w:rsid w:val="00A05321"/>
    <w:rsid w:val="00A1401F"/>
    <w:rsid w:val="00A15CB4"/>
    <w:rsid w:val="00A15F08"/>
    <w:rsid w:val="00A175E9"/>
    <w:rsid w:val="00A21819"/>
    <w:rsid w:val="00A22391"/>
    <w:rsid w:val="00A321DC"/>
    <w:rsid w:val="00A367E2"/>
    <w:rsid w:val="00A45598"/>
    <w:rsid w:val="00A457E2"/>
    <w:rsid w:val="00A45CF4"/>
    <w:rsid w:val="00A52A71"/>
    <w:rsid w:val="00A573DC"/>
    <w:rsid w:val="00A6339A"/>
    <w:rsid w:val="00A65D06"/>
    <w:rsid w:val="00A65FFB"/>
    <w:rsid w:val="00A67D09"/>
    <w:rsid w:val="00A725A4"/>
    <w:rsid w:val="00A773DE"/>
    <w:rsid w:val="00A83290"/>
    <w:rsid w:val="00AB0CF2"/>
    <w:rsid w:val="00AC05CC"/>
    <w:rsid w:val="00AC31E0"/>
    <w:rsid w:val="00AC746E"/>
    <w:rsid w:val="00AD0709"/>
    <w:rsid w:val="00AD27C1"/>
    <w:rsid w:val="00AD2D10"/>
    <w:rsid w:val="00AD2F06"/>
    <w:rsid w:val="00AD4D7C"/>
    <w:rsid w:val="00AD5899"/>
    <w:rsid w:val="00AD640D"/>
    <w:rsid w:val="00AE1DB3"/>
    <w:rsid w:val="00AE59DF"/>
    <w:rsid w:val="00AF0F61"/>
    <w:rsid w:val="00B03209"/>
    <w:rsid w:val="00B129C7"/>
    <w:rsid w:val="00B247DE"/>
    <w:rsid w:val="00B32578"/>
    <w:rsid w:val="00B35293"/>
    <w:rsid w:val="00B410C0"/>
    <w:rsid w:val="00B417B1"/>
    <w:rsid w:val="00B42E00"/>
    <w:rsid w:val="00B462AB"/>
    <w:rsid w:val="00B50234"/>
    <w:rsid w:val="00B56A4C"/>
    <w:rsid w:val="00B57187"/>
    <w:rsid w:val="00B66ADE"/>
    <w:rsid w:val="00B706F8"/>
    <w:rsid w:val="00B75CAA"/>
    <w:rsid w:val="00B7788A"/>
    <w:rsid w:val="00B77EAF"/>
    <w:rsid w:val="00B8226D"/>
    <w:rsid w:val="00B86612"/>
    <w:rsid w:val="00B908C2"/>
    <w:rsid w:val="00B95508"/>
    <w:rsid w:val="00BA28CD"/>
    <w:rsid w:val="00BA72BF"/>
    <w:rsid w:val="00BB3865"/>
    <w:rsid w:val="00BC4626"/>
    <w:rsid w:val="00BD7EC9"/>
    <w:rsid w:val="00BE02F6"/>
    <w:rsid w:val="00BE484B"/>
    <w:rsid w:val="00BE69CD"/>
    <w:rsid w:val="00BE7AF3"/>
    <w:rsid w:val="00BF3DC5"/>
    <w:rsid w:val="00BF7F2E"/>
    <w:rsid w:val="00C034AA"/>
    <w:rsid w:val="00C04A48"/>
    <w:rsid w:val="00C04B55"/>
    <w:rsid w:val="00C07FCA"/>
    <w:rsid w:val="00C12785"/>
    <w:rsid w:val="00C24D2E"/>
    <w:rsid w:val="00C30B31"/>
    <w:rsid w:val="00C337A4"/>
    <w:rsid w:val="00C36E90"/>
    <w:rsid w:val="00C4000C"/>
    <w:rsid w:val="00C44311"/>
    <w:rsid w:val="00C44327"/>
    <w:rsid w:val="00C47E80"/>
    <w:rsid w:val="00C5421B"/>
    <w:rsid w:val="00C7013B"/>
    <w:rsid w:val="00C72B9F"/>
    <w:rsid w:val="00C833B6"/>
    <w:rsid w:val="00C839E5"/>
    <w:rsid w:val="00C93F83"/>
    <w:rsid w:val="00C969CC"/>
    <w:rsid w:val="00CA0B91"/>
    <w:rsid w:val="00CA4F84"/>
    <w:rsid w:val="00CB3963"/>
    <w:rsid w:val="00CC345B"/>
    <w:rsid w:val="00CC4044"/>
    <w:rsid w:val="00CC6BEA"/>
    <w:rsid w:val="00CD1639"/>
    <w:rsid w:val="00CD24A2"/>
    <w:rsid w:val="00CD3EFA"/>
    <w:rsid w:val="00CD511B"/>
    <w:rsid w:val="00CE223F"/>
    <w:rsid w:val="00CE3476"/>
    <w:rsid w:val="00CE3D00"/>
    <w:rsid w:val="00CE78D1"/>
    <w:rsid w:val="00CF0CF5"/>
    <w:rsid w:val="00CF3B41"/>
    <w:rsid w:val="00CF4787"/>
    <w:rsid w:val="00CF67A1"/>
    <w:rsid w:val="00CF7BB4"/>
    <w:rsid w:val="00CF7EEC"/>
    <w:rsid w:val="00D000A5"/>
    <w:rsid w:val="00D0178F"/>
    <w:rsid w:val="00D04E39"/>
    <w:rsid w:val="00D07290"/>
    <w:rsid w:val="00D1127C"/>
    <w:rsid w:val="00D14240"/>
    <w:rsid w:val="00D1614C"/>
    <w:rsid w:val="00D24232"/>
    <w:rsid w:val="00D46F21"/>
    <w:rsid w:val="00D5452A"/>
    <w:rsid w:val="00D62C4D"/>
    <w:rsid w:val="00D62C79"/>
    <w:rsid w:val="00D708ED"/>
    <w:rsid w:val="00D75D62"/>
    <w:rsid w:val="00D8016C"/>
    <w:rsid w:val="00D848C6"/>
    <w:rsid w:val="00D92A3D"/>
    <w:rsid w:val="00DA06E3"/>
    <w:rsid w:val="00DB0A6B"/>
    <w:rsid w:val="00DB28EB"/>
    <w:rsid w:val="00DB6366"/>
    <w:rsid w:val="00DC44B4"/>
    <w:rsid w:val="00DE27B3"/>
    <w:rsid w:val="00DF4110"/>
    <w:rsid w:val="00E0019B"/>
    <w:rsid w:val="00E0040D"/>
    <w:rsid w:val="00E120A9"/>
    <w:rsid w:val="00E12683"/>
    <w:rsid w:val="00E12EC5"/>
    <w:rsid w:val="00E229A8"/>
    <w:rsid w:val="00E232A2"/>
    <w:rsid w:val="00E25569"/>
    <w:rsid w:val="00E37876"/>
    <w:rsid w:val="00E425DA"/>
    <w:rsid w:val="00E601A2"/>
    <w:rsid w:val="00E73626"/>
    <w:rsid w:val="00E73981"/>
    <w:rsid w:val="00E77198"/>
    <w:rsid w:val="00E83E23"/>
    <w:rsid w:val="00E844C7"/>
    <w:rsid w:val="00E87D56"/>
    <w:rsid w:val="00E930D0"/>
    <w:rsid w:val="00E93D55"/>
    <w:rsid w:val="00E97F1B"/>
    <w:rsid w:val="00EA3AD1"/>
    <w:rsid w:val="00EB1248"/>
    <w:rsid w:val="00EB4482"/>
    <w:rsid w:val="00EC08EF"/>
    <w:rsid w:val="00EC0D7B"/>
    <w:rsid w:val="00EC33AA"/>
    <w:rsid w:val="00EC4163"/>
    <w:rsid w:val="00ED0BA8"/>
    <w:rsid w:val="00ED236E"/>
    <w:rsid w:val="00EE03CA"/>
    <w:rsid w:val="00EE1D5F"/>
    <w:rsid w:val="00EE7199"/>
    <w:rsid w:val="00F02A30"/>
    <w:rsid w:val="00F3220D"/>
    <w:rsid w:val="00F56608"/>
    <w:rsid w:val="00F6284A"/>
    <w:rsid w:val="00F764AD"/>
    <w:rsid w:val="00F84C92"/>
    <w:rsid w:val="00F91536"/>
    <w:rsid w:val="00F95A2D"/>
    <w:rsid w:val="00F97796"/>
    <w:rsid w:val="00F978E2"/>
    <w:rsid w:val="00F97BA9"/>
    <w:rsid w:val="00F97DD1"/>
    <w:rsid w:val="00FA0999"/>
    <w:rsid w:val="00FA4E25"/>
    <w:rsid w:val="00FB0311"/>
    <w:rsid w:val="00FB54FB"/>
    <w:rsid w:val="00FC3207"/>
    <w:rsid w:val="00FE0177"/>
    <w:rsid w:val="00FE2B63"/>
    <w:rsid w:val="00FE7B80"/>
    <w:rsid w:val="00FF27D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C16BD5"/>
  <w15:docId w15:val="{F7F3743B-01E0-44CF-9823-D2BD09803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1560A"/>
    <w:pPr>
      <w:tabs>
        <w:tab w:val="center" w:pos="4536"/>
        <w:tab w:val="right" w:pos="9072"/>
      </w:tabs>
    </w:pPr>
  </w:style>
  <w:style w:type="character" w:customStyle="1" w:styleId="HeaderChar">
    <w:name w:val="Header Char"/>
    <w:link w:val="Header"/>
    <w:uiPriority w:val="99"/>
    <w:rsid w:val="0011560A"/>
    <w:rPr>
      <w:sz w:val="24"/>
      <w:szCs w:val="24"/>
    </w:rPr>
  </w:style>
  <w:style w:type="paragraph" w:styleId="Footer">
    <w:name w:val="footer"/>
    <w:basedOn w:val="Normal"/>
    <w:link w:val="FooterChar"/>
    <w:uiPriority w:val="99"/>
    <w:rsid w:val="0011560A"/>
    <w:pPr>
      <w:tabs>
        <w:tab w:val="center" w:pos="4536"/>
        <w:tab w:val="right" w:pos="9072"/>
      </w:tabs>
    </w:pPr>
  </w:style>
  <w:style w:type="character" w:customStyle="1" w:styleId="FooterChar">
    <w:name w:val="Footer Char"/>
    <w:link w:val="Footer"/>
    <w:uiPriority w:val="99"/>
    <w:rsid w:val="0011560A"/>
    <w:rPr>
      <w:sz w:val="24"/>
      <w:szCs w:val="24"/>
    </w:rPr>
  </w:style>
  <w:style w:type="paragraph" w:styleId="BalloonText">
    <w:name w:val="Balloon Text"/>
    <w:basedOn w:val="Normal"/>
    <w:link w:val="BalloonTextChar"/>
    <w:rsid w:val="000350D9"/>
    <w:rPr>
      <w:rFonts w:ascii="Tahoma" w:hAnsi="Tahoma" w:cs="Tahoma"/>
      <w:sz w:val="16"/>
      <w:szCs w:val="16"/>
    </w:rPr>
  </w:style>
  <w:style w:type="character" w:customStyle="1" w:styleId="BalloonTextChar">
    <w:name w:val="Balloon Text Char"/>
    <w:basedOn w:val="DefaultParagraphFont"/>
    <w:link w:val="BalloonText"/>
    <w:rsid w:val="000350D9"/>
    <w:rPr>
      <w:rFonts w:ascii="Tahoma" w:hAnsi="Tahoma" w:cs="Tahoma"/>
      <w:sz w:val="16"/>
      <w:szCs w:val="16"/>
    </w:rPr>
  </w:style>
  <w:style w:type="table" w:styleId="TableGrid">
    <w:name w:val="Table Grid"/>
    <w:basedOn w:val="TableNormal"/>
    <w:uiPriority w:val="39"/>
    <w:rsid w:val="00035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semiHidden/>
    <w:unhideWhenUsed/>
    <w:rsid w:val="004B7061"/>
  </w:style>
  <w:style w:type="paragraph" w:styleId="ListParagraph">
    <w:name w:val="List Paragraph"/>
    <w:basedOn w:val="Normal"/>
    <w:uiPriority w:val="34"/>
    <w:qFormat/>
    <w:rsid w:val="00DA06E3"/>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385463"/>
    <w:pPr>
      <w:autoSpaceDE w:val="0"/>
      <w:autoSpaceDN w:val="0"/>
      <w:adjustRightInd w:val="0"/>
    </w:pPr>
    <w:rPr>
      <w:rFonts w:eastAsiaTheme="minorHAnsi"/>
      <w:color w:val="000000"/>
      <w:sz w:val="24"/>
      <w:szCs w:val="24"/>
      <w:lang w:eastAsia="en-US"/>
    </w:rPr>
  </w:style>
  <w:style w:type="paragraph" w:styleId="Title">
    <w:name w:val="Title"/>
    <w:basedOn w:val="Normal"/>
    <w:link w:val="TitleChar"/>
    <w:qFormat/>
    <w:rsid w:val="00385463"/>
    <w:pPr>
      <w:jc w:val="center"/>
    </w:pPr>
    <w:rPr>
      <w:b/>
      <w:bCs/>
    </w:rPr>
  </w:style>
  <w:style w:type="character" w:customStyle="1" w:styleId="TitleChar">
    <w:name w:val="Title Char"/>
    <w:basedOn w:val="DefaultParagraphFont"/>
    <w:link w:val="Title"/>
    <w:rsid w:val="00385463"/>
    <w:rPr>
      <w:b/>
      <w:bCs/>
      <w:sz w:val="24"/>
      <w:szCs w:val="24"/>
    </w:rPr>
  </w:style>
  <w:style w:type="paragraph" w:styleId="NormalWeb">
    <w:name w:val="Normal (Web)"/>
    <w:basedOn w:val="Normal"/>
    <w:unhideWhenUsed/>
    <w:rsid w:val="00385463"/>
    <w:pPr>
      <w:spacing w:before="100" w:beforeAutospacing="1" w:after="100" w:afterAutospacing="1"/>
    </w:pPr>
  </w:style>
  <w:style w:type="character" w:styleId="Strong">
    <w:name w:val="Strong"/>
    <w:basedOn w:val="DefaultParagraphFont"/>
    <w:uiPriority w:val="22"/>
    <w:qFormat/>
    <w:rsid w:val="00385463"/>
    <w:rPr>
      <w:b/>
      <w:bCs/>
    </w:rPr>
  </w:style>
  <w:style w:type="paragraph" w:customStyle="1" w:styleId="box456557">
    <w:name w:val="box_456557"/>
    <w:basedOn w:val="Normal"/>
    <w:rsid w:val="00385463"/>
    <w:pPr>
      <w:spacing w:before="100" w:beforeAutospacing="1" w:after="225"/>
    </w:pPr>
    <w:rPr>
      <w:rFonts w:eastAsiaTheme="minorHAnsi"/>
    </w:rPr>
  </w:style>
  <w:style w:type="paragraph" w:customStyle="1" w:styleId="clanak">
    <w:name w:val="clanak"/>
    <w:basedOn w:val="Normal"/>
    <w:rsid w:val="00277DB0"/>
    <w:pPr>
      <w:spacing w:before="100" w:beforeAutospacing="1" w:after="100" w:afterAutospacing="1"/>
      <w:jc w:val="center"/>
    </w:pPr>
  </w:style>
  <w:style w:type="character" w:styleId="Emphasis">
    <w:name w:val="Emphasis"/>
    <w:basedOn w:val="DefaultParagraphFont"/>
    <w:qFormat/>
    <w:rsid w:val="00C839E5"/>
    <w:rPr>
      <w:i/>
      <w:iCs/>
    </w:rPr>
  </w:style>
  <w:style w:type="character" w:styleId="CommentReference">
    <w:name w:val="annotation reference"/>
    <w:basedOn w:val="DefaultParagraphFont"/>
    <w:semiHidden/>
    <w:unhideWhenUsed/>
    <w:rsid w:val="004F4467"/>
    <w:rPr>
      <w:sz w:val="16"/>
      <w:szCs w:val="16"/>
    </w:rPr>
  </w:style>
  <w:style w:type="paragraph" w:styleId="CommentText">
    <w:name w:val="annotation text"/>
    <w:basedOn w:val="Normal"/>
    <w:link w:val="CommentTextChar"/>
    <w:semiHidden/>
    <w:unhideWhenUsed/>
    <w:rsid w:val="004F4467"/>
    <w:rPr>
      <w:sz w:val="20"/>
      <w:szCs w:val="20"/>
    </w:rPr>
  </w:style>
  <w:style w:type="character" w:customStyle="1" w:styleId="CommentTextChar">
    <w:name w:val="Comment Text Char"/>
    <w:basedOn w:val="DefaultParagraphFont"/>
    <w:link w:val="CommentText"/>
    <w:semiHidden/>
    <w:rsid w:val="004F4467"/>
  </w:style>
  <w:style w:type="paragraph" w:styleId="CommentSubject">
    <w:name w:val="annotation subject"/>
    <w:basedOn w:val="CommentText"/>
    <w:next w:val="CommentText"/>
    <w:link w:val="CommentSubjectChar"/>
    <w:semiHidden/>
    <w:unhideWhenUsed/>
    <w:rsid w:val="004F4467"/>
    <w:rPr>
      <w:b/>
      <w:bCs/>
    </w:rPr>
  </w:style>
  <w:style w:type="character" w:customStyle="1" w:styleId="CommentSubjectChar">
    <w:name w:val="Comment Subject Char"/>
    <w:basedOn w:val="CommentTextChar"/>
    <w:link w:val="CommentSubject"/>
    <w:semiHidden/>
    <w:rsid w:val="004F4467"/>
    <w:rPr>
      <w:b/>
      <w:bCs/>
    </w:rPr>
  </w:style>
  <w:style w:type="paragraph" w:customStyle="1" w:styleId="Textbody">
    <w:name w:val="Text body"/>
    <w:basedOn w:val="Normal"/>
    <w:rsid w:val="003C57F4"/>
    <w:pPr>
      <w:suppressAutoHyphens/>
      <w:autoSpaceDN w:val="0"/>
      <w:spacing w:after="140" w:line="276" w:lineRule="auto"/>
      <w:textAlignment w:val="baseline"/>
    </w:pPr>
    <w:rPr>
      <w:rFonts w:eastAsia="Calibri"/>
      <w:szCs w:val="22"/>
    </w:rPr>
  </w:style>
  <w:style w:type="paragraph" w:customStyle="1" w:styleId="box458920">
    <w:name w:val="box_458920"/>
    <w:basedOn w:val="Normal"/>
    <w:rsid w:val="003C57F4"/>
    <w:pPr>
      <w:spacing w:before="100" w:beforeAutospacing="1" w:after="100" w:afterAutospacing="1"/>
    </w:pPr>
  </w:style>
  <w:style w:type="paragraph" w:customStyle="1" w:styleId="xmsonormal">
    <w:name w:val="x_msonormal"/>
    <w:basedOn w:val="Normal"/>
    <w:rsid w:val="00C36E90"/>
    <w:rPr>
      <w:rFonts w:eastAsiaTheme="minorHAnsi"/>
    </w:rPr>
  </w:style>
  <w:style w:type="paragraph" w:customStyle="1" w:styleId="t-11-9-sred">
    <w:name w:val="t-11-9-sred"/>
    <w:basedOn w:val="Normal"/>
    <w:rsid w:val="00F91536"/>
    <w:pPr>
      <w:spacing w:before="100" w:beforeAutospacing="1" w:after="100" w:afterAutospacing="1"/>
      <w:jc w:val="center"/>
    </w:pPr>
    <w:rPr>
      <w:rFonts w:eastAsiaTheme="minorHAnsi"/>
      <w:sz w:val="28"/>
      <w:szCs w:val="28"/>
    </w:rPr>
  </w:style>
  <w:style w:type="paragraph" w:customStyle="1" w:styleId="t-9-8">
    <w:name w:val="t-9-8"/>
    <w:basedOn w:val="Normal"/>
    <w:rsid w:val="00F91536"/>
    <w:pPr>
      <w:spacing w:before="100" w:beforeAutospacing="1" w:after="100" w:afterAutospacing="1"/>
    </w:pPr>
    <w:rPr>
      <w:rFonts w:eastAsiaTheme="minorHAnsi"/>
    </w:rPr>
  </w:style>
  <w:style w:type="paragraph" w:customStyle="1" w:styleId="box456410">
    <w:name w:val="box_456410"/>
    <w:basedOn w:val="Normal"/>
    <w:rsid w:val="0033757B"/>
    <w:pPr>
      <w:spacing w:before="100" w:beforeAutospacing="1" w:after="100" w:afterAutospacing="1"/>
    </w:pPr>
  </w:style>
  <w:style w:type="paragraph" w:styleId="NoSpacing">
    <w:name w:val="No Spacing"/>
    <w:uiPriority w:val="1"/>
    <w:qFormat/>
    <w:rsid w:val="00BE02F6"/>
    <w:rPr>
      <w:rFonts w:asciiTheme="minorHAnsi" w:eastAsiaTheme="minorEastAsia" w:hAnsiTheme="minorHAnsi" w:cstheme="minorBidi"/>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107925">
      <w:bodyDiv w:val="1"/>
      <w:marLeft w:val="0"/>
      <w:marRight w:val="0"/>
      <w:marTop w:val="0"/>
      <w:marBottom w:val="0"/>
      <w:divBdr>
        <w:top w:val="none" w:sz="0" w:space="0" w:color="auto"/>
        <w:left w:val="none" w:sz="0" w:space="0" w:color="auto"/>
        <w:bottom w:val="none" w:sz="0" w:space="0" w:color="auto"/>
        <w:right w:val="none" w:sz="0" w:space="0" w:color="auto"/>
      </w:divBdr>
    </w:div>
    <w:div w:id="595947099">
      <w:bodyDiv w:val="1"/>
      <w:marLeft w:val="0"/>
      <w:marRight w:val="0"/>
      <w:marTop w:val="0"/>
      <w:marBottom w:val="0"/>
      <w:divBdr>
        <w:top w:val="none" w:sz="0" w:space="0" w:color="auto"/>
        <w:left w:val="none" w:sz="0" w:space="0" w:color="auto"/>
        <w:bottom w:val="none" w:sz="0" w:space="0" w:color="auto"/>
        <w:right w:val="none" w:sz="0" w:space="0" w:color="auto"/>
      </w:divBdr>
    </w:div>
    <w:div w:id="954217479">
      <w:bodyDiv w:val="1"/>
      <w:marLeft w:val="0"/>
      <w:marRight w:val="0"/>
      <w:marTop w:val="0"/>
      <w:marBottom w:val="0"/>
      <w:divBdr>
        <w:top w:val="none" w:sz="0" w:space="0" w:color="auto"/>
        <w:left w:val="none" w:sz="0" w:space="0" w:color="auto"/>
        <w:bottom w:val="none" w:sz="0" w:space="0" w:color="auto"/>
        <w:right w:val="none" w:sz="0" w:space="0" w:color="auto"/>
      </w:divBdr>
    </w:div>
    <w:div w:id="1001197288">
      <w:bodyDiv w:val="1"/>
      <w:marLeft w:val="0"/>
      <w:marRight w:val="0"/>
      <w:marTop w:val="0"/>
      <w:marBottom w:val="0"/>
      <w:divBdr>
        <w:top w:val="none" w:sz="0" w:space="0" w:color="auto"/>
        <w:left w:val="none" w:sz="0" w:space="0" w:color="auto"/>
        <w:bottom w:val="none" w:sz="0" w:space="0" w:color="auto"/>
        <w:right w:val="none" w:sz="0" w:space="0" w:color="auto"/>
      </w:divBdr>
    </w:div>
    <w:div w:id="1605259753">
      <w:bodyDiv w:val="1"/>
      <w:marLeft w:val="0"/>
      <w:marRight w:val="0"/>
      <w:marTop w:val="0"/>
      <w:marBottom w:val="0"/>
      <w:divBdr>
        <w:top w:val="none" w:sz="0" w:space="0" w:color="auto"/>
        <w:left w:val="none" w:sz="0" w:space="0" w:color="auto"/>
        <w:bottom w:val="none" w:sz="0" w:space="0" w:color="auto"/>
        <w:right w:val="none" w:sz="0" w:space="0" w:color="auto"/>
      </w:divBdr>
    </w:div>
    <w:div w:id="1647201348">
      <w:bodyDiv w:val="1"/>
      <w:marLeft w:val="0"/>
      <w:marRight w:val="0"/>
      <w:marTop w:val="0"/>
      <w:marBottom w:val="0"/>
      <w:divBdr>
        <w:top w:val="none" w:sz="0" w:space="0" w:color="auto"/>
        <w:left w:val="none" w:sz="0" w:space="0" w:color="auto"/>
        <w:bottom w:val="none" w:sz="0" w:space="0" w:color="auto"/>
        <w:right w:val="none" w:sz="0" w:space="0" w:color="auto"/>
      </w:divBdr>
    </w:div>
    <w:div w:id="188575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C5CC0CA3D02764298E2F4549C840AD7" ma:contentTypeVersion="2" ma:contentTypeDescription="Stvaranje novog dokumenta." ma:contentTypeScope="" ma:versionID="44729848191398b2275691229bbb0535">
  <xsd:schema xmlns:xsd="http://www.w3.org/2001/XMLSchema" xmlns:xs="http://www.w3.org/2001/XMLSchema" xmlns:p="http://schemas.microsoft.com/office/2006/metadata/properties" xmlns:ns1="http://schemas.microsoft.com/sharepoint/v3" xmlns:ns2="e1df3054-5d10-4492-8ff3-1c5d60fd0f9e" targetNamespace="http://schemas.microsoft.com/office/2006/metadata/properties" ma:root="true" ma:fieldsID="2310c5e0cb9de72f7e6f4da80318d015" ns1:_="" ns2:_="">
    <xsd:import namespace="http://schemas.microsoft.com/sharepoint/v3"/>
    <xsd:import namespace="e1df3054-5d10-4492-8ff3-1c5d60fd0f9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laniranje datuma početka" ma:description="Planiranje datuma početka predstavlja stupac web-mjesta koji je stvorila značajka objavljivanja, a koristi se za upisivanje datuma i vremena kada će se stranica prvi put prikazati posjetiteljima web-mjesta." ma:internalName="PublishingStartDate">
      <xsd:simpleType>
        <xsd:restriction base="dms:Unknown"/>
      </xsd:simpleType>
    </xsd:element>
    <xsd:element name="PublishingExpirationDate" ma:index="12" nillable="true" ma:displayName="Planiranje datuma završetka" ma:description="Planiranje datuma završetka predstavlja stupac web-mjesta koji je stvorila značajka objavljivanja, a koristi se za upisivanje datuma i vremena kada se stranica više neće prikazivati posjetiteljima web-mjesta."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df3054-5d10-4492-8ff3-1c5d60fd0f9e"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F2C6A-8221-47EB-B226-46EFE51E7DB3}">
  <ds:schemaRefs>
    <ds:schemaRef ds:uri="http://schemas.microsoft.com/sharepoint/v3/contenttype/forms"/>
  </ds:schemaRefs>
</ds:datastoreItem>
</file>

<file path=customXml/itemProps2.xml><?xml version="1.0" encoding="utf-8"?>
<ds:datastoreItem xmlns:ds="http://schemas.openxmlformats.org/officeDocument/2006/customXml" ds:itemID="{BF06C8B1-E937-46D7-ABA2-92DA24FEFEA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4925F6C-70EB-44F7-A7D6-4687EFC2FB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df3054-5d10-4492-8ff3-1c5d60fd0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A1B25B-D2C9-4E9A-BB26-6FA00863E475}">
  <ds:schemaRefs>
    <ds:schemaRef ds:uri="http://schemas.microsoft.com/sharepoint/events"/>
  </ds:schemaRefs>
</ds:datastoreItem>
</file>

<file path=customXml/itemProps5.xml><?xml version="1.0" encoding="utf-8"?>
<ds:datastoreItem xmlns:ds="http://schemas.openxmlformats.org/officeDocument/2006/customXml" ds:itemID="{AE7957BE-6D41-4FE1-8AC1-D72DC5887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2398</Words>
  <Characters>13674</Characters>
  <Application>Microsoft Office Word</Application>
  <DocSecurity>0</DocSecurity>
  <Lines>113</Lines>
  <Paragraphs>32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DIGURED</Company>
  <LinksUpToDate>false</LinksUpToDate>
  <CharactersWithSpaces>16040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Tomislav Curic</dc:creator>
  <cp:lastModifiedBy>Maja Bartolić</cp:lastModifiedBy>
  <cp:revision>7</cp:revision>
  <cp:lastPrinted>2020-12-15T07:07:00Z</cp:lastPrinted>
  <dcterms:created xsi:type="dcterms:W3CDTF">2020-12-15T10:30:00Z</dcterms:created>
  <dcterms:modified xsi:type="dcterms:W3CDTF">2020-12-18T11:39:00Z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0x010100AC5CC0CA3D02764298E2F4549C840AD7</vt:lpwstr>
  </property>
</Properties>
</file>