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B0687" w14:textId="77777777" w:rsidR="002F01A7" w:rsidRDefault="002F01A7" w:rsidP="002F01A7"/>
    <w:p w14:paraId="1A0B0688" w14:textId="77777777" w:rsidR="002F01A7" w:rsidRPr="00BD5526" w:rsidRDefault="002F01A7" w:rsidP="002F01A7">
      <w:pPr>
        <w:jc w:val="center"/>
        <w:rPr>
          <w:lang w:eastAsia="en-US"/>
        </w:rPr>
      </w:pPr>
      <w:r w:rsidRPr="00BD5526">
        <w:rPr>
          <w:noProof/>
        </w:rPr>
        <w:drawing>
          <wp:inline distT="0" distB="0" distL="0" distR="0" wp14:anchorId="1A0B06EE" wp14:editId="1A0B06EF">
            <wp:extent cx="504825" cy="687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526">
        <w:rPr>
          <w:lang w:eastAsia="en-US"/>
        </w:rPr>
        <w:fldChar w:fldCharType="begin"/>
      </w:r>
      <w:r w:rsidRPr="00BD5526">
        <w:rPr>
          <w:lang w:eastAsia="en-US"/>
        </w:rPr>
        <w:instrText xml:space="preserve"> INCLUDEPICTURE "http://www.inet.hr/~box/images/grb-rh.gif" \* MERGEFORMATINET </w:instrText>
      </w:r>
      <w:r w:rsidRPr="00BD5526">
        <w:rPr>
          <w:lang w:eastAsia="en-US"/>
        </w:rPr>
        <w:fldChar w:fldCharType="end"/>
      </w:r>
    </w:p>
    <w:p w14:paraId="1A0B0689" w14:textId="77777777" w:rsidR="002F01A7" w:rsidRPr="00BD5526" w:rsidRDefault="002F01A7" w:rsidP="002F01A7">
      <w:pPr>
        <w:spacing w:before="60" w:after="1680"/>
        <w:jc w:val="center"/>
        <w:rPr>
          <w:sz w:val="28"/>
          <w:lang w:eastAsia="en-US"/>
        </w:rPr>
      </w:pPr>
      <w:r w:rsidRPr="00BD5526">
        <w:rPr>
          <w:sz w:val="28"/>
          <w:lang w:eastAsia="en-US"/>
        </w:rPr>
        <w:t>VLADA REPUBLIKE HRVATSKE</w:t>
      </w:r>
    </w:p>
    <w:p w14:paraId="1A0B068A" w14:textId="77777777" w:rsidR="002F01A7" w:rsidRPr="00BD5526" w:rsidRDefault="002F01A7" w:rsidP="002F01A7">
      <w:pPr>
        <w:jc w:val="both"/>
        <w:rPr>
          <w:lang w:eastAsia="en-US"/>
        </w:rPr>
      </w:pPr>
    </w:p>
    <w:p w14:paraId="1A0B068B" w14:textId="67E996B1" w:rsidR="002F01A7" w:rsidRPr="00BD5526" w:rsidRDefault="002F01A7" w:rsidP="002F01A7">
      <w:pPr>
        <w:jc w:val="right"/>
        <w:rPr>
          <w:lang w:eastAsia="en-US"/>
        </w:rPr>
      </w:pPr>
      <w:r>
        <w:rPr>
          <w:lang w:eastAsia="en-US"/>
        </w:rPr>
        <w:t xml:space="preserve">Zagreb, </w:t>
      </w:r>
      <w:r w:rsidR="00F94205">
        <w:rPr>
          <w:lang w:eastAsia="en-US"/>
        </w:rPr>
        <w:t>23</w:t>
      </w:r>
      <w:r>
        <w:rPr>
          <w:lang w:eastAsia="en-US"/>
        </w:rPr>
        <w:t xml:space="preserve">. </w:t>
      </w:r>
      <w:r w:rsidR="00F94205">
        <w:rPr>
          <w:lang w:eastAsia="en-US"/>
        </w:rPr>
        <w:t>rujna</w:t>
      </w:r>
      <w:bookmarkStart w:id="0" w:name="_GoBack"/>
      <w:bookmarkEnd w:id="0"/>
      <w:r w:rsidRPr="00BD5526">
        <w:rPr>
          <w:lang w:eastAsia="en-US"/>
        </w:rPr>
        <w:t xml:space="preserve"> 2020.</w:t>
      </w:r>
    </w:p>
    <w:p w14:paraId="1A0B068C" w14:textId="77777777" w:rsidR="002F01A7" w:rsidRPr="00BD5526" w:rsidRDefault="002F01A7" w:rsidP="002F01A7">
      <w:pPr>
        <w:jc w:val="right"/>
        <w:rPr>
          <w:lang w:eastAsia="en-US"/>
        </w:rPr>
      </w:pPr>
    </w:p>
    <w:p w14:paraId="1A0B068D" w14:textId="77777777" w:rsidR="002F01A7" w:rsidRPr="00BD5526" w:rsidRDefault="002F01A7" w:rsidP="002F01A7">
      <w:pPr>
        <w:jc w:val="right"/>
        <w:rPr>
          <w:lang w:eastAsia="en-US"/>
        </w:rPr>
      </w:pPr>
    </w:p>
    <w:p w14:paraId="1A0B068E" w14:textId="77777777" w:rsidR="002F01A7" w:rsidRPr="00BD5526" w:rsidRDefault="002F01A7" w:rsidP="002F01A7">
      <w:pPr>
        <w:jc w:val="right"/>
        <w:rPr>
          <w:lang w:eastAsia="en-US"/>
        </w:rPr>
      </w:pPr>
    </w:p>
    <w:p w14:paraId="1A0B068F" w14:textId="77777777" w:rsidR="002F01A7" w:rsidRPr="00BD5526" w:rsidRDefault="002F01A7" w:rsidP="002F01A7">
      <w:pPr>
        <w:jc w:val="both"/>
        <w:rPr>
          <w:lang w:eastAsia="en-US"/>
        </w:rPr>
      </w:pPr>
      <w:r w:rsidRPr="00BD5526">
        <w:rPr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2F01A7" w:rsidRPr="00BD5526" w14:paraId="1A0B0692" w14:textId="77777777" w:rsidTr="007E59F6">
        <w:tc>
          <w:tcPr>
            <w:tcW w:w="1951" w:type="dxa"/>
            <w:shd w:val="clear" w:color="auto" w:fill="auto"/>
          </w:tcPr>
          <w:p w14:paraId="1A0B0690" w14:textId="77777777" w:rsidR="002F01A7" w:rsidRPr="00BD5526" w:rsidRDefault="002F01A7" w:rsidP="007E59F6">
            <w:pPr>
              <w:spacing w:line="360" w:lineRule="auto"/>
              <w:jc w:val="right"/>
              <w:rPr>
                <w:lang w:eastAsia="en-US"/>
              </w:rPr>
            </w:pPr>
            <w:r w:rsidRPr="00BD5526">
              <w:rPr>
                <w:lang w:eastAsia="en-US"/>
              </w:rPr>
              <w:t xml:space="preserve"> </w:t>
            </w:r>
            <w:r w:rsidRPr="00BD5526">
              <w:rPr>
                <w:b/>
                <w:smallCaps/>
                <w:lang w:eastAsia="en-US"/>
              </w:rPr>
              <w:t>Predlagatelj</w:t>
            </w:r>
            <w:r w:rsidRPr="00BD5526">
              <w:rPr>
                <w:b/>
                <w:lang w:eastAsia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A0B0691" w14:textId="77777777" w:rsidR="002F01A7" w:rsidRPr="00BD5526" w:rsidRDefault="002F01A7" w:rsidP="007E59F6">
            <w:pPr>
              <w:spacing w:line="360" w:lineRule="auto"/>
              <w:rPr>
                <w:lang w:eastAsia="en-US"/>
              </w:rPr>
            </w:pPr>
            <w:r w:rsidRPr="00BD5526">
              <w:rPr>
                <w:lang w:eastAsia="en-US"/>
              </w:rPr>
              <w:t>Ministarstvo financija</w:t>
            </w:r>
          </w:p>
        </w:tc>
      </w:tr>
    </w:tbl>
    <w:p w14:paraId="1A0B0693" w14:textId="77777777" w:rsidR="002F01A7" w:rsidRPr="00BD5526" w:rsidRDefault="002F01A7" w:rsidP="002F01A7">
      <w:pPr>
        <w:jc w:val="both"/>
        <w:rPr>
          <w:lang w:eastAsia="en-US"/>
        </w:rPr>
      </w:pPr>
      <w:r w:rsidRPr="00BD5526">
        <w:rPr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2F01A7" w:rsidRPr="00BD5526" w14:paraId="1A0B0696" w14:textId="77777777" w:rsidTr="007E59F6">
        <w:tc>
          <w:tcPr>
            <w:tcW w:w="1951" w:type="dxa"/>
            <w:shd w:val="clear" w:color="auto" w:fill="auto"/>
          </w:tcPr>
          <w:p w14:paraId="1A0B0694" w14:textId="77777777" w:rsidR="002F01A7" w:rsidRPr="00BD5526" w:rsidRDefault="002F01A7" w:rsidP="007E59F6">
            <w:pPr>
              <w:spacing w:line="360" w:lineRule="auto"/>
              <w:jc w:val="right"/>
              <w:rPr>
                <w:lang w:eastAsia="en-US"/>
              </w:rPr>
            </w:pPr>
            <w:r w:rsidRPr="00BD5526">
              <w:rPr>
                <w:b/>
                <w:smallCaps/>
                <w:lang w:eastAsia="en-US"/>
              </w:rPr>
              <w:t>Predmet</w:t>
            </w:r>
            <w:r w:rsidRPr="00BD5526">
              <w:rPr>
                <w:b/>
                <w:lang w:eastAsia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A0B0695" w14:textId="77777777" w:rsidR="002F01A7" w:rsidRPr="00BD5526" w:rsidRDefault="002F01A7" w:rsidP="003502D1">
            <w:pPr>
              <w:jc w:val="both"/>
              <w:rPr>
                <w:lang w:eastAsia="en-US"/>
              </w:rPr>
            </w:pPr>
            <w:r w:rsidRPr="00BD5526">
              <w:rPr>
                <w:lang w:eastAsia="en-US"/>
              </w:rPr>
              <w:t>Prijedlog odluke o davanju suglasnosti Ministarstvu obrane za preuzimanje obveza na teret sredstava državnog proračuna Republike Hrvatske u 2021. i 2022. godini za opremanje centra za sigurnosne operacije i mobilnog tima za odgovor na kibernetičke prijetnje</w:t>
            </w:r>
          </w:p>
        </w:tc>
      </w:tr>
    </w:tbl>
    <w:p w14:paraId="1A0B0697" w14:textId="77777777" w:rsidR="002F01A7" w:rsidRPr="00BD5526" w:rsidRDefault="002F01A7" w:rsidP="002F01A7">
      <w:pPr>
        <w:jc w:val="both"/>
        <w:rPr>
          <w:lang w:eastAsia="en-US"/>
        </w:rPr>
      </w:pPr>
    </w:p>
    <w:p w14:paraId="1A0B0698" w14:textId="77777777" w:rsidR="002F01A7" w:rsidRPr="00BD5526" w:rsidRDefault="002F01A7" w:rsidP="002F01A7">
      <w:pPr>
        <w:jc w:val="both"/>
        <w:rPr>
          <w:lang w:eastAsia="en-US"/>
        </w:rPr>
      </w:pPr>
    </w:p>
    <w:p w14:paraId="1A0B0699" w14:textId="77777777" w:rsidR="002F01A7" w:rsidRPr="00BD5526" w:rsidRDefault="002F01A7" w:rsidP="002F01A7">
      <w:pPr>
        <w:jc w:val="both"/>
        <w:rPr>
          <w:lang w:eastAsia="en-US"/>
        </w:rPr>
      </w:pPr>
    </w:p>
    <w:p w14:paraId="1A0B069A" w14:textId="77777777" w:rsidR="002F01A7" w:rsidRPr="00BD5526" w:rsidRDefault="002F01A7" w:rsidP="002F01A7">
      <w:pPr>
        <w:jc w:val="both"/>
        <w:rPr>
          <w:lang w:eastAsia="en-US"/>
        </w:rPr>
      </w:pPr>
    </w:p>
    <w:p w14:paraId="1A0B069B" w14:textId="77777777" w:rsidR="002F01A7" w:rsidRPr="00BD5526" w:rsidRDefault="002F01A7" w:rsidP="002F01A7">
      <w:pPr>
        <w:jc w:val="both"/>
        <w:rPr>
          <w:lang w:eastAsia="en-US"/>
        </w:rPr>
      </w:pPr>
    </w:p>
    <w:p w14:paraId="1A0B069C" w14:textId="77777777" w:rsidR="002F01A7" w:rsidRPr="00BD5526" w:rsidRDefault="002F01A7" w:rsidP="002F01A7">
      <w:pPr>
        <w:tabs>
          <w:tab w:val="center" w:pos="4536"/>
          <w:tab w:val="right" w:pos="9072"/>
        </w:tabs>
        <w:rPr>
          <w:lang w:eastAsia="en-US"/>
        </w:rPr>
      </w:pPr>
    </w:p>
    <w:p w14:paraId="1A0B069D" w14:textId="77777777" w:rsidR="002F01A7" w:rsidRPr="00BD5526" w:rsidRDefault="002F01A7" w:rsidP="002F01A7">
      <w:pPr>
        <w:rPr>
          <w:lang w:eastAsia="en-US"/>
        </w:rPr>
      </w:pPr>
    </w:p>
    <w:p w14:paraId="1A0B069E" w14:textId="77777777" w:rsidR="002F01A7" w:rsidRPr="00BD5526" w:rsidRDefault="002F01A7" w:rsidP="002F01A7">
      <w:pPr>
        <w:tabs>
          <w:tab w:val="center" w:pos="4536"/>
          <w:tab w:val="right" w:pos="9072"/>
        </w:tabs>
        <w:rPr>
          <w:lang w:eastAsia="en-US"/>
        </w:rPr>
      </w:pPr>
    </w:p>
    <w:p w14:paraId="1A0B069F" w14:textId="77777777" w:rsidR="002F01A7" w:rsidRPr="00BD5526" w:rsidRDefault="002F01A7" w:rsidP="002F01A7">
      <w:pPr>
        <w:tabs>
          <w:tab w:val="center" w:pos="4536"/>
          <w:tab w:val="right" w:pos="9072"/>
        </w:tabs>
        <w:rPr>
          <w:lang w:eastAsia="en-US"/>
        </w:rPr>
      </w:pPr>
    </w:p>
    <w:p w14:paraId="1A0B06A0" w14:textId="77777777" w:rsidR="002F01A7" w:rsidRPr="00BD5526" w:rsidRDefault="002F01A7" w:rsidP="002F01A7">
      <w:pPr>
        <w:tabs>
          <w:tab w:val="center" w:pos="4536"/>
          <w:tab w:val="right" w:pos="9072"/>
        </w:tabs>
        <w:rPr>
          <w:lang w:eastAsia="en-US"/>
        </w:rPr>
      </w:pPr>
    </w:p>
    <w:p w14:paraId="1A0B06A1" w14:textId="77777777" w:rsidR="002F01A7" w:rsidRPr="00BD5526" w:rsidRDefault="002F01A7" w:rsidP="002F01A7">
      <w:pPr>
        <w:tabs>
          <w:tab w:val="center" w:pos="4536"/>
          <w:tab w:val="right" w:pos="9072"/>
        </w:tabs>
        <w:rPr>
          <w:lang w:eastAsia="en-US"/>
        </w:rPr>
      </w:pPr>
    </w:p>
    <w:p w14:paraId="1A0B06A2" w14:textId="77777777" w:rsidR="002F01A7" w:rsidRPr="00BD5526" w:rsidRDefault="002F01A7" w:rsidP="002F01A7">
      <w:pPr>
        <w:tabs>
          <w:tab w:val="center" w:pos="4536"/>
          <w:tab w:val="right" w:pos="9072"/>
        </w:tabs>
        <w:rPr>
          <w:lang w:eastAsia="en-US"/>
        </w:rPr>
      </w:pPr>
    </w:p>
    <w:p w14:paraId="1A0B06A3" w14:textId="77777777" w:rsidR="002F01A7" w:rsidRPr="00BD5526" w:rsidRDefault="002F01A7" w:rsidP="002F01A7">
      <w:pPr>
        <w:tabs>
          <w:tab w:val="center" w:pos="4536"/>
          <w:tab w:val="right" w:pos="9072"/>
        </w:tabs>
        <w:rPr>
          <w:lang w:eastAsia="en-US"/>
        </w:rPr>
      </w:pPr>
    </w:p>
    <w:p w14:paraId="1A0B06A4" w14:textId="77777777" w:rsidR="002F01A7" w:rsidRPr="00BD5526" w:rsidRDefault="002F01A7" w:rsidP="002F01A7">
      <w:pPr>
        <w:tabs>
          <w:tab w:val="center" w:pos="4536"/>
          <w:tab w:val="right" w:pos="9072"/>
        </w:tabs>
        <w:rPr>
          <w:lang w:eastAsia="en-US"/>
        </w:rPr>
      </w:pPr>
    </w:p>
    <w:p w14:paraId="1A0B06A5" w14:textId="77777777" w:rsidR="002F01A7" w:rsidRPr="00BD5526" w:rsidRDefault="002F01A7" w:rsidP="002F01A7">
      <w:pPr>
        <w:tabs>
          <w:tab w:val="center" w:pos="4536"/>
          <w:tab w:val="right" w:pos="9072"/>
        </w:tabs>
        <w:rPr>
          <w:lang w:eastAsia="en-US"/>
        </w:rPr>
      </w:pPr>
    </w:p>
    <w:p w14:paraId="1A0B06A6" w14:textId="77777777" w:rsidR="002F01A7" w:rsidRPr="00BD5526" w:rsidRDefault="002F01A7" w:rsidP="002F01A7">
      <w:pPr>
        <w:tabs>
          <w:tab w:val="center" w:pos="4536"/>
          <w:tab w:val="right" w:pos="9072"/>
        </w:tabs>
        <w:rPr>
          <w:lang w:eastAsia="en-US"/>
        </w:rPr>
      </w:pPr>
    </w:p>
    <w:p w14:paraId="1A0B06A7" w14:textId="77777777" w:rsidR="002F01A7" w:rsidRPr="00BD5526" w:rsidRDefault="002F01A7" w:rsidP="002F01A7">
      <w:pPr>
        <w:tabs>
          <w:tab w:val="center" w:pos="4536"/>
          <w:tab w:val="right" w:pos="9072"/>
        </w:tabs>
        <w:rPr>
          <w:lang w:eastAsia="en-US"/>
        </w:rPr>
      </w:pPr>
    </w:p>
    <w:p w14:paraId="1A0B06A8" w14:textId="77777777" w:rsidR="002F01A7" w:rsidRPr="00BD5526" w:rsidRDefault="002F01A7" w:rsidP="002F01A7">
      <w:pPr>
        <w:tabs>
          <w:tab w:val="center" w:pos="4536"/>
          <w:tab w:val="right" w:pos="9072"/>
        </w:tabs>
        <w:rPr>
          <w:lang w:eastAsia="en-US"/>
        </w:rPr>
      </w:pPr>
    </w:p>
    <w:p w14:paraId="1A0B06A9" w14:textId="77777777" w:rsidR="002F01A7" w:rsidRPr="00BD5526" w:rsidRDefault="002F01A7" w:rsidP="002F01A7">
      <w:pPr>
        <w:tabs>
          <w:tab w:val="center" w:pos="4536"/>
          <w:tab w:val="right" w:pos="9072"/>
        </w:tabs>
        <w:rPr>
          <w:lang w:eastAsia="en-US"/>
        </w:rPr>
      </w:pPr>
    </w:p>
    <w:p w14:paraId="1A0B06AA" w14:textId="77777777" w:rsidR="002F01A7" w:rsidRPr="00BD5526" w:rsidRDefault="002F01A7" w:rsidP="002F01A7">
      <w:pPr>
        <w:tabs>
          <w:tab w:val="center" w:pos="4536"/>
          <w:tab w:val="right" w:pos="9072"/>
        </w:tabs>
        <w:rPr>
          <w:lang w:eastAsia="en-US"/>
        </w:rPr>
      </w:pPr>
    </w:p>
    <w:p w14:paraId="1A0B06AB" w14:textId="77777777" w:rsidR="002F01A7" w:rsidRPr="00BD5526" w:rsidRDefault="002F01A7" w:rsidP="002F01A7">
      <w:pPr>
        <w:rPr>
          <w:lang w:eastAsia="en-US"/>
        </w:rPr>
      </w:pPr>
    </w:p>
    <w:p w14:paraId="1A0B06AC" w14:textId="77777777" w:rsidR="002F01A7" w:rsidRPr="00BD5526" w:rsidRDefault="002F01A7" w:rsidP="002F01A7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  <w:lang w:eastAsia="en-US"/>
        </w:rPr>
      </w:pPr>
      <w:r w:rsidRPr="00BD5526">
        <w:rPr>
          <w:color w:val="404040"/>
          <w:spacing w:val="20"/>
          <w:sz w:val="20"/>
          <w:lang w:eastAsia="en-US"/>
        </w:rPr>
        <w:lastRenderedPageBreak/>
        <w:t>Banski dvori | Trg Sv. Marka 2  | 10000 Zagreb | tel. 01 4569 222 | vlada.gov.hr</w:t>
      </w:r>
    </w:p>
    <w:p w14:paraId="1A0B06AD" w14:textId="77777777" w:rsidR="002F01A7" w:rsidRDefault="002F01A7" w:rsidP="002F01A7">
      <w:pPr>
        <w:ind w:left="720"/>
        <w:contextualSpacing/>
        <w:jc w:val="both"/>
        <w:rPr>
          <w:lang w:eastAsia="en-US"/>
        </w:rPr>
      </w:pPr>
    </w:p>
    <w:p w14:paraId="1A0B06AE" w14:textId="77777777" w:rsidR="00184032" w:rsidRDefault="00184032" w:rsidP="002F01A7">
      <w:pPr>
        <w:ind w:left="720"/>
        <w:contextualSpacing/>
        <w:jc w:val="both"/>
        <w:rPr>
          <w:lang w:eastAsia="en-US"/>
        </w:rPr>
      </w:pPr>
    </w:p>
    <w:p w14:paraId="1A0B06AF" w14:textId="77777777" w:rsidR="00184032" w:rsidRPr="00BD5526" w:rsidRDefault="00184032" w:rsidP="002F01A7">
      <w:pPr>
        <w:ind w:left="720"/>
        <w:contextualSpacing/>
        <w:jc w:val="both"/>
        <w:rPr>
          <w:lang w:eastAsia="en-US"/>
        </w:rPr>
      </w:pPr>
    </w:p>
    <w:p w14:paraId="1A0B06B0" w14:textId="77777777" w:rsidR="002F01A7" w:rsidRPr="00BD5526" w:rsidRDefault="002F01A7" w:rsidP="002F01A7">
      <w:pPr>
        <w:ind w:left="720"/>
        <w:contextualSpacing/>
        <w:jc w:val="right"/>
        <w:rPr>
          <w:lang w:eastAsia="en-US"/>
        </w:rPr>
      </w:pPr>
      <w:r w:rsidRPr="00BD5526">
        <w:rPr>
          <w:lang w:eastAsia="en-US"/>
        </w:rPr>
        <w:t>PRIJEDLOG</w:t>
      </w:r>
    </w:p>
    <w:p w14:paraId="1A0B06B1" w14:textId="77777777" w:rsidR="002F01A7" w:rsidRPr="00BD5526" w:rsidRDefault="002F01A7" w:rsidP="002F01A7">
      <w:pPr>
        <w:rPr>
          <w:lang w:eastAsia="en-US"/>
        </w:rPr>
      </w:pPr>
    </w:p>
    <w:p w14:paraId="1A0B06B2" w14:textId="77777777" w:rsidR="002F01A7" w:rsidRPr="00BD5526" w:rsidRDefault="002F01A7" w:rsidP="002F01A7">
      <w:pPr>
        <w:widowControl w:val="0"/>
        <w:tabs>
          <w:tab w:val="left" w:pos="-720"/>
        </w:tabs>
        <w:suppressAutoHyphens/>
        <w:jc w:val="both"/>
        <w:rPr>
          <w:spacing w:val="-3"/>
          <w:lang w:eastAsia="en-US"/>
        </w:rPr>
      </w:pPr>
      <w:r w:rsidRPr="00BD5526">
        <w:rPr>
          <w:lang w:eastAsia="en-US"/>
        </w:rPr>
        <w:tab/>
      </w:r>
      <w:r w:rsidRPr="00BD5526">
        <w:rPr>
          <w:spacing w:val="-3"/>
          <w:lang w:eastAsia="en-US"/>
        </w:rPr>
        <w:t xml:space="preserve">Na temelju članka 31. stavka 2. Zakona o Vladi Republike Hrvatske (Narodne novine, br. 150/11, 119/14, 93/16 i 116/18) i članka 44. stavka 2. Zakona o proračunu (Narodne novine, br. 87/08, 136/12 </w:t>
      </w:r>
      <w:r w:rsidR="00C165E5">
        <w:rPr>
          <w:spacing w:val="-3"/>
          <w:lang w:eastAsia="en-US"/>
        </w:rPr>
        <w:t xml:space="preserve">i </w:t>
      </w:r>
      <w:r w:rsidRPr="00BD5526">
        <w:rPr>
          <w:spacing w:val="-3"/>
          <w:lang w:eastAsia="en-US"/>
        </w:rPr>
        <w:t>15/15), Vlada Republike Hrvatske na sjednici održanoj ___________________ donijela je</w:t>
      </w:r>
    </w:p>
    <w:p w14:paraId="1A0B06B3" w14:textId="77777777" w:rsidR="002F01A7" w:rsidRPr="00BD5526" w:rsidRDefault="002F01A7" w:rsidP="002F01A7">
      <w:pPr>
        <w:keepNext/>
        <w:spacing w:before="240" w:after="60"/>
        <w:outlineLvl w:val="3"/>
        <w:rPr>
          <w:b/>
          <w:bCs/>
          <w:sz w:val="28"/>
          <w:szCs w:val="28"/>
          <w:lang w:eastAsia="en-US"/>
        </w:rPr>
      </w:pPr>
    </w:p>
    <w:p w14:paraId="1A0B06B4" w14:textId="77777777" w:rsidR="002F01A7" w:rsidRPr="00BD5526" w:rsidRDefault="002F01A7" w:rsidP="002F01A7">
      <w:pPr>
        <w:keepNext/>
        <w:spacing w:before="240" w:after="60"/>
        <w:jc w:val="center"/>
        <w:outlineLvl w:val="3"/>
        <w:rPr>
          <w:b/>
          <w:bCs/>
          <w:sz w:val="28"/>
          <w:szCs w:val="28"/>
          <w:lang w:eastAsia="en-US"/>
        </w:rPr>
      </w:pPr>
      <w:r w:rsidRPr="00BD5526">
        <w:rPr>
          <w:b/>
          <w:bCs/>
          <w:sz w:val="28"/>
          <w:szCs w:val="28"/>
          <w:lang w:eastAsia="en-US"/>
        </w:rPr>
        <w:t>O D L U K U</w:t>
      </w:r>
    </w:p>
    <w:p w14:paraId="1A0B06B5" w14:textId="77777777" w:rsidR="002F01A7" w:rsidRPr="00BD5526" w:rsidRDefault="002F01A7" w:rsidP="002F01A7">
      <w:pPr>
        <w:jc w:val="center"/>
        <w:rPr>
          <w:b/>
          <w:lang w:eastAsia="en-US"/>
        </w:rPr>
      </w:pPr>
      <w:r w:rsidRPr="00BD5526">
        <w:rPr>
          <w:b/>
          <w:lang w:eastAsia="en-US"/>
        </w:rPr>
        <w:t xml:space="preserve"> o davanju suglasnosti Ministarstvu obrane za preuzimanje obveza na teret sredstava državnog proračuna Republike Hrvatske u 2021. i 2022. godini za opremanje </w:t>
      </w:r>
    </w:p>
    <w:p w14:paraId="1A0B06B6" w14:textId="77777777" w:rsidR="002F01A7" w:rsidRPr="00BD5526" w:rsidRDefault="002F01A7" w:rsidP="002F01A7">
      <w:pPr>
        <w:jc w:val="center"/>
        <w:rPr>
          <w:b/>
          <w:bCs/>
          <w:lang w:eastAsia="en-US"/>
        </w:rPr>
      </w:pPr>
      <w:r w:rsidRPr="00BD5526">
        <w:rPr>
          <w:b/>
          <w:lang w:eastAsia="en-US"/>
        </w:rPr>
        <w:t>centra za sigurnosne operacije i mobilnog tima za odgovor na kibernetičke prijetnje</w:t>
      </w:r>
    </w:p>
    <w:p w14:paraId="1A0B06B7" w14:textId="77777777" w:rsidR="002F01A7" w:rsidRPr="00BD5526" w:rsidRDefault="002F01A7" w:rsidP="002F01A7">
      <w:pPr>
        <w:jc w:val="center"/>
        <w:rPr>
          <w:b/>
          <w:bCs/>
          <w:lang w:eastAsia="en-US"/>
        </w:rPr>
      </w:pPr>
    </w:p>
    <w:p w14:paraId="1A0B06B8" w14:textId="77777777" w:rsidR="002F01A7" w:rsidRPr="00BD5526" w:rsidRDefault="002F01A7" w:rsidP="002F01A7">
      <w:pPr>
        <w:jc w:val="center"/>
        <w:rPr>
          <w:b/>
          <w:bCs/>
          <w:lang w:eastAsia="en-US"/>
        </w:rPr>
      </w:pPr>
    </w:p>
    <w:p w14:paraId="1A0B06B9" w14:textId="77777777" w:rsidR="002F01A7" w:rsidRPr="00BD5526" w:rsidRDefault="002F01A7" w:rsidP="002F01A7">
      <w:pPr>
        <w:jc w:val="center"/>
        <w:rPr>
          <w:b/>
          <w:bCs/>
          <w:lang w:eastAsia="en-US"/>
        </w:rPr>
      </w:pPr>
      <w:r w:rsidRPr="00BD5526">
        <w:rPr>
          <w:b/>
          <w:bCs/>
          <w:lang w:eastAsia="en-US"/>
        </w:rPr>
        <w:t>I.</w:t>
      </w:r>
    </w:p>
    <w:p w14:paraId="1A0B06BA" w14:textId="77777777" w:rsidR="002F01A7" w:rsidRPr="00BD5526" w:rsidRDefault="002F01A7" w:rsidP="002F01A7">
      <w:pPr>
        <w:spacing w:before="240"/>
        <w:jc w:val="center"/>
        <w:rPr>
          <w:b/>
          <w:bCs/>
          <w:lang w:eastAsia="en-US"/>
        </w:rPr>
      </w:pPr>
    </w:p>
    <w:p w14:paraId="1A0B06BB" w14:textId="77777777" w:rsidR="002F01A7" w:rsidRPr="00BD5526" w:rsidRDefault="002F01A7" w:rsidP="002F01A7">
      <w:pPr>
        <w:spacing w:after="160" w:line="259" w:lineRule="auto"/>
        <w:jc w:val="both"/>
        <w:rPr>
          <w:lang w:eastAsia="en-US"/>
        </w:rPr>
      </w:pPr>
      <w:r w:rsidRPr="00BD5526">
        <w:rPr>
          <w:rFonts w:cs="Arial"/>
          <w:color w:val="000000"/>
        </w:rPr>
        <w:t xml:space="preserve">Daje se suglasnost Ministarstvu obrane za preuzimanje obveza na teret sredstava državnog proračuna Republike Hrvatske </w:t>
      </w:r>
      <w:r w:rsidRPr="00BD5526">
        <w:rPr>
          <w:lang w:eastAsia="en-US"/>
        </w:rPr>
        <w:t xml:space="preserve">u 2021. i 2022. godini za plaćanje obveze PDV-a u ukupnom iznosu od </w:t>
      </w:r>
      <w:r>
        <w:rPr>
          <w:lang w:eastAsia="en-US"/>
        </w:rPr>
        <w:t>7.904.254</w:t>
      </w:r>
      <w:r w:rsidRPr="009A4308">
        <w:rPr>
          <w:lang w:eastAsia="en-US"/>
        </w:rPr>
        <w:t xml:space="preserve"> </w:t>
      </w:r>
      <w:r w:rsidRPr="00BD5526">
        <w:rPr>
          <w:lang w:eastAsia="en-US"/>
        </w:rPr>
        <w:t>kun</w:t>
      </w:r>
      <w:r>
        <w:rPr>
          <w:lang w:eastAsia="en-US"/>
        </w:rPr>
        <w:t>e</w:t>
      </w:r>
      <w:r w:rsidRPr="00BD5526">
        <w:rPr>
          <w:lang w:eastAsia="en-US"/>
        </w:rPr>
        <w:t xml:space="preserve"> po godinama i u iznosima kako slijedi: </w:t>
      </w:r>
    </w:p>
    <w:p w14:paraId="1A0B06BC" w14:textId="77777777" w:rsidR="002F01A7" w:rsidRPr="00BD5526" w:rsidRDefault="002F01A7" w:rsidP="002F01A7">
      <w:pPr>
        <w:spacing w:after="160" w:line="259" w:lineRule="auto"/>
        <w:jc w:val="both"/>
        <w:rPr>
          <w:lang w:eastAsia="en-US"/>
        </w:rPr>
      </w:pPr>
    </w:p>
    <w:tbl>
      <w:tblPr>
        <w:tblStyle w:val="Reetkatablice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1"/>
        <w:gridCol w:w="2411"/>
      </w:tblGrid>
      <w:tr w:rsidR="002F01A7" w:rsidRPr="00BD5526" w14:paraId="1A0B06BF" w14:textId="77777777" w:rsidTr="007E59F6">
        <w:trPr>
          <w:jc w:val="center"/>
        </w:trPr>
        <w:tc>
          <w:tcPr>
            <w:tcW w:w="1841" w:type="dxa"/>
          </w:tcPr>
          <w:p w14:paraId="1A0B06BD" w14:textId="77777777" w:rsidR="002F01A7" w:rsidRPr="00436CC3" w:rsidRDefault="002F01A7" w:rsidP="007E59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6CC3">
              <w:rPr>
                <w:rFonts w:ascii="Times New Roman" w:hAnsi="Times New Roman"/>
                <w:color w:val="000000"/>
              </w:rPr>
              <w:t>Godina</w:t>
            </w:r>
          </w:p>
        </w:tc>
        <w:tc>
          <w:tcPr>
            <w:tcW w:w="2411" w:type="dxa"/>
          </w:tcPr>
          <w:p w14:paraId="1A0B06BE" w14:textId="77777777" w:rsidR="002F01A7" w:rsidRPr="00436CC3" w:rsidRDefault="002F01A7" w:rsidP="007E59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6CC3">
              <w:rPr>
                <w:rFonts w:ascii="Times New Roman" w:hAnsi="Times New Roman"/>
                <w:color w:val="000000"/>
              </w:rPr>
              <w:t>Iznos</w:t>
            </w:r>
          </w:p>
        </w:tc>
      </w:tr>
      <w:tr w:rsidR="002F01A7" w:rsidRPr="00BD5526" w14:paraId="1A0B06C2" w14:textId="77777777" w:rsidTr="007E59F6">
        <w:trPr>
          <w:jc w:val="center"/>
        </w:trPr>
        <w:tc>
          <w:tcPr>
            <w:tcW w:w="1841" w:type="dxa"/>
          </w:tcPr>
          <w:p w14:paraId="1A0B06C0" w14:textId="77777777" w:rsidR="002F01A7" w:rsidRPr="00436CC3" w:rsidRDefault="002F01A7" w:rsidP="007E59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6CC3">
              <w:rPr>
                <w:rFonts w:ascii="Times New Roman" w:hAnsi="Times New Roman"/>
                <w:color w:val="000000"/>
              </w:rPr>
              <w:t>2021.</w:t>
            </w:r>
          </w:p>
        </w:tc>
        <w:tc>
          <w:tcPr>
            <w:tcW w:w="2411" w:type="dxa"/>
          </w:tcPr>
          <w:p w14:paraId="1A0B06C1" w14:textId="77777777" w:rsidR="002F01A7" w:rsidRPr="00BD5526" w:rsidRDefault="002F01A7" w:rsidP="007E59F6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4.791.510</w:t>
            </w:r>
            <w:r w:rsidRPr="00BD5526">
              <w:rPr>
                <w:rFonts w:ascii="Times New Roman" w:hAnsi="Times New Roman"/>
                <w:color w:val="000000"/>
              </w:rPr>
              <w:t xml:space="preserve"> kuna</w:t>
            </w:r>
          </w:p>
        </w:tc>
      </w:tr>
      <w:tr w:rsidR="002F01A7" w:rsidRPr="00BD5526" w14:paraId="1A0B06C5" w14:textId="77777777" w:rsidTr="007E59F6">
        <w:trPr>
          <w:jc w:val="center"/>
        </w:trPr>
        <w:tc>
          <w:tcPr>
            <w:tcW w:w="1841" w:type="dxa"/>
          </w:tcPr>
          <w:p w14:paraId="1A0B06C3" w14:textId="77777777" w:rsidR="002F01A7" w:rsidRPr="00436CC3" w:rsidRDefault="002F01A7" w:rsidP="007E59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6CC3">
              <w:rPr>
                <w:rFonts w:ascii="Times New Roman" w:hAnsi="Times New Roman"/>
                <w:color w:val="000000"/>
              </w:rPr>
              <w:t>2022.</w:t>
            </w:r>
          </w:p>
        </w:tc>
        <w:tc>
          <w:tcPr>
            <w:tcW w:w="2411" w:type="dxa"/>
          </w:tcPr>
          <w:p w14:paraId="1A0B06C4" w14:textId="77777777" w:rsidR="002F01A7" w:rsidRPr="00BD5526" w:rsidRDefault="002F01A7" w:rsidP="007E59F6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3.112.744</w:t>
            </w:r>
            <w:r w:rsidRPr="00BD5526">
              <w:rPr>
                <w:rFonts w:ascii="Times New Roman" w:hAnsi="Times New Roman"/>
                <w:bCs/>
              </w:rPr>
              <w:t xml:space="preserve"> kuna</w:t>
            </w:r>
          </w:p>
        </w:tc>
      </w:tr>
    </w:tbl>
    <w:p w14:paraId="1A0B06C6" w14:textId="77777777" w:rsidR="002F01A7" w:rsidRPr="00BD5526" w:rsidRDefault="002F01A7" w:rsidP="002F01A7">
      <w:pPr>
        <w:spacing w:after="160" w:line="259" w:lineRule="auto"/>
        <w:jc w:val="both"/>
        <w:rPr>
          <w:lang w:eastAsia="en-US"/>
        </w:rPr>
      </w:pPr>
    </w:p>
    <w:p w14:paraId="1A0B06C7" w14:textId="77777777" w:rsidR="002F01A7" w:rsidRPr="00BD5526" w:rsidRDefault="002F01A7" w:rsidP="002F01A7">
      <w:pPr>
        <w:spacing w:after="160" w:line="259" w:lineRule="auto"/>
        <w:jc w:val="both"/>
        <w:rPr>
          <w:rFonts w:cs="Arial"/>
          <w:color w:val="000000"/>
        </w:rPr>
      </w:pPr>
      <w:r w:rsidRPr="00BD5526">
        <w:rPr>
          <w:lang w:eastAsia="en-US"/>
        </w:rPr>
        <w:t>za opremanje centra za sigurnosne operacije i mobilnog tima za odgovor na kibernetičke prijetnje</w:t>
      </w:r>
      <w:r w:rsidRPr="00BD5526">
        <w:rPr>
          <w:rFonts w:cs="Arial"/>
          <w:color w:val="000000"/>
        </w:rPr>
        <w:t>.</w:t>
      </w:r>
    </w:p>
    <w:p w14:paraId="1A0B06C8" w14:textId="77777777" w:rsidR="002F01A7" w:rsidRPr="00BD5526" w:rsidRDefault="002F01A7" w:rsidP="002F01A7">
      <w:pPr>
        <w:spacing w:after="160" w:line="259" w:lineRule="auto"/>
        <w:jc w:val="both"/>
        <w:rPr>
          <w:lang w:eastAsia="en-US"/>
        </w:rPr>
      </w:pPr>
    </w:p>
    <w:p w14:paraId="1A0B06C9" w14:textId="77777777" w:rsidR="002F01A7" w:rsidRPr="00BD5526" w:rsidRDefault="002F01A7" w:rsidP="002F01A7">
      <w:pPr>
        <w:spacing w:after="160" w:line="259" w:lineRule="auto"/>
        <w:jc w:val="center"/>
        <w:rPr>
          <w:b/>
          <w:lang w:eastAsia="en-US"/>
        </w:rPr>
      </w:pPr>
      <w:r w:rsidRPr="00BD5526">
        <w:rPr>
          <w:b/>
          <w:lang w:eastAsia="en-US"/>
        </w:rPr>
        <w:t>II.</w:t>
      </w:r>
    </w:p>
    <w:p w14:paraId="1A0B06CA" w14:textId="77777777" w:rsidR="002F01A7" w:rsidRPr="00BD5526" w:rsidRDefault="002F01A7" w:rsidP="002F01A7">
      <w:pPr>
        <w:spacing w:line="259" w:lineRule="auto"/>
        <w:jc w:val="center"/>
        <w:rPr>
          <w:b/>
          <w:lang w:eastAsia="en-US"/>
        </w:rPr>
      </w:pPr>
    </w:p>
    <w:p w14:paraId="1A0B06CB" w14:textId="77777777" w:rsidR="002F01A7" w:rsidRPr="00BD5526" w:rsidRDefault="002F01A7" w:rsidP="002F01A7">
      <w:pPr>
        <w:jc w:val="both"/>
        <w:rPr>
          <w:lang w:eastAsia="en-US"/>
        </w:rPr>
      </w:pPr>
      <w:r w:rsidRPr="00BD5526">
        <w:rPr>
          <w:lang w:eastAsia="en-US"/>
        </w:rPr>
        <w:t>Ova Odluka stupa na snagu danom donošenja.</w:t>
      </w:r>
    </w:p>
    <w:p w14:paraId="1A0B06CC" w14:textId="77777777" w:rsidR="002F01A7" w:rsidRPr="00BD5526" w:rsidRDefault="002F01A7" w:rsidP="002F01A7">
      <w:pPr>
        <w:spacing w:before="120" w:after="120"/>
        <w:jc w:val="both"/>
        <w:rPr>
          <w:rFonts w:cs="Arial"/>
          <w:b/>
          <w:color w:val="000000"/>
        </w:rPr>
      </w:pPr>
      <w:r w:rsidRPr="00BD5526">
        <w:rPr>
          <w:rFonts w:cs="Arial"/>
          <w:b/>
          <w:color w:val="000000"/>
        </w:rPr>
        <w:lastRenderedPageBreak/>
        <w:t xml:space="preserve"> </w:t>
      </w:r>
    </w:p>
    <w:p w14:paraId="1A0B06CD" w14:textId="77777777" w:rsidR="002F01A7" w:rsidRPr="00BD5526" w:rsidRDefault="002F01A7" w:rsidP="002F01A7">
      <w:pPr>
        <w:jc w:val="both"/>
        <w:rPr>
          <w:lang w:eastAsia="en-US"/>
        </w:rPr>
      </w:pPr>
    </w:p>
    <w:p w14:paraId="1A0B06CE" w14:textId="77777777" w:rsidR="002F01A7" w:rsidRPr="00BD5526" w:rsidRDefault="002F01A7" w:rsidP="002F01A7">
      <w:pPr>
        <w:jc w:val="both"/>
        <w:rPr>
          <w:lang w:eastAsia="en-US"/>
        </w:rPr>
      </w:pPr>
    </w:p>
    <w:p w14:paraId="1A0B06CF" w14:textId="77777777" w:rsidR="002F01A7" w:rsidRPr="00BD5526" w:rsidRDefault="002F01A7" w:rsidP="002F01A7">
      <w:pPr>
        <w:jc w:val="both"/>
        <w:rPr>
          <w:lang w:eastAsia="en-US"/>
        </w:rPr>
      </w:pPr>
      <w:r w:rsidRPr="00BD5526">
        <w:rPr>
          <w:lang w:eastAsia="en-US"/>
        </w:rPr>
        <w:t>Klasa:</w:t>
      </w:r>
    </w:p>
    <w:p w14:paraId="1A0B06D0" w14:textId="77777777" w:rsidR="002F01A7" w:rsidRPr="00BD5526" w:rsidRDefault="002F01A7" w:rsidP="002F01A7">
      <w:pPr>
        <w:jc w:val="both"/>
        <w:rPr>
          <w:lang w:eastAsia="en-US"/>
        </w:rPr>
      </w:pPr>
      <w:r w:rsidRPr="00BD5526">
        <w:rPr>
          <w:lang w:eastAsia="en-US"/>
        </w:rPr>
        <w:t>Urbroj:</w:t>
      </w:r>
    </w:p>
    <w:p w14:paraId="1A0B06D1" w14:textId="77777777" w:rsidR="002F01A7" w:rsidRPr="00BD5526" w:rsidRDefault="002F01A7" w:rsidP="002F01A7">
      <w:pPr>
        <w:jc w:val="both"/>
        <w:rPr>
          <w:lang w:eastAsia="en-US"/>
        </w:rPr>
      </w:pPr>
      <w:r w:rsidRPr="00BD5526">
        <w:rPr>
          <w:lang w:eastAsia="en-US"/>
        </w:rPr>
        <w:t>Zagreb, ____________</w:t>
      </w:r>
    </w:p>
    <w:p w14:paraId="1A0B06D2" w14:textId="77777777" w:rsidR="002F01A7" w:rsidRPr="00BD5526" w:rsidRDefault="002F01A7" w:rsidP="002F01A7">
      <w:pPr>
        <w:jc w:val="both"/>
        <w:rPr>
          <w:lang w:eastAsia="en-US"/>
        </w:rPr>
      </w:pPr>
    </w:p>
    <w:p w14:paraId="1A0B06D3" w14:textId="77777777" w:rsidR="002F01A7" w:rsidRPr="00BD5526" w:rsidRDefault="002F01A7" w:rsidP="002F01A7">
      <w:pPr>
        <w:ind w:left="5664" w:firstLine="708"/>
        <w:jc w:val="both"/>
        <w:rPr>
          <w:lang w:eastAsia="en-US"/>
        </w:rPr>
      </w:pPr>
    </w:p>
    <w:p w14:paraId="1A0B06D4" w14:textId="77777777" w:rsidR="002F01A7" w:rsidRPr="00BD5526" w:rsidRDefault="002F01A7" w:rsidP="002F01A7">
      <w:pPr>
        <w:ind w:left="5664" w:firstLine="708"/>
        <w:jc w:val="both"/>
        <w:rPr>
          <w:lang w:eastAsia="en-US"/>
        </w:rPr>
      </w:pPr>
    </w:p>
    <w:p w14:paraId="1A0B06D5" w14:textId="77777777" w:rsidR="002F01A7" w:rsidRPr="00BD5526" w:rsidRDefault="002F01A7" w:rsidP="002F01A7">
      <w:pPr>
        <w:ind w:left="5664" w:firstLine="708"/>
        <w:jc w:val="both"/>
        <w:rPr>
          <w:lang w:eastAsia="en-US"/>
        </w:rPr>
      </w:pPr>
      <w:r w:rsidRPr="00BD5526">
        <w:rPr>
          <w:lang w:eastAsia="en-US"/>
        </w:rPr>
        <w:t>PREDSJEDNIK</w:t>
      </w:r>
    </w:p>
    <w:p w14:paraId="1A0B06D6" w14:textId="77777777" w:rsidR="002F01A7" w:rsidRPr="00BD5526" w:rsidRDefault="002F01A7" w:rsidP="002F01A7">
      <w:pPr>
        <w:jc w:val="both"/>
        <w:rPr>
          <w:lang w:eastAsia="en-US"/>
        </w:rPr>
      </w:pPr>
    </w:p>
    <w:p w14:paraId="1A0B06D7" w14:textId="77777777" w:rsidR="002F01A7" w:rsidRPr="00BD5526" w:rsidRDefault="002F01A7" w:rsidP="002F01A7">
      <w:pPr>
        <w:ind w:left="4956" w:firstLine="708"/>
        <w:jc w:val="both"/>
        <w:rPr>
          <w:lang w:eastAsia="en-US"/>
        </w:rPr>
      </w:pPr>
      <w:r w:rsidRPr="00BD5526">
        <w:rPr>
          <w:lang w:eastAsia="en-US"/>
        </w:rPr>
        <w:t xml:space="preserve">    mr. sc. Andrej Plenković</w:t>
      </w:r>
    </w:p>
    <w:p w14:paraId="1A0B06D8" w14:textId="77777777" w:rsidR="002F01A7" w:rsidRPr="00BD5526" w:rsidRDefault="002F01A7" w:rsidP="002F01A7">
      <w:pPr>
        <w:jc w:val="both"/>
        <w:rPr>
          <w:lang w:eastAsia="en-US"/>
        </w:rPr>
      </w:pPr>
    </w:p>
    <w:p w14:paraId="1A0B06D9" w14:textId="77777777" w:rsidR="002F01A7" w:rsidRPr="00BD5526" w:rsidRDefault="002F01A7" w:rsidP="002F01A7">
      <w:pPr>
        <w:jc w:val="center"/>
        <w:rPr>
          <w:b/>
          <w:lang w:eastAsia="en-US"/>
        </w:rPr>
      </w:pPr>
      <w:r>
        <w:rPr>
          <w:b/>
          <w:lang w:eastAsia="en-US"/>
        </w:rPr>
        <w:br w:type="page"/>
      </w:r>
      <w:r w:rsidRPr="00BD5526">
        <w:rPr>
          <w:b/>
          <w:lang w:eastAsia="en-US"/>
        </w:rPr>
        <w:lastRenderedPageBreak/>
        <w:t>O B R A Z L O Ž E NJ E</w:t>
      </w:r>
    </w:p>
    <w:p w14:paraId="1A0B06DA" w14:textId="77777777" w:rsidR="002F01A7" w:rsidRPr="00BD5526" w:rsidRDefault="002F01A7" w:rsidP="002F01A7">
      <w:pPr>
        <w:jc w:val="center"/>
        <w:rPr>
          <w:b/>
          <w:lang w:eastAsia="en-US"/>
        </w:rPr>
      </w:pPr>
    </w:p>
    <w:p w14:paraId="1A0B06DB" w14:textId="77777777" w:rsidR="002F01A7" w:rsidRPr="00BD5526" w:rsidRDefault="002F01A7" w:rsidP="002F01A7">
      <w:pPr>
        <w:jc w:val="both"/>
        <w:rPr>
          <w:lang w:eastAsia="en-US"/>
        </w:rPr>
      </w:pPr>
    </w:p>
    <w:p w14:paraId="1A0B06DC" w14:textId="77777777" w:rsidR="002F01A7" w:rsidRPr="00BD5526" w:rsidRDefault="002F01A7" w:rsidP="002F01A7">
      <w:pPr>
        <w:jc w:val="both"/>
        <w:rPr>
          <w:lang w:eastAsia="en-US"/>
        </w:rPr>
      </w:pPr>
    </w:p>
    <w:p w14:paraId="1A0B06DD" w14:textId="77777777" w:rsidR="002F01A7" w:rsidRPr="00BD5526" w:rsidRDefault="002F01A7" w:rsidP="002F01A7">
      <w:pPr>
        <w:jc w:val="both"/>
        <w:rPr>
          <w:lang w:eastAsia="en-US"/>
        </w:rPr>
      </w:pPr>
      <w:r w:rsidRPr="00BD5526">
        <w:rPr>
          <w:lang w:eastAsia="en-US"/>
        </w:rPr>
        <w:t xml:space="preserve">Vlada Sjedinjenih Američkih Država uputila je prijedlog pisma ponude i prihvaćanja </w:t>
      </w:r>
      <w:r w:rsidRPr="00BD5526">
        <w:rPr>
          <w:i/>
          <w:lang w:eastAsia="en-US"/>
        </w:rPr>
        <w:t>Letter of Offer and Acceptance</w:t>
      </w:r>
      <w:r w:rsidRPr="00BD5526">
        <w:rPr>
          <w:lang w:eastAsia="en-US"/>
        </w:rPr>
        <w:t xml:space="preserve"> (u daljnjem tekstu LOA) u svrhu opremanja centra za sigurnosne operacije i mobilnog tima za odgovor na kibernetičke prijetnje.</w:t>
      </w:r>
    </w:p>
    <w:p w14:paraId="1A0B06DE" w14:textId="77777777" w:rsidR="002F01A7" w:rsidRPr="00BD5526" w:rsidRDefault="002F01A7" w:rsidP="002F01A7">
      <w:pPr>
        <w:jc w:val="both"/>
        <w:rPr>
          <w:lang w:eastAsia="en-US"/>
        </w:rPr>
      </w:pPr>
    </w:p>
    <w:p w14:paraId="1A0B06DF" w14:textId="77777777" w:rsidR="002F01A7" w:rsidRPr="00BD5526" w:rsidRDefault="00153165" w:rsidP="002F01A7">
      <w:pPr>
        <w:jc w:val="both"/>
        <w:rPr>
          <w:lang w:eastAsia="en-US"/>
        </w:rPr>
      </w:pPr>
      <w:r>
        <w:rPr>
          <w:lang w:eastAsia="en-US"/>
        </w:rPr>
        <w:t>Sukladno dostavljenom</w:t>
      </w:r>
      <w:r w:rsidR="002F01A7" w:rsidRPr="00BD5526">
        <w:rPr>
          <w:lang w:eastAsia="en-US"/>
        </w:rPr>
        <w:t xml:space="preserve"> prijedlogu ugovora o nabavi opreme, prijenosu znanja u području organizacije nadzora sigurnosti i odgovora na računalno sigurnosne incidente, inicijalnoj obuci djelatnika kao i tehničkoj pomoći za instaliranje opreme u cilju uspostave centra za sigurnosne operacije i opremanje mobilnog tima za odgovor na kibernetičke prijetnje predviđena vrijednost opre</w:t>
      </w:r>
      <w:r w:rsidR="002F01A7">
        <w:rPr>
          <w:lang w:eastAsia="en-US"/>
        </w:rPr>
        <w:t>manja ukupno iznosi 4.959.132</w:t>
      </w:r>
      <w:r w:rsidR="002F01A7" w:rsidRPr="00BD5526">
        <w:rPr>
          <w:lang w:eastAsia="en-US"/>
        </w:rPr>
        <w:t xml:space="preserve"> američkih dolara i u cijelosti se plaća predujmom. </w:t>
      </w:r>
    </w:p>
    <w:p w14:paraId="1A0B06E0" w14:textId="77777777" w:rsidR="002F01A7" w:rsidRPr="00BD5526" w:rsidRDefault="002F01A7" w:rsidP="002F01A7">
      <w:pPr>
        <w:jc w:val="both"/>
        <w:rPr>
          <w:lang w:eastAsia="en-US"/>
        </w:rPr>
      </w:pPr>
    </w:p>
    <w:p w14:paraId="1A0B06E1" w14:textId="77777777" w:rsidR="002F01A7" w:rsidRPr="00BD5526" w:rsidRDefault="002F01A7" w:rsidP="002F01A7">
      <w:pPr>
        <w:jc w:val="both"/>
        <w:rPr>
          <w:lang w:eastAsia="en-US"/>
        </w:rPr>
      </w:pPr>
      <w:r w:rsidRPr="00BD5526">
        <w:rPr>
          <w:lang w:eastAsia="en-US"/>
        </w:rPr>
        <w:t>Također, sukladno odredbama LOA predviđeno je kako će američka stra</w:t>
      </w:r>
      <w:r>
        <w:rPr>
          <w:lang w:eastAsia="en-US"/>
        </w:rPr>
        <w:t>na platiti iznos od 4.200.000</w:t>
      </w:r>
      <w:r w:rsidRPr="00BD5526">
        <w:rPr>
          <w:lang w:eastAsia="en-US"/>
        </w:rPr>
        <w:t xml:space="preserve"> američkih dolara dok će p</w:t>
      </w:r>
      <w:r>
        <w:rPr>
          <w:lang w:eastAsia="en-US"/>
        </w:rPr>
        <w:t>reostali iznos od 759.132</w:t>
      </w:r>
      <w:r w:rsidRPr="00BD5526">
        <w:rPr>
          <w:lang w:eastAsia="en-US"/>
        </w:rPr>
        <w:t xml:space="preserve"> američkih dolara, odnosno  </w:t>
      </w:r>
      <w:r>
        <w:rPr>
          <w:lang w:eastAsia="en-US"/>
        </w:rPr>
        <w:t xml:space="preserve">4.839.857 </w:t>
      </w:r>
      <w:r w:rsidRPr="00BD5526">
        <w:rPr>
          <w:lang w:eastAsia="en-US"/>
        </w:rPr>
        <w:t xml:space="preserve">kuna platiti Ministarstvo obrane. Osim navedenog, Ministarstvo obrane snosit će obvezu plaćanja PDV-a obračunatu na osnovicu cjelokupnog iznosa opremanja, odnosno </w:t>
      </w:r>
      <w:r>
        <w:rPr>
          <w:lang w:eastAsia="en-US"/>
        </w:rPr>
        <w:t>7.904.254 kune</w:t>
      </w:r>
      <w:r w:rsidRPr="00BD5526">
        <w:rPr>
          <w:lang w:eastAsia="en-US"/>
        </w:rPr>
        <w:t>, a koja će uslijediti u narednim godinama po isporuci ugovorenog opremanja.</w:t>
      </w:r>
    </w:p>
    <w:p w14:paraId="1A0B06E2" w14:textId="77777777" w:rsidR="002F01A7" w:rsidRPr="00BD5526" w:rsidRDefault="002F01A7" w:rsidP="002F01A7">
      <w:pPr>
        <w:jc w:val="both"/>
        <w:rPr>
          <w:lang w:eastAsia="en-US"/>
        </w:rPr>
      </w:pPr>
    </w:p>
    <w:p w14:paraId="1A0B06E3" w14:textId="77777777" w:rsidR="002F01A7" w:rsidRPr="00BD5526" w:rsidRDefault="002F01A7" w:rsidP="002F01A7">
      <w:pPr>
        <w:jc w:val="both"/>
        <w:rPr>
          <w:lang w:eastAsia="en-US"/>
        </w:rPr>
      </w:pPr>
      <w:r w:rsidRPr="00BD5526">
        <w:rPr>
          <w:lang w:eastAsia="en-US"/>
        </w:rPr>
        <w:t>Financijska sredstva potrebna za podmirenje predviđenih obveza u ukupnome izn</w:t>
      </w:r>
      <w:r>
        <w:rPr>
          <w:lang w:eastAsia="en-US"/>
        </w:rPr>
        <w:t>osu od 12.744.111</w:t>
      </w:r>
      <w:r w:rsidRPr="00BD5526">
        <w:rPr>
          <w:lang w:eastAsia="en-US"/>
        </w:rPr>
        <w:t xml:space="preserve"> kuna (s PDV-om), osigurana su u Državnom proračunu Republike Hrvatske za 2020.</w:t>
      </w:r>
      <w:r>
        <w:rPr>
          <w:lang w:eastAsia="en-US"/>
        </w:rPr>
        <w:t xml:space="preserve"> godinu</w:t>
      </w:r>
      <w:r w:rsidRPr="00BD5526">
        <w:rPr>
          <w:lang w:eastAsia="en-US"/>
        </w:rPr>
        <w:t xml:space="preserve"> i projekcijama za 2021. i 2022. godinu („Narodne novine“, broj 117/19, 58/20) na razdjelu Ministarstva obrane, u okviru programa 2506 Komunikacijsko - informacijski sustavi i potpora, na projektu K545056 Razvoj cyber sposobnosti, na skupini računa 422 Postrojenja i oprema, odnosno u iznosu od </w:t>
      </w:r>
      <w:r>
        <w:rPr>
          <w:lang w:eastAsia="en-US"/>
        </w:rPr>
        <w:t>4.839.857</w:t>
      </w:r>
      <w:r w:rsidRPr="00BD5526">
        <w:rPr>
          <w:lang w:eastAsia="en-US"/>
        </w:rPr>
        <w:t xml:space="preserve"> kuna u 2020. godini za plaćanje predujma</w:t>
      </w:r>
      <w:r>
        <w:rPr>
          <w:lang w:eastAsia="en-US"/>
        </w:rPr>
        <w:t xml:space="preserve"> i u iznosu od 4.791.510</w:t>
      </w:r>
      <w:r w:rsidRPr="00BD5526">
        <w:rPr>
          <w:lang w:eastAsia="en-US"/>
        </w:rPr>
        <w:t xml:space="preserve"> kuna u 2021. te u iznosu od </w:t>
      </w:r>
      <w:r>
        <w:rPr>
          <w:lang w:eastAsia="en-US"/>
        </w:rPr>
        <w:t>3.112.744 kune</w:t>
      </w:r>
      <w:r w:rsidRPr="00BD5526">
        <w:rPr>
          <w:lang w:eastAsia="en-US"/>
        </w:rPr>
        <w:t xml:space="preserve"> u 2022. godini za plaćanje obveze PDV-a. </w:t>
      </w:r>
    </w:p>
    <w:p w14:paraId="1A0B06E4" w14:textId="77777777" w:rsidR="002F01A7" w:rsidRPr="00BD5526" w:rsidRDefault="002F01A7" w:rsidP="002F01A7">
      <w:pPr>
        <w:jc w:val="both"/>
        <w:rPr>
          <w:lang w:eastAsia="en-US"/>
        </w:rPr>
      </w:pPr>
    </w:p>
    <w:p w14:paraId="1A0B06E5" w14:textId="77777777" w:rsidR="002F01A7" w:rsidRPr="00BD5526" w:rsidRDefault="002F01A7" w:rsidP="002F01A7">
      <w:pPr>
        <w:jc w:val="both"/>
        <w:rPr>
          <w:lang w:eastAsia="en-US"/>
        </w:rPr>
      </w:pPr>
      <w:r w:rsidRPr="00BD5526">
        <w:rPr>
          <w:lang w:eastAsia="en-US"/>
        </w:rPr>
        <w:t xml:space="preserve">Člankom 44. stavkom 2. Zakona o proračunu („Narodne novine“, broj 87/08, 136/12 i 15/15) propisano je da proračunski korisnik može preuzeti obveze po ugovoru koji zahtijeva </w:t>
      </w:r>
      <w:r w:rsidRPr="00BD5526">
        <w:rPr>
          <w:lang w:eastAsia="en-US"/>
        </w:rPr>
        <w:lastRenderedPageBreak/>
        <w:t>plaćanje u sljedećim godinama uz suglasnost Vlade, a na prijedlog ministra financija.</w:t>
      </w:r>
    </w:p>
    <w:p w14:paraId="1A0B06E6" w14:textId="77777777" w:rsidR="002F01A7" w:rsidRPr="00BD5526" w:rsidRDefault="002F01A7" w:rsidP="002F01A7">
      <w:pPr>
        <w:jc w:val="both"/>
        <w:rPr>
          <w:lang w:eastAsia="en-US"/>
        </w:rPr>
      </w:pPr>
    </w:p>
    <w:p w14:paraId="1A0B06E7" w14:textId="77777777" w:rsidR="002F01A7" w:rsidRPr="00BD5526" w:rsidRDefault="002F01A7" w:rsidP="002F01A7">
      <w:pPr>
        <w:jc w:val="both"/>
        <w:rPr>
          <w:lang w:eastAsia="en-US"/>
        </w:rPr>
      </w:pPr>
      <w:r w:rsidRPr="00BD5526">
        <w:rPr>
          <w:lang w:eastAsia="en-US"/>
        </w:rPr>
        <w:t xml:space="preserve">Stoga se točkom I. Odluke daje suglasnost Ministarstvu obrane za preuzimanje obveza na teret sredstava državnog proračuna Republike Hrvatske u 2021. i 2022. godini u ukupnome iznosu od </w:t>
      </w:r>
      <w:r>
        <w:rPr>
          <w:lang w:eastAsia="en-US"/>
        </w:rPr>
        <w:t>7.904.254</w:t>
      </w:r>
      <w:r w:rsidRPr="009A4308">
        <w:rPr>
          <w:lang w:eastAsia="en-US"/>
        </w:rPr>
        <w:t xml:space="preserve"> </w:t>
      </w:r>
      <w:r w:rsidRPr="00BD5526">
        <w:rPr>
          <w:lang w:eastAsia="en-US"/>
        </w:rPr>
        <w:t>kun</w:t>
      </w:r>
      <w:r>
        <w:rPr>
          <w:lang w:eastAsia="en-US"/>
        </w:rPr>
        <w:t>e</w:t>
      </w:r>
      <w:r w:rsidRPr="00BD5526">
        <w:rPr>
          <w:lang w:eastAsia="en-US"/>
        </w:rPr>
        <w:t xml:space="preserve"> za plaćanje obveze PDV-a za opremanje centra za sigurnosne operacije i mobilnog tima za odgovor na kibernetičke prijetnje.</w:t>
      </w:r>
    </w:p>
    <w:p w14:paraId="1A0B06E8" w14:textId="77777777" w:rsidR="002F01A7" w:rsidRPr="00BD5526" w:rsidRDefault="002F01A7" w:rsidP="002F01A7">
      <w:pPr>
        <w:rPr>
          <w:lang w:eastAsia="en-US"/>
        </w:rPr>
      </w:pPr>
    </w:p>
    <w:p w14:paraId="1A0B06E9" w14:textId="77777777" w:rsidR="002F01A7" w:rsidRPr="00BD5526" w:rsidRDefault="002F01A7" w:rsidP="002F01A7">
      <w:pPr>
        <w:rPr>
          <w:b/>
          <w:lang w:eastAsia="en-US"/>
        </w:rPr>
      </w:pPr>
    </w:p>
    <w:p w14:paraId="1A0B06EA" w14:textId="77777777" w:rsidR="002F01A7" w:rsidRPr="00BD5526" w:rsidRDefault="002F01A7" w:rsidP="002F01A7">
      <w:pPr>
        <w:jc w:val="both"/>
        <w:rPr>
          <w:b/>
          <w:lang w:eastAsia="en-US"/>
        </w:rPr>
      </w:pPr>
    </w:p>
    <w:p w14:paraId="1A0B06EB" w14:textId="77777777" w:rsidR="002F01A7" w:rsidRPr="00BD5526" w:rsidRDefault="002F01A7" w:rsidP="002F01A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A0B06EC" w14:textId="77777777" w:rsidR="002F01A7" w:rsidRDefault="002F01A7" w:rsidP="002F01A7">
      <w:pPr>
        <w:jc w:val="both"/>
      </w:pPr>
    </w:p>
    <w:p w14:paraId="1A0B06ED" w14:textId="77777777" w:rsidR="00FE65CC" w:rsidRDefault="00F94205" w:rsidP="002F01A7">
      <w:pPr>
        <w:jc w:val="both"/>
      </w:pPr>
    </w:p>
    <w:sectPr w:rsidR="00FE65CC" w:rsidSect="009B5DEB">
      <w:footerReference w:type="even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B06F2" w14:textId="77777777" w:rsidR="009D7FAA" w:rsidRDefault="009D7FAA">
      <w:r>
        <w:separator/>
      </w:r>
    </w:p>
  </w:endnote>
  <w:endnote w:type="continuationSeparator" w:id="0">
    <w:p w14:paraId="1A0B06F3" w14:textId="77777777" w:rsidR="009D7FAA" w:rsidRDefault="009D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B06F4" w14:textId="77777777" w:rsidR="00D25C41" w:rsidRDefault="00945A87" w:rsidP="009B5D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0B06F5" w14:textId="77777777" w:rsidR="00D25C41" w:rsidRDefault="00F942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B06F0" w14:textId="77777777" w:rsidR="009D7FAA" w:rsidRDefault="009D7FAA">
      <w:r>
        <w:separator/>
      </w:r>
    </w:p>
  </w:footnote>
  <w:footnote w:type="continuationSeparator" w:id="0">
    <w:p w14:paraId="1A0B06F1" w14:textId="77777777" w:rsidR="009D7FAA" w:rsidRDefault="009D7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21AF"/>
    <w:multiLevelType w:val="multilevel"/>
    <w:tmpl w:val="E1540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B00C1"/>
    <w:multiLevelType w:val="hybridMultilevel"/>
    <w:tmpl w:val="91A29A6A"/>
    <w:lvl w:ilvl="0" w:tplc="D2A473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35676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5EC4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ED8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92E3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6039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FCE6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C48D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503C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9C7"/>
    <w:multiLevelType w:val="hybridMultilevel"/>
    <w:tmpl w:val="F2FC557A"/>
    <w:lvl w:ilvl="0" w:tplc="B074D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C8EC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4CB9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9CB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2B5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5C22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4AB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06FA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CA52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0773EC"/>
    <w:multiLevelType w:val="hybridMultilevel"/>
    <w:tmpl w:val="5DCCC0EC"/>
    <w:lvl w:ilvl="0" w:tplc="6B529EC6">
      <w:start w:val="7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B6D0FEC6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AF6A14FA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31B8EEA6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F2FC5EBC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A71EA26C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8C700824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CF7EB3D8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D382CBE2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50022CF1"/>
    <w:multiLevelType w:val="multilevel"/>
    <w:tmpl w:val="BB1E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47D25"/>
    <w:multiLevelType w:val="hybridMultilevel"/>
    <w:tmpl w:val="720EE7EC"/>
    <w:lvl w:ilvl="0" w:tplc="7B1C3F5C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ED66A0A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9716D514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143E16B8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2C0D348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1700D620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24882E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D918F334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BFA6B94E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65ED7178"/>
    <w:multiLevelType w:val="hybridMultilevel"/>
    <w:tmpl w:val="9C2E3784"/>
    <w:lvl w:ilvl="0" w:tplc="772084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10CC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E22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76FE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2A72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160A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E6F7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AE88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0275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B05A07"/>
    <w:multiLevelType w:val="hybridMultilevel"/>
    <w:tmpl w:val="172C7024"/>
    <w:lvl w:ilvl="0" w:tplc="941A5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877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EC08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08B5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1431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4C10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6CE6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70D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0E6B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A63CDD"/>
    <w:multiLevelType w:val="hybridMultilevel"/>
    <w:tmpl w:val="43C43734"/>
    <w:lvl w:ilvl="0" w:tplc="6C44E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88E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72CC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E2BA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E4B7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0079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0EB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104F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9AE6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5B"/>
    <w:rsid w:val="000437E1"/>
    <w:rsid w:val="001333CE"/>
    <w:rsid w:val="00153165"/>
    <w:rsid w:val="00184032"/>
    <w:rsid w:val="002F01A7"/>
    <w:rsid w:val="00314A66"/>
    <w:rsid w:val="003502D1"/>
    <w:rsid w:val="00436CC3"/>
    <w:rsid w:val="004774E9"/>
    <w:rsid w:val="004E265B"/>
    <w:rsid w:val="005A158C"/>
    <w:rsid w:val="005E3636"/>
    <w:rsid w:val="00613DA2"/>
    <w:rsid w:val="00623353"/>
    <w:rsid w:val="007C3F70"/>
    <w:rsid w:val="00877E60"/>
    <w:rsid w:val="008B5DDB"/>
    <w:rsid w:val="00945A87"/>
    <w:rsid w:val="009D3271"/>
    <w:rsid w:val="009D7FAA"/>
    <w:rsid w:val="00A33892"/>
    <w:rsid w:val="00C165E5"/>
    <w:rsid w:val="00C44622"/>
    <w:rsid w:val="00CC5418"/>
    <w:rsid w:val="00CD32BF"/>
    <w:rsid w:val="00F9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B0687"/>
  <w15:docId w15:val="{26CDF5B1-310D-4C82-87F2-2327698C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F4BC9"/>
    <w:pPr>
      <w:spacing w:before="100" w:beforeAutospacing="1" w:after="100" w:afterAutospacing="1"/>
    </w:pPr>
  </w:style>
  <w:style w:type="character" w:styleId="Strong">
    <w:name w:val="Strong"/>
    <w:qFormat/>
    <w:rsid w:val="00FF4BC9"/>
    <w:rPr>
      <w:b/>
      <w:bCs/>
    </w:rPr>
  </w:style>
  <w:style w:type="paragraph" w:styleId="Footer">
    <w:name w:val="footer"/>
    <w:basedOn w:val="Normal"/>
    <w:rsid w:val="009B5D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B5DEB"/>
  </w:style>
  <w:style w:type="paragraph" w:customStyle="1" w:styleId="t-11-9-sred">
    <w:name w:val="t-11-9-sred"/>
    <w:basedOn w:val="Normal"/>
    <w:rsid w:val="00236F78"/>
  </w:style>
  <w:style w:type="paragraph" w:customStyle="1" w:styleId="t-10-9-kurz-s">
    <w:name w:val="t-10-9-kurz-s"/>
    <w:basedOn w:val="Normal"/>
    <w:rsid w:val="00236F78"/>
  </w:style>
  <w:style w:type="character" w:styleId="Emphasis">
    <w:name w:val="Emphasis"/>
    <w:qFormat/>
    <w:rsid w:val="00236F78"/>
    <w:rPr>
      <w:i/>
      <w:iCs/>
    </w:rPr>
  </w:style>
  <w:style w:type="paragraph" w:customStyle="1" w:styleId="clanak-">
    <w:name w:val="clanak-"/>
    <w:basedOn w:val="Normal"/>
    <w:rsid w:val="00236F78"/>
  </w:style>
  <w:style w:type="paragraph" w:customStyle="1" w:styleId="t-9-8">
    <w:name w:val="t-9-8"/>
    <w:basedOn w:val="Normal"/>
    <w:rsid w:val="00236F78"/>
  </w:style>
  <w:style w:type="paragraph" w:styleId="BalloonText">
    <w:name w:val="Balloon Text"/>
    <w:basedOn w:val="Normal"/>
    <w:link w:val="BalloonTextChar"/>
    <w:rsid w:val="00036A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36AC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A00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E65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E65CC"/>
    <w:rPr>
      <w:sz w:val="24"/>
      <w:szCs w:val="24"/>
    </w:rPr>
  </w:style>
  <w:style w:type="table" w:customStyle="1" w:styleId="Reetkatablice1">
    <w:name w:val="Rešetka tablice1"/>
    <w:basedOn w:val="TableNormal"/>
    <w:next w:val="TableGrid"/>
    <w:uiPriority w:val="39"/>
    <w:rsid w:val="002F0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B877104BAF964AA5BBEAE973C8F1E4" ma:contentTypeVersion="0" ma:contentTypeDescription="Create a new document." ma:contentTypeScope="" ma:versionID="27f084a80104b21e45ea39b3497fc4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04ADC5-E9F5-4545-AFFD-7BA1375B80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FA3F5E-7BC9-42A1-B871-0C9E42EF7D67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1E0C696-62F4-4B9E-8E97-F1589BB0F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INTERNO</vt:lpstr>
      <vt:lpstr>INTERNO</vt:lpstr>
    </vt:vector>
  </TitlesOfParts>
  <Company>Ministarstvo Financija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INTERNO</dc:title>
  <dc:creator>Anita Loborec</dc:creator>
  <cp:lastModifiedBy>Nina Ban Glasnović</cp:lastModifiedBy>
  <cp:revision>4</cp:revision>
  <cp:lastPrinted>2020-09-21T07:00:00Z</cp:lastPrinted>
  <dcterms:created xsi:type="dcterms:W3CDTF">2020-09-21T10:09:00Z</dcterms:created>
  <dcterms:modified xsi:type="dcterms:W3CDTF">2020-09-22T09:28:00Z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0x01010023B877104BAF964AA5BBEAE973C8F1E4</vt:lpwstr>
  </property>
</Properties>
</file>