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D4534" w14:textId="77777777" w:rsidR="005A03A9" w:rsidRDefault="005A03A9" w:rsidP="005A03A9">
      <w:pPr>
        <w:jc w:val="center"/>
        <w:rPr>
          <w:sz w:val="22"/>
          <w:szCs w:val="22"/>
        </w:rPr>
      </w:pPr>
      <w:r>
        <w:rPr>
          <w:noProof/>
        </w:rPr>
        <w:drawing>
          <wp:inline distT="0" distB="0" distL="0" distR="0" wp14:anchorId="28DB6D8E" wp14:editId="05069DA8">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50B4E070" w14:textId="77777777" w:rsidR="005A03A9" w:rsidRDefault="005A03A9" w:rsidP="005A03A9">
      <w:pPr>
        <w:spacing w:before="60" w:after="1680"/>
        <w:jc w:val="center"/>
        <w:rPr>
          <w:sz w:val="28"/>
        </w:rPr>
      </w:pPr>
      <w:r>
        <w:rPr>
          <w:sz w:val="28"/>
        </w:rPr>
        <w:t>VLADA REPUBLIKE HRVATSKE</w:t>
      </w:r>
    </w:p>
    <w:p w14:paraId="46130EF7" w14:textId="77777777" w:rsidR="005A03A9" w:rsidRDefault="005A03A9" w:rsidP="005A03A9">
      <w:pPr>
        <w:jc w:val="both"/>
      </w:pPr>
    </w:p>
    <w:p w14:paraId="6431F13F" w14:textId="795A7A9D" w:rsidR="005A03A9" w:rsidRDefault="005A03A9" w:rsidP="005A03A9">
      <w:pPr>
        <w:jc w:val="right"/>
      </w:pPr>
      <w:r>
        <w:t xml:space="preserve">Zagreb, </w:t>
      </w:r>
      <w:r w:rsidR="00A42AB9">
        <w:t>10</w:t>
      </w:r>
      <w:bookmarkStart w:id="0" w:name="_GoBack"/>
      <w:bookmarkEnd w:id="0"/>
      <w:r>
        <w:t>. rujna 2020.</w:t>
      </w:r>
    </w:p>
    <w:p w14:paraId="6B00DDB8" w14:textId="77777777" w:rsidR="005A03A9" w:rsidRDefault="005A03A9" w:rsidP="005A03A9">
      <w:pPr>
        <w:jc w:val="right"/>
      </w:pPr>
    </w:p>
    <w:p w14:paraId="1B46C1E6" w14:textId="77777777" w:rsidR="005A03A9" w:rsidRDefault="005A03A9" w:rsidP="005A03A9">
      <w:pPr>
        <w:jc w:val="right"/>
      </w:pPr>
    </w:p>
    <w:p w14:paraId="04895752" w14:textId="77777777" w:rsidR="005A03A9" w:rsidRDefault="005A03A9" w:rsidP="005A03A9">
      <w:pPr>
        <w:jc w:val="right"/>
      </w:pPr>
    </w:p>
    <w:p w14:paraId="23E79233" w14:textId="77777777" w:rsidR="005A03A9" w:rsidRDefault="005A03A9" w:rsidP="005A03A9">
      <w:pPr>
        <w:jc w:val="both"/>
      </w:pPr>
      <w: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5A03A9" w14:paraId="1D8EF482" w14:textId="77777777" w:rsidTr="00CD49BB">
        <w:tc>
          <w:tcPr>
            <w:tcW w:w="1951" w:type="dxa"/>
            <w:hideMark/>
          </w:tcPr>
          <w:p w14:paraId="05E064DB" w14:textId="77777777" w:rsidR="005A03A9" w:rsidRDefault="005A03A9" w:rsidP="00CD49BB">
            <w:pPr>
              <w:spacing w:line="360" w:lineRule="auto"/>
              <w:jc w:val="right"/>
            </w:pPr>
            <w:r>
              <w:t xml:space="preserve"> </w:t>
            </w:r>
            <w:r>
              <w:rPr>
                <w:b/>
                <w:smallCaps/>
              </w:rPr>
              <w:t>Predlagatelj</w:t>
            </w:r>
            <w:r>
              <w:rPr>
                <w:b/>
              </w:rPr>
              <w:t>:</w:t>
            </w:r>
          </w:p>
        </w:tc>
        <w:tc>
          <w:tcPr>
            <w:tcW w:w="7229" w:type="dxa"/>
            <w:hideMark/>
          </w:tcPr>
          <w:p w14:paraId="0C89CD20" w14:textId="77777777" w:rsidR="005A03A9" w:rsidRDefault="005A03A9" w:rsidP="00CD49BB">
            <w:pPr>
              <w:spacing w:line="360" w:lineRule="auto"/>
            </w:pPr>
            <w:r>
              <w:t>Ministarstvo poljoprivrede</w:t>
            </w:r>
          </w:p>
        </w:tc>
      </w:tr>
    </w:tbl>
    <w:p w14:paraId="1046D554" w14:textId="77777777" w:rsidR="005A03A9" w:rsidRDefault="005A03A9" w:rsidP="005A03A9">
      <w:pPr>
        <w:jc w:val="both"/>
        <w:rPr>
          <w:lang w:eastAsia="en-US"/>
        </w:rPr>
      </w:pPr>
      <w: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5A03A9" w14:paraId="09F6F037" w14:textId="77777777" w:rsidTr="00CD49BB">
        <w:tc>
          <w:tcPr>
            <w:tcW w:w="1951" w:type="dxa"/>
            <w:hideMark/>
          </w:tcPr>
          <w:p w14:paraId="0872B08A" w14:textId="77777777" w:rsidR="005A03A9" w:rsidRDefault="005A03A9" w:rsidP="00CD49BB">
            <w:pPr>
              <w:spacing w:line="360" w:lineRule="auto"/>
              <w:jc w:val="right"/>
            </w:pPr>
            <w:r>
              <w:rPr>
                <w:b/>
                <w:smallCaps/>
              </w:rPr>
              <w:t>Predmet</w:t>
            </w:r>
            <w:r>
              <w:rPr>
                <w:b/>
              </w:rPr>
              <w:t>:</w:t>
            </w:r>
          </w:p>
        </w:tc>
        <w:tc>
          <w:tcPr>
            <w:tcW w:w="7229" w:type="dxa"/>
            <w:hideMark/>
          </w:tcPr>
          <w:p w14:paraId="32EB5A60" w14:textId="77777777" w:rsidR="005A03A9" w:rsidRDefault="005A03A9" w:rsidP="00CD49BB">
            <w:pPr>
              <w:spacing w:line="360" w:lineRule="auto"/>
              <w:jc w:val="both"/>
            </w:pPr>
            <w:r>
              <w:t>Prijedlog odluke o donošenju Izmjena i dopuna Nacionalnog programa pomoći sektoru vina za razdoblje od 2019. do 2023. godine</w:t>
            </w:r>
          </w:p>
        </w:tc>
      </w:tr>
    </w:tbl>
    <w:p w14:paraId="616A3190" w14:textId="77777777" w:rsidR="005A03A9" w:rsidRDefault="005A03A9" w:rsidP="005A03A9">
      <w:pPr>
        <w:jc w:val="both"/>
        <w:rPr>
          <w:lang w:eastAsia="en-US"/>
        </w:rPr>
      </w:pPr>
      <w:r>
        <w:t>__________________________________________________________________________</w:t>
      </w:r>
    </w:p>
    <w:p w14:paraId="41FC5B5F" w14:textId="77777777" w:rsidR="005A03A9" w:rsidRDefault="005A03A9" w:rsidP="005A03A9">
      <w:pPr>
        <w:jc w:val="both"/>
      </w:pPr>
    </w:p>
    <w:p w14:paraId="094A213C" w14:textId="77777777" w:rsidR="005A03A9" w:rsidRDefault="005A03A9" w:rsidP="005A03A9">
      <w:pPr>
        <w:jc w:val="both"/>
      </w:pPr>
    </w:p>
    <w:p w14:paraId="7BE9A67A" w14:textId="77777777" w:rsidR="005A03A9" w:rsidRDefault="005A03A9" w:rsidP="005A03A9">
      <w:pPr>
        <w:jc w:val="both"/>
      </w:pPr>
    </w:p>
    <w:p w14:paraId="4DA4928D" w14:textId="77777777" w:rsidR="005A03A9" w:rsidRDefault="005A03A9" w:rsidP="005A03A9">
      <w:pPr>
        <w:jc w:val="both"/>
      </w:pPr>
    </w:p>
    <w:p w14:paraId="3D970B5B" w14:textId="77777777" w:rsidR="005A03A9" w:rsidRDefault="005A03A9" w:rsidP="005A03A9">
      <w:pPr>
        <w:jc w:val="both"/>
      </w:pPr>
    </w:p>
    <w:p w14:paraId="669B7D9E" w14:textId="77777777" w:rsidR="005A03A9" w:rsidRDefault="005A03A9" w:rsidP="005A03A9">
      <w:pPr>
        <w:jc w:val="both"/>
      </w:pPr>
    </w:p>
    <w:p w14:paraId="762F1540" w14:textId="77777777" w:rsidR="005A03A9" w:rsidRDefault="005A03A9" w:rsidP="005A03A9">
      <w:pPr>
        <w:jc w:val="both"/>
      </w:pPr>
    </w:p>
    <w:p w14:paraId="074F25F3" w14:textId="77777777" w:rsidR="005A03A9" w:rsidRDefault="005A03A9" w:rsidP="005A03A9">
      <w:pPr>
        <w:jc w:val="both"/>
      </w:pPr>
    </w:p>
    <w:p w14:paraId="026F8BC3" w14:textId="77777777" w:rsidR="005A03A9" w:rsidRDefault="005A03A9" w:rsidP="005A03A9">
      <w:pPr>
        <w:jc w:val="both"/>
      </w:pPr>
    </w:p>
    <w:p w14:paraId="0C5158F6" w14:textId="77777777" w:rsidR="005A03A9" w:rsidRDefault="005A03A9" w:rsidP="005A03A9">
      <w:pPr>
        <w:jc w:val="both"/>
      </w:pPr>
    </w:p>
    <w:p w14:paraId="27CE93C9" w14:textId="77777777" w:rsidR="005A03A9" w:rsidRDefault="005A03A9" w:rsidP="005A03A9">
      <w:pPr>
        <w:jc w:val="both"/>
      </w:pPr>
    </w:p>
    <w:p w14:paraId="3B085C41" w14:textId="77777777" w:rsidR="005A03A9" w:rsidRDefault="005A03A9" w:rsidP="005A03A9">
      <w:pPr>
        <w:jc w:val="both"/>
      </w:pPr>
    </w:p>
    <w:p w14:paraId="4AC7F6D4" w14:textId="77777777" w:rsidR="005A03A9" w:rsidRDefault="005A03A9" w:rsidP="005A03A9">
      <w:pPr>
        <w:jc w:val="both"/>
      </w:pPr>
    </w:p>
    <w:p w14:paraId="7454F0A3" w14:textId="77777777" w:rsidR="005A03A9" w:rsidRDefault="005A03A9" w:rsidP="005A03A9">
      <w:pPr>
        <w:jc w:val="both"/>
      </w:pPr>
    </w:p>
    <w:p w14:paraId="79A0A44F" w14:textId="77777777" w:rsidR="005A03A9" w:rsidRDefault="005A03A9" w:rsidP="005A03A9">
      <w:pPr>
        <w:jc w:val="both"/>
      </w:pPr>
    </w:p>
    <w:p w14:paraId="22CC57B9" w14:textId="77777777" w:rsidR="005A03A9" w:rsidRDefault="005A03A9" w:rsidP="005A03A9">
      <w:pPr>
        <w:jc w:val="both"/>
      </w:pPr>
    </w:p>
    <w:p w14:paraId="144E12C6" w14:textId="77777777" w:rsidR="005A03A9" w:rsidRDefault="005A03A9" w:rsidP="005A03A9">
      <w:pPr>
        <w:jc w:val="both"/>
      </w:pPr>
    </w:p>
    <w:p w14:paraId="1233031C" w14:textId="77777777" w:rsidR="005A03A9" w:rsidRDefault="005A03A9" w:rsidP="005A03A9">
      <w:pPr>
        <w:jc w:val="both"/>
      </w:pPr>
    </w:p>
    <w:p w14:paraId="4A0B0018" w14:textId="77777777" w:rsidR="005A03A9" w:rsidRDefault="005A03A9" w:rsidP="005A03A9">
      <w:pPr>
        <w:jc w:val="both"/>
      </w:pPr>
    </w:p>
    <w:p w14:paraId="230F7808" w14:textId="77777777" w:rsidR="005A03A9" w:rsidRDefault="005A03A9" w:rsidP="005A03A9">
      <w:pPr>
        <w:jc w:val="both"/>
      </w:pPr>
    </w:p>
    <w:p w14:paraId="237C802F" w14:textId="77777777" w:rsidR="005A03A9" w:rsidRDefault="005A03A9" w:rsidP="005A03A9">
      <w:pPr>
        <w:pStyle w:val="Header"/>
        <w:rPr>
          <w:rFonts w:asciiTheme="minorHAnsi" w:hAnsiTheme="minorHAnsi" w:cstheme="minorBidi"/>
          <w:sz w:val="22"/>
          <w:szCs w:val="22"/>
        </w:rPr>
      </w:pPr>
    </w:p>
    <w:p w14:paraId="7A4E442B" w14:textId="77777777" w:rsidR="005A03A9" w:rsidRDefault="005A03A9" w:rsidP="005A03A9"/>
    <w:p w14:paraId="279A0F32" w14:textId="77777777" w:rsidR="005A03A9" w:rsidRDefault="005A03A9" w:rsidP="005A03A9">
      <w:pPr>
        <w:pStyle w:val="Footer"/>
      </w:pPr>
    </w:p>
    <w:p w14:paraId="5C45C874" w14:textId="77777777" w:rsidR="005A03A9" w:rsidRDefault="005A03A9" w:rsidP="005A03A9"/>
    <w:p w14:paraId="7C27FB6E" w14:textId="77777777" w:rsidR="005A03A9" w:rsidRDefault="005A03A9" w:rsidP="005A03A9">
      <w:pPr>
        <w:pStyle w:val="Footer"/>
        <w:pBdr>
          <w:top w:val="single" w:sz="4" w:space="1" w:color="404040" w:themeColor="text1" w:themeTint="BF"/>
        </w:pBdr>
        <w:jc w:val="center"/>
        <w:rPr>
          <w:color w:val="404040" w:themeColor="text1" w:themeTint="BF"/>
          <w:spacing w:val="20"/>
          <w:sz w:val="20"/>
        </w:rPr>
      </w:pPr>
      <w:r>
        <w:rPr>
          <w:color w:val="404040" w:themeColor="text1" w:themeTint="BF"/>
          <w:spacing w:val="20"/>
          <w:sz w:val="20"/>
        </w:rPr>
        <w:t>Banski dvori | Trg Sv. Marka 2  | 10000 Zagreb | tel. 01 4569 222 | vlada.gov.hr</w:t>
      </w:r>
    </w:p>
    <w:p w14:paraId="24E59D61" w14:textId="77777777" w:rsidR="009142E8" w:rsidRDefault="009142E8" w:rsidP="009142E8">
      <w:pPr>
        <w:autoSpaceDE w:val="0"/>
        <w:autoSpaceDN w:val="0"/>
        <w:rPr>
          <w:rFonts w:eastAsia="Calibri"/>
          <w:color w:val="000000"/>
        </w:rPr>
      </w:pPr>
    </w:p>
    <w:p w14:paraId="17D353CE" w14:textId="77777777" w:rsidR="005A03A9" w:rsidRDefault="005A03A9" w:rsidP="009142E8">
      <w:pPr>
        <w:autoSpaceDE w:val="0"/>
        <w:autoSpaceDN w:val="0"/>
        <w:rPr>
          <w:rFonts w:eastAsia="Calibri"/>
          <w:color w:val="000000"/>
        </w:rPr>
      </w:pPr>
    </w:p>
    <w:p w14:paraId="2142B6D7" w14:textId="77777777" w:rsidR="009142E8" w:rsidRPr="00DC74E5" w:rsidRDefault="009142E8" w:rsidP="009142E8">
      <w:pPr>
        <w:autoSpaceDE w:val="0"/>
        <w:autoSpaceDN w:val="0"/>
        <w:jc w:val="right"/>
        <w:rPr>
          <w:rFonts w:eastAsia="Calibri"/>
          <w:b/>
          <w:i/>
          <w:color w:val="000000"/>
        </w:rPr>
      </w:pPr>
      <w:r w:rsidRPr="00DC74E5">
        <w:rPr>
          <w:rFonts w:eastAsia="Calibri"/>
          <w:b/>
          <w:i/>
          <w:color w:val="000000"/>
        </w:rPr>
        <w:t>PRIJEDLOG</w:t>
      </w:r>
    </w:p>
    <w:p w14:paraId="176D2801" w14:textId="77777777" w:rsidR="00AE7D3A" w:rsidRDefault="00AE7D3A" w:rsidP="002D5D41">
      <w:pPr>
        <w:autoSpaceDE w:val="0"/>
        <w:autoSpaceDN w:val="0"/>
        <w:adjustRightInd w:val="0"/>
        <w:jc w:val="both"/>
      </w:pPr>
    </w:p>
    <w:p w14:paraId="51A4764B" w14:textId="77777777" w:rsidR="009142E8" w:rsidRDefault="009142E8" w:rsidP="009142E8">
      <w:pPr>
        <w:autoSpaceDE w:val="0"/>
        <w:autoSpaceDN w:val="0"/>
        <w:adjustRightInd w:val="0"/>
        <w:ind w:firstLine="708"/>
        <w:jc w:val="both"/>
      </w:pPr>
    </w:p>
    <w:p w14:paraId="2D5B0379" w14:textId="77777777" w:rsidR="009142E8" w:rsidRPr="00DD78D2" w:rsidRDefault="009142E8" w:rsidP="009142E8">
      <w:pPr>
        <w:autoSpaceDE w:val="0"/>
        <w:autoSpaceDN w:val="0"/>
        <w:adjustRightInd w:val="0"/>
        <w:ind w:firstLine="708"/>
        <w:jc w:val="both"/>
      </w:pPr>
      <w:r w:rsidRPr="00DD78D2">
        <w:t xml:space="preserve">Na temelju članka </w:t>
      </w:r>
      <w:r>
        <w:t>4</w:t>
      </w:r>
      <w:r w:rsidRPr="00DD78D2">
        <w:t xml:space="preserve">9. stavka 2. Zakona o poljoprivredi </w:t>
      </w:r>
      <w:r>
        <w:t>(</w:t>
      </w:r>
      <w:r w:rsidR="00A37ED3">
        <w:t>»</w:t>
      </w:r>
      <w:r>
        <w:t>Narodne novine</w:t>
      </w:r>
      <w:r w:rsidR="00A37ED3">
        <w:t>«</w:t>
      </w:r>
      <w:r w:rsidRPr="00DD78D2">
        <w:t>, br</w:t>
      </w:r>
      <w:r>
        <w:t>oj 118/18</w:t>
      </w:r>
      <w:r w:rsidR="00CB2F56">
        <w:t xml:space="preserve"> i 42/20</w:t>
      </w:r>
      <w:r w:rsidRPr="00DD78D2">
        <w:t>), Vlada Republike Hrvatske je na sjednici o</w:t>
      </w:r>
      <w:r>
        <w:t>držanoj  __________________ 2020</w:t>
      </w:r>
      <w:r w:rsidRPr="00DD78D2">
        <w:t>. godine donijela</w:t>
      </w:r>
    </w:p>
    <w:p w14:paraId="17A105D6" w14:textId="77777777" w:rsidR="009142E8" w:rsidRDefault="009142E8" w:rsidP="002D5D41">
      <w:pPr>
        <w:autoSpaceDE w:val="0"/>
        <w:autoSpaceDN w:val="0"/>
        <w:adjustRightInd w:val="0"/>
        <w:rPr>
          <w:b/>
          <w:bCs/>
        </w:rPr>
      </w:pPr>
    </w:p>
    <w:p w14:paraId="1769A428" w14:textId="77777777" w:rsidR="009142E8" w:rsidRDefault="009142E8" w:rsidP="009142E8">
      <w:pPr>
        <w:autoSpaceDE w:val="0"/>
        <w:autoSpaceDN w:val="0"/>
        <w:adjustRightInd w:val="0"/>
        <w:jc w:val="center"/>
        <w:rPr>
          <w:b/>
          <w:bCs/>
        </w:rPr>
      </w:pPr>
    </w:p>
    <w:p w14:paraId="4ACB5BF6" w14:textId="77777777" w:rsidR="009142E8" w:rsidRPr="00AD6ACC" w:rsidRDefault="009142E8" w:rsidP="009142E8">
      <w:pPr>
        <w:jc w:val="center"/>
        <w:rPr>
          <w:b/>
        </w:rPr>
      </w:pPr>
      <w:r w:rsidRPr="00AD6ACC">
        <w:rPr>
          <w:b/>
        </w:rPr>
        <w:t xml:space="preserve">O D L U K U </w:t>
      </w:r>
    </w:p>
    <w:p w14:paraId="7693C681" w14:textId="77777777" w:rsidR="009142E8" w:rsidRDefault="009142E8" w:rsidP="002D5D41">
      <w:pPr>
        <w:autoSpaceDE w:val="0"/>
        <w:autoSpaceDN w:val="0"/>
        <w:adjustRightInd w:val="0"/>
        <w:jc w:val="center"/>
        <w:rPr>
          <w:b/>
          <w:bCs/>
        </w:rPr>
      </w:pPr>
      <w:r>
        <w:t>o donošenju Izmjena i dopuna</w:t>
      </w:r>
      <w:r w:rsidRPr="00CD4E1A">
        <w:t xml:space="preserve"> Nacionalnog programa pomoći sektoru vina za razdoblje od 2019. do 2023. godine</w:t>
      </w:r>
    </w:p>
    <w:p w14:paraId="1E333069" w14:textId="77777777" w:rsidR="009142E8" w:rsidRDefault="009142E8" w:rsidP="009142E8">
      <w:pPr>
        <w:autoSpaceDE w:val="0"/>
        <w:autoSpaceDN w:val="0"/>
        <w:adjustRightInd w:val="0"/>
        <w:jc w:val="center"/>
        <w:rPr>
          <w:b/>
          <w:bCs/>
        </w:rPr>
      </w:pPr>
    </w:p>
    <w:p w14:paraId="2CD4F533" w14:textId="77777777" w:rsidR="00AE7D3A" w:rsidRDefault="00AE7D3A" w:rsidP="009142E8">
      <w:pPr>
        <w:autoSpaceDE w:val="0"/>
        <w:autoSpaceDN w:val="0"/>
        <w:adjustRightInd w:val="0"/>
        <w:jc w:val="center"/>
        <w:rPr>
          <w:b/>
          <w:bCs/>
        </w:rPr>
      </w:pPr>
    </w:p>
    <w:p w14:paraId="00CF8331" w14:textId="77777777" w:rsidR="009142E8" w:rsidRPr="00DD78D2" w:rsidRDefault="009142E8" w:rsidP="009142E8">
      <w:pPr>
        <w:autoSpaceDE w:val="0"/>
        <w:autoSpaceDN w:val="0"/>
        <w:adjustRightInd w:val="0"/>
        <w:jc w:val="center"/>
        <w:rPr>
          <w:b/>
          <w:bCs/>
        </w:rPr>
      </w:pPr>
      <w:r w:rsidRPr="00DD78D2">
        <w:rPr>
          <w:b/>
          <w:bCs/>
        </w:rPr>
        <w:t>I.</w:t>
      </w:r>
    </w:p>
    <w:p w14:paraId="33E8A43A" w14:textId="77777777" w:rsidR="009142E8" w:rsidRPr="00DD78D2" w:rsidRDefault="009142E8" w:rsidP="009142E8">
      <w:pPr>
        <w:autoSpaceDE w:val="0"/>
        <w:autoSpaceDN w:val="0"/>
        <w:adjustRightInd w:val="0"/>
        <w:jc w:val="center"/>
        <w:rPr>
          <w:b/>
          <w:bCs/>
        </w:rPr>
      </w:pPr>
    </w:p>
    <w:p w14:paraId="7EF10C1A" w14:textId="77777777" w:rsidR="009142E8" w:rsidRDefault="009142E8" w:rsidP="009142E8">
      <w:pPr>
        <w:autoSpaceDE w:val="0"/>
        <w:autoSpaceDN w:val="0"/>
        <w:adjustRightInd w:val="0"/>
        <w:ind w:firstLine="708"/>
        <w:jc w:val="both"/>
      </w:pPr>
      <w:r>
        <w:t>Donose</w:t>
      </w:r>
      <w:r w:rsidRPr="00DD78D2">
        <w:t xml:space="preserve"> se </w:t>
      </w:r>
      <w:r w:rsidRPr="00CD4E1A">
        <w:t>Izmjen</w:t>
      </w:r>
      <w:r w:rsidR="00A002C9">
        <w:t>e</w:t>
      </w:r>
      <w:r w:rsidRPr="00CD4E1A">
        <w:t xml:space="preserve"> i dopun</w:t>
      </w:r>
      <w:r w:rsidR="00A002C9">
        <w:t>e</w:t>
      </w:r>
      <w:r w:rsidRPr="00CD4E1A">
        <w:t xml:space="preserve"> Nacionalnog programa pomoći sektoru vina za razdoblje od 2019. do 2023. godine </w:t>
      </w:r>
      <w:r w:rsidRPr="00DD78D2">
        <w:t xml:space="preserve">(u daljnjem tekstu: </w:t>
      </w:r>
      <w:r w:rsidRPr="00E926A3">
        <w:t>Izmjene i dopun</w:t>
      </w:r>
      <w:r w:rsidR="00A002C9">
        <w:t xml:space="preserve">e </w:t>
      </w:r>
      <w:r w:rsidRPr="00DD78D2">
        <w:t>Program</w:t>
      </w:r>
      <w:r>
        <w:t>a</w:t>
      </w:r>
      <w:r w:rsidRPr="00DD78D2">
        <w:t xml:space="preserve">) </w:t>
      </w:r>
      <w:r>
        <w:t xml:space="preserve">u tekstu koji je Vladi Republike Hrvatske dostavilo Ministarstvo poljoprivrede aktom, </w:t>
      </w:r>
      <w:r w:rsidR="00A002C9">
        <w:t>KLASA</w:t>
      </w:r>
      <w:r>
        <w:t xml:space="preserve">:__________, </w:t>
      </w:r>
      <w:r w:rsidR="00A002C9">
        <w:t>URBROJ</w:t>
      </w:r>
      <w:r>
        <w:t>: _______________, od __________ 2020. godine.</w:t>
      </w:r>
    </w:p>
    <w:p w14:paraId="006A2E48" w14:textId="77777777" w:rsidR="00AE7D3A" w:rsidRPr="00DD78D2" w:rsidRDefault="00AE7D3A" w:rsidP="009142E8">
      <w:pPr>
        <w:autoSpaceDE w:val="0"/>
        <w:autoSpaceDN w:val="0"/>
        <w:adjustRightInd w:val="0"/>
        <w:ind w:firstLine="708"/>
        <w:jc w:val="both"/>
      </w:pPr>
    </w:p>
    <w:p w14:paraId="047E4086" w14:textId="77777777" w:rsidR="006107DB" w:rsidRPr="00FC28BA" w:rsidRDefault="00703971" w:rsidP="00661E67">
      <w:pPr>
        <w:autoSpaceDE w:val="0"/>
        <w:autoSpaceDN w:val="0"/>
        <w:adjustRightInd w:val="0"/>
        <w:jc w:val="both"/>
      </w:pPr>
      <w:r>
        <w:tab/>
      </w:r>
    </w:p>
    <w:p w14:paraId="7A7E0947" w14:textId="77777777" w:rsidR="009142E8" w:rsidRPr="00DD78D2" w:rsidRDefault="009142E8" w:rsidP="009142E8">
      <w:pPr>
        <w:autoSpaceDE w:val="0"/>
        <w:autoSpaceDN w:val="0"/>
        <w:adjustRightInd w:val="0"/>
        <w:jc w:val="center"/>
        <w:rPr>
          <w:b/>
          <w:bCs/>
        </w:rPr>
      </w:pPr>
      <w:r w:rsidRPr="00DD78D2">
        <w:rPr>
          <w:b/>
          <w:bCs/>
        </w:rPr>
        <w:t>II.</w:t>
      </w:r>
    </w:p>
    <w:p w14:paraId="5036E1C2" w14:textId="77777777" w:rsidR="009142E8" w:rsidRPr="00DD78D2" w:rsidRDefault="009142E8" w:rsidP="009142E8">
      <w:pPr>
        <w:autoSpaceDE w:val="0"/>
        <w:autoSpaceDN w:val="0"/>
        <w:adjustRightInd w:val="0"/>
        <w:jc w:val="center"/>
        <w:rPr>
          <w:b/>
          <w:bCs/>
        </w:rPr>
      </w:pPr>
    </w:p>
    <w:p w14:paraId="647FBEE5" w14:textId="77777777" w:rsidR="006107DB" w:rsidRPr="00DD78D2" w:rsidRDefault="006107DB" w:rsidP="002D5D41">
      <w:pPr>
        <w:spacing w:after="200"/>
        <w:ind w:firstLine="708"/>
        <w:jc w:val="both"/>
      </w:pPr>
      <w:r>
        <w:t xml:space="preserve">Izmjene i dopune </w:t>
      </w:r>
      <w:r w:rsidR="00CC7854">
        <w:t>programa iz točke I. ove Odluke</w:t>
      </w:r>
      <w:r>
        <w:t xml:space="preserve"> ostaju u okvirima sredstava predviđenih točkom II. Odluke Vlade Republike Hrvatske KLASA:</w:t>
      </w:r>
      <w:r w:rsidR="003C6C57">
        <w:t xml:space="preserve"> 022-03/20-04/62</w:t>
      </w:r>
      <w:r>
        <w:t xml:space="preserve">, URBROJ: </w:t>
      </w:r>
      <w:r w:rsidR="003C6C57">
        <w:t>50301-25/14-20-4</w:t>
      </w:r>
      <w:r>
        <w:t xml:space="preserve">, od </w:t>
      </w:r>
      <w:r w:rsidR="003C6C57">
        <w:t>25. lipnja 2020. godine</w:t>
      </w:r>
      <w:r>
        <w:t xml:space="preserve"> uz preraspodjelu sredstava po mjerama koja se utvrđuje </w:t>
      </w:r>
      <w:r w:rsidRPr="009476CE">
        <w:t>Prilog</w:t>
      </w:r>
      <w:r w:rsidR="0086059B">
        <w:t>om</w:t>
      </w:r>
      <w:r w:rsidRPr="009476CE">
        <w:t xml:space="preserve"> II</w:t>
      </w:r>
      <w:r w:rsidR="00F774FD">
        <w:t>.</w:t>
      </w:r>
      <w:r w:rsidRPr="009476CE">
        <w:t xml:space="preserve"> </w:t>
      </w:r>
      <w:r w:rsidR="003C6C57">
        <w:t xml:space="preserve">Izmjena i dopuna </w:t>
      </w:r>
      <w:r>
        <w:t>p</w:t>
      </w:r>
      <w:r w:rsidRPr="009476CE">
        <w:t>rograma</w:t>
      </w:r>
      <w:r w:rsidR="00F774FD">
        <w:t xml:space="preserve"> iz točke I. ove Odluke</w:t>
      </w:r>
      <w:r w:rsidRPr="009476CE">
        <w:t>.</w:t>
      </w:r>
    </w:p>
    <w:p w14:paraId="13CB34DB" w14:textId="77777777" w:rsidR="009142E8" w:rsidRDefault="009142E8" w:rsidP="009142E8">
      <w:pPr>
        <w:autoSpaceDE w:val="0"/>
        <w:autoSpaceDN w:val="0"/>
        <w:adjustRightInd w:val="0"/>
        <w:jc w:val="center"/>
        <w:rPr>
          <w:b/>
          <w:bCs/>
        </w:rPr>
      </w:pPr>
      <w:r w:rsidRPr="00DD78D2">
        <w:rPr>
          <w:b/>
          <w:bCs/>
        </w:rPr>
        <w:t>III.</w:t>
      </w:r>
    </w:p>
    <w:p w14:paraId="75B76AFB" w14:textId="77777777" w:rsidR="006554C0" w:rsidRDefault="006554C0" w:rsidP="009142E8">
      <w:pPr>
        <w:autoSpaceDE w:val="0"/>
        <w:autoSpaceDN w:val="0"/>
        <w:adjustRightInd w:val="0"/>
        <w:jc w:val="center"/>
        <w:rPr>
          <w:b/>
          <w:bCs/>
        </w:rPr>
      </w:pPr>
    </w:p>
    <w:p w14:paraId="18900C95" w14:textId="77777777" w:rsidR="009142E8" w:rsidRPr="00DD78D2" w:rsidRDefault="009142E8" w:rsidP="009142E8">
      <w:pPr>
        <w:autoSpaceDE w:val="0"/>
        <w:autoSpaceDN w:val="0"/>
        <w:adjustRightInd w:val="0"/>
        <w:ind w:firstLine="708"/>
        <w:jc w:val="both"/>
      </w:pPr>
      <w:r w:rsidRPr="00DD78D2">
        <w:t>Zadužuje se Ministarstvo poljoprivrede da o donošenju ove Odluke izvijesti Agenciju za plaćanja u poljoprivredi, ribarstvu i ruralnom razvoju.</w:t>
      </w:r>
    </w:p>
    <w:p w14:paraId="693F6B18" w14:textId="77777777" w:rsidR="009142E8" w:rsidRPr="00DD78D2" w:rsidRDefault="009142E8" w:rsidP="009142E8">
      <w:pPr>
        <w:autoSpaceDE w:val="0"/>
        <w:autoSpaceDN w:val="0"/>
        <w:adjustRightInd w:val="0"/>
        <w:jc w:val="both"/>
      </w:pPr>
    </w:p>
    <w:p w14:paraId="40FC760C" w14:textId="77777777" w:rsidR="009142E8" w:rsidRPr="00DD78D2" w:rsidRDefault="006107DB" w:rsidP="009142E8">
      <w:pPr>
        <w:autoSpaceDE w:val="0"/>
        <w:autoSpaceDN w:val="0"/>
        <w:adjustRightInd w:val="0"/>
        <w:jc w:val="center"/>
        <w:rPr>
          <w:b/>
          <w:bCs/>
        </w:rPr>
      </w:pPr>
      <w:r>
        <w:rPr>
          <w:b/>
          <w:bCs/>
        </w:rPr>
        <w:t>I</w:t>
      </w:r>
      <w:r w:rsidR="009142E8" w:rsidRPr="00DD78D2">
        <w:rPr>
          <w:b/>
          <w:bCs/>
        </w:rPr>
        <w:t>V.</w:t>
      </w:r>
    </w:p>
    <w:p w14:paraId="30498DA4" w14:textId="77777777" w:rsidR="009142E8" w:rsidRPr="00DD78D2" w:rsidRDefault="009142E8" w:rsidP="009142E8">
      <w:pPr>
        <w:autoSpaceDE w:val="0"/>
        <w:autoSpaceDN w:val="0"/>
        <w:adjustRightInd w:val="0"/>
        <w:jc w:val="center"/>
        <w:rPr>
          <w:b/>
          <w:bCs/>
        </w:rPr>
      </w:pPr>
    </w:p>
    <w:p w14:paraId="10CB99E8" w14:textId="77777777" w:rsidR="00AE7D3A" w:rsidRPr="002D5D41" w:rsidRDefault="009142E8" w:rsidP="002D5D41">
      <w:pPr>
        <w:autoSpaceDE w:val="0"/>
        <w:autoSpaceDN w:val="0"/>
        <w:adjustRightInd w:val="0"/>
        <w:ind w:firstLine="708"/>
        <w:jc w:val="both"/>
      </w:pPr>
      <w:r w:rsidRPr="00DD78D2">
        <w:t xml:space="preserve">Zadužuje se Ministarstvo poljoprivrede da na svojim mrežnim stranicama objavi </w:t>
      </w:r>
      <w:r w:rsidR="00AE7D3A">
        <w:t>Izmjene i dopune</w:t>
      </w:r>
      <w:r>
        <w:t xml:space="preserve"> </w:t>
      </w:r>
      <w:r w:rsidRPr="00DD78D2">
        <w:t>Program</w:t>
      </w:r>
      <w:r>
        <w:t>a</w:t>
      </w:r>
      <w:r w:rsidRPr="00DD78D2">
        <w:t xml:space="preserve"> iz točke I. ove Odluke.</w:t>
      </w:r>
    </w:p>
    <w:p w14:paraId="6DDC1E23" w14:textId="77777777" w:rsidR="00AE7D3A" w:rsidRDefault="00AE7D3A" w:rsidP="009142E8">
      <w:pPr>
        <w:autoSpaceDE w:val="0"/>
        <w:autoSpaceDN w:val="0"/>
        <w:adjustRightInd w:val="0"/>
        <w:jc w:val="center"/>
        <w:rPr>
          <w:b/>
          <w:bCs/>
        </w:rPr>
      </w:pPr>
    </w:p>
    <w:p w14:paraId="307D2225" w14:textId="77777777" w:rsidR="009142E8" w:rsidRPr="00DD78D2" w:rsidRDefault="009142E8" w:rsidP="009142E8">
      <w:pPr>
        <w:autoSpaceDE w:val="0"/>
        <w:autoSpaceDN w:val="0"/>
        <w:adjustRightInd w:val="0"/>
        <w:jc w:val="center"/>
        <w:rPr>
          <w:b/>
          <w:bCs/>
        </w:rPr>
      </w:pPr>
      <w:r w:rsidRPr="00DD78D2">
        <w:rPr>
          <w:b/>
          <w:bCs/>
        </w:rPr>
        <w:t>V.</w:t>
      </w:r>
    </w:p>
    <w:p w14:paraId="4B93C1FA" w14:textId="77777777" w:rsidR="009142E8" w:rsidRPr="00DD78D2" w:rsidRDefault="009142E8" w:rsidP="009142E8">
      <w:pPr>
        <w:jc w:val="both"/>
      </w:pPr>
    </w:p>
    <w:p w14:paraId="7E857A2B" w14:textId="77777777" w:rsidR="009142E8" w:rsidRPr="00DD78D2" w:rsidRDefault="009142E8" w:rsidP="009142E8">
      <w:pPr>
        <w:ind w:firstLine="708"/>
        <w:jc w:val="both"/>
      </w:pPr>
      <w:r w:rsidRPr="00DD78D2">
        <w:t>Ova Odluka stupa na snagu danom donošenja.</w:t>
      </w:r>
    </w:p>
    <w:p w14:paraId="61ACC878" w14:textId="77777777" w:rsidR="009142E8" w:rsidRPr="00DD78D2" w:rsidRDefault="009142E8" w:rsidP="009142E8">
      <w:pPr>
        <w:jc w:val="both"/>
      </w:pPr>
    </w:p>
    <w:p w14:paraId="3C937F62" w14:textId="77777777" w:rsidR="009142E8" w:rsidRPr="00DD78D2" w:rsidRDefault="009142E8" w:rsidP="009142E8">
      <w:pPr>
        <w:jc w:val="both"/>
      </w:pPr>
    </w:p>
    <w:p w14:paraId="018A99A3" w14:textId="77777777" w:rsidR="009142E8" w:rsidRPr="00DD78D2" w:rsidRDefault="009142E8" w:rsidP="009142E8">
      <w:pPr>
        <w:ind w:left="4956" w:firstLine="708"/>
        <w:jc w:val="center"/>
      </w:pPr>
      <w:r w:rsidRPr="00DD78D2">
        <w:t>PREDSJEDNIK</w:t>
      </w:r>
    </w:p>
    <w:p w14:paraId="3D34BD2F" w14:textId="77777777" w:rsidR="009142E8" w:rsidRPr="00DD78D2" w:rsidRDefault="009142E8" w:rsidP="009142E8"/>
    <w:p w14:paraId="2B4A8C0B" w14:textId="77777777" w:rsidR="002D5D41" w:rsidRDefault="009142E8" w:rsidP="002D5D41">
      <w:pPr>
        <w:ind w:left="4956" w:firstLine="708"/>
        <w:jc w:val="center"/>
      </w:pPr>
      <w:r w:rsidRPr="00DD78D2">
        <w:t>mr. sc. Andrej Plenković</w:t>
      </w:r>
    </w:p>
    <w:p w14:paraId="65EB4A60" w14:textId="77777777" w:rsidR="009142E8" w:rsidRPr="00DD78D2" w:rsidRDefault="006554C0" w:rsidP="002D5D41">
      <w:pPr>
        <w:ind w:left="4956" w:hanging="4956"/>
        <w:jc w:val="both"/>
      </w:pPr>
      <w:r w:rsidRPr="00DD78D2">
        <w:t>KLASA</w:t>
      </w:r>
      <w:r w:rsidR="009142E8" w:rsidRPr="00DD78D2">
        <w:t xml:space="preserve">: </w:t>
      </w:r>
    </w:p>
    <w:p w14:paraId="0E91308D" w14:textId="77777777" w:rsidR="009142E8" w:rsidRPr="00DD78D2" w:rsidRDefault="006554C0" w:rsidP="009142E8">
      <w:pPr>
        <w:jc w:val="both"/>
      </w:pPr>
      <w:r w:rsidRPr="00DD78D2">
        <w:t>URBROJ</w:t>
      </w:r>
      <w:r w:rsidR="009142E8" w:rsidRPr="00DD78D2">
        <w:t xml:space="preserve">: </w:t>
      </w:r>
    </w:p>
    <w:p w14:paraId="7300455F" w14:textId="77777777" w:rsidR="009142E8" w:rsidRPr="002D5D41" w:rsidRDefault="009142E8" w:rsidP="008A4CA2">
      <w:pPr>
        <w:jc w:val="both"/>
      </w:pPr>
      <w:r w:rsidRPr="00DD78D2">
        <w:t xml:space="preserve">Zagreb, </w:t>
      </w:r>
    </w:p>
    <w:p w14:paraId="6C723788" w14:textId="77777777" w:rsidR="00661E67" w:rsidRDefault="00661E67">
      <w:pPr>
        <w:spacing w:after="160" w:line="259" w:lineRule="auto"/>
        <w:rPr>
          <w:b/>
        </w:rPr>
      </w:pPr>
      <w:r>
        <w:rPr>
          <w:b/>
        </w:rPr>
        <w:br w:type="page"/>
      </w:r>
    </w:p>
    <w:p w14:paraId="74C95D81" w14:textId="77777777" w:rsidR="00C43A26" w:rsidRDefault="00C43A26" w:rsidP="00795EE4">
      <w:pPr>
        <w:jc w:val="center"/>
        <w:rPr>
          <w:b/>
        </w:rPr>
      </w:pPr>
    </w:p>
    <w:p w14:paraId="6C151CDD" w14:textId="77777777" w:rsidR="009142E8" w:rsidRPr="00DD78D2" w:rsidRDefault="009142E8" w:rsidP="00795EE4">
      <w:pPr>
        <w:jc w:val="center"/>
        <w:rPr>
          <w:b/>
        </w:rPr>
      </w:pPr>
      <w:r w:rsidRPr="00DD78D2">
        <w:rPr>
          <w:b/>
        </w:rPr>
        <w:t>OBRAZLOŽENJE</w:t>
      </w:r>
    </w:p>
    <w:p w14:paraId="010145FF" w14:textId="77777777" w:rsidR="0034148A" w:rsidRPr="00547E50" w:rsidRDefault="0034148A" w:rsidP="008A4CA2">
      <w:pPr>
        <w:jc w:val="both"/>
      </w:pPr>
    </w:p>
    <w:p w14:paraId="28E6F6EB" w14:textId="77777777" w:rsidR="00BE37B2" w:rsidRPr="00BE37B2" w:rsidRDefault="00BE37B2" w:rsidP="00BE37B2">
      <w:pPr>
        <w:spacing w:before="120" w:after="120"/>
        <w:jc w:val="both"/>
        <w:rPr>
          <w:lang w:eastAsia="en-US"/>
        </w:rPr>
      </w:pPr>
      <w:r w:rsidRPr="00BE37B2">
        <w:rPr>
          <w:rFonts w:eastAsia="Calibri"/>
          <w:lang w:eastAsia="en-US"/>
        </w:rPr>
        <w:t xml:space="preserve">Izmjene i dopune Nacionalnog programa pomoći sektoru vina za razdoblje od 2019. do 2023. godine (u daljnjem tekstu: Nacionalni program) donose se u skladu s člankom 41. Uredbe (EU) br. 1308/2013. </w:t>
      </w:r>
    </w:p>
    <w:p w14:paraId="3F9B6073" w14:textId="77777777" w:rsidR="00BE37B2" w:rsidRPr="00BE37B2" w:rsidRDefault="00BE37B2" w:rsidP="00BE37B2">
      <w:pPr>
        <w:spacing w:before="120" w:after="120"/>
        <w:jc w:val="both"/>
        <w:rPr>
          <w:rFonts w:eastAsia="Calibri"/>
          <w:lang w:eastAsia="en-US"/>
        </w:rPr>
      </w:pPr>
      <w:r w:rsidRPr="00BE37B2">
        <w:rPr>
          <w:rFonts w:eastAsia="Calibri"/>
          <w:lang w:eastAsia="en-US"/>
        </w:rPr>
        <w:t xml:space="preserve">Slijedom prilagodbi, koje su nastale zbog promjene tržišnih uvjeta uvjetovanih pojavom pandemije bolesti COVID – 19, Europska Komisija je donijela niz uredbi kojima se mijenjaju ili dopunjuju postojeće mogućnosti programiranja mjera u okviru programa potpore sektoru vina uređenih Uredbom (EU) br. 1308/2013.  </w:t>
      </w:r>
    </w:p>
    <w:p w14:paraId="46D00145" w14:textId="77777777" w:rsidR="00BE37B2" w:rsidRPr="00BE37B2" w:rsidRDefault="00BE37B2" w:rsidP="00BE37B2">
      <w:pPr>
        <w:spacing w:before="120" w:after="120"/>
        <w:jc w:val="both"/>
        <w:rPr>
          <w:lang w:eastAsia="en-US"/>
        </w:rPr>
      </w:pPr>
      <w:r w:rsidRPr="00BE37B2">
        <w:rPr>
          <w:rFonts w:eastAsia="Calibri"/>
          <w:lang w:eastAsia="en-US"/>
        </w:rPr>
        <w:t>U cilju primjene novih mjera Ministarstvo poljoprivrede predložilo je Vladi Republike Hrvatske donošenje Izmjena i dopuna Nacionalnog programa te su iste donesene u lipnju 2020. godine. Navedenim Izmjenama i dopunama pripremljene su interventne mjere u sklopu Nacionalnog programa pomoći sektoru vina i to kroz:</w:t>
      </w:r>
    </w:p>
    <w:p w14:paraId="34CD7C00" w14:textId="77777777" w:rsidR="00BE37B2" w:rsidRPr="00BE37B2" w:rsidRDefault="00BE37B2" w:rsidP="00BE37B2">
      <w:pPr>
        <w:spacing w:before="120" w:after="120"/>
        <w:jc w:val="both"/>
        <w:rPr>
          <w:rFonts w:eastAsia="Calibri"/>
          <w:lang w:eastAsia="en-US"/>
        </w:rPr>
      </w:pPr>
      <w:r w:rsidRPr="00BE37B2">
        <w:rPr>
          <w:rFonts w:eastAsia="Calibri"/>
          <w:b/>
          <w:u w:val="single"/>
          <w:lang w:eastAsia="en-US"/>
        </w:rPr>
        <w:t xml:space="preserve">Povećanje intenziteta potpore </w:t>
      </w:r>
      <w:r w:rsidRPr="00BE37B2">
        <w:rPr>
          <w:rFonts w:eastAsia="Calibri"/>
          <w:bCs/>
          <w:lang w:eastAsia="en-US"/>
        </w:rPr>
        <w:t>za</w:t>
      </w:r>
      <w:r w:rsidRPr="00BE37B2">
        <w:rPr>
          <w:rFonts w:eastAsia="Calibri"/>
          <w:lang w:eastAsia="en-US"/>
        </w:rPr>
        <w:t xml:space="preserve"> projekte koji su odobreni u sklopu natječaja u razdoblju trajanja bolesti COVID-19, odnosno nakon 4. svibnja 2020. godine kad je uredba stupila na snagu, a najkasnije do 15. listopada o.g. u mjeri:</w:t>
      </w:r>
    </w:p>
    <w:p w14:paraId="4A1ACDDD" w14:textId="77777777" w:rsidR="00BE37B2" w:rsidRPr="00BE37B2" w:rsidRDefault="00BE37B2" w:rsidP="00BE37B2">
      <w:pPr>
        <w:numPr>
          <w:ilvl w:val="1"/>
          <w:numId w:val="8"/>
        </w:numPr>
        <w:spacing w:before="120" w:after="120"/>
        <w:contextualSpacing/>
        <w:jc w:val="both"/>
        <w:rPr>
          <w:rFonts w:eastAsia="Calibri"/>
          <w:lang w:eastAsia="en-US"/>
        </w:rPr>
      </w:pPr>
      <w:r w:rsidRPr="00BE37B2">
        <w:rPr>
          <w:rFonts w:eastAsia="Calibri"/>
          <w:lang w:eastAsia="en-US"/>
        </w:rPr>
        <w:t xml:space="preserve">Ulaganja u vinarije i marketing vina s 50% na 60%, </w:t>
      </w:r>
    </w:p>
    <w:p w14:paraId="0158642A" w14:textId="77777777" w:rsidR="00BE37B2" w:rsidRPr="00BE37B2" w:rsidRDefault="00BE37B2" w:rsidP="00BE37B2">
      <w:pPr>
        <w:numPr>
          <w:ilvl w:val="1"/>
          <w:numId w:val="8"/>
        </w:numPr>
        <w:spacing w:before="120" w:after="120"/>
        <w:contextualSpacing/>
        <w:jc w:val="both"/>
        <w:rPr>
          <w:rFonts w:eastAsia="Calibri"/>
          <w:lang w:eastAsia="en-US"/>
        </w:rPr>
      </w:pPr>
      <w:r w:rsidRPr="00BE37B2">
        <w:rPr>
          <w:rFonts w:eastAsia="Calibri"/>
          <w:lang w:eastAsia="en-US"/>
        </w:rPr>
        <w:t>Restrukturiranje i konverzija vinograda s 70% na 80%.</w:t>
      </w:r>
    </w:p>
    <w:p w14:paraId="370760AC" w14:textId="77777777" w:rsidR="00BE37B2" w:rsidRPr="00BE37B2" w:rsidRDefault="00BE37B2" w:rsidP="00BE37B2">
      <w:pPr>
        <w:spacing w:before="120" w:after="120"/>
        <w:jc w:val="both"/>
        <w:rPr>
          <w:rFonts w:eastAsia="Calibri"/>
          <w:lang w:eastAsia="en-US"/>
        </w:rPr>
      </w:pPr>
      <w:r w:rsidRPr="00BE37B2">
        <w:rPr>
          <w:rFonts w:eastAsia="Calibri"/>
          <w:b/>
          <w:u w:val="single"/>
          <w:lang w:eastAsia="en-US"/>
        </w:rPr>
        <w:t xml:space="preserve">Uvođenje nove mjere </w:t>
      </w:r>
      <w:r w:rsidRPr="00BE37B2">
        <w:rPr>
          <w:rFonts w:eastAsia="Calibri"/>
          <w:b/>
          <w:bCs/>
          <w:sz w:val="26"/>
          <w:szCs w:val="26"/>
          <w:u w:val="single"/>
        </w:rPr>
        <w:t>Destilacija vina u kriznim slučajevima</w:t>
      </w:r>
      <w:r w:rsidRPr="00BE37B2">
        <w:rPr>
          <w:rFonts w:eastAsia="Calibri"/>
          <w:lang w:eastAsia="en-US"/>
        </w:rPr>
        <w:t xml:space="preserve"> u kojoj je moguće odobravanje potpore proizvođaču vina za vino koje isporučuje na destilaciju odobrenom destilateru. Kvota vina za destilaciju za koju se dodjeljuje potpora je 6.500.000 litara, uz ukupan iznos potpore za mjeru u iznosu 38,3 milijuna kuna. Potporu može ostvariti proizvođač vina za prodano i isporučeno vino odobrenom destilateru, u iznosu od 5,00 kn po litri vina te se nadoknađuju troškovi transporta vina do destilatera. Ujedno osigurava se i potpora destilateru za destiliranje vina i nadoknadu tih troškova u iznosu 0,5 kuna po litri vina. </w:t>
      </w:r>
    </w:p>
    <w:p w14:paraId="31146FEB" w14:textId="77777777" w:rsidR="00BE37B2" w:rsidRPr="00BE37B2" w:rsidRDefault="00BE37B2" w:rsidP="00BE37B2">
      <w:pPr>
        <w:spacing w:before="120" w:after="120"/>
        <w:jc w:val="both"/>
        <w:rPr>
          <w:color w:val="FF0000"/>
          <w:lang w:eastAsia="en-US"/>
        </w:rPr>
      </w:pPr>
      <w:r w:rsidRPr="00BE37B2">
        <w:rPr>
          <w:rFonts w:eastAsia="Calibri"/>
          <w:b/>
          <w:u w:val="single"/>
          <w:lang w:eastAsia="en-US"/>
        </w:rPr>
        <w:t>Uvođenje nove mjere Potpora za krizno skladištenje vina</w:t>
      </w:r>
      <w:r w:rsidRPr="00BE37B2">
        <w:rPr>
          <w:rFonts w:eastAsia="Calibri"/>
          <w:lang w:eastAsia="en-US"/>
        </w:rPr>
        <w:t xml:space="preserve"> kojom se proizvođača vina stimulira dajući mu potporu da svoje zalihe vina ne stavlja na tržište određeno vrijeme čime se smanjuje ponuda i održava cijena. Kvota vina za skladištenje za koju se dodjeljuje potpora je 2.770.000 litara, a ukupan iznos potpore je 5 milijuna kuna. Potporu ostvaruje proizvođač vina za vino predano na skladištenje u iznosu od 0,6 kn/litri za 30 dana skladištenja. </w:t>
      </w:r>
    </w:p>
    <w:p w14:paraId="7816499C" w14:textId="77777777" w:rsidR="00BE37B2" w:rsidRPr="00BE37B2" w:rsidRDefault="00BE37B2" w:rsidP="00BE37B2">
      <w:pPr>
        <w:autoSpaceDE w:val="0"/>
        <w:autoSpaceDN w:val="0"/>
        <w:adjustRightInd w:val="0"/>
        <w:spacing w:before="120" w:after="120"/>
        <w:jc w:val="both"/>
        <w:rPr>
          <w:rFonts w:eastAsia="EUAlbertina"/>
          <w:color w:val="000000"/>
          <w:lang w:eastAsia="en-US"/>
        </w:rPr>
      </w:pPr>
      <w:r w:rsidRPr="00BE37B2">
        <w:rPr>
          <w:rFonts w:eastAsia="Calibri"/>
          <w:lang w:eastAsia="en-US"/>
        </w:rPr>
        <w:t>Nakon početka provedbe mjera Destilacija vina u kriznim slučajevima i Potpora za krizno skladištenje vina, koje su uvrštene u Nacionalni program pomoći sektoru vina za razdoblje od 2019. do 2023. izmjenama i dopunama navedenog programa u lipnju o.g., Europska komisija je tijekom srpnja 2020. godine još jednom razmotrila mogućnost šire primjene mjera pomoći u sektoru vina te je u Europski parlament uputila prijedlog izmjena i dopuna Delegirane uredbe Komisije (EU) br. 2020/592, kojima se</w:t>
      </w:r>
      <w:r w:rsidRPr="00BE37B2">
        <w:rPr>
          <w:rFonts w:eastAsia="EUAlbertina"/>
          <w:color w:val="000000"/>
          <w:lang w:eastAsia="en-US"/>
        </w:rPr>
        <w:t xml:space="preserve"> pored ostalih pitanja za Republiku Hrvatsku rješava bitno pitanje liberaliziranja isplata državne potpore te se ono ne vezuje za pravila o državnim potporama čime se dodatno povećavaju intenziteti potpora za mjere Ulaganje u vinarije i marketing vina </w:t>
      </w:r>
      <w:r w:rsidRPr="00BE37B2">
        <w:rPr>
          <w:rFonts w:eastAsia="EUAlbertina"/>
          <w:color w:val="000000"/>
          <w:lang w:eastAsia="en-US"/>
        </w:rPr>
        <w:lastRenderedPageBreak/>
        <w:t>sa 60% na 70% i Restrukturiranje i konverzija vinograda sa 80% na 90%. Temeljem navedenog Ministarstvo poljoprivrede pripremilo je još jednu izmjenu Nacionalnog programa kako bi se u njegovu provedbu uključile izmjene koje predlaže Europska komisija.</w:t>
      </w:r>
    </w:p>
    <w:p w14:paraId="0A12CB34" w14:textId="77777777" w:rsidR="00BE37B2" w:rsidRPr="00BE37B2" w:rsidRDefault="00BE37B2" w:rsidP="00BE37B2">
      <w:pPr>
        <w:spacing w:before="120" w:after="120"/>
        <w:jc w:val="both"/>
        <w:rPr>
          <w:rFonts w:eastAsia="Calibri"/>
          <w:lang w:eastAsia="en-US"/>
        </w:rPr>
      </w:pPr>
      <w:r w:rsidRPr="00BE37B2">
        <w:rPr>
          <w:rFonts w:eastAsia="Calibri"/>
          <w:lang w:eastAsia="en-US"/>
        </w:rPr>
        <w:t>Nadalje, u provođenju projekata po Nacionalnom programu, u razdoblju nakon donošenja Izmjena i dopuna Nacionalnog programa, zbog daljnje krize uslijedio je još jedan val prekidanja i prolongacije projekata po svim mjerama. Time se u ovogodišnjoj financijskoj omotnici, koja se mora potrošiti do 15. listopada 2020. godine, kumulira dodatni iznos od 1.738.338,00 EUR (13.184.946,00 kuna) koji će ostati neutrošen (promjene, iznosi smanjenja odnosno povećanja sredstava po pojedinim mjerama vidljivi su iz prijedloga Opće financijske tablice Prilog II - Točka F. Nacionalnog programa).</w:t>
      </w:r>
    </w:p>
    <w:p w14:paraId="0E0A422A" w14:textId="77777777" w:rsidR="00BE37B2" w:rsidRPr="00BE37B2" w:rsidRDefault="00BE37B2" w:rsidP="00BE37B2">
      <w:pPr>
        <w:spacing w:before="120" w:after="120"/>
        <w:jc w:val="both"/>
        <w:rPr>
          <w:rFonts w:eastAsia="Calibri"/>
          <w:lang w:eastAsia="en-US"/>
        </w:rPr>
      </w:pPr>
      <w:r w:rsidRPr="00BE37B2">
        <w:rPr>
          <w:rFonts w:eastAsia="Calibri"/>
          <w:lang w:eastAsia="en-US"/>
        </w:rPr>
        <w:t>Dodatni, odnosno neutrošeni iznos od 1.738.338,00 EUR (13.184.946,00 kuna) dijelom se preusmjerava u mjeru Destilacija vina u kriznim slučajevima u iznosu od 1.079.124,84 EUR (8.184.946,06 kuna) te se ovim Izmjenama i dopunama Nacionalnog program povećava nominalni iznos potpore za vino koje ide na destilaciju, obzirom da se ne može provesti povećanje kvote (isto bi podrazumijevalo raspisivanje novog Javnog poziva za čiju provedbu nema vremena obzirom da provedba mjere i isplata mora biti okončana do 15. listopada 2020. godine).</w:t>
      </w:r>
    </w:p>
    <w:p w14:paraId="3A99088B" w14:textId="77777777" w:rsidR="00BE37B2" w:rsidRPr="00BE37B2" w:rsidRDefault="00BE37B2" w:rsidP="00BE37B2">
      <w:pPr>
        <w:autoSpaceDE w:val="0"/>
        <w:autoSpaceDN w:val="0"/>
        <w:adjustRightInd w:val="0"/>
        <w:spacing w:before="120" w:after="120"/>
        <w:jc w:val="both"/>
        <w:rPr>
          <w:rFonts w:eastAsia="Calibri"/>
          <w:lang w:eastAsia="en-US"/>
        </w:rPr>
      </w:pPr>
      <w:r w:rsidRPr="00BE37B2">
        <w:rPr>
          <w:rFonts w:eastAsia="Calibri"/>
          <w:lang w:eastAsia="en-US"/>
        </w:rPr>
        <w:t>U mjeri 9. Destilacija vina u kriznim slučajevima podmjere će se provoditi u sljedećim iznosima potpore s dva izvora sredstava:</w:t>
      </w:r>
    </w:p>
    <w:p w14:paraId="1BE99AAF" w14:textId="77777777" w:rsidR="00BE37B2" w:rsidRPr="00BE37B2" w:rsidRDefault="00BE37B2" w:rsidP="00BE37B2">
      <w:pPr>
        <w:autoSpaceDE w:val="0"/>
        <w:autoSpaceDN w:val="0"/>
        <w:adjustRightInd w:val="0"/>
        <w:spacing w:before="120" w:after="120"/>
        <w:jc w:val="both"/>
        <w:rPr>
          <w:rFonts w:eastAsia="Calibri"/>
          <w:lang w:eastAsia="en-US"/>
        </w:rPr>
      </w:pPr>
      <w:r w:rsidRPr="00BE37B2">
        <w:rPr>
          <w:rFonts w:eastAsia="Calibri"/>
          <w:lang w:eastAsia="en-US"/>
        </w:rPr>
        <w:t xml:space="preserve">Tablica 1: Mjera 9. Destilacija vina u kriznim slučajevima </w:t>
      </w:r>
    </w:p>
    <w:tbl>
      <w:tblPr>
        <w:tblW w:w="8980" w:type="dxa"/>
        <w:tblInd w:w="-10" w:type="dxa"/>
        <w:tblLook w:val="04A0" w:firstRow="1" w:lastRow="0" w:firstColumn="1" w:lastColumn="0" w:noHBand="0" w:noVBand="1"/>
      </w:tblPr>
      <w:tblGrid>
        <w:gridCol w:w="3940"/>
        <w:gridCol w:w="2581"/>
        <w:gridCol w:w="2459"/>
      </w:tblGrid>
      <w:tr w:rsidR="002A3C1E" w:rsidRPr="00BE37B2" w14:paraId="18E8DD17" w14:textId="77777777" w:rsidTr="002A3C1E">
        <w:trPr>
          <w:trHeight w:val="1407"/>
        </w:trPr>
        <w:tc>
          <w:tcPr>
            <w:tcW w:w="3940" w:type="dxa"/>
            <w:tcBorders>
              <w:top w:val="single" w:sz="8" w:space="0" w:color="auto"/>
              <w:left w:val="single" w:sz="8" w:space="0" w:color="auto"/>
              <w:bottom w:val="single" w:sz="8" w:space="0" w:color="000000"/>
              <w:right w:val="single" w:sz="8" w:space="0" w:color="auto"/>
            </w:tcBorders>
            <w:vAlign w:val="center"/>
            <w:hideMark/>
          </w:tcPr>
          <w:p w14:paraId="6BDFEB69" w14:textId="77777777" w:rsidR="002A3C1E" w:rsidRPr="00BE37B2" w:rsidRDefault="002A3C1E" w:rsidP="00BE37B2">
            <w:pPr>
              <w:spacing w:before="120" w:after="120" w:line="254" w:lineRule="auto"/>
              <w:jc w:val="center"/>
              <w:rPr>
                <w:rFonts w:eastAsia="Calibri"/>
                <w:b/>
                <w:bCs/>
                <w:color w:val="000000"/>
                <w:lang w:eastAsia="en-US"/>
              </w:rPr>
            </w:pPr>
            <w:r>
              <w:rPr>
                <w:rFonts w:eastAsia="Calibri"/>
                <w:b/>
                <w:bCs/>
                <w:color w:val="000000"/>
                <w:lang w:eastAsia="en-US"/>
              </w:rPr>
              <w:t>Mjera potpore</w:t>
            </w:r>
          </w:p>
        </w:tc>
        <w:tc>
          <w:tcPr>
            <w:tcW w:w="2581" w:type="dxa"/>
            <w:tcBorders>
              <w:top w:val="single" w:sz="4" w:space="0" w:color="auto"/>
              <w:left w:val="nil"/>
              <w:right w:val="single" w:sz="8" w:space="0" w:color="auto"/>
            </w:tcBorders>
            <w:vAlign w:val="center"/>
            <w:hideMark/>
          </w:tcPr>
          <w:p w14:paraId="0857120F" w14:textId="77777777" w:rsidR="002A3C1E" w:rsidRPr="00BE37B2" w:rsidRDefault="002A3C1E" w:rsidP="00601C6D">
            <w:pPr>
              <w:spacing w:before="120" w:after="120" w:line="254" w:lineRule="auto"/>
              <w:jc w:val="center"/>
              <w:rPr>
                <w:rFonts w:eastAsia="Calibri"/>
                <w:b/>
                <w:bCs/>
                <w:color w:val="000000"/>
                <w:lang w:eastAsia="en-US"/>
              </w:rPr>
            </w:pPr>
            <w:r w:rsidRPr="00BE37B2">
              <w:rPr>
                <w:rFonts w:eastAsia="Calibri"/>
                <w:b/>
                <w:bCs/>
                <w:color w:val="000000"/>
                <w:lang w:eastAsia="en-US"/>
              </w:rPr>
              <w:t>Sredstva Državne potpore iz DP Republike Hrvatske</w:t>
            </w:r>
            <w:r>
              <w:rPr>
                <w:rFonts w:eastAsia="Calibri"/>
                <w:b/>
                <w:bCs/>
                <w:color w:val="000000"/>
                <w:lang w:eastAsia="en-US"/>
              </w:rPr>
              <w:t xml:space="preserve"> (Kuna)</w:t>
            </w:r>
          </w:p>
        </w:tc>
        <w:tc>
          <w:tcPr>
            <w:tcW w:w="2459" w:type="dxa"/>
            <w:tcBorders>
              <w:top w:val="single" w:sz="4" w:space="0" w:color="auto"/>
              <w:left w:val="nil"/>
              <w:right w:val="single" w:sz="8" w:space="0" w:color="auto"/>
            </w:tcBorders>
            <w:vAlign w:val="center"/>
            <w:hideMark/>
          </w:tcPr>
          <w:p w14:paraId="0F5C871E" w14:textId="77777777" w:rsidR="002A3C1E" w:rsidRDefault="002A3C1E" w:rsidP="00BE37B2">
            <w:pPr>
              <w:spacing w:before="120" w:after="120" w:line="254" w:lineRule="auto"/>
              <w:jc w:val="center"/>
              <w:rPr>
                <w:rFonts w:eastAsia="Calibri"/>
                <w:b/>
                <w:bCs/>
                <w:color w:val="000000"/>
                <w:lang w:eastAsia="en-US"/>
              </w:rPr>
            </w:pPr>
            <w:r w:rsidRPr="00BE37B2">
              <w:rPr>
                <w:rFonts w:eastAsia="Calibri"/>
                <w:b/>
                <w:bCs/>
                <w:color w:val="000000"/>
                <w:lang w:eastAsia="en-US"/>
              </w:rPr>
              <w:t>Sredstva iz EU proračuna</w:t>
            </w:r>
            <w:r>
              <w:rPr>
                <w:rFonts w:eastAsia="Calibri"/>
                <w:b/>
                <w:bCs/>
                <w:color w:val="000000"/>
                <w:lang w:eastAsia="en-US"/>
              </w:rPr>
              <w:t xml:space="preserve"> Doprinos EU u mjeri </w:t>
            </w:r>
          </w:p>
          <w:p w14:paraId="6BB8502E" w14:textId="77777777" w:rsidR="002A3C1E" w:rsidRPr="00BE37B2" w:rsidRDefault="002A3C1E" w:rsidP="00BE37B2">
            <w:pPr>
              <w:spacing w:before="120" w:after="120" w:line="254" w:lineRule="auto"/>
              <w:jc w:val="center"/>
              <w:rPr>
                <w:rFonts w:eastAsia="Calibri"/>
                <w:b/>
                <w:bCs/>
                <w:color w:val="000000"/>
                <w:lang w:eastAsia="en-US"/>
              </w:rPr>
            </w:pPr>
            <w:r>
              <w:rPr>
                <w:rFonts w:eastAsia="Calibri"/>
                <w:b/>
                <w:bCs/>
                <w:color w:val="000000"/>
                <w:lang w:eastAsia="en-US"/>
              </w:rPr>
              <w:t>(EUR)</w:t>
            </w:r>
          </w:p>
        </w:tc>
      </w:tr>
      <w:tr w:rsidR="00BE37B2" w:rsidRPr="00BE37B2" w14:paraId="7ACF3099" w14:textId="77777777" w:rsidTr="002A3C1E">
        <w:trPr>
          <w:trHeight w:val="565"/>
        </w:trPr>
        <w:tc>
          <w:tcPr>
            <w:tcW w:w="3940" w:type="dxa"/>
            <w:tcBorders>
              <w:top w:val="nil"/>
              <w:left w:val="single" w:sz="8" w:space="0" w:color="auto"/>
              <w:bottom w:val="single" w:sz="8" w:space="0" w:color="auto"/>
              <w:right w:val="single" w:sz="8" w:space="0" w:color="auto"/>
            </w:tcBorders>
            <w:vAlign w:val="center"/>
            <w:hideMark/>
          </w:tcPr>
          <w:p w14:paraId="38766FE2" w14:textId="77777777" w:rsidR="00BE37B2" w:rsidRPr="00BE37B2" w:rsidRDefault="00BE37B2" w:rsidP="00BE37B2">
            <w:pPr>
              <w:spacing w:before="120" w:after="120" w:line="254" w:lineRule="auto"/>
              <w:jc w:val="both"/>
              <w:rPr>
                <w:rFonts w:eastAsia="Calibri"/>
                <w:color w:val="000000"/>
                <w:lang w:eastAsia="en-US"/>
              </w:rPr>
            </w:pPr>
            <w:r w:rsidRPr="00BE37B2">
              <w:rPr>
                <w:rFonts w:eastAsia="Calibri"/>
                <w:color w:val="000000"/>
                <w:lang w:eastAsia="en-US"/>
              </w:rPr>
              <w:t>Potpora proizvođačima vina za vino predano na destilaciju</w:t>
            </w:r>
          </w:p>
        </w:tc>
        <w:tc>
          <w:tcPr>
            <w:tcW w:w="2581" w:type="dxa"/>
            <w:tcBorders>
              <w:top w:val="single" w:sz="4" w:space="0" w:color="auto"/>
              <w:left w:val="nil"/>
              <w:bottom w:val="single" w:sz="8" w:space="0" w:color="auto"/>
              <w:right w:val="single" w:sz="8" w:space="0" w:color="auto"/>
            </w:tcBorders>
            <w:vAlign w:val="center"/>
            <w:hideMark/>
          </w:tcPr>
          <w:p w14:paraId="32AEF13E" w14:textId="77777777" w:rsidR="00BE37B2" w:rsidRPr="00BE37B2" w:rsidRDefault="00BE37B2" w:rsidP="00BE37B2">
            <w:pPr>
              <w:spacing w:before="120" w:after="120" w:line="254" w:lineRule="auto"/>
              <w:jc w:val="center"/>
              <w:rPr>
                <w:rFonts w:eastAsia="Calibri"/>
                <w:color w:val="000000"/>
                <w:lang w:eastAsia="en-US"/>
              </w:rPr>
            </w:pPr>
            <w:r w:rsidRPr="00BE37B2">
              <w:rPr>
                <w:rFonts w:eastAsia="Calibri"/>
                <w:color w:val="000000"/>
                <w:lang w:eastAsia="en-US"/>
              </w:rPr>
              <w:t>7.890.320,00</w:t>
            </w:r>
          </w:p>
        </w:tc>
        <w:tc>
          <w:tcPr>
            <w:tcW w:w="2459" w:type="dxa"/>
            <w:tcBorders>
              <w:top w:val="single" w:sz="4" w:space="0" w:color="auto"/>
              <w:left w:val="nil"/>
              <w:bottom w:val="single" w:sz="8" w:space="0" w:color="auto"/>
              <w:right w:val="single" w:sz="8" w:space="0" w:color="auto"/>
            </w:tcBorders>
            <w:vAlign w:val="center"/>
            <w:hideMark/>
          </w:tcPr>
          <w:p w14:paraId="7C699D94" w14:textId="77777777" w:rsidR="00BE37B2" w:rsidRPr="00BE37B2" w:rsidRDefault="00BE37B2" w:rsidP="00BE37B2">
            <w:pPr>
              <w:spacing w:before="120" w:after="120" w:line="254" w:lineRule="auto"/>
              <w:jc w:val="center"/>
              <w:rPr>
                <w:rFonts w:eastAsia="Calibri"/>
                <w:color w:val="000000"/>
                <w:lang w:eastAsia="en-US"/>
              </w:rPr>
            </w:pPr>
            <w:r w:rsidRPr="00BE37B2">
              <w:rPr>
                <w:rFonts w:eastAsia="Calibri"/>
                <w:color w:val="000000"/>
                <w:lang w:eastAsia="en-US"/>
              </w:rPr>
              <w:t>4.534.108,84</w:t>
            </w:r>
            <w:r w:rsidRPr="00BE37B2">
              <w:rPr>
                <w:rFonts w:eastAsia="Calibri"/>
                <w:b/>
                <w:color w:val="000000"/>
                <w:lang w:eastAsia="en-US"/>
              </w:rPr>
              <w:t>“</w:t>
            </w:r>
          </w:p>
        </w:tc>
      </w:tr>
      <w:tr w:rsidR="00BE37B2" w:rsidRPr="00BE37B2" w14:paraId="1F185F0C" w14:textId="77777777" w:rsidTr="002A3C1E">
        <w:trPr>
          <w:trHeight w:val="280"/>
        </w:trPr>
        <w:tc>
          <w:tcPr>
            <w:tcW w:w="3940" w:type="dxa"/>
            <w:tcBorders>
              <w:top w:val="nil"/>
              <w:left w:val="single" w:sz="8" w:space="0" w:color="auto"/>
              <w:bottom w:val="single" w:sz="8" w:space="0" w:color="auto"/>
              <w:right w:val="single" w:sz="8" w:space="0" w:color="auto"/>
            </w:tcBorders>
            <w:vAlign w:val="center"/>
            <w:hideMark/>
          </w:tcPr>
          <w:p w14:paraId="798844E8" w14:textId="77777777" w:rsidR="00BE37B2" w:rsidRPr="00BE37B2" w:rsidRDefault="00BE37B2" w:rsidP="00BE37B2">
            <w:pPr>
              <w:spacing w:before="120" w:after="120" w:line="254" w:lineRule="auto"/>
              <w:jc w:val="both"/>
              <w:rPr>
                <w:rFonts w:eastAsia="Calibri"/>
                <w:color w:val="000000"/>
                <w:lang w:eastAsia="en-US"/>
              </w:rPr>
            </w:pPr>
            <w:r w:rsidRPr="00BE37B2">
              <w:rPr>
                <w:rFonts w:eastAsia="Calibri"/>
                <w:color w:val="000000"/>
                <w:lang w:eastAsia="en-US"/>
              </w:rPr>
              <w:t>Potpora za pokriće transportnih troškova u dopremi vina na destilaciju</w:t>
            </w:r>
          </w:p>
        </w:tc>
        <w:tc>
          <w:tcPr>
            <w:tcW w:w="2581" w:type="dxa"/>
            <w:tcBorders>
              <w:top w:val="nil"/>
              <w:left w:val="nil"/>
              <w:bottom w:val="single" w:sz="8" w:space="0" w:color="auto"/>
              <w:right w:val="single" w:sz="8" w:space="0" w:color="auto"/>
            </w:tcBorders>
            <w:vAlign w:val="center"/>
            <w:hideMark/>
          </w:tcPr>
          <w:p w14:paraId="7BC864B3" w14:textId="77777777" w:rsidR="00BE37B2" w:rsidRPr="00BE37B2" w:rsidRDefault="00BE37B2" w:rsidP="00BE37B2">
            <w:pPr>
              <w:spacing w:before="120" w:after="120" w:line="254" w:lineRule="auto"/>
              <w:jc w:val="center"/>
              <w:rPr>
                <w:rFonts w:eastAsia="Calibri"/>
                <w:color w:val="000000"/>
                <w:lang w:eastAsia="en-US"/>
              </w:rPr>
            </w:pPr>
            <w:r w:rsidRPr="00BE37B2">
              <w:rPr>
                <w:rFonts w:eastAsia="Calibri"/>
                <w:color w:val="000000"/>
                <w:lang w:eastAsia="en-US"/>
              </w:rPr>
              <w:t>241.280,00</w:t>
            </w:r>
          </w:p>
        </w:tc>
        <w:tc>
          <w:tcPr>
            <w:tcW w:w="2459" w:type="dxa"/>
            <w:tcBorders>
              <w:top w:val="nil"/>
              <w:left w:val="nil"/>
              <w:bottom w:val="single" w:sz="8" w:space="0" w:color="auto"/>
              <w:right w:val="single" w:sz="8" w:space="0" w:color="auto"/>
            </w:tcBorders>
            <w:vAlign w:val="center"/>
            <w:hideMark/>
          </w:tcPr>
          <w:p w14:paraId="51CC20EF" w14:textId="77777777" w:rsidR="00BE37B2" w:rsidRPr="00BE37B2" w:rsidRDefault="00BE37B2" w:rsidP="00BE37B2">
            <w:pPr>
              <w:spacing w:before="120" w:after="120" w:line="254" w:lineRule="auto"/>
              <w:jc w:val="center"/>
              <w:rPr>
                <w:rFonts w:eastAsia="Calibri"/>
                <w:color w:val="000000"/>
                <w:lang w:eastAsia="en-US"/>
              </w:rPr>
            </w:pPr>
            <w:r w:rsidRPr="00BE37B2">
              <w:rPr>
                <w:rFonts w:eastAsia="Calibri"/>
                <w:color w:val="000000"/>
                <w:lang w:eastAsia="en-US"/>
              </w:rPr>
              <w:t>105.651,00</w:t>
            </w:r>
          </w:p>
        </w:tc>
      </w:tr>
      <w:tr w:rsidR="00BE37B2" w:rsidRPr="00BE37B2" w14:paraId="6E587DDA" w14:textId="77777777" w:rsidTr="002A3C1E">
        <w:trPr>
          <w:trHeight w:val="228"/>
        </w:trPr>
        <w:tc>
          <w:tcPr>
            <w:tcW w:w="3940" w:type="dxa"/>
            <w:tcBorders>
              <w:top w:val="nil"/>
              <w:left w:val="single" w:sz="8" w:space="0" w:color="auto"/>
              <w:bottom w:val="single" w:sz="8" w:space="0" w:color="auto"/>
              <w:right w:val="single" w:sz="8" w:space="0" w:color="auto"/>
            </w:tcBorders>
            <w:vAlign w:val="center"/>
            <w:hideMark/>
          </w:tcPr>
          <w:p w14:paraId="05030A42" w14:textId="77777777" w:rsidR="00BE37B2" w:rsidRPr="00BE37B2" w:rsidRDefault="00BE37B2" w:rsidP="00BE37B2">
            <w:pPr>
              <w:spacing w:before="120" w:after="120" w:line="254" w:lineRule="auto"/>
              <w:jc w:val="both"/>
              <w:rPr>
                <w:rFonts w:eastAsia="Calibri"/>
                <w:color w:val="000000"/>
                <w:lang w:eastAsia="en-US"/>
              </w:rPr>
            </w:pPr>
            <w:r w:rsidRPr="00BE37B2">
              <w:rPr>
                <w:rFonts w:eastAsia="Calibri"/>
                <w:color w:val="000000"/>
                <w:lang w:eastAsia="en-US"/>
              </w:rPr>
              <w:t>Potpore destilaterima za provedenu destilaciju vina</w:t>
            </w:r>
          </w:p>
        </w:tc>
        <w:tc>
          <w:tcPr>
            <w:tcW w:w="2581" w:type="dxa"/>
            <w:tcBorders>
              <w:top w:val="nil"/>
              <w:left w:val="nil"/>
              <w:bottom w:val="single" w:sz="8" w:space="0" w:color="auto"/>
              <w:right w:val="single" w:sz="8" w:space="0" w:color="auto"/>
            </w:tcBorders>
            <w:vAlign w:val="center"/>
            <w:hideMark/>
          </w:tcPr>
          <w:p w14:paraId="60AD309C" w14:textId="77777777" w:rsidR="00BE37B2" w:rsidRPr="00BE37B2" w:rsidRDefault="00BE37B2" w:rsidP="00BE37B2">
            <w:pPr>
              <w:spacing w:before="120" w:after="120" w:line="254" w:lineRule="auto"/>
              <w:jc w:val="center"/>
              <w:rPr>
                <w:rFonts w:eastAsia="Calibri"/>
                <w:color w:val="000000"/>
                <w:lang w:eastAsia="en-US"/>
              </w:rPr>
            </w:pPr>
            <w:r w:rsidRPr="00BE37B2">
              <w:rPr>
                <w:rFonts w:eastAsia="Calibri"/>
                <w:color w:val="000000"/>
                <w:lang w:eastAsia="en-US"/>
              </w:rPr>
              <w:t>754.000,00</w:t>
            </w:r>
          </w:p>
        </w:tc>
        <w:tc>
          <w:tcPr>
            <w:tcW w:w="2459" w:type="dxa"/>
            <w:tcBorders>
              <w:top w:val="nil"/>
              <w:left w:val="nil"/>
              <w:bottom w:val="single" w:sz="8" w:space="0" w:color="auto"/>
              <w:right w:val="single" w:sz="8" w:space="0" w:color="auto"/>
            </w:tcBorders>
            <w:vAlign w:val="center"/>
            <w:hideMark/>
          </w:tcPr>
          <w:p w14:paraId="6F2EB812" w14:textId="77777777" w:rsidR="00BE37B2" w:rsidRPr="00BE37B2" w:rsidRDefault="00BE37B2" w:rsidP="00BE37B2">
            <w:pPr>
              <w:spacing w:before="120" w:after="120" w:line="254" w:lineRule="auto"/>
              <w:jc w:val="center"/>
              <w:rPr>
                <w:rFonts w:eastAsia="Calibri"/>
                <w:color w:val="000000"/>
                <w:lang w:eastAsia="en-US"/>
              </w:rPr>
            </w:pPr>
            <w:r w:rsidRPr="00BE37B2">
              <w:rPr>
                <w:rFonts w:eastAsia="Calibri"/>
                <w:color w:val="000000"/>
                <w:lang w:eastAsia="en-US"/>
              </w:rPr>
              <w:t>330.159,00</w:t>
            </w:r>
          </w:p>
        </w:tc>
      </w:tr>
      <w:tr w:rsidR="00BE37B2" w:rsidRPr="00BE37B2" w14:paraId="5AB20C97" w14:textId="77777777" w:rsidTr="002A3C1E">
        <w:trPr>
          <w:trHeight w:val="112"/>
        </w:trPr>
        <w:tc>
          <w:tcPr>
            <w:tcW w:w="3940" w:type="dxa"/>
            <w:tcBorders>
              <w:top w:val="nil"/>
              <w:left w:val="single" w:sz="8" w:space="0" w:color="auto"/>
              <w:bottom w:val="single" w:sz="8" w:space="0" w:color="auto"/>
              <w:right w:val="single" w:sz="8" w:space="0" w:color="auto"/>
            </w:tcBorders>
            <w:vAlign w:val="center"/>
            <w:hideMark/>
          </w:tcPr>
          <w:p w14:paraId="53E10303" w14:textId="77777777" w:rsidR="00BE37B2" w:rsidRPr="00BE37B2" w:rsidRDefault="00BE37B2" w:rsidP="00BE37B2">
            <w:pPr>
              <w:spacing w:before="120" w:after="120" w:line="254" w:lineRule="auto"/>
              <w:jc w:val="both"/>
              <w:rPr>
                <w:rFonts w:eastAsia="Calibri"/>
                <w:b/>
                <w:bCs/>
                <w:color w:val="000000"/>
                <w:lang w:eastAsia="en-US"/>
              </w:rPr>
            </w:pPr>
            <w:r w:rsidRPr="00BE37B2">
              <w:rPr>
                <w:rFonts w:eastAsia="Calibri"/>
                <w:b/>
                <w:bCs/>
                <w:color w:val="000000"/>
                <w:lang w:eastAsia="en-US"/>
              </w:rPr>
              <w:t xml:space="preserve">Ukupno Mjera 9. </w:t>
            </w:r>
          </w:p>
        </w:tc>
        <w:tc>
          <w:tcPr>
            <w:tcW w:w="2581" w:type="dxa"/>
            <w:tcBorders>
              <w:top w:val="nil"/>
              <w:left w:val="nil"/>
              <w:bottom w:val="single" w:sz="8" w:space="0" w:color="auto"/>
              <w:right w:val="single" w:sz="8" w:space="0" w:color="auto"/>
            </w:tcBorders>
            <w:vAlign w:val="center"/>
            <w:hideMark/>
          </w:tcPr>
          <w:p w14:paraId="7A3D7CCD" w14:textId="77777777" w:rsidR="00BE37B2" w:rsidRPr="00BE37B2" w:rsidRDefault="00BE37B2" w:rsidP="00BE37B2">
            <w:pPr>
              <w:spacing w:before="120" w:after="120" w:line="254" w:lineRule="auto"/>
              <w:jc w:val="center"/>
              <w:rPr>
                <w:rFonts w:eastAsia="Calibri"/>
                <w:b/>
                <w:bCs/>
                <w:color w:val="000000"/>
                <w:lang w:eastAsia="en-US"/>
              </w:rPr>
            </w:pPr>
            <w:r w:rsidRPr="00BE37B2">
              <w:rPr>
                <w:rFonts w:eastAsia="Calibri"/>
                <w:b/>
                <w:bCs/>
                <w:color w:val="000000"/>
                <w:lang w:eastAsia="en-US"/>
              </w:rPr>
              <w:t>8.885.600,00</w:t>
            </w:r>
          </w:p>
        </w:tc>
        <w:tc>
          <w:tcPr>
            <w:tcW w:w="2459" w:type="dxa"/>
            <w:tcBorders>
              <w:top w:val="nil"/>
              <w:left w:val="nil"/>
              <w:bottom w:val="single" w:sz="8" w:space="0" w:color="auto"/>
              <w:right w:val="single" w:sz="8" w:space="0" w:color="auto"/>
            </w:tcBorders>
            <w:vAlign w:val="center"/>
            <w:hideMark/>
          </w:tcPr>
          <w:p w14:paraId="23E9C833" w14:textId="77777777" w:rsidR="00BE37B2" w:rsidRPr="00BE37B2" w:rsidRDefault="00BE37B2" w:rsidP="00BE37B2">
            <w:pPr>
              <w:spacing w:before="120" w:after="120" w:line="254" w:lineRule="auto"/>
              <w:jc w:val="center"/>
              <w:rPr>
                <w:rFonts w:eastAsia="Calibri"/>
                <w:b/>
                <w:bCs/>
                <w:color w:val="000000"/>
                <w:lang w:eastAsia="en-US"/>
              </w:rPr>
            </w:pPr>
            <w:r w:rsidRPr="00BE37B2">
              <w:rPr>
                <w:rFonts w:eastAsia="Calibri"/>
                <w:b/>
                <w:bCs/>
                <w:color w:val="000000"/>
                <w:lang w:eastAsia="en-US"/>
              </w:rPr>
              <w:t>4.969.918,84““</w:t>
            </w:r>
          </w:p>
        </w:tc>
      </w:tr>
    </w:tbl>
    <w:p w14:paraId="7B99E24E" w14:textId="77777777" w:rsidR="00BE37B2" w:rsidRPr="00601C6D" w:rsidRDefault="00BE37B2" w:rsidP="00BE37B2">
      <w:pPr>
        <w:spacing w:before="120" w:after="120"/>
        <w:ind w:left="360"/>
        <w:jc w:val="both"/>
        <w:rPr>
          <w:sz w:val="22"/>
        </w:rPr>
      </w:pPr>
      <w:r w:rsidRPr="00601C6D">
        <w:rPr>
          <w:rFonts w:eastAsia="Calibri"/>
          <w:b/>
          <w:sz w:val="22"/>
          <w:lang w:eastAsia="en-US"/>
        </w:rPr>
        <w:t>“</w:t>
      </w:r>
      <w:r w:rsidRPr="00601C6D">
        <w:rPr>
          <w:rFonts w:eastAsia="Calibri"/>
          <w:sz w:val="22"/>
          <w:lang w:eastAsia="en-US"/>
        </w:rPr>
        <w:t>- povećanje s dosadašnjih 3.454.984,00 EUR za 1.079.124,84 EUR na 4.534.108,84 EUR</w:t>
      </w:r>
    </w:p>
    <w:p w14:paraId="598BC84A" w14:textId="77777777" w:rsidR="00BE37B2" w:rsidRPr="00601C6D" w:rsidRDefault="00BE37B2" w:rsidP="00CD49BB">
      <w:pPr>
        <w:spacing w:before="120" w:after="120"/>
        <w:ind w:left="360"/>
        <w:jc w:val="both"/>
        <w:rPr>
          <w:rFonts w:eastAsia="Calibri"/>
          <w:sz w:val="22"/>
          <w:lang w:eastAsia="en-US"/>
        </w:rPr>
      </w:pPr>
      <w:r w:rsidRPr="00601C6D">
        <w:rPr>
          <w:rFonts w:eastAsia="Calibri"/>
          <w:b/>
          <w:sz w:val="22"/>
          <w:lang w:eastAsia="en-US"/>
        </w:rPr>
        <w:t>““</w:t>
      </w:r>
      <w:r w:rsidRPr="00601C6D">
        <w:rPr>
          <w:rFonts w:eastAsia="Calibri"/>
          <w:sz w:val="22"/>
          <w:lang w:eastAsia="en-US"/>
        </w:rPr>
        <w:t xml:space="preserve"> - povećanje s dosadašnjih 3.890.794,00 EUR za 1.079.124,84 EUR na 4.969.918,84 EUR</w:t>
      </w:r>
    </w:p>
    <w:p w14:paraId="628FA5C2" w14:textId="77777777" w:rsidR="002D5D41" w:rsidRPr="00BE37B2" w:rsidRDefault="00BE37B2" w:rsidP="00BE37B2">
      <w:pPr>
        <w:spacing w:before="120" w:after="120"/>
        <w:jc w:val="both"/>
        <w:rPr>
          <w:rFonts w:eastAsia="Calibri"/>
          <w:lang w:eastAsia="en-US"/>
        </w:rPr>
      </w:pPr>
      <w:r w:rsidRPr="00BE37B2">
        <w:rPr>
          <w:rFonts w:eastAsia="Calibri"/>
          <w:lang w:eastAsia="en-US"/>
        </w:rPr>
        <w:t>Preostali dio financijskih sredstava koji predstavlja dodatni neutrošeni iznos u Nacionalnom programu za ovu godinu u iznosu od 659.</w:t>
      </w:r>
      <w:r w:rsidR="00661E67">
        <w:rPr>
          <w:rFonts w:eastAsia="Calibri"/>
          <w:lang w:eastAsia="en-US"/>
        </w:rPr>
        <w:t>213</w:t>
      </w:r>
      <w:r w:rsidRPr="00BE37B2">
        <w:rPr>
          <w:rFonts w:eastAsia="Calibri"/>
          <w:lang w:eastAsia="en-US"/>
        </w:rPr>
        <w:t xml:space="preserve">,16 EUR (5.000.000,00 kuna) ovim Izmjenama i dopunama Nacionalnog programa preusmjerava se u mjeru Potpora za krizno skladištenje vina. </w:t>
      </w:r>
    </w:p>
    <w:p w14:paraId="3BD6EC60" w14:textId="77777777" w:rsidR="00601C6D" w:rsidRDefault="00601C6D" w:rsidP="00601C6D">
      <w:pPr>
        <w:autoSpaceDE w:val="0"/>
        <w:autoSpaceDN w:val="0"/>
        <w:adjustRightInd w:val="0"/>
        <w:spacing w:before="120" w:after="120"/>
        <w:jc w:val="both"/>
        <w:rPr>
          <w:rFonts w:eastAsia="Calibri"/>
          <w:lang w:eastAsia="en-US"/>
        </w:rPr>
      </w:pPr>
    </w:p>
    <w:p w14:paraId="3F37041A" w14:textId="77777777" w:rsidR="00BE37B2" w:rsidRPr="00601C6D" w:rsidRDefault="00BE37B2" w:rsidP="00601C6D">
      <w:pPr>
        <w:autoSpaceDE w:val="0"/>
        <w:autoSpaceDN w:val="0"/>
        <w:adjustRightInd w:val="0"/>
        <w:spacing w:before="120" w:after="120"/>
        <w:jc w:val="both"/>
        <w:rPr>
          <w:rFonts w:eastAsia="Calibri"/>
          <w:lang w:eastAsia="en-US"/>
        </w:rPr>
      </w:pPr>
      <w:r w:rsidRPr="00BE37B2">
        <w:rPr>
          <w:rFonts w:eastAsia="Calibri"/>
          <w:lang w:eastAsia="en-US"/>
        </w:rPr>
        <w:lastRenderedPageBreak/>
        <w:t>Tablica 2: Mjera 10. Potp</w:t>
      </w:r>
      <w:r w:rsidR="00601C6D">
        <w:rPr>
          <w:rFonts w:eastAsia="Calibri"/>
          <w:lang w:eastAsia="en-US"/>
        </w:rPr>
        <w:t>ora za krizno skladištenje vina</w:t>
      </w:r>
    </w:p>
    <w:tbl>
      <w:tblPr>
        <w:tblW w:w="9062" w:type="dxa"/>
        <w:tblInd w:w="-10" w:type="dxa"/>
        <w:tblLook w:val="04A0" w:firstRow="1" w:lastRow="0" w:firstColumn="1" w:lastColumn="0" w:noHBand="0" w:noVBand="1"/>
      </w:tblPr>
      <w:tblGrid>
        <w:gridCol w:w="2542"/>
        <w:gridCol w:w="3118"/>
        <w:gridCol w:w="3402"/>
      </w:tblGrid>
      <w:tr w:rsidR="002A3C1E" w:rsidRPr="00BE37B2" w14:paraId="42005434" w14:textId="77777777" w:rsidTr="002A3C1E">
        <w:trPr>
          <w:trHeight w:val="1228"/>
        </w:trPr>
        <w:tc>
          <w:tcPr>
            <w:tcW w:w="2542" w:type="dxa"/>
            <w:tcBorders>
              <w:top w:val="single" w:sz="8" w:space="0" w:color="auto"/>
              <w:left w:val="single" w:sz="8" w:space="0" w:color="auto"/>
              <w:bottom w:val="single" w:sz="8" w:space="0" w:color="000000"/>
              <w:right w:val="single" w:sz="8" w:space="0" w:color="auto"/>
            </w:tcBorders>
            <w:vAlign w:val="center"/>
            <w:hideMark/>
          </w:tcPr>
          <w:p w14:paraId="3CA5427F" w14:textId="77777777" w:rsidR="002A3C1E" w:rsidRPr="00BE37B2" w:rsidRDefault="002A3C1E" w:rsidP="00BE37B2">
            <w:pPr>
              <w:spacing w:before="120" w:after="120" w:line="254" w:lineRule="auto"/>
              <w:jc w:val="center"/>
              <w:rPr>
                <w:rFonts w:eastAsia="Calibri"/>
                <w:b/>
                <w:bCs/>
                <w:color w:val="000000"/>
                <w:lang w:eastAsia="en-US"/>
              </w:rPr>
            </w:pPr>
            <w:r w:rsidRPr="00BE37B2">
              <w:rPr>
                <w:rFonts w:eastAsia="Calibri"/>
                <w:b/>
                <w:bCs/>
                <w:color w:val="000000"/>
                <w:lang w:eastAsia="en-US"/>
              </w:rPr>
              <w:t>Mjera potpore</w:t>
            </w:r>
          </w:p>
        </w:tc>
        <w:tc>
          <w:tcPr>
            <w:tcW w:w="3118" w:type="dxa"/>
            <w:tcBorders>
              <w:top w:val="single" w:sz="8" w:space="0" w:color="auto"/>
              <w:left w:val="nil"/>
              <w:right w:val="single" w:sz="8" w:space="0" w:color="auto"/>
            </w:tcBorders>
            <w:vAlign w:val="center"/>
            <w:hideMark/>
          </w:tcPr>
          <w:p w14:paraId="2AF4CEF1" w14:textId="77777777" w:rsidR="002A3C1E" w:rsidRPr="00BE37B2" w:rsidRDefault="002A3C1E" w:rsidP="002A3C1E">
            <w:pPr>
              <w:spacing w:before="120" w:after="120" w:line="254" w:lineRule="auto"/>
              <w:jc w:val="center"/>
              <w:rPr>
                <w:rFonts w:eastAsia="Calibri"/>
                <w:b/>
                <w:bCs/>
                <w:color w:val="000000"/>
                <w:lang w:eastAsia="en-US"/>
              </w:rPr>
            </w:pPr>
            <w:r w:rsidRPr="00BE37B2">
              <w:rPr>
                <w:rFonts w:eastAsia="Calibri"/>
                <w:b/>
                <w:bCs/>
                <w:color w:val="000000"/>
                <w:lang w:eastAsia="en-US"/>
              </w:rPr>
              <w:t>Sredstva Državne potpore iz DP Republike Hrvatske</w:t>
            </w:r>
            <w:r>
              <w:rPr>
                <w:rFonts w:eastAsia="Calibri"/>
                <w:b/>
                <w:bCs/>
                <w:color w:val="000000"/>
                <w:lang w:eastAsia="en-US"/>
              </w:rPr>
              <w:t xml:space="preserve"> (Kuna)</w:t>
            </w:r>
          </w:p>
        </w:tc>
        <w:tc>
          <w:tcPr>
            <w:tcW w:w="3402" w:type="dxa"/>
            <w:tcBorders>
              <w:top w:val="single" w:sz="8" w:space="0" w:color="auto"/>
              <w:left w:val="nil"/>
              <w:right w:val="single" w:sz="8" w:space="0" w:color="auto"/>
            </w:tcBorders>
            <w:vAlign w:val="center"/>
            <w:hideMark/>
          </w:tcPr>
          <w:p w14:paraId="0CB3AE00" w14:textId="77777777" w:rsidR="002A3C1E" w:rsidRDefault="002A3C1E" w:rsidP="00BE37B2">
            <w:pPr>
              <w:spacing w:before="120" w:after="120" w:line="254" w:lineRule="auto"/>
              <w:jc w:val="center"/>
              <w:rPr>
                <w:rFonts w:eastAsia="Calibri"/>
                <w:b/>
                <w:bCs/>
                <w:color w:val="000000"/>
                <w:lang w:eastAsia="en-US"/>
              </w:rPr>
            </w:pPr>
            <w:r w:rsidRPr="00BE37B2">
              <w:rPr>
                <w:rFonts w:eastAsia="Calibri"/>
                <w:b/>
                <w:bCs/>
                <w:color w:val="000000"/>
                <w:lang w:eastAsia="en-US"/>
              </w:rPr>
              <w:t>Sredstva iz EU proračuna</w:t>
            </w:r>
            <w:r>
              <w:rPr>
                <w:rFonts w:eastAsia="Calibri"/>
                <w:b/>
                <w:bCs/>
                <w:color w:val="000000"/>
                <w:lang w:eastAsia="en-US"/>
              </w:rPr>
              <w:t xml:space="preserve"> Doprinos EU u mjeri </w:t>
            </w:r>
          </w:p>
          <w:p w14:paraId="6426DD30" w14:textId="77777777" w:rsidR="002A3C1E" w:rsidRPr="00BE37B2" w:rsidRDefault="002A3C1E" w:rsidP="00BE37B2">
            <w:pPr>
              <w:spacing w:before="120" w:after="120" w:line="254" w:lineRule="auto"/>
              <w:jc w:val="center"/>
              <w:rPr>
                <w:rFonts w:eastAsia="Calibri"/>
                <w:b/>
                <w:bCs/>
                <w:color w:val="000000"/>
                <w:lang w:eastAsia="en-US"/>
              </w:rPr>
            </w:pPr>
            <w:r>
              <w:rPr>
                <w:rFonts w:eastAsia="Calibri"/>
                <w:b/>
                <w:bCs/>
                <w:color w:val="000000"/>
                <w:lang w:eastAsia="en-US"/>
              </w:rPr>
              <w:t>(EUR)</w:t>
            </w:r>
          </w:p>
        </w:tc>
      </w:tr>
      <w:tr w:rsidR="00BE37B2" w:rsidRPr="00BE37B2" w14:paraId="7240D64A" w14:textId="77777777" w:rsidTr="00601C6D">
        <w:trPr>
          <w:trHeight w:val="330"/>
        </w:trPr>
        <w:tc>
          <w:tcPr>
            <w:tcW w:w="2542" w:type="dxa"/>
            <w:tcBorders>
              <w:top w:val="nil"/>
              <w:left w:val="single" w:sz="8" w:space="0" w:color="auto"/>
              <w:bottom w:val="single" w:sz="8" w:space="0" w:color="auto"/>
              <w:right w:val="single" w:sz="4" w:space="0" w:color="auto"/>
            </w:tcBorders>
            <w:vAlign w:val="center"/>
            <w:hideMark/>
          </w:tcPr>
          <w:p w14:paraId="21AB1999" w14:textId="77777777" w:rsidR="00BE37B2" w:rsidRPr="00BE37B2" w:rsidRDefault="00BE37B2" w:rsidP="00BE37B2">
            <w:pPr>
              <w:spacing w:before="120" w:after="120" w:line="254" w:lineRule="auto"/>
              <w:jc w:val="both"/>
              <w:rPr>
                <w:rFonts w:eastAsia="Calibri"/>
                <w:b/>
                <w:bCs/>
                <w:color w:val="000000"/>
                <w:lang w:eastAsia="en-US"/>
              </w:rPr>
            </w:pPr>
            <w:r w:rsidRPr="00BE37B2">
              <w:rPr>
                <w:rFonts w:eastAsia="Calibri"/>
                <w:b/>
                <w:bCs/>
                <w:color w:val="000000"/>
                <w:lang w:eastAsia="en-US"/>
              </w:rPr>
              <w:t>Ukupno Mjera 10.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C01B9BB" w14:textId="77777777" w:rsidR="00BE37B2" w:rsidRPr="00BE37B2" w:rsidRDefault="00BE37B2" w:rsidP="00BE37B2">
            <w:pPr>
              <w:spacing w:before="120" w:after="120" w:line="254" w:lineRule="auto"/>
              <w:jc w:val="center"/>
              <w:rPr>
                <w:rFonts w:eastAsia="Calibri"/>
                <w:b/>
                <w:bCs/>
                <w:color w:val="000000"/>
                <w:lang w:eastAsia="en-US"/>
              </w:rPr>
            </w:pPr>
            <w:r w:rsidRPr="00BE37B2">
              <w:rPr>
                <w:rFonts w:eastAsia="Calibri"/>
                <w:b/>
                <w:bCs/>
                <w:color w:val="000000"/>
                <w:lang w:eastAsia="en-US"/>
              </w:rPr>
              <w:t>1.160.000,00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3F08C9" w14:textId="77777777" w:rsidR="00BE37B2" w:rsidRPr="00BE37B2" w:rsidRDefault="00BE37B2" w:rsidP="00BE37B2">
            <w:pPr>
              <w:spacing w:before="120" w:after="120" w:line="254" w:lineRule="auto"/>
              <w:jc w:val="center"/>
              <w:rPr>
                <w:rFonts w:eastAsia="Calibri"/>
                <w:b/>
                <w:bCs/>
                <w:color w:val="000000"/>
                <w:lang w:eastAsia="en-US"/>
              </w:rPr>
            </w:pPr>
            <w:r w:rsidRPr="00BE37B2">
              <w:rPr>
                <w:rFonts w:eastAsia="Calibri"/>
                <w:b/>
                <w:bCs/>
                <w:color w:val="000000"/>
                <w:lang w:eastAsia="en-US"/>
              </w:rPr>
              <w:t>1.167.150,16“</w:t>
            </w:r>
          </w:p>
        </w:tc>
      </w:tr>
    </w:tbl>
    <w:p w14:paraId="3C69DBD4" w14:textId="77777777" w:rsidR="00BE37B2" w:rsidRPr="00601C6D" w:rsidRDefault="00BE37B2" w:rsidP="00BE37B2">
      <w:pPr>
        <w:spacing w:before="120" w:after="120"/>
        <w:jc w:val="both"/>
        <w:rPr>
          <w:sz w:val="22"/>
        </w:rPr>
      </w:pPr>
      <w:r w:rsidRPr="00601C6D">
        <w:rPr>
          <w:rFonts w:eastAsia="Calibri"/>
          <w:b/>
          <w:sz w:val="22"/>
          <w:lang w:eastAsia="en-US"/>
        </w:rPr>
        <w:t>“</w:t>
      </w:r>
      <w:r w:rsidRPr="00601C6D">
        <w:rPr>
          <w:rFonts w:eastAsia="Calibri"/>
          <w:sz w:val="22"/>
          <w:lang w:eastAsia="en-US"/>
        </w:rPr>
        <w:t xml:space="preserve"> – povećanje prijašnjeg iznosa 507.937,00 (EUR) za 659.</w:t>
      </w:r>
      <w:r w:rsidR="00116DE5">
        <w:rPr>
          <w:rFonts w:eastAsia="Calibri"/>
          <w:sz w:val="22"/>
          <w:lang w:eastAsia="en-US"/>
        </w:rPr>
        <w:t>213</w:t>
      </w:r>
      <w:r w:rsidRPr="00601C6D">
        <w:rPr>
          <w:rFonts w:eastAsia="Calibri"/>
          <w:sz w:val="22"/>
          <w:lang w:eastAsia="en-US"/>
        </w:rPr>
        <w:t xml:space="preserve">,16 EUR na novi iznos 1.167.150,16 EUR </w:t>
      </w:r>
    </w:p>
    <w:p w14:paraId="4423331A" w14:textId="77777777" w:rsidR="00BE37B2" w:rsidRPr="00601C6D" w:rsidRDefault="00BE37B2" w:rsidP="00BE37B2">
      <w:pPr>
        <w:spacing w:before="120" w:after="120"/>
        <w:jc w:val="both"/>
        <w:rPr>
          <w:rFonts w:eastAsia="Calibri"/>
          <w:color w:val="000000"/>
          <w:sz w:val="22"/>
          <w:lang w:eastAsia="en-US"/>
        </w:rPr>
      </w:pPr>
    </w:p>
    <w:p w14:paraId="156C332E" w14:textId="77777777" w:rsidR="00BE37B2" w:rsidRPr="00BE37B2" w:rsidRDefault="00BE37B2" w:rsidP="00BE37B2">
      <w:pPr>
        <w:autoSpaceDE w:val="0"/>
        <w:autoSpaceDN w:val="0"/>
        <w:adjustRightInd w:val="0"/>
        <w:spacing w:before="120" w:after="120"/>
        <w:jc w:val="both"/>
        <w:rPr>
          <w:rFonts w:eastAsia="EUAlbertina"/>
          <w:lang w:eastAsia="en-US"/>
        </w:rPr>
      </w:pPr>
      <w:r w:rsidRPr="00BE37B2">
        <w:rPr>
          <w:rFonts w:eastAsia="EUAlbertina"/>
          <w:lang w:eastAsia="en-US"/>
        </w:rPr>
        <w:t>Zbog navedenog, kao i zbog skraćenja roka skladištenja na 60 dana (od objave javnog poziva do završetka mjere skratio se rok skladištenja na 60 dana), dolazi do povećanja jediničnog iznosa potpore u mjeri Potpora za krizno skladištenje vina. Postojeća potpora preračunata je na rok od 60 dana te se povećava jedinični iznos potpore s dosadašnjeg koji je iznosio 1,8 kn/litri vina za 90 dana skladištenja na 3,6 kuna/litri vina za 60 dana skladištenja.</w:t>
      </w:r>
    </w:p>
    <w:p w14:paraId="72F4312B" w14:textId="77777777" w:rsidR="00BE37B2" w:rsidRPr="00BE37B2" w:rsidRDefault="00BE37B2" w:rsidP="00BE37B2">
      <w:pPr>
        <w:autoSpaceDE w:val="0"/>
        <w:autoSpaceDN w:val="0"/>
        <w:adjustRightInd w:val="0"/>
        <w:spacing w:before="120" w:after="120"/>
        <w:jc w:val="both"/>
        <w:rPr>
          <w:rFonts w:eastAsia="EUAlbertina"/>
          <w:lang w:eastAsia="en-US"/>
        </w:rPr>
      </w:pPr>
      <w:r w:rsidRPr="00BE37B2">
        <w:rPr>
          <w:rFonts w:eastAsia="EUAlbertina"/>
          <w:lang w:eastAsia="en-US"/>
        </w:rPr>
        <w:t>Ovim Izmjenama i dopunama Nacionalnog programa provest će se daljnja preraspodjela financijskih sredstava osiguranih u Nacionalnom programu. Doći će do daljnjeg smanjenja sredstava predviđenih za mjere Informiranje u državama članicama, Promidžba na tržištima trećih zemalja, Rekonstrukcija i konverzija vinograda te za mjeru Ulaganja u vinarije i marketing vina koja se neće moći potrošiti zbog okolnosti koje je izazivala pandemija bolesti COVID-19.</w:t>
      </w:r>
    </w:p>
    <w:p w14:paraId="1D0F2713" w14:textId="77777777" w:rsidR="00BE37B2" w:rsidRPr="00BE37B2" w:rsidRDefault="00BE37B2" w:rsidP="00BE37B2">
      <w:pPr>
        <w:autoSpaceDE w:val="0"/>
        <w:autoSpaceDN w:val="0"/>
        <w:adjustRightInd w:val="0"/>
        <w:spacing w:before="120" w:after="120"/>
        <w:jc w:val="both"/>
        <w:rPr>
          <w:rFonts w:eastAsia="EUAlbertina"/>
          <w:lang w:eastAsia="en-US"/>
        </w:rPr>
      </w:pPr>
      <w:r w:rsidRPr="00BE37B2">
        <w:rPr>
          <w:rFonts w:eastAsia="EUAlbertina"/>
          <w:lang w:eastAsia="en-US"/>
        </w:rPr>
        <w:t xml:space="preserve">Na dosadašnji neiskorišten dio sredstava koji iznosi 4,4 milijuna EUR-a te je preraspodijeljen za financiranje dviju mjera iz prethodnih Izmjena i dopuna Nacionalnog programa ovim Izmjenama i dopunama za njihovu provedbu preusmjerava se i dodatni iznos od 1,73 milijuna EUR-a. Iz navedenog proizlazi da će iznos preraspodijeljenih sredstava iz europskog doprinosa iznositi 6,2 milijuna EUR-a. Iz navedenih 6,2 milijuna EUR (47,02 milijuna kuna) i dodatnih 10 milijuna kuna formiraju se ukupna sredstva od 57,02 milijuna kuna koja će se preusmjeriti u dvije mjere Destilacija vina u kriznim slučajevima i Potpora za krizno skladištenje vina. </w:t>
      </w:r>
    </w:p>
    <w:p w14:paraId="695ABF78" w14:textId="77777777" w:rsidR="00BE37B2" w:rsidRPr="00BE37B2" w:rsidRDefault="00BE37B2" w:rsidP="00BE37B2">
      <w:pPr>
        <w:spacing w:before="120" w:after="120"/>
        <w:jc w:val="both"/>
        <w:rPr>
          <w:rFonts w:eastAsia="Calibri"/>
          <w:lang w:eastAsia="en-US"/>
        </w:rPr>
      </w:pPr>
      <w:r w:rsidRPr="00BE37B2">
        <w:rPr>
          <w:rFonts w:eastAsia="Calibri"/>
          <w:lang w:eastAsia="en-US"/>
        </w:rPr>
        <w:t xml:space="preserve">Zaključno, u pogledu ukupnih financijskih sredstva za provedbu Nacionalnog programa u 2020. godini u ovim Izmjenama i dopunama Nacionalnog programa se ništa ne mijenja te i dalje ostaje isti ukupni financijski okvir kojim je Ministarstvo poljoprivrede osiguralo sredstva za provedbu Nacionalnog programa u Državnom proračunu Republike Hrvatske. Sredstva za 2020. godinu u iznosu od 93.190.750,00 kuna planirana su u Državnom proračunu Republike Hrvatske za 2020. godinu i projekcijama za 2021. i 2022. godinu ("Narodne novine", br. 117/19 i 58/20), u okviru razdjela 060 Ministarstva poljoprivrede, na proračunskoj poziciji A821058 - ZPP - mjere uređenja tržišta poljoprivrednih proizvoda, a u projekcijama za 2021. i 2022. godinu u iznosu od 83.190.750,00 kuna godišnje. </w:t>
      </w:r>
    </w:p>
    <w:p w14:paraId="597047F1" w14:textId="77777777" w:rsidR="00BE37B2" w:rsidRPr="00BE37B2" w:rsidRDefault="00BE37B2" w:rsidP="00BE37B2">
      <w:pPr>
        <w:autoSpaceDE w:val="0"/>
        <w:autoSpaceDN w:val="0"/>
        <w:adjustRightInd w:val="0"/>
        <w:spacing w:before="120" w:after="120"/>
        <w:jc w:val="both"/>
        <w:rPr>
          <w:rFonts w:eastAsia="Calibri"/>
          <w:lang w:eastAsia="en-US"/>
        </w:rPr>
      </w:pPr>
      <w:r w:rsidRPr="00BE37B2">
        <w:rPr>
          <w:rFonts w:eastAsia="Calibri"/>
          <w:lang w:eastAsia="en-US"/>
        </w:rPr>
        <w:t xml:space="preserve">Od strane Europske komisije dobivena je uputa za primjenu tečaja HRK:EUR koje imaju utjecaj na utvrđeni jedinični iznos potpore. Uputom je predviđeno korištenje tečaja Europske centralne banke i to zadnjeg dana u mjesecu koji prethodi podnošenju zahtjeva za isplatu sredstava iz Europskog proračuna, što znači da su to zadnji </w:t>
      </w:r>
      <w:r w:rsidRPr="00BE37B2">
        <w:rPr>
          <w:rFonts w:eastAsia="Calibri"/>
          <w:lang w:eastAsia="en-US"/>
        </w:rPr>
        <w:lastRenderedPageBreak/>
        <w:t xml:space="preserve">dani u rujnu o.g. zbog čega pitanje tečaja ostaje i dalje neodređeno. Zbog navedenog su istaknuti jedinični iznosi te iznosi označeni s oznakom * predstavljaju okvirni iznos, s obzirom da je doprinos EU sredstava u provođenju mjera 9. i 10. Nacionalnog programa vezan uz neslužbeni tečaj 7,5848 HRK : 1 EUR, koji je utvrđen prema srednjem tečaju Europske centralne banke na dan 2. lipnja 2020. godine. </w:t>
      </w:r>
    </w:p>
    <w:p w14:paraId="4384D13A" w14:textId="77777777" w:rsidR="00BE37B2" w:rsidRPr="00BE37B2" w:rsidRDefault="00BE37B2" w:rsidP="00BE37B2">
      <w:pPr>
        <w:autoSpaceDE w:val="0"/>
        <w:autoSpaceDN w:val="0"/>
        <w:adjustRightInd w:val="0"/>
        <w:spacing w:before="120" w:after="120"/>
        <w:jc w:val="both"/>
        <w:rPr>
          <w:rFonts w:eastAsia="Calibri"/>
          <w:lang w:eastAsia="en-US"/>
        </w:rPr>
      </w:pPr>
      <w:r w:rsidRPr="00BE37B2">
        <w:rPr>
          <w:rFonts w:eastAsia="Calibri"/>
          <w:lang w:eastAsia="en-US"/>
        </w:rPr>
        <w:t>Konačni jedinični iznos potpore iz mjera 9. i 10. Nacionalnog programa biti će utvrđen nakon usklađenja tečaja, u skladu s uputom Europske komisije, u trenutku kad Agencija za plaćanja u poljoprivredi, ribarstvu i ruralnom razvoju, na temelju sredstava osiguranih po mjerama koja su utvrđena u Tablici 1. i Tablici 2., isplati potporu korisniku mjere.</w:t>
      </w:r>
    </w:p>
    <w:p w14:paraId="595B6E64" w14:textId="77777777" w:rsidR="00BE37B2" w:rsidRPr="00BE37B2" w:rsidRDefault="00BE37B2" w:rsidP="00BE37B2">
      <w:pPr>
        <w:spacing w:before="120" w:after="120"/>
        <w:jc w:val="both"/>
        <w:rPr>
          <w:rFonts w:eastAsia="SimSun"/>
        </w:rPr>
      </w:pPr>
      <w:r w:rsidRPr="00BE37B2">
        <w:rPr>
          <w:rFonts w:eastAsia="SimSun"/>
        </w:rPr>
        <w:t xml:space="preserve">Na ovaj način se u okolnostima nejasne primjene tečaja osigurava zaštita Državnog proračuna Republike Hrvatske od mogućih izmjena vrijednosti planiranih financijskih sredstava zbog promjena tečaja te se iznosi predviđenih sredstva za ove dvije mjere drže u okvirima planiranih i osiguranih sredstava u Državnom proračunu Republike Hrvatske za 2020. godinu. </w:t>
      </w:r>
    </w:p>
    <w:p w14:paraId="23A6E7BE" w14:textId="77777777" w:rsidR="00BE37B2" w:rsidRPr="00BE37B2" w:rsidRDefault="00BE37B2" w:rsidP="00BE37B2">
      <w:pPr>
        <w:spacing w:before="120" w:after="120"/>
        <w:jc w:val="both"/>
        <w:rPr>
          <w:rFonts w:eastAsia="Calibri"/>
          <w:lang w:eastAsia="en-US"/>
        </w:rPr>
      </w:pPr>
    </w:p>
    <w:p w14:paraId="55152FB3" w14:textId="77777777" w:rsidR="00756402" w:rsidRPr="00BE37B2" w:rsidRDefault="00756402" w:rsidP="00BE37B2"/>
    <w:sectPr w:rsidR="00756402" w:rsidRPr="00BE37B2" w:rsidSect="00A3639E">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03401" w14:textId="77777777" w:rsidR="006C4F15" w:rsidRDefault="006C4F15" w:rsidP="003E3EAA">
      <w:r>
        <w:separator/>
      </w:r>
    </w:p>
  </w:endnote>
  <w:endnote w:type="continuationSeparator" w:id="0">
    <w:p w14:paraId="2237D2F9" w14:textId="77777777" w:rsidR="006C4F15" w:rsidRDefault="006C4F15" w:rsidP="003E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UAlbertina">
    <w:altName w:val="Yu Gothic"/>
    <w:panose1 w:val="00000000000000000000"/>
    <w:charset w:val="80"/>
    <w:family w:val="swiss"/>
    <w:notTrueType/>
    <w:pitch w:val="default"/>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3F8F6" w14:textId="77777777" w:rsidR="006C4F15" w:rsidRDefault="006C4F15" w:rsidP="003E3EAA">
      <w:r>
        <w:separator/>
      </w:r>
    </w:p>
  </w:footnote>
  <w:footnote w:type="continuationSeparator" w:id="0">
    <w:p w14:paraId="2432AB3E" w14:textId="77777777" w:rsidR="006C4F15" w:rsidRDefault="006C4F15" w:rsidP="003E3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C5ECD"/>
    <w:multiLevelType w:val="hybridMultilevel"/>
    <w:tmpl w:val="CB8672F6"/>
    <w:lvl w:ilvl="0" w:tplc="041A0001">
      <w:start w:val="5"/>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07C7CF3"/>
    <w:multiLevelType w:val="hybridMultilevel"/>
    <w:tmpl w:val="D9B23648"/>
    <w:lvl w:ilvl="0" w:tplc="4FD055CC">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21F7FC1"/>
    <w:multiLevelType w:val="hybridMultilevel"/>
    <w:tmpl w:val="ED440A12"/>
    <w:lvl w:ilvl="0" w:tplc="DE58832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283F99"/>
    <w:multiLevelType w:val="hybridMultilevel"/>
    <w:tmpl w:val="1B40E80E"/>
    <w:lvl w:ilvl="0" w:tplc="5626623C">
      <w:start w:val="2"/>
      <w:numFmt w:val="bullet"/>
      <w:lvlText w:val="-"/>
      <w:lvlJc w:val="left"/>
      <w:pPr>
        <w:ind w:left="1068" w:hanging="360"/>
      </w:pPr>
      <w:rPr>
        <w:rFonts w:ascii="Times New Roman" w:eastAsia="Times New Roman" w:hAnsi="Times New Roman" w:cs="Times New Roman" w:hint="default"/>
        <w:u w:val="single"/>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44E54D2E"/>
    <w:multiLevelType w:val="hybridMultilevel"/>
    <w:tmpl w:val="3B8AA770"/>
    <w:lvl w:ilvl="0" w:tplc="4FD055CC">
      <w:numFmt w:val="bullet"/>
      <w:lvlText w:val="-"/>
      <w:lvlJc w:val="left"/>
      <w:pPr>
        <w:ind w:left="720" w:hanging="360"/>
      </w:pPr>
      <w:rPr>
        <w:rFonts w:ascii="Calibri" w:eastAsiaTheme="minorHAnsi" w:hAnsi="Calibri" w:cs="Calibri" w:hint="default"/>
      </w:rPr>
    </w:lvl>
    <w:lvl w:ilvl="1" w:tplc="9E36FD26">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CDE16B1"/>
    <w:multiLevelType w:val="hybridMultilevel"/>
    <w:tmpl w:val="DCE4D03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48A"/>
    <w:rsid w:val="0000223F"/>
    <w:rsid w:val="00007844"/>
    <w:rsid w:val="0003778E"/>
    <w:rsid w:val="00060215"/>
    <w:rsid w:val="00065D6F"/>
    <w:rsid w:val="00096D06"/>
    <w:rsid w:val="000E4064"/>
    <w:rsid w:val="000F2E47"/>
    <w:rsid w:val="00112FE6"/>
    <w:rsid w:val="00116DE5"/>
    <w:rsid w:val="00122F4D"/>
    <w:rsid w:val="00140FCB"/>
    <w:rsid w:val="001C3378"/>
    <w:rsid w:val="001D7308"/>
    <w:rsid w:val="001D7E9B"/>
    <w:rsid w:val="00214ADB"/>
    <w:rsid w:val="002263C5"/>
    <w:rsid w:val="0028423A"/>
    <w:rsid w:val="002A3C1E"/>
    <w:rsid w:val="002B01E5"/>
    <w:rsid w:val="002D5D41"/>
    <w:rsid w:val="002E0B1A"/>
    <w:rsid w:val="0034148A"/>
    <w:rsid w:val="003C6C57"/>
    <w:rsid w:val="003E3EAA"/>
    <w:rsid w:val="00403F07"/>
    <w:rsid w:val="00407FED"/>
    <w:rsid w:val="00421C19"/>
    <w:rsid w:val="004600AE"/>
    <w:rsid w:val="00460E7A"/>
    <w:rsid w:val="0046251F"/>
    <w:rsid w:val="00471A7A"/>
    <w:rsid w:val="00482497"/>
    <w:rsid w:val="00487F01"/>
    <w:rsid w:val="0049166F"/>
    <w:rsid w:val="004A705B"/>
    <w:rsid w:val="004D2B2D"/>
    <w:rsid w:val="004E06EE"/>
    <w:rsid w:val="004E15A0"/>
    <w:rsid w:val="00506006"/>
    <w:rsid w:val="005A03A9"/>
    <w:rsid w:val="005E20A9"/>
    <w:rsid w:val="005F3E43"/>
    <w:rsid w:val="00601C6D"/>
    <w:rsid w:val="00601E5C"/>
    <w:rsid w:val="006107DB"/>
    <w:rsid w:val="00611B5F"/>
    <w:rsid w:val="0062232F"/>
    <w:rsid w:val="006554C0"/>
    <w:rsid w:val="00661E67"/>
    <w:rsid w:val="006639ED"/>
    <w:rsid w:val="00670E66"/>
    <w:rsid w:val="006853D6"/>
    <w:rsid w:val="006879C3"/>
    <w:rsid w:val="006C4F15"/>
    <w:rsid w:val="006C5AC1"/>
    <w:rsid w:val="006C7DAA"/>
    <w:rsid w:val="00703971"/>
    <w:rsid w:val="007152D4"/>
    <w:rsid w:val="00756402"/>
    <w:rsid w:val="0076068F"/>
    <w:rsid w:val="0076563E"/>
    <w:rsid w:val="00783813"/>
    <w:rsid w:val="00795EE4"/>
    <w:rsid w:val="007B0E09"/>
    <w:rsid w:val="008223E8"/>
    <w:rsid w:val="0082767C"/>
    <w:rsid w:val="00830C89"/>
    <w:rsid w:val="0084719C"/>
    <w:rsid w:val="0086059B"/>
    <w:rsid w:val="0088547A"/>
    <w:rsid w:val="008A4CA2"/>
    <w:rsid w:val="008B712B"/>
    <w:rsid w:val="009142E8"/>
    <w:rsid w:val="00962F10"/>
    <w:rsid w:val="0097349D"/>
    <w:rsid w:val="00974F00"/>
    <w:rsid w:val="009B38A8"/>
    <w:rsid w:val="009D4BB3"/>
    <w:rsid w:val="009E259A"/>
    <w:rsid w:val="009E3315"/>
    <w:rsid w:val="00A002C9"/>
    <w:rsid w:val="00A0084D"/>
    <w:rsid w:val="00A262CB"/>
    <w:rsid w:val="00A2798C"/>
    <w:rsid w:val="00A3639E"/>
    <w:rsid w:val="00A37ED3"/>
    <w:rsid w:val="00A41AAE"/>
    <w:rsid w:val="00A42AB9"/>
    <w:rsid w:val="00A61891"/>
    <w:rsid w:val="00A75463"/>
    <w:rsid w:val="00A915D0"/>
    <w:rsid w:val="00AA731B"/>
    <w:rsid w:val="00AE6264"/>
    <w:rsid w:val="00AE7D3A"/>
    <w:rsid w:val="00B93F97"/>
    <w:rsid w:val="00B9696A"/>
    <w:rsid w:val="00BC3814"/>
    <w:rsid w:val="00BD0C78"/>
    <w:rsid w:val="00BE37B2"/>
    <w:rsid w:val="00C00D69"/>
    <w:rsid w:val="00C0123E"/>
    <w:rsid w:val="00C43A26"/>
    <w:rsid w:val="00C44CF6"/>
    <w:rsid w:val="00C57098"/>
    <w:rsid w:val="00C752F6"/>
    <w:rsid w:val="00C822B1"/>
    <w:rsid w:val="00CB2F56"/>
    <w:rsid w:val="00CC7854"/>
    <w:rsid w:val="00CD49BB"/>
    <w:rsid w:val="00CE7394"/>
    <w:rsid w:val="00D035F0"/>
    <w:rsid w:val="00D111FF"/>
    <w:rsid w:val="00D15616"/>
    <w:rsid w:val="00D407A4"/>
    <w:rsid w:val="00D50CBB"/>
    <w:rsid w:val="00DA1B63"/>
    <w:rsid w:val="00DB3ACE"/>
    <w:rsid w:val="00DB5397"/>
    <w:rsid w:val="00DC74E5"/>
    <w:rsid w:val="00DD2BD0"/>
    <w:rsid w:val="00E0331A"/>
    <w:rsid w:val="00E27EE3"/>
    <w:rsid w:val="00E47164"/>
    <w:rsid w:val="00E66B85"/>
    <w:rsid w:val="00EE3586"/>
    <w:rsid w:val="00F774FD"/>
    <w:rsid w:val="00F80F64"/>
    <w:rsid w:val="00F84DC9"/>
    <w:rsid w:val="00FC28BA"/>
    <w:rsid w:val="00FD5211"/>
  </w:rsids>
  <m:mathPr>
    <m:mathFont m:val="Cambria Math"/>
    <m:brkBin m:val="before"/>
    <m:brkBinSub m:val="--"/>
    <m:smallFrac m:val="0"/>
    <m:dispDef/>
    <m:lMargin m:val="0"/>
    <m:rMargin m:val="0"/>
    <m:defJc m:val="centerGroup"/>
    <m:wrapIndent m:val="1440"/>
    <m:intLim m:val="subSup"/>
    <m:naryLim m:val="undOvr"/>
  </m:mathPr>
  <w:themeFontLang w:val="hr-HR"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E63EF"/>
  <w15:chartTrackingRefBased/>
  <w15:docId w15:val="{BCFFFF9C-D917-4599-8D67-57BB26E0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48A"/>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148A"/>
    <w:pPr>
      <w:autoSpaceDE w:val="0"/>
      <w:autoSpaceDN w:val="0"/>
      <w:adjustRightInd w:val="0"/>
      <w:spacing w:after="0" w:line="240" w:lineRule="auto"/>
    </w:pPr>
    <w:rPr>
      <w:rFonts w:ascii="Arial Narrow" w:eastAsia="Times New Roman" w:hAnsi="Arial Narrow" w:cs="Arial Narrow"/>
      <w:color w:val="000000"/>
      <w:sz w:val="24"/>
      <w:szCs w:val="24"/>
      <w:lang w:eastAsia="hr-HR"/>
    </w:rPr>
  </w:style>
  <w:style w:type="paragraph" w:styleId="ListParagraph">
    <w:name w:val="List Paragraph"/>
    <w:basedOn w:val="Normal"/>
    <w:uiPriority w:val="34"/>
    <w:qFormat/>
    <w:rsid w:val="0034148A"/>
    <w:pPr>
      <w:spacing w:after="240"/>
      <w:ind w:left="720"/>
      <w:contextualSpacing/>
      <w:jc w:val="both"/>
    </w:pPr>
    <w:rPr>
      <w:szCs w:val="20"/>
      <w:lang w:bidi="hr-HR"/>
    </w:rPr>
  </w:style>
  <w:style w:type="paragraph" w:styleId="Header">
    <w:name w:val="header"/>
    <w:basedOn w:val="Normal"/>
    <w:link w:val="HeaderChar"/>
    <w:uiPriority w:val="99"/>
    <w:unhideWhenUsed/>
    <w:rsid w:val="003E3EAA"/>
    <w:pPr>
      <w:tabs>
        <w:tab w:val="center" w:pos="4536"/>
        <w:tab w:val="right" w:pos="9072"/>
      </w:tabs>
    </w:pPr>
  </w:style>
  <w:style w:type="character" w:customStyle="1" w:styleId="HeaderChar">
    <w:name w:val="Header Char"/>
    <w:basedOn w:val="DefaultParagraphFont"/>
    <w:link w:val="Header"/>
    <w:uiPriority w:val="99"/>
    <w:rsid w:val="003E3EAA"/>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3E3EAA"/>
    <w:pPr>
      <w:tabs>
        <w:tab w:val="center" w:pos="4536"/>
        <w:tab w:val="right" w:pos="9072"/>
      </w:tabs>
    </w:pPr>
  </w:style>
  <w:style w:type="character" w:customStyle="1" w:styleId="FooterChar">
    <w:name w:val="Footer Char"/>
    <w:basedOn w:val="DefaultParagraphFont"/>
    <w:link w:val="Footer"/>
    <w:uiPriority w:val="99"/>
    <w:rsid w:val="003E3EAA"/>
    <w:rPr>
      <w:rFonts w:ascii="Times New Roman" w:eastAsia="Times New Roman" w:hAnsi="Times New Roman" w:cs="Times New Roman"/>
      <w:sz w:val="24"/>
      <w:szCs w:val="24"/>
      <w:lang w:eastAsia="hr-HR"/>
    </w:rPr>
  </w:style>
  <w:style w:type="paragraph" w:customStyle="1" w:styleId="naslov3">
    <w:name w:val="naslov 3"/>
    <w:basedOn w:val="Normal"/>
    <w:link w:val="naslov3Char"/>
    <w:qFormat/>
    <w:rsid w:val="009B38A8"/>
    <w:pPr>
      <w:jc w:val="both"/>
    </w:pPr>
    <w:rPr>
      <w:b/>
      <w:sz w:val="26"/>
      <w:szCs w:val="26"/>
    </w:rPr>
  </w:style>
  <w:style w:type="character" w:customStyle="1" w:styleId="naslov3Char">
    <w:name w:val="naslov 3 Char"/>
    <w:basedOn w:val="DefaultParagraphFont"/>
    <w:link w:val="naslov3"/>
    <w:rsid w:val="009B38A8"/>
    <w:rPr>
      <w:rFonts w:ascii="Times New Roman" w:eastAsia="Times New Roman" w:hAnsi="Times New Roman" w:cs="Times New Roman"/>
      <w:b/>
      <w:sz w:val="26"/>
      <w:szCs w:val="26"/>
      <w:lang w:eastAsia="hr-HR"/>
    </w:rPr>
  </w:style>
  <w:style w:type="paragraph" w:styleId="BalloonText">
    <w:name w:val="Balloon Text"/>
    <w:basedOn w:val="Normal"/>
    <w:link w:val="BalloonTextChar"/>
    <w:uiPriority w:val="99"/>
    <w:semiHidden/>
    <w:unhideWhenUsed/>
    <w:rsid w:val="00C570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098"/>
    <w:rPr>
      <w:rFonts w:ascii="Segoe UI" w:eastAsia="Times New Roman" w:hAnsi="Segoe UI" w:cs="Segoe UI"/>
      <w:sz w:val="18"/>
      <w:szCs w:val="18"/>
      <w:lang w:eastAsia="hr-HR"/>
    </w:rPr>
  </w:style>
  <w:style w:type="paragraph" w:styleId="FootnoteText">
    <w:name w:val="footnote text"/>
    <w:aliases w:val="Footnote Text Char1,Footnote Text Char Char,Footnote Text Char2,Footnote Text Char Char1,Footnote Text Char1 Char Char,Footnote Text Char Char Char Char,Footnote Text Char1 Char1,Footnote Text Char Char Char1"/>
    <w:basedOn w:val="Normal"/>
    <w:link w:val="FootnoteTextChar"/>
    <w:rsid w:val="00670E66"/>
    <w:rPr>
      <w:rFonts w:eastAsia="SimSun"/>
      <w:sz w:val="20"/>
      <w:szCs w:val="20"/>
    </w:rPr>
  </w:style>
  <w:style w:type="character" w:customStyle="1" w:styleId="FootnoteTextChar">
    <w:name w:val="Footnote Text Char"/>
    <w:aliases w:val="Footnote Text Char1 Char,Footnote Text Char Char Char,Footnote Text Char2 Char,Footnote Text Char Char1 Char,Footnote Text Char1 Char Char Char,Footnote Text Char Char Char Char Char,Footnote Text Char1 Char1 Char"/>
    <w:basedOn w:val="DefaultParagraphFont"/>
    <w:link w:val="FootnoteText"/>
    <w:rsid w:val="00670E66"/>
    <w:rPr>
      <w:rFonts w:ascii="Times New Roman" w:eastAsia="SimSun" w:hAnsi="Times New Roman" w:cs="Times New Roman"/>
      <w:sz w:val="20"/>
      <w:szCs w:val="20"/>
      <w:lang w:eastAsia="hr-HR"/>
    </w:rPr>
  </w:style>
  <w:style w:type="table" w:styleId="TableGrid">
    <w:name w:val="Table Grid"/>
    <w:basedOn w:val="TableNormal"/>
    <w:uiPriority w:val="39"/>
    <w:rsid w:val="00096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31313">
      <w:bodyDiv w:val="1"/>
      <w:marLeft w:val="0"/>
      <w:marRight w:val="0"/>
      <w:marTop w:val="0"/>
      <w:marBottom w:val="0"/>
      <w:divBdr>
        <w:top w:val="none" w:sz="0" w:space="0" w:color="auto"/>
        <w:left w:val="none" w:sz="0" w:space="0" w:color="auto"/>
        <w:bottom w:val="none" w:sz="0" w:space="0" w:color="auto"/>
        <w:right w:val="none" w:sz="0" w:space="0" w:color="auto"/>
      </w:divBdr>
    </w:div>
    <w:div w:id="810831555">
      <w:bodyDiv w:val="1"/>
      <w:marLeft w:val="0"/>
      <w:marRight w:val="0"/>
      <w:marTop w:val="0"/>
      <w:marBottom w:val="0"/>
      <w:divBdr>
        <w:top w:val="none" w:sz="0" w:space="0" w:color="auto"/>
        <w:left w:val="none" w:sz="0" w:space="0" w:color="auto"/>
        <w:bottom w:val="none" w:sz="0" w:space="0" w:color="auto"/>
        <w:right w:val="none" w:sz="0" w:space="0" w:color="auto"/>
      </w:divBdr>
    </w:div>
    <w:div w:id="1255168908">
      <w:bodyDiv w:val="1"/>
      <w:marLeft w:val="0"/>
      <w:marRight w:val="0"/>
      <w:marTop w:val="0"/>
      <w:marBottom w:val="0"/>
      <w:divBdr>
        <w:top w:val="none" w:sz="0" w:space="0" w:color="auto"/>
        <w:left w:val="none" w:sz="0" w:space="0" w:color="auto"/>
        <w:bottom w:val="none" w:sz="0" w:space="0" w:color="auto"/>
        <w:right w:val="none" w:sz="0" w:space="0" w:color="auto"/>
      </w:divBdr>
    </w:div>
    <w:div w:id="1345013258">
      <w:bodyDiv w:val="1"/>
      <w:marLeft w:val="0"/>
      <w:marRight w:val="0"/>
      <w:marTop w:val="0"/>
      <w:marBottom w:val="0"/>
      <w:divBdr>
        <w:top w:val="none" w:sz="0" w:space="0" w:color="auto"/>
        <w:left w:val="none" w:sz="0" w:space="0" w:color="auto"/>
        <w:bottom w:val="none" w:sz="0" w:space="0" w:color="auto"/>
        <w:right w:val="none" w:sz="0" w:space="0" w:color="auto"/>
      </w:divBdr>
    </w:div>
    <w:div w:id="1675301547">
      <w:bodyDiv w:val="1"/>
      <w:marLeft w:val="0"/>
      <w:marRight w:val="0"/>
      <w:marTop w:val="0"/>
      <w:marBottom w:val="0"/>
      <w:divBdr>
        <w:top w:val="none" w:sz="0" w:space="0" w:color="auto"/>
        <w:left w:val="none" w:sz="0" w:space="0" w:color="auto"/>
        <w:bottom w:val="none" w:sz="0" w:space="0" w:color="auto"/>
        <w:right w:val="none" w:sz="0" w:space="0" w:color="auto"/>
      </w:divBdr>
    </w:div>
    <w:div w:id="175709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p_x0020_kontakta xmlns="ae68f480-f122-411b-9bdc-4bad6894efe6">Upit</Tip_x0020_kontakta>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794FBB8421D634C9B31B21CC1597B52" ma:contentTypeVersion="2" ma:contentTypeDescription="Stvaranje novog dokumenta." ma:contentTypeScope="" ma:versionID="a178e48ba3cd9eba5528fe362230610b">
  <xsd:schema xmlns:xsd="http://www.w3.org/2001/XMLSchema" xmlns:xs="http://www.w3.org/2001/XMLSchema" xmlns:p="http://schemas.microsoft.com/office/2006/metadata/properties" xmlns:ns2="ae68f480-f122-411b-9bdc-4bad6894efe6" xmlns:ns3="32ed26c5-111a-4ffc-9b8c-66e99d1e8679" targetNamespace="http://schemas.microsoft.com/office/2006/metadata/properties" ma:root="true" ma:fieldsID="d49c10ac2b98f0f4561d52a09f3dc9ee" ns2:_="" ns3:_="">
    <xsd:import namespace="ae68f480-f122-411b-9bdc-4bad6894efe6"/>
    <xsd:import namespace="32ed26c5-111a-4ffc-9b8c-66e99d1e8679"/>
    <xsd:element name="properties">
      <xsd:complexType>
        <xsd:sequence>
          <xsd:element name="documentManagement">
            <xsd:complexType>
              <xsd:all>
                <xsd:element ref="ns2:Tip_x0020_kontakt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8f480-f122-411b-9bdc-4bad6894efe6" elementFormDefault="qualified">
    <xsd:import namespace="http://schemas.microsoft.com/office/2006/documentManagement/types"/>
    <xsd:import namespace="http://schemas.microsoft.com/office/infopath/2007/PartnerControls"/>
    <xsd:element name="Tip_x0020_kontakta" ma:index="8" nillable="true" ma:displayName="Tip kontakta" ma:default="Upit" ma:format="Dropdown" ma:internalName="Tip_x0020_kontakta">
      <xsd:simpleType>
        <xsd:restriction base="dms:Choice">
          <xsd:enumeration value="Upit"/>
          <xsd:enumeration value="Odgovor"/>
          <xsd:enumeration value="Priopćenje"/>
          <xsd:enumeration value="Najava"/>
          <xsd:enumeration value="Pressica"/>
        </xsd:restriction>
      </xsd:simpleType>
    </xsd:element>
  </xsd:schema>
  <xsd:schema xmlns:xsd="http://www.w3.org/2001/XMLSchema" xmlns:xs="http://www.w3.org/2001/XMLSchema" xmlns:dms="http://schemas.microsoft.com/office/2006/documentManagement/types" xmlns:pc="http://schemas.microsoft.com/office/infopath/2007/PartnerControls" targetNamespace="32ed26c5-111a-4ffc-9b8c-66e99d1e8679" elementFormDefault="qualified">
    <xsd:import namespace="http://schemas.microsoft.com/office/2006/documentManagement/types"/>
    <xsd:import namespace="http://schemas.microsoft.com/office/infopath/2007/PartnerControls"/>
    <xsd:element name="SharedWithUsers" ma:index="9"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08B8B-6FA2-429D-9AD6-F6C184C4D3BF}">
  <ds:schemaRefs>
    <ds:schemaRef ds:uri="http://purl.org/dc/dcmitype/"/>
    <ds:schemaRef ds:uri="32ed26c5-111a-4ffc-9b8c-66e99d1e8679"/>
    <ds:schemaRef ds:uri="http://schemas.microsoft.com/office/2006/documentManagement/types"/>
    <ds:schemaRef ds:uri="http://schemas.microsoft.com/office/2006/metadata/properties"/>
    <ds:schemaRef ds:uri="ae68f480-f122-411b-9bdc-4bad6894efe6"/>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5172790F-3175-42A4-A843-448CDFDBE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8f480-f122-411b-9bdc-4bad6894efe6"/>
    <ds:schemaRef ds:uri="32ed26c5-111a-4ffc-9b8c-66e99d1e8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3617D-5810-4230-B56F-DA83FFE21EED}">
  <ds:schemaRefs>
    <ds:schemaRef ds:uri="http://schemas.microsoft.com/sharepoint/v3/contenttype/forms"/>
  </ds:schemaRefs>
</ds:datastoreItem>
</file>

<file path=customXml/itemProps4.xml><?xml version="1.0" encoding="utf-8"?>
<ds:datastoreItem xmlns:ds="http://schemas.openxmlformats.org/officeDocument/2006/customXml" ds:itemID="{B023ADCB-51B3-49F2-BC9F-3046AC4D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1706</Words>
  <Characters>9729</Characters>
  <Application>Microsoft Office Word</Application>
  <DocSecurity>0</DocSecurity>
  <Lines>81</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Miljenko Rakić</dc:creator>
  <cp:keywords/>
  <dc:description/>
  <cp:lastModifiedBy>Sunčica Marini</cp:lastModifiedBy>
  <cp:revision>3</cp:revision>
  <cp:lastPrinted>2020-09-07T10:18:00Z</cp:lastPrinted>
  <dcterms:created xsi:type="dcterms:W3CDTF">2020-09-08T15:33:00Z</dcterms:created>
  <dcterms:modified xsi:type="dcterms:W3CDTF">2020-09-09T17:15:00Z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0x0101006794FBB8421D634C9B31B21CC1597B52</vt:lpwstr>
  </property>
</Properties>
</file>