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1AA2" w14:textId="77777777" w:rsidR="00D17939" w:rsidRDefault="00D17939" w:rsidP="00D17939">
      <w:pPr>
        <w:jc w:val="center"/>
      </w:pPr>
      <w:bookmarkStart w:id="0" w:name="_Hlk36710214"/>
      <w:r>
        <w:rPr>
          <w:noProof/>
        </w:rPr>
        <w:drawing>
          <wp:inline distT="0" distB="0" distL="0" distR="0" wp14:anchorId="18A9F1E6" wp14:editId="4AB1C06C">
            <wp:extent cx="504825" cy="65087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50875"/>
                    </a:xfrm>
                    <a:prstGeom prst="rect">
                      <a:avLst/>
                    </a:prstGeom>
                    <a:noFill/>
                    <a:ln>
                      <a:noFill/>
                    </a:ln>
                  </pic:spPr>
                </pic:pic>
              </a:graphicData>
            </a:graphic>
          </wp:inline>
        </w:drawing>
      </w:r>
    </w:p>
    <w:p w14:paraId="4149807C" w14:textId="77777777" w:rsidR="00D17939" w:rsidRDefault="00D17939" w:rsidP="00D17939">
      <w:pPr>
        <w:spacing w:before="60" w:after="1680"/>
        <w:jc w:val="center"/>
        <w:rPr>
          <w:sz w:val="28"/>
        </w:rPr>
      </w:pPr>
      <w:r>
        <w:rPr>
          <w:sz w:val="28"/>
        </w:rPr>
        <w:t>VLADA REPUBLIKE HRVATSKE</w:t>
      </w:r>
    </w:p>
    <w:p w14:paraId="3BD2E166" w14:textId="77777777" w:rsidR="00D17939" w:rsidRDefault="00D17939" w:rsidP="00D17939"/>
    <w:p w14:paraId="241DE36B" w14:textId="6F02E842" w:rsidR="00D17939" w:rsidRDefault="00D17939" w:rsidP="00D17939">
      <w:pPr>
        <w:spacing w:after="2400"/>
        <w:jc w:val="right"/>
      </w:pPr>
      <w:r>
        <w:t>Zagreb, 24. srpnja 2020.</w:t>
      </w:r>
    </w:p>
    <w:p w14:paraId="29AA3FC9" w14:textId="77777777" w:rsidR="00D17939" w:rsidRDefault="00D17939" w:rsidP="00D17939">
      <w:pPr>
        <w:spacing w:line="360" w:lineRule="auto"/>
      </w:pPr>
      <w:r>
        <w:t>__________________________________________________________________________</w:t>
      </w:r>
    </w:p>
    <w:p w14:paraId="035DD98A" w14:textId="77777777" w:rsidR="00D17939" w:rsidRDefault="00D17939" w:rsidP="00D17939">
      <w:pPr>
        <w:spacing w:line="360" w:lineRule="auto"/>
        <w:rPr>
          <w:b/>
          <w:smallCaps/>
        </w:rPr>
        <w:sectPr w:rsidR="00D17939" w:rsidSect="00D17939">
          <w:type w:val="continuous"/>
          <w:pgSz w:w="11906" w:h="16838"/>
          <w:pgMar w:top="993" w:right="1417" w:bottom="1417" w:left="1417" w:header="709" w:footer="658" w:gutter="0"/>
          <w:cols w:space="720"/>
        </w:sectPr>
      </w:pPr>
    </w:p>
    <w:tbl>
      <w:tblPr>
        <w:tblW w:w="0" w:type="auto"/>
        <w:tblLook w:val="00A0" w:firstRow="1" w:lastRow="0" w:firstColumn="1" w:lastColumn="0" w:noHBand="0" w:noVBand="0"/>
      </w:tblPr>
      <w:tblGrid>
        <w:gridCol w:w="1949"/>
        <w:gridCol w:w="7123"/>
      </w:tblGrid>
      <w:tr w:rsidR="00D17939" w14:paraId="5ADCB09C" w14:textId="77777777" w:rsidTr="00D17939">
        <w:tc>
          <w:tcPr>
            <w:tcW w:w="1951" w:type="dxa"/>
            <w:hideMark/>
          </w:tcPr>
          <w:p w14:paraId="426F3C9A" w14:textId="77777777" w:rsidR="00D17939" w:rsidRDefault="00D17939">
            <w:pPr>
              <w:spacing w:line="360" w:lineRule="auto"/>
              <w:jc w:val="right"/>
            </w:pPr>
            <w:r>
              <w:rPr>
                <w:b/>
                <w:smallCaps/>
              </w:rPr>
              <w:t>Predlagatelj</w:t>
            </w:r>
            <w:r>
              <w:rPr>
                <w:b/>
              </w:rPr>
              <w:t>:</w:t>
            </w:r>
          </w:p>
        </w:tc>
        <w:tc>
          <w:tcPr>
            <w:tcW w:w="7229" w:type="dxa"/>
            <w:hideMark/>
          </w:tcPr>
          <w:p w14:paraId="4074C5FF" w14:textId="7B4588C3" w:rsidR="00D17939" w:rsidRDefault="00D17939" w:rsidP="00D17939">
            <w:pPr>
              <w:spacing w:line="360" w:lineRule="auto"/>
            </w:pPr>
            <w:r>
              <w:t>Ministarstvo financija</w:t>
            </w:r>
          </w:p>
        </w:tc>
      </w:tr>
    </w:tbl>
    <w:p w14:paraId="5F703CDE" w14:textId="77777777" w:rsidR="00D17939" w:rsidRDefault="00D17939" w:rsidP="00D17939">
      <w:pPr>
        <w:rPr>
          <w:vanish/>
        </w:rPr>
      </w:pPr>
    </w:p>
    <w:tbl>
      <w:tblPr>
        <w:tblpPr w:leftFromText="180" w:rightFromText="180" w:vertAnchor="text" w:horzAnchor="margin" w:tblpY="653"/>
        <w:tblW w:w="12875" w:type="dxa"/>
        <w:tblLook w:val="00A0" w:firstRow="1" w:lastRow="0" w:firstColumn="1" w:lastColumn="0" w:noHBand="0" w:noVBand="0"/>
      </w:tblPr>
      <w:tblGrid>
        <w:gridCol w:w="1616"/>
        <w:gridCol w:w="7423"/>
        <w:gridCol w:w="3836"/>
      </w:tblGrid>
      <w:tr w:rsidR="00D17939" w14:paraId="6BD52549" w14:textId="77777777" w:rsidTr="00D17939">
        <w:trPr>
          <w:trHeight w:val="1236"/>
        </w:trPr>
        <w:tc>
          <w:tcPr>
            <w:tcW w:w="1616" w:type="dxa"/>
            <w:hideMark/>
          </w:tcPr>
          <w:p w14:paraId="6FDBF593" w14:textId="06C57762" w:rsidR="00D17939" w:rsidRDefault="00D17939">
            <w:r>
              <w:rPr>
                <w:b/>
                <w:smallCaps/>
              </w:rPr>
              <w:t xml:space="preserve">   Predmet</w:t>
            </w:r>
            <w:r>
              <w:rPr>
                <w:b/>
              </w:rPr>
              <w:t xml:space="preserve">:   </w:t>
            </w:r>
          </w:p>
        </w:tc>
        <w:tc>
          <w:tcPr>
            <w:tcW w:w="7423" w:type="dxa"/>
            <w:hideMark/>
          </w:tcPr>
          <w:p w14:paraId="6468FBF1" w14:textId="5660350F" w:rsidR="00D17939" w:rsidRDefault="00D17939" w:rsidP="00D17939">
            <w:pPr>
              <w:jc w:val="both"/>
            </w:pPr>
            <w:r>
              <w:t xml:space="preserve">Nacrt </w:t>
            </w:r>
            <w:bookmarkStart w:id="1" w:name="_Hlk45788440"/>
            <w:r>
              <w:t>konačnog prijedloga zakona o potvrđivanju Okvirnog ugovora o zajmu između Republike Hrvatske i Razvojne banke Vijeća Europe za Projekt LD 2056 (2020) – Podrška mjerama u Republici Hrvatskoj, povezanih s pandemijom bolesti COVID-19 – instrument financiranja javnog sektora</w:t>
            </w:r>
            <w:bookmarkEnd w:id="1"/>
          </w:p>
        </w:tc>
        <w:tc>
          <w:tcPr>
            <w:tcW w:w="3836" w:type="dxa"/>
          </w:tcPr>
          <w:p w14:paraId="2A9629FD" w14:textId="77777777" w:rsidR="00D17939" w:rsidRDefault="00D17939"/>
          <w:p w14:paraId="5DD595CA" w14:textId="77777777" w:rsidR="00D17939" w:rsidRDefault="00D17939">
            <w:r>
              <w:t xml:space="preserve"> </w:t>
            </w:r>
          </w:p>
          <w:p w14:paraId="65E06024" w14:textId="77777777" w:rsidR="00D17939" w:rsidRDefault="00D17939"/>
        </w:tc>
      </w:tr>
    </w:tbl>
    <w:p w14:paraId="6B04440C" w14:textId="77777777" w:rsidR="00D17939" w:rsidRDefault="00D17939" w:rsidP="00D17939">
      <w:pPr>
        <w:spacing w:line="360" w:lineRule="auto"/>
      </w:pPr>
      <w:r>
        <w:t>__________________________________________________________________________</w:t>
      </w:r>
    </w:p>
    <w:p w14:paraId="442CC456" w14:textId="77777777" w:rsidR="00D17939" w:rsidRDefault="00D17939" w:rsidP="00D17939">
      <w:pPr>
        <w:spacing w:line="360" w:lineRule="auto"/>
      </w:pPr>
      <w:r>
        <w:t>__________________________________________________________________________</w:t>
      </w:r>
    </w:p>
    <w:p w14:paraId="2F2B1E3C" w14:textId="78E871EF" w:rsidR="00D17939" w:rsidRDefault="00D17939">
      <w:pPr>
        <w:spacing w:after="160" w:line="259" w:lineRule="auto"/>
      </w:pPr>
    </w:p>
    <w:p w14:paraId="0867D650" w14:textId="7C167803" w:rsidR="00D17939" w:rsidRDefault="00D17939">
      <w:pPr>
        <w:spacing w:after="160" w:line="259" w:lineRule="auto"/>
      </w:pPr>
    </w:p>
    <w:p w14:paraId="0506FBA3" w14:textId="77F04918" w:rsidR="00D17939" w:rsidRDefault="00D17939">
      <w:pPr>
        <w:spacing w:after="160" w:line="259" w:lineRule="auto"/>
      </w:pPr>
    </w:p>
    <w:p w14:paraId="5831165A" w14:textId="6E33659E" w:rsidR="00D17939" w:rsidRDefault="00D17939">
      <w:pPr>
        <w:spacing w:after="160" w:line="259" w:lineRule="auto"/>
      </w:pPr>
    </w:p>
    <w:p w14:paraId="44CE3FF5" w14:textId="377860AA" w:rsidR="00D17939" w:rsidRDefault="00D17939">
      <w:pPr>
        <w:spacing w:after="160" w:line="259" w:lineRule="auto"/>
      </w:pPr>
    </w:p>
    <w:p w14:paraId="20211840" w14:textId="30AC1576" w:rsidR="00D17939" w:rsidRDefault="00D17939">
      <w:pPr>
        <w:spacing w:after="160" w:line="259" w:lineRule="auto"/>
      </w:pPr>
    </w:p>
    <w:p w14:paraId="54C00AE9" w14:textId="666F6B94" w:rsidR="00D17939" w:rsidRDefault="00D17939">
      <w:pPr>
        <w:spacing w:after="160" w:line="259" w:lineRule="auto"/>
      </w:pPr>
    </w:p>
    <w:p w14:paraId="5B7EEBEC" w14:textId="2F2DB0CD" w:rsidR="00D17939" w:rsidRDefault="00D17939">
      <w:pPr>
        <w:spacing w:after="160" w:line="259" w:lineRule="auto"/>
      </w:pPr>
    </w:p>
    <w:p w14:paraId="06E469D0" w14:textId="177895E1" w:rsidR="00D17939" w:rsidRDefault="00D17939">
      <w:pPr>
        <w:spacing w:after="160" w:line="259" w:lineRule="auto"/>
      </w:pPr>
    </w:p>
    <w:p w14:paraId="678EF356" w14:textId="77777777" w:rsidR="00D17939" w:rsidRPr="00D17939" w:rsidRDefault="00D17939" w:rsidP="00D17939">
      <w:pPr>
        <w:pBdr>
          <w:top w:val="single" w:sz="4" w:space="1" w:color="404040"/>
        </w:pBdr>
        <w:tabs>
          <w:tab w:val="center" w:pos="4536"/>
          <w:tab w:val="right" w:pos="9072"/>
        </w:tabs>
        <w:jc w:val="center"/>
        <w:rPr>
          <w:color w:val="404040"/>
          <w:spacing w:val="20"/>
          <w:sz w:val="20"/>
        </w:rPr>
      </w:pPr>
      <w:r w:rsidRPr="00D17939">
        <w:rPr>
          <w:color w:val="404040"/>
          <w:spacing w:val="20"/>
          <w:sz w:val="20"/>
        </w:rPr>
        <w:t>Banski dvori | Trg Sv. Marka 2  | 10000 Zagreb | tel. 01 4569 222 | vlada.gov.hr</w:t>
      </w:r>
    </w:p>
    <w:p w14:paraId="69C5D367" w14:textId="78D8E7C3" w:rsidR="00D17939" w:rsidRDefault="00D17939">
      <w:pPr>
        <w:spacing w:after="160" w:line="259" w:lineRule="auto"/>
      </w:pPr>
      <w:r>
        <w:br w:type="page"/>
      </w:r>
    </w:p>
    <w:p w14:paraId="74FB0726" w14:textId="42600698" w:rsidR="00E80848" w:rsidRPr="00AF625F" w:rsidRDefault="001F3C99" w:rsidP="00E80848">
      <w:pPr>
        <w:pBdr>
          <w:bottom w:val="single" w:sz="12" w:space="1" w:color="auto"/>
        </w:pBdr>
        <w:suppressAutoHyphens/>
        <w:jc w:val="center"/>
        <w:rPr>
          <w:b/>
          <w:spacing w:val="-3"/>
        </w:rPr>
      </w:pPr>
      <w:r>
        <w:rPr>
          <w:b/>
          <w:spacing w:val="-3"/>
        </w:rPr>
        <w:lastRenderedPageBreak/>
        <w:t>VLADA REPUBLIKE HRVATSKE</w:t>
      </w:r>
    </w:p>
    <w:p w14:paraId="6FA4767B" w14:textId="77777777" w:rsidR="00E80848" w:rsidRPr="00AF625F" w:rsidRDefault="00E80848" w:rsidP="00E80848">
      <w:pPr>
        <w:suppressAutoHyphens/>
        <w:jc w:val="center"/>
        <w:rPr>
          <w:b/>
          <w:spacing w:val="-3"/>
        </w:rPr>
      </w:pPr>
    </w:p>
    <w:p w14:paraId="13624924" w14:textId="77777777" w:rsidR="00E80848" w:rsidRPr="004477A3" w:rsidRDefault="00E80848" w:rsidP="00E80848">
      <w:pPr>
        <w:suppressAutoHyphens/>
        <w:jc w:val="center"/>
        <w:rPr>
          <w:spacing w:val="-3"/>
        </w:rPr>
      </w:pPr>
    </w:p>
    <w:p w14:paraId="6365B371" w14:textId="74348303" w:rsidR="00E80848" w:rsidRPr="004477A3" w:rsidRDefault="004477A3" w:rsidP="004477A3">
      <w:pPr>
        <w:suppressAutoHyphens/>
        <w:jc w:val="right"/>
        <w:rPr>
          <w:spacing w:val="-3"/>
        </w:rPr>
      </w:pPr>
      <w:r w:rsidRPr="004477A3">
        <w:rPr>
          <w:spacing w:val="-3"/>
        </w:rPr>
        <w:t>Nacrt</w:t>
      </w:r>
    </w:p>
    <w:p w14:paraId="4FA1D3C9" w14:textId="77777777" w:rsidR="00E80848" w:rsidRPr="00AF625F" w:rsidRDefault="00E80848" w:rsidP="00E80848">
      <w:pPr>
        <w:suppressAutoHyphens/>
        <w:jc w:val="center"/>
        <w:rPr>
          <w:b/>
          <w:spacing w:val="-3"/>
        </w:rPr>
      </w:pPr>
      <w:bookmarkStart w:id="2" w:name="_GoBack"/>
      <w:bookmarkEnd w:id="2"/>
    </w:p>
    <w:p w14:paraId="0E46A8C7" w14:textId="77777777" w:rsidR="00E80848" w:rsidRPr="00AF625F" w:rsidRDefault="00E80848" w:rsidP="00E80848">
      <w:pPr>
        <w:suppressAutoHyphens/>
        <w:jc w:val="center"/>
        <w:rPr>
          <w:b/>
          <w:spacing w:val="-3"/>
        </w:rPr>
      </w:pPr>
    </w:p>
    <w:p w14:paraId="47C59D34" w14:textId="77777777" w:rsidR="00E80848" w:rsidRPr="00AF625F" w:rsidRDefault="00E80848" w:rsidP="00E80848">
      <w:pPr>
        <w:suppressAutoHyphens/>
        <w:jc w:val="center"/>
        <w:rPr>
          <w:b/>
          <w:spacing w:val="-3"/>
        </w:rPr>
      </w:pPr>
    </w:p>
    <w:p w14:paraId="032CB59A" w14:textId="77777777" w:rsidR="00E80848" w:rsidRPr="00AF625F" w:rsidRDefault="00E80848" w:rsidP="00E80848">
      <w:pPr>
        <w:suppressAutoHyphens/>
        <w:jc w:val="center"/>
        <w:rPr>
          <w:b/>
          <w:spacing w:val="-3"/>
        </w:rPr>
      </w:pPr>
    </w:p>
    <w:p w14:paraId="653F8306" w14:textId="77777777" w:rsidR="00E80848" w:rsidRPr="00AF625F" w:rsidRDefault="00E80848" w:rsidP="00E80848">
      <w:pPr>
        <w:suppressAutoHyphens/>
        <w:jc w:val="center"/>
        <w:rPr>
          <w:b/>
          <w:spacing w:val="-3"/>
        </w:rPr>
      </w:pPr>
    </w:p>
    <w:p w14:paraId="50927238" w14:textId="77777777" w:rsidR="00E80848" w:rsidRPr="00AF625F" w:rsidRDefault="00E80848" w:rsidP="00E80848">
      <w:pPr>
        <w:suppressAutoHyphens/>
        <w:jc w:val="center"/>
        <w:rPr>
          <w:b/>
          <w:spacing w:val="-3"/>
        </w:rPr>
      </w:pPr>
    </w:p>
    <w:p w14:paraId="1D34B48C" w14:textId="77777777" w:rsidR="00E80848" w:rsidRPr="00AF625F" w:rsidRDefault="00E80848" w:rsidP="00E80848">
      <w:pPr>
        <w:suppressAutoHyphens/>
        <w:jc w:val="center"/>
        <w:rPr>
          <w:b/>
          <w:spacing w:val="-3"/>
        </w:rPr>
      </w:pPr>
    </w:p>
    <w:p w14:paraId="09FF2F69" w14:textId="77777777" w:rsidR="00E80848" w:rsidRPr="00AF625F" w:rsidRDefault="00E80848" w:rsidP="00E80848">
      <w:pPr>
        <w:suppressAutoHyphens/>
        <w:jc w:val="center"/>
        <w:rPr>
          <w:b/>
          <w:spacing w:val="-3"/>
        </w:rPr>
      </w:pPr>
    </w:p>
    <w:p w14:paraId="1DCA8CBD" w14:textId="53C1998F" w:rsidR="00E80848" w:rsidRDefault="00E80848" w:rsidP="00E80848">
      <w:pPr>
        <w:suppressAutoHyphens/>
        <w:jc w:val="center"/>
        <w:rPr>
          <w:b/>
          <w:spacing w:val="-3"/>
        </w:rPr>
      </w:pPr>
    </w:p>
    <w:p w14:paraId="452CD6B8" w14:textId="64362D87" w:rsidR="00B11F60" w:rsidRDefault="00B11F60" w:rsidP="00E80848">
      <w:pPr>
        <w:suppressAutoHyphens/>
        <w:jc w:val="center"/>
        <w:rPr>
          <w:b/>
          <w:spacing w:val="-3"/>
        </w:rPr>
      </w:pPr>
    </w:p>
    <w:p w14:paraId="0D7D8856" w14:textId="6C1F3826" w:rsidR="00B11F60" w:rsidRDefault="00B11F60" w:rsidP="00E80848">
      <w:pPr>
        <w:suppressAutoHyphens/>
        <w:jc w:val="center"/>
        <w:rPr>
          <w:b/>
          <w:spacing w:val="-3"/>
        </w:rPr>
      </w:pPr>
    </w:p>
    <w:p w14:paraId="04B9ED2A" w14:textId="77777777" w:rsidR="00B11F60" w:rsidRPr="00AF625F" w:rsidRDefault="00B11F60" w:rsidP="00E80848">
      <w:pPr>
        <w:suppressAutoHyphens/>
        <w:jc w:val="center"/>
        <w:rPr>
          <w:b/>
          <w:spacing w:val="-3"/>
        </w:rPr>
      </w:pPr>
    </w:p>
    <w:p w14:paraId="7E85EDF9" w14:textId="77777777" w:rsidR="00E80848" w:rsidRPr="00AF625F" w:rsidRDefault="00E80848" w:rsidP="00E80848">
      <w:pPr>
        <w:suppressAutoHyphens/>
        <w:jc w:val="center"/>
        <w:rPr>
          <w:b/>
          <w:spacing w:val="-3"/>
        </w:rPr>
      </w:pPr>
    </w:p>
    <w:p w14:paraId="730755F3" w14:textId="76682176" w:rsidR="00E80848" w:rsidRDefault="00E80848" w:rsidP="00E80848">
      <w:pPr>
        <w:suppressAutoHyphens/>
        <w:jc w:val="center"/>
        <w:rPr>
          <w:b/>
          <w:spacing w:val="-3"/>
        </w:rPr>
      </w:pPr>
    </w:p>
    <w:p w14:paraId="13D8B5AA" w14:textId="77777777" w:rsidR="00B11F60" w:rsidRPr="00AF625F" w:rsidRDefault="00B11F60" w:rsidP="00E80848">
      <w:pPr>
        <w:suppressAutoHyphens/>
        <w:jc w:val="center"/>
        <w:rPr>
          <w:b/>
          <w:spacing w:val="-3"/>
        </w:rPr>
      </w:pPr>
    </w:p>
    <w:p w14:paraId="7B794C13" w14:textId="77777777" w:rsidR="00E80848" w:rsidRPr="00AF625F" w:rsidRDefault="00E80848" w:rsidP="00E80848">
      <w:pPr>
        <w:suppressAutoHyphens/>
        <w:jc w:val="center"/>
        <w:rPr>
          <w:b/>
          <w:spacing w:val="-3"/>
        </w:rPr>
      </w:pPr>
    </w:p>
    <w:p w14:paraId="77687E65" w14:textId="77777777" w:rsidR="00E80848" w:rsidRPr="00941FB8" w:rsidRDefault="00E80848" w:rsidP="00E80848">
      <w:pPr>
        <w:suppressAutoHyphens/>
        <w:jc w:val="center"/>
        <w:rPr>
          <w:b/>
          <w:spacing w:val="-3"/>
        </w:rPr>
      </w:pPr>
    </w:p>
    <w:p w14:paraId="493F3D87" w14:textId="77777777" w:rsidR="007D23C3" w:rsidRDefault="00E80848" w:rsidP="007D23C3">
      <w:pPr>
        <w:suppressAutoHyphens/>
        <w:jc w:val="center"/>
        <w:rPr>
          <w:b/>
          <w:color w:val="000000"/>
        </w:rPr>
      </w:pPr>
      <w:r>
        <w:rPr>
          <w:b/>
          <w:spacing w:val="-3"/>
        </w:rPr>
        <w:t xml:space="preserve">KONAČNI </w:t>
      </w:r>
      <w:r w:rsidRPr="00941FB8">
        <w:rPr>
          <w:b/>
          <w:spacing w:val="-3"/>
        </w:rPr>
        <w:t xml:space="preserve">PRIJEDLOG ZAKONA O </w:t>
      </w:r>
      <w:r w:rsidRPr="00941FB8">
        <w:rPr>
          <w:b/>
          <w:color w:val="000000"/>
        </w:rPr>
        <w:t xml:space="preserve">POTVRĐIVANJU </w:t>
      </w:r>
    </w:p>
    <w:p w14:paraId="5754A002" w14:textId="77777777" w:rsidR="007D23C3" w:rsidRDefault="007D23C3" w:rsidP="007D23C3">
      <w:pPr>
        <w:suppressAutoHyphens/>
        <w:jc w:val="center"/>
        <w:rPr>
          <w:b/>
        </w:rPr>
      </w:pPr>
      <w:r w:rsidRPr="007D23C3">
        <w:rPr>
          <w:b/>
        </w:rPr>
        <w:t xml:space="preserve">OKVIRNOG UGOVORA O ZAJMU IZMEĐU REPUBLIKE HRVATSKE </w:t>
      </w:r>
    </w:p>
    <w:p w14:paraId="05909877" w14:textId="317543EB" w:rsidR="00E80848" w:rsidRDefault="007D23C3" w:rsidP="007D23C3">
      <w:pPr>
        <w:suppressAutoHyphens/>
        <w:jc w:val="center"/>
        <w:rPr>
          <w:b/>
        </w:rPr>
      </w:pPr>
      <w:r w:rsidRPr="007D23C3">
        <w:rPr>
          <w:b/>
        </w:rPr>
        <w:t>I RAZVOJNE BANKE VIJEĆA EUROPE ZA PROJEKT LD 2056 (2020) – PODRŠKA MJERAMA U REPUBLICI HRVATSKOJ, POVEZANIH S PANDEMIJOM BOLESTI COVID-19 – INSTRUMENT FINANCIRANJA JAVNOG SEKTORA</w:t>
      </w:r>
    </w:p>
    <w:p w14:paraId="1735C01C" w14:textId="77777777" w:rsidR="00456EFB" w:rsidRPr="00941FB8" w:rsidRDefault="00456EFB" w:rsidP="00E80848">
      <w:pPr>
        <w:suppressAutoHyphens/>
        <w:jc w:val="center"/>
        <w:rPr>
          <w:b/>
        </w:rPr>
      </w:pPr>
    </w:p>
    <w:p w14:paraId="0417B277" w14:textId="77777777" w:rsidR="00E80848" w:rsidRPr="00AF625F" w:rsidRDefault="00E80848" w:rsidP="00E80848">
      <w:pPr>
        <w:suppressAutoHyphens/>
        <w:jc w:val="center"/>
        <w:rPr>
          <w:b/>
        </w:rPr>
      </w:pPr>
    </w:p>
    <w:p w14:paraId="1C262CDD" w14:textId="603C7480" w:rsidR="00E80848" w:rsidRDefault="00E80848" w:rsidP="00E80848">
      <w:pPr>
        <w:suppressAutoHyphens/>
        <w:jc w:val="center"/>
        <w:rPr>
          <w:b/>
        </w:rPr>
      </w:pPr>
    </w:p>
    <w:p w14:paraId="0A4E44EB" w14:textId="77B6ACDB" w:rsidR="00B11F60" w:rsidRDefault="00B11F60" w:rsidP="00E80848">
      <w:pPr>
        <w:suppressAutoHyphens/>
        <w:jc w:val="center"/>
        <w:rPr>
          <w:b/>
        </w:rPr>
      </w:pPr>
    </w:p>
    <w:p w14:paraId="44918F9B" w14:textId="77777777" w:rsidR="00B11F60" w:rsidRPr="00AF625F" w:rsidRDefault="00B11F60" w:rsidP="00E80848">
      <w:pPr>
        <w:suppressAutoHyphens/>
        <w:jc w:val="center"/>
        <w:rPr>
          <w:b/>
        </w:rPr>
      </w:pPr>
    </w:p>
    <w:p w14:paraId="7F93E582" w14:textId="77777777" w:rsidR="00E80848" w:rsidRPr="00AF625F" w:rsidRDefault="00E80848" w:rsidP="00E80848">
      <w:pPr>
        <w:suppressAutoHyphens/>
        <w:jc w:val="center"/>
        <w:rPr>
          <w:b/>
        </w:rPr>
      </w:pPr>
    </w:p>
    <w:p w14:paraId="67D8BA83" w14:textId="77777777" w:rsidR="00E80848" w:rsidRPr="00AF625F" w:rsidRDefault="00E80848" w:rsidP="00E80848">
      <w:pPr>
        <w:suppressAutoHyphens/>
        <w:jc w:val="center"/>
        <w:rPr>
          <w:b/>
        </w:rPr>
      </w:pPr>
    </w:p>
    <w:p w14:paraId="00783166" w14:textId="77777777" w:rsidR="00E80848" w:rsidRPr="00AF625F" w:rsidRDefault="00E80848" w:rsidP="00E80848">
      <w:pPr>
        <w:suppressAutoHyphens/>
        <w:jc w:val="center"/>
        <w:rPr>
          <w:b/>
        </w:rPr>
      </w:pPr>
    </w:p>
    <w:p w14:paraId="1E0BC88F" w14:textId="77777777" w:rsidR="00E80848" w:rsidRPr="00AF625F" w:rsidRDefault="00E80848" w:rsidP="00E80848">
      <w:pPr>
        <w:suppressAutoHyphens/>
        <w:jc w:val="center"/>
        <w:rPr>
          <w:b/>
        </w:rPr>
      </w:pPr>
    </w:p>
    <w:p w14:paraId="4519D9C3" w14:textId="77777777" w:rsidR="00E80848" w:rsidRPr="00AF625F" w:rsidRDefault="00E80848" w:rsidP="00E80848">
      <w:pPr>
        <w:suppressAutoHyphens/>
        <w:jc w:val="center"/>
        <w:rPr>
          <w:b/>
        </w:rPr>
      </w:pPr>
    </w:p>
    <w:p w14:paraId="0BC3DB95" w14:textId="77777777" w:rsidR="00E80848" w:rsidRPr="00AF625F" w:rsidRDefault="00E80848" w:rsidP="00E80848">
      <w:pPr>
        <w:suppressAutoHyphens/>
        <w:jc w:val="center"/>
        <w:rPr>
          <w:b/>
        </w:rPr>
      </w:pPr>
    </w:p>
    <w:p w14:paraId="73CB94BB" w14:textId="77777777" w:rsidR="00E80848" w:rsidRPr="00AF625F" w:rsidRDefault="00E80848" w:rsidP="00E80848">
      <w:pPr>
        <w:suppressAutoHyphens/>
        <w:jc w:val="center"/>
        <w:rPr>
          <w:b/>
        </w:rPr>
      </w:pPr>
    </w:p>
    <w:p w14:paraId="6415AD36" w14:textId="77777777" w:rsidR="00E80848" w:rsidRPr="00AF625F" w:rsidRDefault="00E80848" w:rsidP="00E80848">
      <w:pPr>
        <w:suppressAutoHyphens/>
        <w:jc w:val="center"/>
        <w:rPr>
          <w:b/>
        </w:rPr>
      </w:pPr>
    </w:p>
    <w:p w14:paraId="2EA2E462" w14:textId="77777777" w:rsidR="00E80848" w:rsidRPr="00AF625F" w:rsidRDefault="00E80848" w:rsidP="00E80848">
      <w:pPr>
        <w:suppressAutoHyphens/>
        <w:jc w:val="center"/>
        <w:rPr>
          <w:b/>
        </w:rPr>
      </w:pPr>
    </w:p>
    <w:p w14:paraId="3A204F6E" w14:textId="77777777" w:rsidR="00E80848" w:rsidRDefault="00E80848" w:rsidP="00E80848">
      <w:pPr>
        <w:suppressAutoHyphens/>
        <w:jc w:val="center"/>
        <w:rPr>
          <w:b/>
        </w:rPr>
      </w:pPr>
    </w:p>
    <w:p w14:paraId="049401E9" w14:textId="77777777" w:rsidR="00E80848" w:rsidRDefault="00E80848" w:rsidP="00E80848">
      <w:pPr>
        <w:suppressAutoHyphens/>
        <w:jc w:val="center"/>
        <w:rPr>
          <w:b/>
        </w:rPr>
      </w:pPr>
    </w:p>
    <w:p w14:paraId="3D19FE0B" w14:textId="77777777" w:rsidR="00E80848" w:rsidRDefault="00E80848" w:rsidP="00E80848">
      <w:pPr>
        <w:suppressAutoHyphens/>
        <w:jc w:val="center"/>
        <w:rPr>
          <w:b/>
        </w:rPr>
      </w:pPr>
    </w:p>
    <w:p w14:paraId="2933C0E4" w14:textId="77777777" w:rsidR="00E80848" w:rsidRPr="00AF625F" w:rsidRDefault="00E80848" w:rsidP="00E80848">
      <w:pPr>
        <w:suppressAutoHyphens/>
        <w:jc w:val="center"/>
        <w:rPr>
          <w:b/>
        </w:rPr>
      </w:pPr>
    </w:p>
    <w:p w14:paraId="54749B65" w14:textId="77777777" w:rsidR="00E80848" w:rsidRPr="00AF625F" w:rsidRDefault="00E80848" w:rsidP="00E80848">
      <w:pPr>
        <w:pBdr>
          <w:bottom w:val="single" w:sz="12" w:space="1" w:color="auto"/>
        </w:pBdr>
        <w:suppressAutoHyphens/>
        <w:jc w:val="center"/>
        <w:rPr>
          <w:b/>
        </w:rPr>
      </w:pPr>
    </w:p>
    <w:p w14:paraId="0C31DD0A" w14:textId="79002A92" w:rsidR="00E80848" w:rsidRDefault="00E80848" w:rsidP="00E80848">
      <w:pPr>
        <w:pBdr>
          <w:bottom w:val="single" w:sz="12" w:space="1" w:color="auto"/>
        </w:pBdr>
        <w:suppressAutoHyphens/>
        <w:jc w:val="center"/>
        <w:rPr>
          <w:b/>
        </w:rPr>
      </w:pPr>
    </w:p>
    <w:p w14:paraId="55AB524C" w14:textId="2C72689D" w:rsidR="00192A93" w:rsidRDefault="00192A93" w:rsidP="00E80848">
      <w:pPr>
        <w:pBdr>
          <w:bottom w:val="single" w:sz="12" w:space="1" w:color="auto"/>
        </w:pBdr>
        <w:suppressAutoHyphens/>
        <w:jc w:val="center"/>
        <w:rPr>
          <w:b/>
        </w:rPr>
      </w:pPr>
    </w:p>
    <w:p w14:paraId="32FE607D" w14:textId="601DBBA6" w:rsidR="00192A93" w:rsidRPr="00AF625F" w:rsidRDefault="00192A93" w:rsidP="00E80848">
      <w:pPr>
        <w:pBdr>
          <w:bottom w:val="single" w:sz="12" w:space="1" w:color="auto"/>
        </w:pBdr>
        <w:suppressAutoHyphens/>
        <w:jc w:val="center"/>
        <w:rPr>
          <w:b/>
        </w:rPr>
      </w:pPr>
    </w:p>
    <w:p w14:paraId="76D0771E" w14:textId="6FC6636C" w:rsidR="001F3C99" w:rsidRDefault="00E80848" w:rsidP="001F3C99">
      <w:pPr>
        <w:jc w:val="center"/>
        <w:outlineLvl w:val="0"/>
        <w:rPr>
          <w:b/>
        </w:rPr>
      </w:pPr>
      <w:r w:rsidRPr="00AF625F">
        <w:rPr>
          <w:b/>
        </w:rPr>
        <w:t>Zagreb,</w:t>
      </w:r>
      <w:r>
        <w:rPr>
          <w:b/>
        </w:rPr>
        <w:t xml:space="preserve"> </w:t>
      </w:r>
      <w:r w:rsidR="00B809C0">
        <w:rPr>
          <w:b/>
        </w:rPr>
        <w:t>srp</w:t>
      </w:r>
      <w:r w:rsidR="00792594">
        <w:rPr>
          <w:b/>
        </w:rPr>
        <w:t>anj</w:t>
      </w:r>
      <w:r w:rsidRPr="00EF63C4">
        <w:rPr>
          <w:b/>
        </w:rPr>
        <w:t xml:space="preserve"> </w:t>
      </w:r>
      <w:r w:rsidR="00792594">
        <w:rPr>
          <w:b/>
        </w:rPr>
        <w:t>2020</w:t>
      </w:r>
      <w:r w:rsidRPr="00AF625F">
        <w:rPr>
          <w:b/>
        </w:rPr>
        <w:t>.</w:t>
      </w:r>
      <w:r w:rsidR="001F3C99">
        <w:rPr>
          <w:b/>
        </w:rPr>
        <w:br w:type="page"/>
      </w:r>
    </w:p>
    <w:p w14:paraId="1D227344" w14:textId="77777777" w:rsidR="001F3C99" w:rsidRDefault="001F3C99" w:rsidP="001F3C99">
      <w:pPr>
        <w:jc w:val="center"/>
        <w:outlineLvl w:val="0"/>
        <w:rPr>
          <w:b/>
        </w:rPr>
      </w:pPr>
    </w:p>
    <w:p w14:paraId="2931F86C" w14:textId="57F8E6FF" w:rsidR="00CF6C0F" w:rsidRPr="00CF6C0F" w:rsidRDefault="00CF6C0F" w:rsidP="001F3C99">
      <w:pPr>
        <w:jc w:val="center"/>
        <w:outlineLvl w:val="0"/>
        <w:rPr>
          <w:b/>
        </w:rPr>
      </w:pPr>
      <w:r w:rsidRPr="00CF6C0F">
        <w:rPr>
          <w:b/>
        </w:rPr>
        <w:t xml:space="preserve">KONAČNI PRIJEDLOG ZAKONA O POTVRĐIVANJU </w:t>
      </w:r>
    </w:p>
    <w:p w14:paraId="7D141036" w14:textId="77777777" w:rsidR="00CF6C0F" w:rsidRPr="00CF6C0F" w:rsidRDefault="00CF6C0F" w:rsidP="00CF6C0F">
      <w:pPr>
        <w:jc w:val="center"/>
        <w:rPr>
          <w:b/>
        </w:rPr>
      </w:pPr>
      <w:r w:rsidRPr="00CF6C0F">
        <w:rPr>
          <w:b/>
        </w:rPr>
        <w:t xml:space="preserve">OKVIRNOG UGOVORA O ZAJMU IZMEĐU REPUBLIKE HRVATSKE </w:t>
      </w:r>
    </w:p>
    <w:p w14:paraId="70F47657" w14:textId="0B7B3ABF" w:rsidR="00E80848" w:rsidRDefault="00CF6C0F" w:rsidP="00CF6C0F">
      <w:pPr>
        <w:jc w:val="center"/>
        <w:rPr>
          <w:b/>
        </w:rPr>
      </w:pPr>
      <w:r w:rsidRPr="00CF6C0F">
        <w:rPr>
          <w:b/>
        </w:rPr>
        <w:t>I RAZVOJNE BANKE VIJEĆA EUROPE ZA PROJEKT LD 2056 (2020) – PODRŠKA MJERAMA U REPUBLICI HRVATSKOJ, POVEZANIH S PANDEMIJOM BOLESTI COVID-19 – INSTRUMENT FINANCIRANJA JAVNOG SEKTORA</w:t>
      </w:r>
    </w:p>
    <w:p w14:paraId="0176B675" w14:textId="77777777" w:rsidR="00E80848" w:rsidRPr="00DB5309" w:rsidRDefault="00E80848" w:rsidP="00E80848">
      <w:pPr>
        <w:jc w:val="center"/>
        <w:rPr>
          <w:b/>
        </w:rPr>
      </w:pPr>
    </w:p>
    <w:p w14:paraId="424251BD" w14:textId="77777777" w:rsidR="00E80848" w:rsidRDefault="00E80848" w:rsidP="00E80848">
      <w:pPr>
        <w:jc w:val="center"/>
        <w:rPr>
          <w:b/>
        </w:rPr>
      </w:pPr>
    </w:p>
    <w:p w14:paraId="05469216" w14:textId="77777777" w:rsidR="00E80848" w:rsidRPr="00DB5309" w:rsidRDefault="00E80848" w:rsidP="00E80848">
      <w:pPr>
        <w:jc w:val="center"/>
        <w:rPr>
          <w:b/>
        </w:rPr>
      </w:pPr>
    </w:p>
    <w:p w14:paraId="7F5F0D70" w14:textId="77777777" w:rsidR="00E80848" w:rsidRPr="00DB5309" w:rsidRDefault="00E80848" w:rsidP="00E80848">
      <w:pPr>
        <w:jc w:val="center"/>
        <w:rPr>
          <w:b/>
        </w:rPr>
      </w:pPr>
    </w:p>
    <w:p w14:paraId="7C936B68" w14:textId="77777777" w:rsidR="00E80848" w:rsidRPr="00DB5309" w:rsidRDefault="00E80848" w:rsidP="00E80848">
      <w:pPr>
        <w:numPr>
          <w:ilvl w:val="0"/>
          <w:numId w:val="1"/>
        </w:numPr>
        <w:tabs>
          <w:tab w:val="clear" w:pos="720"/>
        </w:tabs>
        <w:rPr>
          <w:b/>
        </w:rPr>
      </w:pPr>
      <w:r w:rsidRPr="00DB5309">
        <w:rPr>
          <w:b/>
        </w:rPr>
        <w:t>USTAVNA OSNOVA ZA DONOŠENJE ZAKONA</w:t>
      </w:r>
    </w:p>
    <w:p w14:paraId="3E8C8060" w14:textId="77777777" w:rsidR="00E80848" w:rsidRPr="00DB5309" w:rsidRDefault="00E80848" w:rsidP="00E80848">
      <w:pPr>
        <w:rPr>
          <w:b/>
        </w:rPr>
      </w:pPr>
    </w:p>
    <w:p w14:paraId="2F25A5A3" w14:textId="0A496EA8" w:rsidR="00E80848" w:rsidRPr="004A6627" w:rsidRDefault="00E80848" w:rsidP="00E80848">
      <w:pPr>
        <w:jc w:val="both"/>
        <w:rPr>
          <w:spacing w:val="2"/>
        </w:rPr>
      </w:pPr>
      <w:r w:rsidRPr="004A6627">
        <w:rPr>
          <w:spacing w:val="2"/>
        </w:rPr>
        <w:t xml:space="preserve">Ustavna osnova za donošenje </w:t>
      </w:r>
      <w:r w:rsidR="0019040A">
        <w:rPr>
          <w:spacing w:val="2"/>
        </w:rPr>
        <w:t>ovoga z</w:t>
      </w:r>
      <w:r w:rsidRPr="004A6627">
        <w:rPr>
          <w:spacing w:val="2"/>
        </w:rPr>
        <w:t xml:space="preserve">akona </w:t>
      </w:r>
      <w:r w:rsidR="0042382C" w:rsidRPr="004A6627">
        <w:rPr>
          <w:spacing w:val="2"/>
        </w:rPr>
        <w:t>sadržana je u odredbi članka 140. stavka 1. Ustava Republike Hrvatske (Narodne novine, br. 85/10 - pročišćeni tekst i 5/14 – Odluka Ustavnog suda Republike Hrvatske).</w:t>
      </w:r>
    </w:p>
    <w:p w14:paraId="525031FC" w14:textId="77777777" w:rsidR="00E80848" w:rsidRPr="00DB5309" w:rsidRDefault="00E80848" w:rsidP="00E80848">
      <w:pPr>
        <w:jc w:val="both"/>
      </w:pPr>
    </w:p>
    <w:p w14:paraId="699A6D3B" w14:textId="77777777" w:rsidR="00E80848" w:rsidRPr="00DB5309" w:rsidRDefault="00E80848" w:rsidP="00E80848">
      <w:pPr>
        <w:jc w:val="both"/>
      </w:pPr>
    </w:p>
    <w:p w14:paraId="645D64B8" w14:textId="77777777" w:rsidR="00E80848" w:rsidRPr="00DB5309" w:rsidRDefault="00E80848" w:rsidP="00E80848">
      <w:pPr>
        <w:numPr>
          <w:ilvl w:val="0"/>
          <w:numId w:val="1"/>
        </w:numPr>
        <w:tabs>
          <w:tab w:val="clear" w:pos="720"/>
        </w:tabs>
        <w:rPr>
          <w:b/>
        </w:rPr>
      </w:pPr>
      <w:r w:rsidRPr="00DB5309">
        <w:rPr>
          <w:b/>
        </w:rPr>
        <w:t>OCJENA STANJA I CILJ KOJI SE ZAKONOM ŽELI POSTIĆI</w:t>
      </w:r>
    </w:p>
    <w:p w14:paraId="6DEDE372" w14:textId="77777777" w:rsidR="00E80848" w:rsidRPr="00DB5309" w:rsidRDefault="00E80848" w:rsidP="00E80848">
      <w:pPr>
        <w:jc w:val="both"/>
        <w:rPr>
          <w:b/>
        </w:rPr>
      </w:pPr>
    </w:p>
    <w:p w14:paraId="5A3B8F3D" w14:textId="77777777" w:rsidR="00E80848" w:rsidRPr="00DB5309" w:rsidRDefault="00E80848" w:rsidP="00E80848">
      <w:pPr>
        <w:numPr>
          <w:ilvl w:val="0"/>
          <w:numId w:val="2"/>
        </w:numPr>
        <w:tabs>
          <w:tab w:val="clear" w:pos="360"/>
        </w:tabs>
        <w:jc w:val="both"/>
        <w:rPr>
          <w:b/>
        </w:rPr>
      </w:pPr>
      <w:r w:rsidRPr="00DB5309">
        <w:rPr>
          <w:b/>
        </w:rPr>
        <w:t>Ocjena stanja</w:t>
      </w:r>
    </w:p>
    <w:p w14:paraId="39F2F6B2" w14:textId="77777777" w:rsidR="00E80848" w:rsidRPr="00DB5309" w:rsidRDefault="00E80848" w:rsidP="00E80848">
      <w:pPr>
        <w:jc w:val="both"/>
        <w:rPr>
          <w:b/>
        </w:rPr>
      </w:pPr>
    </w:p>
    <w:p w14:paraId="5F64A969" w14:textId="531125A2" w:rsidR="0042382C" w:rsidRDefault="005225F8" w:rsidP="0042382C">
      <w:pPr>
        <w:jc w:val="both"/>
      </w:pPr>
      <w:r w:rsidRPr="005225F8">
        <w:t>Razvojna banka Vijeća Europe (Council of Europe Development Bank</w:t>
      </w:r>
      <w:r>
        <w:t xml:space="preserve">, u daljnjem tekstu: </w:t>
      </w:r>
      <w:r w:rsidRPr="005225F8">
        <w:t>CEB) s glavnim sjedištem u Strasbourgu i administrativnim u Parizu, najstarija je međunarodna financijska institucija u Europi, osnovana 1956.</w:t>
      </w:r>
      <w:r>
        <w:t xml:space="preserve"> </w:t>
      </w:r>
      <w:r w:rsidRPr="005225F8">
        <w:t>na inicijativu Vijeća Europe (Council of Europe)</w:t>
      </w:r>
      <w:r w:rsidR="0042382C">
        <w:t xml:space="preserve">. </w:t>
      </w:r>
      <w:r w:rsidR="002358A6" w:rsidRPr="002358A6">
        <w:t>Glavni cilj djelovanja CEB-a je promicanje načela V</w:t>
      </w:r>
      <w:r w:rsidR="002358A6">
        <w:t xml:space="preserve">ijeća </w:t>
      </w:r>
      <w:r w:rsidR="002358A6" w:rsidRPr="002358A6">
        <w:t>E</w:t>
      </w:r>
      <w:r w:rsidR="002358A6">
        <w:t xml:space="preserve">urope </w:t>
      </w:r>
      <w:r w:rsidR="00FB0D8B">
        <w:t xml:space="preserve">putem podrške </w:t>
      </w:r>
      <w:r w:rsidR="002358A6" w:rsidRPr="002358A6">
        <w:t>projekt</w:t>
      </w:r>
      <w:r w:rsidR="00FB0D8B">
        <w:t>im</w:t>
      </w:r>
      <w:r w:rsidR="002358A6" w:rsidRPr="002358A6">
        <w:t>a</w:t>
      </w:r>
      <w:r w:rsidR="00FB0D8B">
        <w:t xml:space="preserve"> i </w:t>
      </w:r>
      <w:r w:rsidR="002358A6" w:rsidRPr="002358A6">
        <w:t>program</w:t>
      </w:r>
      <w:r w:rsidR="00FB0D8B">
        <w:t>im</w:t>
      </w:r>
      <w:r w:rsidR="002358A6" w:rsidRPr="002358A6">
        <w:t>a</w:t>
      </w:r>
      <w:r w:rsidR="002358A6">
        <w:t xml:space="preserve"> visoke socijalne vidljivosti</w:t>
      </w:r>
      <w:r w:rsidR="0042382C">
        <w:t xml:space="preserve">. </w:t>
      </w:r>
      <w:r w:rsidR="00FB0D8B" w:rsidRPr="00BE47BC">
        <w:rPr>
          <w:spacing w:val="-2"/>
        </w:rPr>
        <w:t xml:space="preserve">Poseban mandat CEB-a je </w:t>
      </w:r>
      <w:r w:rsidR="00FB0D8B" w:rsidRPr="00FB0D8B">
        <w:rPr>
          <w:spacing w:val="-2"/>
        </w:rPr>
        <w:t xml:space="preserve">podupiranje projekata tzv. </w:t>
      </w:r>
      <w:hyperlink r:id="rId9" w:history="1">
        <w:r w:rsidR="00FB0D8B" w:rsidRPr="00FB0D8B">
          <w:rPr>
            <w:spacing w:val="-2"/>
          </w:rPr>
          <w:t>cilj</w:t>
        </w:r>
        <w:r w:rsidR="00FB0D8B">
          <w:rPr>
            <w:spacing w:val="-2"/>
          </w:rPr>
          <w:t>a</w:t>
        </w:r>
        <w:r w:rsidR="00FB0D8B" w:rsidRPr="00FB0D8B">
          <w:rPr>
            <w:spacing w:val="-2"/>
          </w:rPr>
          <w:t>ne skupine zemalja</w:t>
        </w:r>
      </w:hyperlink>
      <w:r w:rsidR="00FB0D8B" w:rsidRPr="00FB0D8B">
        <w:rPr>
          <w:spacing w:val="-2"/>
        </w:rPr>
        <w:t xml:space="preserve"> (Target Group Countries),</w:t>
      </w:r>
      <w:r w:rsidR="00FB0D8B" w:rsidRPr="00BE47BC">
        <w:rPr>
          <w:spacing w:val="-2"/>
        </w:rPr>
        <w:t xml:space="preserve"> koju čine 22 članice: Albanija, Bosna i Hercegovina, Bugarska, Cipar, Crna Gora, Češka, Estonija, Gruzija, Kosov</w:t>
      </w:r>
      <w:r w:rsidR="00547362">
        <w:rPr>
          <w:spacing w:val="-2"/>
        </w:rPr>
        <w:t>o, Latvija, Litva, Mađarska, Sjeverna</w:t>
      </w:r>
      <w:r w:rsidR="00FB0D8B" w:rsidRPr="00BE47BC">
        <w:rPr>
          <w:spacing w:val="-2"/>
        </w:rPr>
        <w:t xml:space="preserve"> Makedonija, Malta, Moldova, Poljska, Rumunjska, Slovačka, Slovenija, Srbija, Turska i </w:t>
      </w:r>
      <w:r w:rsidR="00FB0D8B" w:rsidRPr="00FB0D8B">
        <w:rPr>
          <w:spacing w:val="-2"/>
        </w:rPr>
        <w:t xml:space="preserve">Hrvatska. </w:t>
      </w:r>
      <w:r w:rsidR="004115B4" w:rsidRPr="00FB0D8B">
        <w:t>Guverner</w:t>
      </w:r>
      <w:r w:rsidR="004115B4">
        <w:t xml:space="preserve"> CEB-a je Rolf Wenzel (Njemačka)</w:t>
      </w:r>
      <w:r w:rsidR="009123BC">
        <w:t>, koji od 18. prosinca 2016. služi svoj drugi petogodišnji mandat.</w:t>
      </w:r>
    </w:p>
    <w:p w14:paraId="33C41B47" w14:textId="343AA570" w:rsidR="0042382C" w:rsidRDefault="0042382C" w:rsidP="0042382C">
      <w:pPr>
        <w:jc w:val="both"/>
      </w:pPr>
    </w:p>
    <w:p w14:paraId="05574F7C" w14:textId="7964537A" w:rsidR="0042382C" w:rsidRDefault="0042382C" w:rsidP="0042382C">
      <w:pPr>
        <w:jc w:val="both"/>
      </w:pPr>
      <w:r>
        <w:t xml:space="preserve">Republika Hrvatska punopravna je članica </w:t>
      </w:r>
      <w:r w:rsidR="002358A6">
        <w:t>CEB</w:t>
      </w:r>
      <w:r>
        <w:t>-a, od 2</w:t>
      </w:r>
      <w:r w:rsidR="009F46DF">
        <w:t>4</w:t>
      </w:r>
      <w:r>
        <w:t xml:space="preserve">. </w:t>
      </w:r>
      <w:r w:rsidR="009F46DF">
        <w:t>lipnja 1997.</w:t>
      </w:r>
      <w:r w:rsidR="00FB0D8B">
        <w:t xml:space="preserve"> </w:t>
      </w:r>
      <w:r w:rsidR="00D24663">
        <w:t>U upravnim tijelima Banke, Republiku Hrvatsku predstavljaju</w:t>
      </w:r>
      <w:r w:rsidR="009123BC">
        <w:t xml:space="preserve"> s</w:t>
      </w:r>
      <w:r w:rsidR="009123BC" w:rsidRPr="009123BC">
        <w:t>talni predstavnik Republike Hrvatske pri Vijeću Europe, veleposlanik Toma Galli</w:t>
      </w:r>
      <w:r w:rsidR="009123BC">
        <w:t xml:space="preserve"> – kao član Upravnog odbora Banke i</w:t>
      </w:r>
      <w:r w:rsidR="001053F7">
        <w:t xml:space="preserve"> </w:t>
      </w:r>
      <w:r w:rsidR="009123BC">
        <w:t>državni tajnik u Ministarstvu financija, Stipe Župan – kao član Upravnog vijeća CEB-a.</w:t>
      </w:r>
      <w:r w:rsidR="00D24663">
        <w:t xml:space="preserve"> </w:t>
      </w:r>
      <w:r w:rsidR="00FB0D8B">
        <w:t>Tijekom protekle 23 godine članstva, CEB je za financiranje projekata u Republici Hrvatskoj odobrio preko milijardu eura</w:t>
      </w:r>
      <w:r w:rsidR="00905AD4">
        <w:t xml:space="preserve"> (ne uključujući predmetni zajam)</w:t>
      </w:r>
      <w:r w:rsidR="00FB0D8B">
        <w:t>. Riječ je o projektima naglašene društvene vrijednosti u nizu sektora: izgradnja i obnova zdravstvene i školske infrastrukture, povratak prognanika i izbjeglica, razvoj komunalne i društvene infrastrukture na hrvatskim otocima, zaštita kulturne baštine, izgradnja vodno-komunalne infrastrukture, zaštita od poplava te niz programa</w:t>
      </w:r>
      <w:r w:rsidR="00D24663">
        <w:t xml:space="preserve"> podrške mikro, malom i srednjem poduzetništvu </w:t>
      </w:r>
      <w:r w:rsidR="00FB0D8B">
        <w:t>u suradnji s Hrvatskom bankom</w:t>
      </w:r>
      <w:r w:rsidR="00D24663">
        <w:t xml:space="preserve"> za obnovu i razvitak</w:t>
      </w:r>
      <w:r w:rsidR="00051873">
        <w:t xml:space="preserve"> (</w:t>
      </w:r>
      <w:r w:rsidR="00D24663">
        <w:t>u daljnjem tekstu</w:t>
      </w:r>
      <w:r w:rsidR="00905AD4">
        <w:t>:</w:t>
      </w:r>
      <w:r w:rsidR="00D24663">
        <w:t xml:space="preserve"> HBOR). Slijedom navedenoga, s CEB-om su </w:t>
      </w:r>
      <w:r w:rsidR="00D24663">
        <w:lastRenderedPageBreak/>
        <w:t>do danas potpisana 2</w:t>
      </w:r>
      <w:r w:rsidR="00905AD4">
        <w:t>3</w:t>
      </w:r>
      <w:r w:rsidR="00D24663">
        <w:t xml:space="preserve"> okvirna ugovora o zajmu</w:t>
      </w:r>
      <w:r w:rsidR="00905AD4">
        <w:t xml:space="preserve"> (uključujući i predmetni), od čega 15</w:t>
      </w:r>
      <w:r w:rsidR="00D24663">
        <w:t xml:space="preserve"> ugovora između Republike Hrvatske i CEB-a te 8 ugovora između CEB-a i HBOR-a, uz državno jamstvo.</w:t>
      </w:r>
      <w:r>
        <w:t xml:space="preserve"> </w:t>
      </w:r>
    </w:p>
    <w:p w14:paraId="0190EF9D" w14:textId="15563824" w:rsidR="0042382C" w:rsidRDefault="0042382C" w:rsidP="0042382C">
      <w:pPr>
        <w:jc w:val="both"/>
      </w:pPr>
    </w:p>
    <w:p w14:paraId="1841122D" w14:textId="7212D470" w:rsidR="0024097B" w:rsidRDefault="0024097B" w:rsidP="00DF1A0B">
      <w:pPr>
        <w:jc w:val="both"/>
      </w:pPr>
      <w:r w:rsidRPr="0024097B">
        <w:t xml:space="preserve">U ožujku 2020. nacionalne vlasti diljem svijeta pozvane su na vjerodostojan odgovor i poduzimanje međunarodno koordiniranih napora s ciljem ublažavanja negativnih posljedica pandemije </w:t>
      </w:r>
      <w:r>
        <w:t xml:space="preserve">bolesti </w:t>
      </w:r>
      <w:r w:rsidRPr="0024097B">
        <w:t>COVID-</w:t>
      </w:r>
      <w:r w:rsidR="003812A9">
        <w:t>1</w:t>
      </w:r>
      <w:r w:rsidRPr="0024097B">
        <w:t xml:space="preserve">9. Navedeno podrazumijeva osiguranje sredstava potrebnih za suočavanje s neposrednim izvanrednim situacijama koje predstavljaju opasnost za javno zdravstvo te sredstava za ublažavanje ekonomskog šoka, odnosno razvijanje puta ka oporavku. U tom kontekstu očekivani se povećani izdaci zdravstvene zaštite i primjene hitnih državnih mjera u rješavanju društveno ekonomskog utjecaja aktualne krize. Za usporedbu s prosjekom </w:t>
      </w:r>
      <w:r w:rsidR="000F51C8">
        <w:t>Europske unije</w:t>
      </w:r>
      <w:r w:rsidRPr="0024097B">
        <w:t xml:space="preserve"> od 9,8</w:t>
      </w:r>
      <w:r w:rsidR="003812A9">
        <w:t xml:space="preserve"> </w:t>
      </w:r>
      <w:r w:rsidRPr="0024097B">
        <w:t xml:space="preserve">% BDP-a, </w:t>
      </w:r>
      <w:r>
        <w:t xml:space="preserve">Republika </w:t>
      </w:r>
      <w:r w:rsidRPr="0024097B">
        <w:t>Hrvatska za sektor zdravstva izdvaja 6,8</w:t>
      </w:r>
      <w:r w:rsidR="003812A9">
        <w:t xml:space="preserve"> </w:t>
      </w:r>
      <w:r w:rsidRPr="0024097B">
        <w:t>% svog BDP-a, a rashodi za zdravstvo po stanovniku među najnižima su u E</w:t>
      </w:r>
      <w:r>
        <w:t xml:space="preserve">uropskoj </w:t>
      </w:r>
      <w:r w:rsidR="0019040A">
        <w:t>u</w:t>
      </w:r>
      <w:r>
        <w:t>niji</w:t>
      </w:r>
      <w:r w:rsidRPr="0024097B">
        <w:t>.</w:t>
      </w:r>
    </w:p>
    <w:p w14:paraId="78A37BCA" w14:textId="77777777" w:rsidR="0024097B" w:rsidRDefault="0024097B" w:rsidP="00DF1A0B">
      <w:pPr>
        <w:jc w:val="both"/>
      </w:pPr>
    </w:p>
    <w:p w14:paraId="03D19E9C" w14:textId="63C6D7E1" w:rsidR="008801F3" w:rsidRDefault="0024097B" w:rsidP="00DF1A0B">
      <w:pPr>
        <w:jc w:val="both"/>
      </w:pPr>
      <w:r w:rsidRPr="008801F3">
        <w:rPr>
          <w:spacing w:val="-2"/>
        </w:rPr>
        <w:t>Slijedom navedenoga, Ministarstvo financija obratilo se u travnju ove godine CEB-u sa zahtjevom za podršku u iznosu 200 milijuna eura, putem zajma definiranog u obliku instrumenta za financiranje povećani</w:t>
      </w:r>
      <w:r w:rsidR="008801F3" w:rsidRPr="008801F3">
        <w:rPr>
          <w:spacing w:val="-2"/>
        </w:rPr>
        <w:t>h</w:t>
      </w:r>
      <w:r w:rsidRPr="008801F3">
        <w:rPr>
          <w:spacing w:val="-2"/>
        </w:rPr>
        <w:t xml:space="preserve"> potreba državnog proračuna u sektoru zdravstva, kao i potreba </w:t>
      </w:r>
      <w:r w:rsidRPr="008801F3">
        <w:rPr>
          <w:color w:val="231F20"/>
          <w:spacing w:val="-2"/>
          <w:shd w:val="clear" w:color="auto" w:fill="FFFFFF"/>
        </w:rPr>
        <w:t>jedinica lokalne i područne (regionalne) samouprave suočeni</w:t>
      </w:r>
      <w:r w:rsidR="008801F3" w:rsidRPr="008801F3">
        <w:rPr>
          <w:color w:val="231F20"/>
          <w:spacing w:val="-2"/>
          <w:shd w:val="clear" w:color="auto" w:fill="FFFFFF"/>
        </w:rPr>
        <w:t>h</w:t>
      </w:r>
      <w:r w:rsidRPr="008801F3">
        <w:rPr>
          <w:color w:val="231F20"/>
          <w:spacing w:val="-2"/>
          <w:shd w:val="clear" w:color="auto" w:fill="FFFFFF"/>
        </w:rPr>
        <w:t xml:space="preserve"> s padom prihoda uslijed otpisa i odgoda te obročnog plaćanja </w:t>
      </w:r>
      <w:r w:rsidRPr="008801F3">
        <w:rPr>
          <w:spacing w:val="-2"/>
        </w:rPr>
        <w:t>poreza na dohodak i prireza.</w:t>
      </w:r>
      <w:r w:rsidR="008801F3" w:rsidRPr="008801F3">
        <w:rPr>
          <w:spacing w:val="-2"/>
        </w:rPr>
        <w:t xml:space="preserve"> CEB je </w:t>
      </w:r>
      <w:r w:rsidR="00905AD4">
        <w:rPr>
          <w:spacing w:val="-2"/>
        </w:rPr>
        <w:t>projekt</w:t>
      </w:r>
      <w:r w:rsidR="008801F3" w:rsidRPr="008801F3">
        <w:rPr>
          <w:spacing w:val="-2"/>
        </w:rPr>
        <w:t xml:space="preserve"> odobrio 12. svibnja 2020. te se pristupilo izradi Nacrta okvirnog ugovora o zajmu. </w:t>
      </w:r>
      <w:r w:rsidR="00DF1A0B">
        <w:t xml:space="preserve">Odlukom Vlade Republike Hrvatske o </w:t>
      </w:r>
      <w:r w:rsidR="001053F7" w:rsidRPr="001053F7">
        <w:t>pokretanju postupka za sklapanje Okvirnog ugovora o zajmu između Republike Hrvatske i Razvojne banke Vijeća Europe za Projekt LD 2056 (2020) – Podrška mjerama u Republici Hrvatskoj, povezanih s pandemijom bolesti COVID-19 – instrument financiranja javnog sektora</w:t>
      </w:r>
      <w:r w:rsidR="00DF1A0B">
        <w:t xml:space="preserve"> (u daljnjem tekstu: </w:t>
      </w:r>
      <w:r w:rsidR="001053F7">
        <w:t>Okvirni u</w:t>
      </w:r>
      <w:r w:rsidR="00DF1A0B">
        <w:t>govor o zajmu)</w:t>
      </w:r>
      <w:r w:rsidR="00DF6ECE">
        <w:t>,</w:t>
      </w:r>
      <w:r w:rsidR="00DF1A0B">
        <w:t xml:space="preserve"> od </w:t>
      </w:r>
      <w:r w:rsidR="00FC33F0">
        <w:t>2</w:t>
      </w:r>
      <w:r w:rsidR="00DF1A0B">
        <w:t xml:space="preserve">. </w:t>
      </w:r>
      <w:r w:rsidR="00FC33F0">
        <w:t>s</w:t>
      </w:r>
      <w:r w:rsidR="001053F7">
        <w:t>rpnja</w:t>
      </w:r>
      <w:r w:rsidR="00DF1A0B">
        <w:t xml:space="preserve"> 2020.</w:t>
      </w:r>
      <w:r w:rsidR="00DF6ECE">
        <w:t>,</w:t>
      </w:r>
      <w:r w:rsidR="00DF1A0B">
        <w:t xml:space="preserve"> </w:t>
      </w:r>
      <w:r w:rsidR="008801F3">
        <w:t>prihvaćen je Nacrt okvirnog ugovora o zajmu te je potpredsjednik Vlade Republike Hrvatske i ministar financija,  Zdravko Marić, ovlašten potpisati Okvirni ugovor o zajmu. CEB nije imao primjedbi na Odlukom Vlade Republike Hrvatske prihvaćeni Nacrt okvirnog ugovora o zajmu te se bez potrebe daljnjih pregovora pristupilo sklapanju</w:t>
      </w:r>
      <w:r w:rsidR="000F51C8">
        <w:t>. Dana</w:t>
      </w:r>
      <w:r w:rsidR="008801F3">
        <w:t xml:space="preserve"> 7. srpnja 2020. Okvirni ugovor o zajmu potpisao je u Parizu guverner CEB-a, </w:t>
      </w:r>
      <w:r w:rsidR="000F51C8">
        <w:t xml:space="preserve">Rolf </w:t>
      </w:r>
      <w:r w:rsidR="008801F3">
        <w:t xml:space="preserve">Wenzel, dok je </w:t>
      </w:r>
      <w:r w:rsidR="000F51C8">
        <w:t>ministar</w:t>
      </w:r>
      <w:r w:rsidR="008801F3">
        <w:t xml:space="preserve"> Marić isti potpisao u Zagrebu, 15. srpnja 2020. </w:t>
      </w:r>
    </w:p>
    <w:p w14:paraId="757C7DA5" w14:textId="77777777" w:rsidR="008801F3" w:rsidRDefault="008801F3" w:rsidP="00DF1A0B">
      <w:pPr>
        <w:jc w:val="both"/>
      </w:pPr>
    </w:p>
    <w:p w14:paraId="4EB01BA1" w14:textId="77777777" w:rsidR="00E80848" w:rsidRPr="00DB5309" w:rsidRDefault="00E80848" w:rsidP="00E80848">
      <w:pPr>
        <w:numPr>
          <w:ilvl w:val="0"/>
          <w:numId w:val="2"/>
        </w:numPr>
        <w:tabs>
          <w:tab w:val="clear" w:pos="360"/>
        </w:tabs>
        <w:rPr>
          <w:b/>
        </w:rPr>
      </w:pPr>
      <w:r w:rsidRPr="00DB5309">
        <w:rPr>
          <w:b/>
        </w:rPr>
        <w:t>Cilj koji se zakonom želi postići</w:t>
      </w:r>
    </w:p>
    <w:p w14:paraId="5520DC6F" w14:textId="77777777" w:rsidR="00E80848" w:rsidRPr="00DB5309" w:rsidRDefault="00E80848" w:rsidP="00E80848">
      <w:pPr>
        <w:rPr>
          <w:b/>
        </w:rPr>
      </w:pPr>
    </w:p>
    <w:p w14:paraId="6222E64B" w14:textId="41F57EF9" w:rsidR="002F7F16" w:rsidRPr="004A6627" w:rsidRDefault="002F3095" w:rsidP="00DF1A0B">
      <w:pPr>
        <w:pStyle w:val="BodyText"/>
        <w:rPr>
          <w:szCs w:val="24"/>
          <w:lang w:val="af-ZA" w:eastAsia="hr-HR"/>
        </w:rPr>
      </w:pPr>
      <w:r w:rsidRPr="004A6627">
        <w:rPr>
          <w:spacing w:val="-2"/>
          <w:szCs w:val="24"/>
          <w:lang w:val="af-ZA" w:eastAsia="hr-HR"/>
        </w:rPr>
        <w:t xml:space="preserve">Provedbom Okvirnog ugovora o zajmu </w:t>
      </w:r>
      <w:r w:rsidR="002F7F16" w:rsidRPr="004A6627">
        <w:rPr>
          <w:spacing w:val="-2"/>
          <w:szCs w:val="24"/>
          <w:lang w:val="af-ZA" w:eastAsia="hr-HR"/>
        </w:rPr>
        <w:t xml:space="preserve">pruža se </w:t>
      </w:r>
      <w:r w:rsidRPr="004A6627">
        <w:rPr>
          <w:spacing w:val="-2"/>
          <w:szCs w:val="24"/>
          <w:lang w:val="af-ZA" w:eastAsia="hr-HR"/>
        </w:rPr>
        <w:t>podršk</w:t>
      </w:r>
      <w:r w:rsidR="002F7F16" w:rsidRPr="004A6627">
        <w:rPr>
          <w:spacing w:val="-2"/>
          <w:szCs w:val="24"/>
          <w:lang w:val="af-ZA" w:eastAsia="hr-HR"/>
        </w:rPr>
        <w:t>a</w:t>
      </w:r>
      <w:r w:rsidRPr="004A6627">
        <w:rPr>
          <w:spacing w:val="-2"/>
          <w:szCs w:val="24"/>
          <w:lang w:val="af-ZA" w:eastAsia="hr-HR"/>
        </w:rPr>
        <w:t xml:space="preserve"> državno</w:t>
      </w:r>
      <w:r w:rsidR="002F7F16" w:rsidRPr="004A6627">
        <w:rPr>
          <w:spacing w:val="-2"/>
          <w:szCs w:val="24"/>
          <w:lang w:val="af-ZA" w:eastAsia="hr-HR"/>
        </w:rPr>
        <w:t>m</w:t>
      </w:r>
      <w:r w:rsidRPr="004A6627">
        <w:rPr>
          <w:spacing w:val="-2"/>
          <w:szCs w:val="24"/>
          <w:lang w:val="af-ZA" w:eastAsia="hr-HR"/>
        </w:rPr>
        <w:t xml:space="preserve"> proračun</w:t>
      </w:r>
      <w:r w:rsidR="002F7F16" w:rsidRPr="004A6627">
        <w:rPr>
          <w:spacing w:val="-2"/>
          <w:szCs w:val="24"/>
          <w:lang w:val="af-ZA" w:eastAsia="hr-HR"/>
        </w:rPr>
        <w:t xml:space="preserve">u Republike Hrvatske u kontekstu povećanih potreba </w:t>
      </w:r>
      <w:r w:rsidRPr="004A6627">
        <w:rPr>
          <w:spacing w:val="-2"/>
          <w:szCs w:val="24"/>
          <w:lang w:val="af-ZA" w:eastAsia="hr-HR"/>
        </w:rPr>
        <w:t>sektor</w:t>
      </w:r>
      <w:r w:rsidR="002F7F16" w:rsidRPr="004A6627">
        <w:rPr>
          <w:spacing w:val="-2"/>
          <w:szCs w:val="24"/>
          <w:lang w:val="af-ZA" w:eastAsia="hr-HR"/>
        </w:rPr>
        <w:t>a</w:t>
      </w:r>
      <w:r w:rsidRPr="004A6627">
        <w:rPr>
          <w:spacing w:val="-2"/>
          <w:szCs w:val="24"/>
          <w:lang w:val="af-ZA" w:eastAsia="hr-HR"/>
        </w:rPr>
        <w:t xml:space="preserve"> zdravstva</w:t>
      </w:r>
      <w:r w:rsidR="002F7F16" w:rsidRPr="004A6627">
        <w:rPr>
          <w:spacing w:val="-2"/>
          <w:szCs w:val="24"/>
          <w:lang w:val="af-ZA" w:eastAsia="hr-HR"/>
        </w:rPr>
        <w:t xml:space="preserve"> uzrokovanih pandemijom bolesti COVID-19</w:t>
      </w:r>
      <w:r w:rsidR="00051873" w:rsidRPr="004A6627">
        <w:rPr>
          <w:spacing w:val="-2"/>
          <w:szCs w:val="24"/>
          <w:lang w:val="af-ZA" w:eastAsia="hr-HR"/>
        </w:rPr>
        <w:t xml:space="preserve"> te se podržava kontinuitet pružanja javnih usluga </w:t>
      </w:r>
      <w:r w:rsidRPr="004A6627">
        <w:rPr>
          <w:spacing w:val="-2"/>
          <w:szCs w:val="24"/>
          <w:lang w:val="af-ZA" w:eastAsia="hr-HR"/>
        </w:rPr>
        <w:t>jedinica lokalne i područne (regionalne) samouprave</w:t>
      </w:r>
      <w:r w:rsidR="00051873" w:rsidRPr="004A6627">
        <w:rPr>
          <w:spacing w:val="-2"/>
          <w:szCs w:val="24"/>
          <w:lang w:val="af-ZA" w:eastAsia="hr-HR"/>
        </w:rPr>
        <w:t>, koje su slijedom donesenih mjera</w:t>
      </w:r>
      <w:r w:rsidRPr="004A6627">
        <w:rPr>
          <w:spacing w:val="-2"/>
          <w:szCs w:val="24"/>
          <w:lang w:val="af-ZA" w:eastAsia="hr-HR"/>
        </w:rPr>
        <w:t xml:space="preserve"> suočen</w:t>
      </w:r>
      <w:r w:rsidR="00051873" w:rsidRPr="004A6627">
        <w:rPr>
          <w:spacing w:val="-2"/>
          <w:szCs w:val="24"/>
          <w:lang w:val="af-ZA" w:eastAsia="hr-HR"/>
        </w:rPr>
        <w:t>e</w:t>
      </w:r>
      <w:r w:rsidRPr="004A6627">
        <w:rPr>
          <w:spacing w:val="-2"/>
          <w:szCs w:val="24"/>
          <w:lang w:val="af-ZA" w:eastAsia="hr-HR"/>
        </w:rPr>
        <w:t xml:space="preserve"> s padom prihoda uslijed otpisa i odgoda te obročnog plaćanja poreza na dohodak i prireza. </w:t>
      </w:r>
      <w:r w:rsidRPr="004A6627">
        <w:rPr>
          <w:szCs w:val="24"/>
          <w:lang w:val="af-ZA" w:eastAsia="hr-HR"/>
        </w:rPr>
        <w:t>Predmetna linija vrijedna je 222,5 milijuna eura</w:t>
      </w:r>
      <w:r w:rsidR="002F7F16" w:rsidRPr="004A6627">
        <w:rPr>
          <w:szCs w:val="24"/>
          <w:lang w:val="af-ZA" w:eastAsia="hr-HR"/>
        </w:rPr>
        <w:t>, pri čemu bi se zajmom CEB-a u iznosu 200 milijuna eura</w:t>
      </w:r>
      <w:r w:rsidRPr="004A6627">
        <w:rPr>
          <w:szCs w:val="24"/>
          <w:lang w:val="af-ZA" w:eastAsia="hr-HR"/>
        </w:rPr>
        <w:t xml:space="preserve"> financiralo</w:t>
      </w:r>
      <w:r w:rsidR="002F7F16" w:rsidRPr="004A6627">
        <w:rPr>
          <w:szCs w:val="24"/>
          <w:lang w:val="af-ZA" w:eastAsia="hr-HR"/>
        </w:rPr>
        <w:t xml:space="preserve"> do 90</w:t>
      </w:r>
      <w:r w:rsidR="000F51C8">
        <w:rPr>
          <w:szCs w:val="24"/>
          <w:lang w:val="af-ZA" w:eastAsia="hr-HR"/>
        </w:rPr>
        <w:t xml:space="preserve"> </w:t>
      </w:r>
      <w:r w:rsidR="002F7F16" w:rsidRPr="004A6627">
        <w:rPr>
          <w:szCs w:val="24"/>
          <w:lang w:val="af-ZA" w:eastAsia="hr-HR"/>
        </w:rPr>
        <w:t xml:space="preserve">% prihvatljivih troškova </w:t>
      </w:r>
      <w:r w:rsidR="00051873" w:rsidRPr="004A6627">
        <w:rPr>
          <w:szCs w:val="24"/>
          <w:lang w:val="af-ZA" w:eastAsia="hr-HR"/>
        </w:rPr>
        <w:t>– proračunskih rashoda povezanih s krizom uzrokovanom pandemijom bolesti COVID-19.</w:t>
      </w:r>
      <w:r w:rsidR="002F7F16" w:rsidRPr="004A6627">
        <w:rPr>
          <w:szCs w:val="24"/>
          <w:lang w:val="af-ZA" w:eastAsia="hr-HR"/>
        </w:rPr>
        <w:t xml:space="preserve"> </w:t>
      </w:r>
    </w:p>
    <w:p w14:paraId="4973F533" w14:textId="4EAA63CF" w:rsidR="00051873" w:rsidRPr="00051873" w:rsidRDefault="00051873" w:rsidP="00226055">
      <w:pPr>
        <w:pStyle w:val="BodyText"/>
        <w:spacing w:after="0"/>
        <w:rPr>
          <w:szCs w:val="24"/>
          <w:lang w:val="af-ZA" w:eastAsia="hr-HR"/>
        </w:rPr>
      </w:pPr>
      <w:r w:rsidRPr="00051873">
        <w:rPr>
          <w:szCs w:val="24"/>
          <w:lang w:val="af-ZA" w:eastAsia="hr-HR"/>
        </w:rPr>
        <w:t>Zajmom se mogu financirati:</w:t>
      </w:r>
    </w:p>
    <w:p w14:paraId="00927987" w14:textId="655227B4" w:rsidR="00051873" w:rsidRPr="00051873" w:rsidRDefault="00051873" w:rsidP="00436B0A">
      <w:pPr>
        <w:pStyle w:val="BodyText"/>
        <w:numPr>
          <w:ilvl w:val="0"/>
          <w:numId w:val="5"/>
        </w:numPr>
        <w:spacing w:after="0"/>
        <w:ind w:left="426" w:hanging="426"/>
        <w:rPr>
          <w:szCs w:val="24"/>
          <w:lang w:val="af-ZA" w:eastAsia="hr-HR"/>
        </w:rPr>
      </w:pPr>
      <w:r w:rsidRPr="00051873">
        <w:rPr>
          <w:szCs w:val="24"/>
          <w:lang w:val="af-ZA" w:eastAsia="hr-HR"/>
        </w:rPr>
        <w:lastRenderedPageBreak/>
        <w:t>mjere za smanjenje širenja zaraze te posljedica pandemije COVID-19</w:t>
      </w:r>
    </w:p>
    <w:p w14:paraId="0E4CD4E9" w14:textId="590D903E" w:rsidR="00051873" w:rsidRPr="00051873" w:rsidRDefault="00051873" w:rsidP="00436B0A">
      <w:pPr>
        <w:pStyle w:val="BodyText"/>
        <w:numPr>
          <w:ilvl w:val="0"/>
          <w:numId w:val="5"/>
        </w:numPr>
        <w:spacing w:after="0"/>
        <w:ind w:left="426" w:hanging="426"/>
        <w:rPr>
          <w:szCs w:val="24"/>
          <w:lang w:val="af-ZA" w:eastAsia="hr-HR"/>
        </w:rPr>
      </w:pPr>
      <w:r w:rsidRPr="00051873">
        <w:rPr>
          <w:szCs w:val="24"/>
          <w:lang w:val="af-ZA" w:eastAsia="hr-HR"/>
        </w:rPr>
        <w:t>nabava zaštitne opreme</w:t>
      </w:r>
    </w:p>
    <w:p w14:paraId="3490B035" w14:textId="3B0596B0" w:rsidR="00051873" w:rsidRPr="00051873" w:rsidRDefault="00051873" w:rsidP="00436B0A">
      <w:pPr>
        <w:pStyle w:val="BodyText"/>
        <w:numPr>
          <w:ilvl w:val="0"/>
          <w:numId w:val="5"/>
        </w:numPr>
        <w:spacing w:after="0"/>
        <w:ind w:left="426" w:hanging="426"/>
        <w:rPr>
          <w:szCs w:val="24"/>
          <w:lang w:val="af-ZA" w:eastAsia="hr-HR"/>
        </w:rPr>
      </w:pPr>
      <w:r w:rsidRPr="00051873">
        <w:rPr>
          <w:szCs w:val="24"/>
          <w:lang w:val="af-ZA" w:eastAsia="hr-HR"/>
        </w:rPr>
        <w:t>očuvanje široke dostupnosti medicinskih usluga i osiguravanje potrebnih farmaceutskih proizvoda te medicinskih potrepština, što uključuje i davanje beskamatnih zajmova Hrvatskom zavodu za zdravstveno osiguranje (</w:t>
      </w:r>
      <w:r w:rsidR="00B42A11">
        <w:rPr>
          <w:szCs w:val="24"/>
          <w:lang w:val="af-ZA" w:eastAsia="hr-HR"/>
        </w:rPr>
        <w:t xml:space="preserve">s </w:t>
      </w:r>
      <w:r w:rsidRPr="00051873">
        <w:rPr>
          <w:szCs w:val="24"/>
          <w:lang w:val="af-ZA" w:eastAsia="hr-HR"/>
        </w:rPr>
        <w:t>obzirom na smanjene prihode uslijed otpisa i odgode te obročnog plaćanja doprinosa za osnovno zdravstveno osiguranje), a sukladno Zakonu o izmjeni i dopuni Zakona o izvršavanju Državnog proračuna Republike Hrvatske za 2</w:t>
      </w:r>
      <w:r w:rsidR="00B42A11">
        <w:rPr>
          <w:szCs w:val="24"/>
          <w:lang w:val="af-ZA" w:eastAsia="hr-HR"/>
        </w:rPr>
        <w:t>020. godinu (Narodne novine, broj</w:t>
      </w:r>
      <w:r w:rsidRPr="00051873">
        <w:rPr>
          <w:szCs w:val="24"/>
          <w:lang w:val="af-ZA" w:eastAsia="hr-HR"/>
        </w:rPr>
        <w:t xml:space="preserve"> 42/20)</w:t>
      </w:r>
      <w:r w:rsidR="00226055">
        <w:rPr>
          <w:szCs w:val="24"/>
          <w:lang w:val="af-ZA" w:eastAsia="hr-HR"/>
        </w:rPr>
        <w:t xml:space="preserve"> i pripadajućem </w:t>
      </w:r>
      <w:r w:rsidR="00226055" w:rsidRPr="007C4FCE">
        <w:rPr>
          <w:lang w:val="hr-HR"/>
        </w:rPr>
        <w:t>Naputk</w:t>
      </w:r>
      <w:r w:rsidR="00226055">
        <w:rPr>
          <w:lang w:val="hr-HR"/>
        </w:rPr>
        <w:t>u m</w:t>
      </w:r>
      <w:r w:rsidR="00226055" w:rsidRPr="007C4FCE">
        <w:rPr>
          <w:lang w:val="hr-HR"/>
        </w:rPr>
        <w:t>inistra financija o načinu isplate beskamatnog zajma jedinicama lokalne i područne (regionalne) samouprave, Hrvatskom zavodu za mirovinsko osiguranje i Hrvatskom zavodu za zdravstveno osiguranje</w:t>
      </w:r>
      <w:r w:rsidR="00226055">
        <w:rPr>
          <w:lang w:val="hr-HR"/>
        </w:rPr>
        <w:t xml:space="preserve"> </w:t>
      </w:r>
      <w:r w:rsidR="00226055" w:rsidRPr="007C4FCE">
        <w:rPr>
          <w:lang w:val="hr-HR"/>
        </w:rPr>
        <w:t>(Narodne novine, br</w:t>
      </w:r>
      <w:r w:rsidR="00B42A11">
        <w:rPr>
          <w:lang w:val="hr-HR"/>
        </w:rPr>
        <w:t>oj</w:t>
      </w:r>
      <w:r w:rsidR="00226055" w:rsidRPr="007C4FCE">
        <w:rPr>
          <w:lang w:val="hr-HR"/>
        </w:rPr>
        <w:t xml:space="preserve"> 46/20)</w:t>
      </w:r>
      <w:r w:rsidRPr="00051873">
        <w:rPr>
          <w:szCs w:val="24"/>
          <w:lang w:val="af-ZA" w:eastAsia="hr-HR"/>
        </w:rPr>
        <w:t xml:space="preserve"> </w:t>
      </w:r>
    </w:p>
    <w:p w14:paraId="68BFCCC8" w14:textId="413D565D" w:rsidR="002F7F16" w:rsidRPr="00051873" w:rsidRDefault="00051873" w:rsidP="00436B0A">
      <w:pPr>
        <w:pStyle w:val="BodyText"/>
        <w:numPr>
          <w:ilvl w:val="0"/>
          <w:numId w:val="5"/>
        </w:numPr>
        <w:spacing w:after="0"/>
        <w:ind w:left="426" w:hanging="426"/>
        <w:rPr>
          <w:szCs w:val="24"/>
          <w:lang w:val="af-ZA" w:eastAsia="hr-HR"/>
        </w:rPr>
      </w:pPr>
      <w:r w:rsidRPr="00051873">
        <w:rPr>
          <w:szCs w:val="24"/>
          <w:lang w:val="af-ZA" w:eastAsia="hr-HR"/>
        </w:rPr>
        <w:t>potpore, također putem beskamatnih zajmova temeljem prethodno navedenog Zakona</w:t>
      </w:r>
      <w:r w:rsidR="00226055">
        <w:rPr>
          <w:szCs w:val="24"/>
          <w:lang w:val="af-ZA" w:eastAsia="hr-HR"/>
        </w:rPr>
        <w:t xml:space="preserve"> i Naputka</w:t>
      </w:r>
      <w:r w:rsidRPr="00051873">
        <w:rPr>
          <w:szCs w:val="24"/>
          <w:lang w:val="af-ZA" w:eastAsia="hr-HR"/>
        </w:rPr>
        <w:t>, jedinicama lokalne i područne (regionalne) samouprave za osiguravanje kontinuiteta pružanja javnih (komunalnih) usluga.</w:t>
      </w:r>
    </w:p>
    <w:p w14:paraId="66925007" w14:textId="77777777" w:rsidR="0019040A" w:rsidRDefault="0019040A" w:rsidP="00226055"/>
    <w:p w14:paraId="4BC4482F" w14:textId="45444184" w:rsidR="00226055" w:rsidRDefault="000C2CCC" w:rsidP="00226055">
      <w:r>
        <w:t>Detalji o prihvatljivim rashodima definirani su u Prilogu 1 Okvirnog ugovora o zajmu.</w:t>
      </w:r>
    </w:p>
    <w:p w14:paraId="1D013F8D" w14:textId="77777777" w:rsidR="000C2CCC" w:rsidRPr="00226055" w:rsidRDefault="000C2CCC" w:rsidP="00226055"/>
    <w:p w14:paraId="034EFF86" w14:textId="34EF0816" w:rsidR="00DF1A0B" w:rsidRDefault="002F7F16" w:rsidP="00226055">
      <w:pPr>
        <w:pStyle w:val="BodyText"/>
        <w:rPr>
          <w:szCs w:val="24"/>
          <w:lang w:val="af-ZA" w:eastAsia="hr-HR"/>
        </w:rPr>
      </w:pPr>
      <w:r>
        <w:rPr>
          <w:szCs w:val="24"/>
          <w:lang w:val="af-ZA" w:eastAsia="hr-HR"/>
        </w:rPr>
        <w:t>Krajnji korisnici ovog</w:t>
      </w:r>
      <w:r w:rsidR="0019040A">
        <w:rPr>
          <w:szCs w:val="24"/>
          <w:lang w:val="af-ZA" w:eastAsia="hr-HR"/>
        </w:rPr>
        <w:t>a</w:t>
      </w:r>
      <w:r>
        <w:rPr>
          <w:szCs w:val="24"/>
          <w:lang w:val="af-ZA" w:eastAsia="hr-HR"/>
        </w:rPr>
        <w:t xml:space="preserve"> Projekta su </w:t>
      </w:r>
      <w:r w:rsidR="002F3095" w:rsidRPr="002F3095">
        <w:rPr>
          <w:szCs w:val="24"/>
          <w:lang w:val="af-ZA" w:eastAsia="hr-HR"/>
        </w:rPr>
        <w:t>građani Republike Hrvatske, osobito osobe koje trebaju medicinsku pažnju i zdravstvene uslug</w:t>
      </w:r>
      <w:r w:rsidR="000231BE">
        <w:rPr>
          <w:szCs w:val="24"/>
          <w:lang w:val="af-ZA" w:eastAsia="hr-HR"/>
        </w:rPr>
        <w:t>e</w:t>
      </w:r>
      <w:r w:rsidR="002F3095" w:rsidRPr="002F3095">
        <w:rPr>
          <w:szCs w:val="24"/>
          <w:lang w:val="af-ZA" w:eastAsia="hr-HR"/>
        </w:rPr>
        <w:t>, kao i medicinsko osoblje te korisnici javnih usluga lokalnih/regionalnih vlasti.</w:t>
      </w:r>
      <w:r w:rsidR="002F3095">
        <w:rPr>
          <w:szCs w:val="24"/>
          <w:lang w:val="af-ZA" w:eastAsia="hr-HR"/>
        </w:rPr>
        <w:t xml:space="preserve"> </w:t>
      </w:r>
    </w:p>
    <w:p w14:paraId="1D774414" w14:textId="77777777" w:rsidR="005B4D69" w:rsidRPr="00226055" w:rsidRDefault="005B4D69" w:rsidP="00E80848"/>
    <w:p w14:paraId="083642DC" w14:textId="77777777" w:rsidR="00E80848" w:rsidRPr="0007218E" w:rsidRDefault="00E80848" w:rsidP="00E80848">
      <w:pPr>
        <w:jc w:val="center"/>
        <w:outlineLvl w:val="0"/>
        <w:rPr>
          <w:b/>
        </w:rPr>
      </w:pPr>
      <w:r w:rsidRPr="0007218E">
        <w:rPr>
          <w:b/>
        </w:rPr>
        <w:t>OPIS ZAJMA</w:t>
      </w:r>
    </w:p>
    <w:p w14:paraId="24AFA866" w14:textId="77777777" w:rsidR="00E80848" w:rsidRPr="0007218E" w:rsidRDefault="00E80848" w:rsidP="00E80848">
      <w:pPr>
        <w:jc w:val="center"/>
        <w:rPr>
          <w:b/>
        </w:rPr>
      </w:pPr>
    </w:p>
    <w:tbl>
      <w:tblPr>
        <w:tblW w:w="9556" w:type="dxa"/>
        <w:tblLook w:val="01E0" w:firstRow="1" w:lastRow="1" w:firstColumn="1" w:lastColumn="1" w:noHBand="0" w:noVBand="0"/>
      </w:tblPr>
      <w:tblGrid>
        <w:gridCol w:w="3544"/>
        <w:gridCol w:w="142"/>
        <w:gridCol w:w="5616"/>
        <w:gridCol w:w="254"/>
      </w:tblGrid>
      <w:tr w:rsidR="00E80848" w:rsidRPr="0007218E" w14:paraId="38281ECF" w14:textId="77777777" w:rsidTr="005B4D69">
        <w:trPr>
          <w:gridAfter w:val="1"/>
          <w:wAfter w:w="254" w:type="dxa"/>
        </w:trPr>
        <w:tc>
          <w:tcPr>
            <w:tcW w:w="3544" w:type="dxa"/>
          </w:tcPr>
          <w:p w14:paraId="01DC068F" w14:textId="77777777" w:rsidR="00E80848" w:rsidRPr="0007218E" w:rsidRDefault="00E80848" w:rsidP="00456EFB">
            <w:pPr>
              <w:jc w:val="both"/>
            </w:pPr>
            <w:r>
              <w:t>Z</w:t>
            </w:r>
            <w:r w:rsidRPr="0007218E">
              <w:t>ajmoprimac:</w:t>
            </w:r>
          </w:p>
        </w:tc>
        <w:tc>
          <w:tcPr>
            <w:tcW w:w="5758" w:type="dxa"/>
            <w:gridSpan w:val="2"/>
          </w:tcPr>
          <w:p w14:paraId="70F44395" w14:textId="77777777" w:rsidR="00E80848" w:rsidRDefault="00E80848" w:rsidP="00456EFB">
            <w:pPr>
              <w:jc w:val="both"/>
            </w:pPr>
            <w:r w:rsidRPr="0007218E">
              <w:t>Republika Hrvatska</w:t>
            </w:r>
          </w:p>
          <w:p w14:paraId="65D1AEB4" w14:textId="77777777" w:rsidR="00E80848" w:rsidRPr="0007218E" w:rsidRDefault="00E80848" w:rsidP="00456EFB">
            <w:pPr>
              <w:jc w:val="both"/>
            </w:pPr>
          </w:p>
        </w:tc>
      </w:tr>
      <w:tr w:rsidR="00E80848" w:rsidRPr="0007218E" w14:paraId="568FBF02" w14:textId="77777777" w:rsidTr="005B4D69">
        <w:trPr>
          <w:gridAfter w:val="1"/>
          <w:wAfter w:w="254" w:type="dxa"/>
        </w:trPr>
        <w:tc>
          <w:tcPr>
            <w:tcW w:w="3544" w:type="dxa"/>
          </w:tcPr>
          <w:p w14:paraId="7632C8DB" w14:textId="77777777" w:rsidR="00E80848" w:rsidRPr="0007218E" w:rsidRDefault="00E80848" w:rsidP="00456EFB">
            <w:pPr>
              <w:jc w:val="both"/>
            </w:pPr>
            <w:r>
              <w:t>Z</w:t>
            </w:r>
            <w:r w:rsidRPr="0007218E">
              <w:t>ajmodavac:</w:t>
            </w:r>
          </w:p>
        </w:tc>
        <w:tc>
          <w:tcPr>
            <w:tcW w:w="5758" w:type="dxa"/>
            <w:gridSpan w:val="2"/>
          </w:tcPr>
          <w:p w14:paraId="15507BB6" w14:textId="508A0151" w:rsidR="00E80848" w:rsidRDefault="00226055" w:rsidP="00456EFB">
            <w:pPr>
              <w:jc w:val="both"/>
            </w:pPr>
            <w:r>
              <w:t>Razvojna</w:t>
            </w:r>
            <w:r w:rsidR="00E80848" w:rsidRPr="0007218E">
              <w:t xml:space="preserve"> banka </w:t>
            </w:r>
            <w:r>
              <w:t>Vijeća Europe</w:t>
            </w:r>
          </w:p>
          <w:p w14:paraId="4BA6BC39" w14:textId="77777777" w:rsidR="00E80848" w:rsidRPr="0007218E" w:rsidRDefault="00E80848" w:rsidP="00456EFB">
            <w:pPr>
              <w:jc w:val="both"/>
            </w:pPr>
          </w:p>
        </w:tc>
      </w:tr>
      <w:tr w:rsidR="00E80848" w:rsidRPr="0007218E" w14:paraId="126E234A" w14:textId="77777777" w:rsidTr="005B4D69">
        <w:tc>
          <w:tcPr>
            <w:tcW w:w="3686" w:type="dxa"/>
            <w:gridSpan w:val="2"/>
          </w:tcPr>
          <w:p w14:paraId="639F8392" w14:textId="77777777" w:rsidR="00E80848" w:rsidRPr="0007218E" w:rsidRDefault="00E80848" w:rsidP="00456EFB">
            <w:pPr>
              <w:jc w:val="both"/>
            </w:pPr>
            <w:r>
              <w:t>I</w:t>
            </w:r>
            <w:r w:rsidRPr="0007218E">
              <w:t xml:space="preserve">znos zajma: </w:t>
            </w:r>
          </w:p>
        </w:tc>
        <w:tc>
          <w:tcPr>
            <w:tcW w:w="5870" w:type="dxa"/>
            <w:gridSpan w:val="2"/>
          </w:tcPr>
          <w:p w14:paraId="79875BB1" w14:textId="1A0AA71D" w:rsidR="00E80848" w:rsidRDefault="005B4D69" w:rsidP="005B4D69">
            <w:pPr>
              <w:ind w:left="-112"/>
              <w:jc w:val="both"/>
            </w:pPr>
            <w:r>
              <w:t>2</w:t>
            </w:r>
            <w:r w:rsidR="00226055">
              <w:t>00</w:t>
            </w:r>
            <w:r w:rsidR="00C700DC">
              <w:t>.</w:t>
            </w:r>
            <w:r w:rsidR="00226055">
              <w:t>0</w:t>
            </w:r>
            <w:r w:rsidR="00C700DC">
              <w:t>00.000,00</w:t>
            </w:r>
            <w:r w:rsidR="00E80848" w:rsidRPr="0007218E">
              <w:t xml:space="preserve"> </w:t>
            </w:r>
            <w:r w:rsidR="000231BE">
              <w:t>eura</w:t>
            </w:r>
            <w:r w:rsidR="00E80848" w:rsidRPr="0007218E">
              <w:t xml:space="preserve"> </w:t>
            </w:r>
          </w:p>
          <w:p w14:paraId="58D58578" w14:textId="77777777" w:rsidR="00E80848" w:rsidRPr="0007218E" w:rsidRDefault="00E80848" w:rsidP="005B4D69">
            <w:pPr>
              <w:ind w:left="-112"/>
              <w:jc w:val="both"/>
            </w:pPr>
          </w:p>
        </w:tc>
      </w:tr>
      <w:tr w:rsidR="00E80848" w:rsidRPr="00264C93" w14:paraId="4417E4B9" w14:textId="77777777" w:rsidTr="005B4D69">
        <w:tc>
          <w:tcPr>
            <w:tcW w:w="3686" w:type="dxa"/>
            <w:gridSpan w:val="2"/>
          </w:tcPr>
          <w:p w14:paraId="3F3A13B2" w14:textId="77777777" w:rsidR="00E80848" w:rsidRPr="00264C93" w:rsidRDefault="00E80848" w:rsidP="00456EFB">
            <w:pPr>
              <w:jc w:val="both"/>
            </w:pPr>
            <w:r>
              <w:rPr>
                <w:color w:val="000000"/>
                <w:spacing w:val="-4"/>
                <w:w w:val="101"/>
              </w:rPr>
              <w:t>R</w:t>
            </w:r>
            <w:r w:rsidRPr="00264C93">
              <w:rPr>
                <w:color w:val="000000"/>
                <w:spacing w:val="-4"/>
                <w:w w:val="101"/>
              </w:rPr>
              <w:t>ok otplate:</w:t>
            </w:r>
          </w:p>
        </w:tc>
        <w:tc>
          <w:tcPr>
            <w:tcW w:w="5870" w:type="dxa"/>
            <w:gridSpan w:val="2"/>
          </w:tcPr>
          <w:p w14:paraId="32127299" w14:textId="43748416" w:rsidR="00E80848" w:rsidRPr="00356E2B" w:rsidRDefault="00226055" w:rsidP="00356E2B">
            <w:pPr>
              <w:ind w:left="-112" w:right="1224"/>
              <w:jc w:val="both"/>
              <w:rPr>
                <w:color w:val="000000"/>
                <w:spacing w:val="-6"/>
                <w:w w:val="101"/>
              </w:rPr>
            </w:pPr>
            <w:r w:rsidRPr="00356E2B">
              <w:rPr>
                <w:color w:val="000000"/>
                <w:spacing w:val="-6"/>
                <w:w w:val="101"/>
              </w:rPr>
              <w:t>12</w:t>
            </w:r>
            <w:r w:rsidR="005B4D69" w:rsidRPr="00356E2B">
              <w:rPr>
                <w:color w:val="000000"/>
                <w:spacing w:val="-6"/>
                <w:w w:val="101"/>
              </w:rPr>
              <w:t xml:space="preserve"> godina uz </w:t>
            </w:r>
            <w:r w:rsidRPr="00356E2B">
              <w:rPr>
                <w:color w:val="000000"/>
                <w:spacing w:val="-6"/>
                <w:w w:val="101"/>
              </w:rPr>
              <w:t>3</w:t>
            </w:r>
            <w:r w:rsidR="005B4D69" w:rsidRPr="00356E2B">
              <w:rPr>
                <w:color w:val="000000"/>
                <w:spacing w:val="-6"/>
                <w:w w:val="101"/>
              </w:rPr>
              <w:t xml:space="preserve"> godin</w:t>
            </w:r>
            <w:r w:rsidRPr="00356E2B">
              <w:rPr>
                <w:color w:val="000000"/>
                <w:spacing w:val="-6"/>
                <w:w w:val="101"/>
              </w:rPr>
              <w:t>e</w:t>
            </w:r>
            <w:r w:rsidR="005B4D69" w:rsidRPr="00356E2B">
              <w:rPr>
                <w:color w:val="000000"/>
                <w:spacing w:val="-6"/>
                <w:w w:val="101"/>
              </w:rPr>
              <w:t xml:space="preserve"> počeka (od 202</w:t>
            </w:r>
            <w:r w:rsidR="000C2CCC" w:rsidRPr="00356E2B">
              <w:rPr>
                <w:color w:val="000000"/>
                <w:spacing w:val="-6"/>
                <w:w w:val="101"/>
              </w:rPr>
              <w:t>3</w:t>
            </w:r>
            <w:r w:rsidR="005B4D69" w:rsidRPr="00356E2B">
              <w:rPr>
                <w:color w:val="000000"/>
                <w:spacing w:val="-6"/>
                <w:w w:val="101"/>
              </w:rPr>
              <w:t>. do 203</w:t>
            </w:r>
            <w:r w:rsidR="000C2CCC" w:rsidRPr="00356E2B">
              <w:rPr>
                <w:color w:val="000000"/>
                <w:spacing w:val="-6"/>
                <w:w w:val="101"/>
              </w:rPr>
              <w:t>2</w:t>
            </w:r>
            <w:r w:rsidR="00356E2B" w:rsidRPr="00356E2B">
              <w:rPr>
                <w:color w:val="000000"/>
                <w:spacing w:val="-6"/>
                <w:w w:val="101"/>
              </w:rPr>
              <w:t>.</w:t>
            </w:r>
            <w:r w:rsidR="005B4D69" w:rsidRPr="00356E2B">
              <w:rPr>
                <w:color w:val="000000"/>
                <w:spacing w:val="-6"/>
                <w:w w:val="101"/>
              </w:rPr>
              <w:t>)</w:t>
            </w:r>
          </w:p>
          <w:p w14:paraId="08C336BF" w14:textId="77777777" w:rsidR="00E80848" w:rsidRPr="00CD6943" w:rsidRDefault="00E80848" w:rsidP="005B4D69">
            <w:pPr>
              <w:ind w:left="-112"/>
              <w:jc w:val="both"/>
            </w:pPr>
          </w:p>
        </w:tc>
      </w:tr>
      <w:tr w:rsidR="00E80848" w:rsidRPr="00DB5309" w14:paraId="68D81C43" w14:textId="77777777" w:rsidTr="005B4D69">
        <w:trPr>
          <w:trHeight w:val="753"/>
        </w:trPr>
        <w:tc>
          <w:tcPr>
            <w:tcW w:w="3686" w:type="dxa"/>
            <w:gridSpan w:val="2"/>
          </w:tcPr>
          <w:p w14:paraId="63AE74E8" w14:textId="77777777" w:rsidR="00E80848" w:rsidRPr="00264C93" w:rsidRDefault="00E80848" w:rsidP="00456EFB">
            <w:pPr>
              <w:jc w:val="both"/>
            </w:pPr>
            <w:r>
              <w:t>Kamatna stopa</w:t>
            </w:r>
            <w:r w:rsidRPr="00264C93">
              <w:t>:</w:t>
            </w:r>
          </w:p>
          <w:p w14:paraId="36C7D11B" w14:textId="77777777" w:rsidR="00E80848" w:rsidRPr="00264C93" w:rsidRDefault="00E80848" w:rsidP="00456EFB">
            <w:pPr>
              <w:jc w:val="both"/>
            </w:pPr>
          </w:p>
          <w:p w14:paraId="3A75C348" w14:textId="77777777" w:rsidR="00386BF2" w:rsidRDefault="00386BF2" w:rsidP="00456EFB">
            <w:pPr>
              <w:jc w:val="both"/>
            </w:pPr>
          </w:p>
          <w:p w14:paraId="0D64307D" w14:textId="77777777" w:rsidR="000C2CCC" w:rsidRDefault="000C2CCC" w:rsidP="00456EFB">
            <w:pPr>
              <w:jc w:val="both"/>
            </w:pPr>
          </w:p>
          <w:p w14:paraId="4C7ADD6E" w14:textId="77777777" w:rsidR="00356E2B" w:rsidRDefault="00356E2B" w:rsidP="00456EFB">
            <w:pPr>
              <w:jc w:val="both"/>
            </w:pPr>
          </w:p>
          <w:p w14:paraId="2AADD712" w14:textId="67FC133C" w:rsidR="00E80848" w:rsidRPr="00264C93" w:rsidRDefault="00E80848" w:rsidP="00456EFB">
            <w:pPr>
              <w:jc w:val="both"/>
            </w:pPr>
            <w:r>
              <w:t>D</w:t>
            </w:r>
            <w:r w:rsidRPr="00264C93">
              <w:t>ospijeća:</w:t>
            </w:r>
          </w:p>
          <w:p w14:paraId="218C84CF" w14:textId="0019429D" w:rsidR="00E80848" w:rsidRPr="00264C93" w:rsidRDefault="00E80848" w:rsidP="00456EFB">
            <w:pPr>
              <w:jc w:val="both"/>
            </w:pPr>
          </w:p>
        </w:tc>
        <w:tc>
          <w:tcPr>
            <w:tcW w:w="5870" w:type="dxa"/>
            <w:gridSpan w:val="2"/>
          </w:tcPr>
          <w:p w14:paraId="2B43C25C" w14:textId="7C0B8B1C" w:rsidR="006034C6" w:rsidRDefault="000C2CCC" w:rsidP="00356E2B">
            <w:pPr>
              <w:pStyle w:val="BodyText"/>
              <w:ind w:left="-112" w:right="1224"/>
              <w:rPr>
                <w:color w:val="000000"/>
                <w:spacing w:val="-2"/>
                <w:w w:val="101"/>
                <w:szCs w:val="24"/>
                <w:lang w:val="hr-HR"/>
              </w:rPr>
            </w:pPr>
            <w:r>
              <w:rPr>
                <w:color w:val="000000"/>
                <w:spacing w:val="-4"/>
                <w:w w:val="101"/>
                <w:szCs w:val="24"/>
                <w:lang w:val="hr-HR"/>
              </w:rPr>
              <w:t>Indikativno: fiksna kamatna stopa od 0,24</w:t>
            </w:r>
            <w:r w:rsidR="000231BE">
              <w:rPr>
                <w:color w:val="000000"/>
                <w:spacing w:val="-4"/>
                <w:w w:val="101"/>
                <w:szCs w:val="24"/>
                <w:lang w:val="hr-HR"/>
              </w:rPr>
              <w:t xml:space="preserve"> </w:t>
            </w:r>
            <w:r>
              <w:rPr>
                <w:color w:val="000000"/>
                <w:spacing w:val="-4"/>
                <w:w w:val="101"/>
                <w:szCs w:val="24"/>
                <w:lang w:val="hr-HR"/>
              </w:rPr>
              <w:t xml:space="preserve">% ili </w:t>
            </w:r>
            <w:r w:rsidR="005B4D69" w:rsidRPr="005B4D69">
              <w:rPr>
                <w:color w:val="000000"/>
                <w:spacing w:val="-4"/>
                <w:w w:val="101"/>
                <w:szCs w:val="24"/>
                <w:lang w:val="hr-HR"/>
              </w:rPr>
              <w:t>promjenjiva kamatna stopa utemeljena na 6-mj</w:t>
            </w:r>
            <w:r w:rsidR="000231BE">
              <w:rPr>
                <w:color w:val="000000"/>
                <w:spacing w:val="-4"/>
                <w:w w:val="101"/>
                <w:szCs w:val="24"/>
                <w:lang w:val="hr-HR"/>
              </w:rPr>
              <w:t>.</w:t>
            </w:r>
            <w:r w:rsidR="005B4D69" w:rsidRPr="005B4D69">
              <w:rPr>
                <w:color w:val="000000"/>
                <w:spacing w:val="-4"/>
                <w:w w:val="101"/>
                <w:szCs w:val="24"/>
                <w:lang w:val="hr-HR"/>
              </w:rPr>
              <w:t xml:space="preserve"> EURIBOR-u</w:t>
            </w:r>
            <w:r w:rsidR="005B4D69" w:rsidRPr="005B4D69">
              <w:rPr>
                <w:color w:val="000000"/>
                <w:spacing w:val="-2"/>
                <w:w w:val="101"/>
                <w:szCs w:val="24"/>
                <w:lang w:val="hr-HR"/>
              </w:rPr>
              <w:t xml:space="preserve"> uvećanom za 0,</w:t>
            </w:r>
            <w:r>
              <w:rPr>
                <w:color w:val="000000"/>
                <w:spacing w:val="-2"/>
                <w:w w:val="101"/>
                <w:szCs w:val="24"/>
                <w:lang w:val="hr-HR"/>
              </w:rPr>
              <w:t>36</w:t>
            </w:r>
            <w:r w:rsidR="000231BE">
              <w:rPr>
                <w:color w:val="000000"/>
                <w:spacing w:val="-2"/>
                <w:w w:val="101"/>
                <w:szCs w:val="24"/>
                <w:lang w:val="hr-HR"/>
              </w:rPr>
              <w:t xml:space="preserve"> </w:t>
            </w:r>
            <w:r w:rsidR="005B4D69" w:rsidRPr="005B4D69">
              <w:rPr>
                <w:color w:val="000000"/>
                <w:spacing w:val="-2"/>
                <w:w w:val="101"/>
                <w:szCs w:val="24"/>
                <w:lang w:val="hr-HR"/>
              </w:rPr>
              <w:t>% fiksne kamatne marže</w:t>
            </w:r>
          </w:p>
          <w:p w14:paraId="53E4331A" w14:textId="0331DEFA" w:rsidR="005B4D69" w:rsidRDefault="00E80848" w:rsidP="006034C6">
            <w:pPr>
              <w:pStyle w:val="BodyText"/>
              <w:ind w:left="-112" w:right="375"/>
              <w:rPr>
                <w:szCs w:val="24"/>
                <w:lang w:val="hr-HR"/>
              </w:rPr>
            </w:pPr>
            <w:r>
              <w:rPr>
                <w:szCs w:val="24"/>
                <w:lang w:val="hr-HR"/>
              </w:rPr>
              <w:t>polugodišnja</w:t>
            </w:r>
          </w:p>
          <w:p w14:paraId="16402D77" w14:textId="4A92E908" w:rsidR="00CF687A" w:rsidRPr="009B5A0D" w:rsidRDefault="00CF687A" w:rsidP="009B5A0D">
            <w:pPr>
              <w:pStyle w:val="BodyText"/>
              <w:spacing w:after="0"/>
              <w:ind w:left="-113" w:right="375"/>
              <w:rPr>
                <w:spacing w:val="-2"/>
                <w:lang w:val="af-ZA"/>
              </w:rPr>
            </w:pPr>
          </w:p>
          <w:p w14:paraId="371CD9B1" w14:textId="79B64101" w:rsidR="00E80848" w:rsidRPr="00DB5309" w:rsidRDefault="00E80848" w:rsidP="00CF687A">
            <w:pPr>
              <w:ind w:right="72"/>
            </w:pPr>
          </w:p>
        </w:tc>
      </w:tr>
    </w:tbl>
    <w:p w14:paraId="019E61FD" w14:textId="77777777" w:rsidR="00E80848" w:rsidRPr="00DB5309" w:rsidRDefault="00E80848" w:rsidP="00771197">
      <w:pPr>
        <w:numPr>
          <w:ilvl w:val="0"/>
          <w:numId w:val="1"/>
        </w:numPr>
        <w:tabs>
          <w:tab w:val="clear" w:pos="720"/>
        </w:tabs>
        <w:jc w:val="both"/>
        <w:rPr>
          <w:b/>
        </w:rPr>
      </w:pPr>
      <w:r w:rsidRPr="00DB5309">
        <w:rPr>
          <w:b/>
        </w:rPr>
        <w:t>OSNOVNA PITANJA KOJA SE TREBAJU UREDITI ZAKONOM</w:t>
      </w:r>
    </w:p>
    <w:p w14:paraId="3421DE95" w14:textId="77777777" w:rsidR="00E80848" w:rsidRPr="00DB5309" w:rsidRDefault="00E80848" w:rsidP="00771197">
      <w:pPr>
        <w:jc w:val="both"/>
      </w:pPr>
    </w:p>
    <w:p w14:paraId="7A4E1D90" w14:textId="5A2FBFE8" w:rsidR="009B5A0D" w:rsidRDefault="009B5A0D" w:rsidP="009B5A0D">
      <w:pPr>
        <w:pStyle w:val="Bulleting"/>
        <w:numPr>
          <w:ilvl w:val="0"/>
          <w:numId w:val="0"/>
        </w:numPr>
        <w:jc w:val="both"/>
      </w:pPr>
      <w:r>
        <w:t xml:space="preserve">Ovim se </w:t>
      </w:r>
      <w:r w:rsidR="0019040A">
        <w:t>z</w:t>
      </w:r>
      <w:r>
        <w:t xml:space="preserve">akonom potvrđuje </w:t>
      </w:r>
      <w:r w:rsidR="00442AB0">
        <w:t>Okvirni u</w:t>
      </w:r>
      <w:r>
        <w:t xml:space="preserve">govor o zajmu, kako bi njegove odredbe u smislu članka 141. Ustava Republike Hrvatske postale dio unutarnjeg pravnog poretka Republike Hrvatske. </w:t>
      </w:r>
    </w:p>
    <w:p w14:paraId="21D11008" w14:textId="77777777" w:rsidR="009B5A0D" w:rsidRDefault="009B5A0D" w:rsidP="009B5A0D">
      <w:pPr>
        <w:pStyle w:val="Bulleting"/>
        <w:numPr>
          <w:ilvl w:val="0"/>
          <w:numId w:val="0"/>
        </w:numPr>
        <w:jc w:val="both"/>
      </w:pPr>
      <w:r>
        <w:t xml:space="preserve"> </w:t>
      </w:r>
    </w:p>
    <w:p w14:paraId="271D095E" w14:textId="0FB07820" w:rsidR="00E80848" w:rsidRDefault="009B5A0D" w:rsidP="009B5A0D">
      <w:pPr>
        <w:pStyle w:val="Bulleting"/>
        <w:numPr>
          <w:ilvl w:val="0"/>
          <w:numId w:val="0"/>
        </w:numPr>
        <w:jc w:val="both"/>
        <w:rPr>
          <w:highlight w:val="yellow"/>
        </w:rPr>
      </w:pPr>
      <w:r>
        <w:t xml:space="preserve">Ovim </w:t>
      </w:r>
      <w:r w:rsidR="0019040A">
        <w:t>z</w:t>
      </w:r>
      <w:r>
        <w:t>akonom također se propisuje nač</w:t>
      </w:r>
      <w:r w:rsidR="00442AB0">
        <w:t>in podmirivanja financijskih ob</w:t>
      </w:r>
      <w:r>
        <w:t xml:space="preserve">veza koje nastaju za Republiku Hrvatsku po </w:t>
      </w:r>
      <w:r w:rsidR="00D1716D">
        <w:t>Okvirnom u</w:t>
      </w:r>
      <w:r>
        <w:t xml:space="preserve">govoru o zajmu te nadležnost za provedbu </w:t>
      </w:r>
      <w:r w:rsidR="0019040A">
        <w:t>z</w:t>
      </w:r>
      <w:r>
        <w:t>akona.</w:t>
      </w:r>
    </w:p>
    <w:p w14:paraId="1FFD209C" w14:textId="2F500067" w:rsidR="00E80848" w:rsidRDefault="00E80848" w:rsidP="00E80848">
      <w:pPr>
        <w:pStyle w:val="Bulleting"/>
        <w:numPr>
          <w:ilvl w:val="0"/>
          <w:numId w:val="0"/>
        </w:numPr>
        <w:ind w:left="360"/>
        <w:rPr>
          <w:highlight w:val="yellow"/>
        </w:rPr>
      </w:pPr>
    </w:p>
    <w:p w14:paraId="2B2C3E05" w14:textId="147466EA" w:rsidR="009B5A0D" w:rsidRDefault="009B5A0D" w:rsidP="00E80848">
      <w:pPr>
        <w:pStyle w:val="Bulleting"/>
        <w:numPr>
          <w:ilvl w:val="0"/>
          <w:numId w:val="0"/>
        </w:numPr>
        <w:ind w:left="360"/>
        <w:rPr>
          <w:highlight w:val="yellow"/>
        </w:rPr>
      </w:pPr>
    </w:p>
    <w:p w14:paraId="4CD8C2C2" w14:textId="77777777" w:rsidR="00E80848" w:rsidRPr="00DB5309" w:rsidRDefault="00E80848" w:rsidP="00E80848">
      <w:pPr>
        <w:numPr>
          <w:ilvl w:val="0"/>
          <w:numId w:val="1"/>
        </w:numPr>
        <w:tabs>
          <w:tab w:val="clear" w:pos="720"/>
        </w:tabs>
        <w:rPr>
          <w:b/>
        </w:rPr>
      </w:pPr>
      <w:r w:rsidRPr="00DB5309">
        <w:rPr>
          <w:b/>
        </w:rPr>
        <w:t>OCJENA POTREBNIH SREDSTAVA ZA PROVEDBU OVOGA ZAKONA</w:t>
      </w:r>
    </w:p>
    <w:p w14:paraId="32B46E42" w14:textId="77777777" w:rsidR="00E80848" w:rsidRPr="00DB5309" w:rsidRDefault="00E80848" w:rsidP="00E80848">
      <w:pPr>
        <w:rPr>
          <w:b/>
        </w:rPr>
      </w:pPr>
    </w:p>
    <w:p w14:paraId="4EF6B563" w14:textId="43ECE61F" w:rsidR="00E80848" w:rsidRPr="000B2193" w:rsidRDefault="009B5A0D"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r w:rsidRPr="009B5A0D">
        <w:rPr>
          <w:szCs w:val="24"/>
          <w:lang w:val="hr-HR" w:eastAsia="hr-HR"/>
        </w:rPr>
        <w:t xml:space="preserve">Republika Hrvatska se temeljem </w:t>
      </w:r>
      <w:r w:rsidR="00D1716D">
        <w:rPr>
          <w:szCs w:val="24"/>
          <w:lang w:val="hr-HR" w:eastAsia="hr-HR"/>
        </w:rPr>
        <w:t>Okvirnog u</w:t>
      </w:r>
      <w:r w:rsidRPr="009B5A0D">
        <w:rPr>
          <w:szCs w:val="24"/>
          <w:lang w:val="hr-HR" w:eastAsia="hr-HR"/>
        </w:rPr>
        <w:t xml:space="preserve">govora o zajmu obvezala kao zajmoprimac redovito i u potpunosti izvršavati sve financijske obveze prema </w:t>
      </w:r>
      <w:r w:rsidR="00D1716D">
        <w:rPr>
          <w:szCs w:val="24"/>
          <w:lang w:val="hr-HR" w:eastAsia="hr-HR"/>
        </w:rPr>
        <w:t>CEB</w:t>
      </w:r>
      <w:r w:rsidRPr="009B5A0D">
        <w:rPr>
          <w:szCs w:val="24"/>
          <w:lang w:val="hr-HR" w:eastAsia="hr-HR"/>
        </w:rPr>
        <w:t xml:space="preserve">-u. Izvršavanje </w:t>
      </w:r>
      <w:r w:rsidR="00D1716D">
        <w:rPr>
          <w:szCs w:val="24"/>
          <w:lang w:val="hr-HR" w:eastAsia="hr-HR"/>
        </w:rPr>
        <w:t>Okvirnog u</w:t>
      </w:r>
      <w:r w:rsidRPr="009B5A0D">
        <w:rPr>
          <w:szCs w:val="24"/>
          <w:lang w:val="hr-HR" w:eastAsia="hr-HR"/>
        </w:rPr>
        <w:t xml:space="preserve">govora o zajmu podrazumijeva financijske obveze otplate zajma za Republiku Hrvatsku u svojstvu zajmoprimca, u iznosu cjelokupnog zajma, kamata i drugih </w:t>
      </w:r>
      <w:r w:rsidR="00D1716D">
        <w:rPr>
          <w:szCs w:val="24"/>
          <w:lang w:val="hr-HR" w:eastAsia="hr-HR"/>
        </w:rPr>
        <w:t xml:space="preserve">eventualnih </w:t>
      </w:r>
      <w:r w:rsidRPr="009B5A0D">
        <w:rPr>
          <w:szCs w:val="24"/>
          <w:lang w:val="hr-HR" w:eastAsia="hr-HR"/>
        </w:rPr>
        <w:t xml:space="preserve">troškova koji nastaju na temelju </w:t>
      </w:r>
      <w:r w:rsidR="00D1716D">
        <w:rPr>
          <w:szCs w:val="24"/>
          <w:lang w:val="hr-HR" w:eastAsia="hr-HR"/>
        </w:rPr>
        <w:t>Okvirnog u</w:t>
      </w:r>
      <w:r w:rsidRPr="009B5A0D">
        <w:rPr>
          <w:szCs w:val="24"/>
          <w:lang w:val="hr-HR" w:eastAsia="hr-HR"/>
        </w:rPr>
        <w:t>govora o zajmu.</w:t>
      </w:r>
      <w:r w:rsidR="00E80848" w:rsidRPr="000B2193">
        <w:rPr>
          <w:szCs w:val="24"/>
          <w:lang w:val="hr-HR" w:eastAsia="hr-HR"/>
        </w:rPr>
        <w:t xml:space="preserve"> </w:t>
      </w:r>
    </w:p>
    <w:p w14:paraId="699987E1" w14:textId="77777777" w:rsidR="00E80848" w:rsidRPr="00040581" w:rsidRDefault="00E8084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highlight w:val="yellow"/>
          <w:lang w:val="hr-HR" w:eastAsia="hr-HR"/>
        </w:rPr>
      </w:pPr>
    </w:p>
    <w:p w14:paraId="41FEB8AD" w14:textId="77777777" w:rsidR="00E80848" w:rsidRPr="00DB5309" w:rsidRDefault="00E80848" w:rsidP="00E80848">
      <w:pPr>
        <w:jc w:val="both"/>
      </w:pPr>
    </w:p>
    <w:p w14:paraId="63FF9AF0" w14:textId="77777777" w:rsidR="00E80848" w:rsidRPr="00616DCD" w:rsidRDefault="00AB5C0B" w:rsidP="00E80848">
      <w:pPr>
        <w:numPr>
          <w:ilvl w:val="0"/>
          <w:numId w:val="1"/>
        </w:numPr>
        <w:tabs>
          <w:tab w:val="clear" w:pos="720"/>
        </w:tabs>
        <w:rPr>
          <w:b/>
        </w:rPr>
      </w:pPr>
      <w:r>
        <w:rPr>
          <w:b/>
        </w:rPr>
        <w:t>ZAKONI KOJIMA S</w:t>
      </w:r>
      <w:r w:rsidR="00E80848">
        <w:rPr>
          <w:b/>
        </w:rPr>
        <w:t>E</w:t>
      </w:r>
      <w:r>
        <w:rPr>
          <w:b/>
        </w:rPr>
        <w:t xml:space="preserve"> </w:t>
      </w:r>
      <w:r w:rsidR="00E80848">
        <w:rPr>
          <w:b/>
        </w:rPr>
        <w:t>POTVRĐUJU MEĐUNARODNI UGOVORI</w:t>
      </w:r>
    </w:p>
    <w:p w14:paraId="5FE7DE13" w14:textId="77777777" w:rsidR="00E80848" w:rsidRPr="00616DCD" w:rsidRDefault="00E80848" w:rsidP="00E80848">
      <w:pPr>
        <w:jc w:val="both"/>
        <w:rPr>
          <w:b/>
        </w:rPr>
      </w:pPr>
    </w:p>
    <w:p w14:paraId="5D3F6687" w14:textId="42979CA8" w:rsidR="00E80848" w:rsidRDefault="009B5A0D" w:rsidP="00E80848">
      <w:pPr>
        <w:jc w:val="both"/>
      </w:pPr>
      <w:r w:rsidRPr="009B5A0D">
        <w:t xml:space="preserve">Temelj za donošenje ovoga </w:t>
      </w:r>
      <w:r w:rsidR="0019040A">
        <w:t>z</w:t>
      </w:r>
      <w:r w:rsidRPr="009B5A0D">
        <w:t>akona nalazi se u članku 207.a Poslovnika Hrvatskoga sabora (Narodne novine, br. 81/13</w:t>
      </w:r>
      <w:r w:rsidR="00547362">
        <w:t>,</w:t>
      </w:r>
      <w:r w:rsidRPr="009B5A0D">
        <w:t xml:space="preserve"> 113/16, 69/17, 29/18 i 53/20) prema kojem se zakoni kojima se, u skladu s Ustavom Republike Hrvatske, potvrđuju međunarodni ugovori donose u pravilu u jednom čitanju, a postupak donošenja pokreće se podnošenjem konačnog prijedloga zakona o potvrđivanju međunarodnog ugovora.</w:t>
      </w:r>
    </w:p>
    <w:p w14:paraId="25FAEA66" w14:textId="28E69D3E" w:rsidR="00F921F5" w:rsidRDefault="00F921F5" w:rsidP="00E80848">
      <w:pPr>
        <w:jc w:val="both"/>
      </w:pPr>
    </w:p>
    <w:p w14:paraId="322B2798" w14:textId="27AF6E47" w:rsidR="00F921F5" w:rsidRPr="00771197" w:rsidRDefault="00F921F5" w:rsidP="00E80848">
      <w:pPr>
        <w:jc w:val="both"/>
      </w:pPr>
      <w:r w:rsidRPr="00F921F5">
        <w:t>S obzirom na prirodu postupka potvrđivanja međunarodnih ugovora, kojim država i formalno izražava spremnost da bude vezana već potpisanim međunarodnim ugovorom, kao i na činjenicu da se u ovoj fazi postupka u pravilu ne mogu vršiti izmjene ili dopune teksta međunarodnog ugovora, predlaže</w:t>
      </w:r>
      <w:r w:rsidR="000231BE">
        <w:t xml:space="preserve"> se</w:t>
      </w:r>
      <w:r w:rsidRPr="00F921F5">
        <w:t xml:space="preserve"> da se ovaj zakona raspravi i prihvati u jednom čitanju.</w:t>
      </w:r>
    </w:p>
    <w:p w14:paraId="644D2AE6" w14:textId="61E8EC98" w:rsidR="00F43E1B" w:rsidRDefault="00F43E1B">
      <w:pPr>
        <w:spacing w:after="160" w:line="259" w:lineRule="auto"/>
        <w:rPr>
          <w:highlight w:val="yellow"/>
        </w:rPr>
      </w:pPr>
      <w:r>
        <w:rPr>
          <w:highlight w:val="yellow"/>
        </w:rPr>
        <w:br w:type="page"/>
      </w:r>
    </w:p>
    <w:p w14:paraId="1C3820CD" w14:textId="53477479" w:rsidR="00386BF2" w:rsidRDefault="00386BF2" w:rsidP="00E80848">
      <w:pPr>
        <w:jc w:val="both"/>
        <w:rPr>
          <w:highlight w:val="yellow"/>
        </w:rPr>
      </w:pPr>
    </w:p>
    <w:p w14:paraId="7B797AA1" w14:textId="77777777" w:rsidR="00D1716D" w:rsidRDefault="00D1716D" w:rsidP="00D1716D">
      <w:pPr>
        <w:suppressAutoHyphens/>
        <w:jc w:val="center"/>
        <w:rPr>
          <w:b/>
          <w:color w:val="000000"/>
        </w:rPr>
      </w:pPr>
      <w:r>
        <w:rPr>
          <w:b/>
          <w:spacing w:val="-3"/>
        </w:rPr>
        <w:t xml:space="preserve">KONAČNI </w:t>
      </w:r>
      <w:r w:rsidRPr="00941FB8">
        <w:rPr>
          <w:b/>
          <w:spacing w:val="-3"/>
        </w:rPr>
        <w:t xml:space="preserve">PRIJEDLOG ZAKONA O </w:t>
      </w:r>
      <w:r w:rsidRPr="00941FB8">
        <w:rPr>
          <w:b/>
          <w:color w:val="000000"/>
        </w:rPr>
        <w:t xml:space="preserve">POTVRĐIVANJU </w:t>
      </w:r>
    </w:p>
    <w:p w14:paraId="7E627216" w14:textId="77777777" w:rsidR="00D1716D" w:rsidRDefault="00D1716D" w:rsidP="00D1716D">
      <w:pPr>
        <w:suppressAutoHyphens/>
        <w:jc w:val="center"/>
        <w:rPr>
          <w:b/>
        </w:rPr>
      </w:pPr>
      <w:r w:rsidRPr="007D23C3">
        <w:rPr>
          <w:b/>
        </w:rPr>
        <w:t xml:space="preserve">OKVIRNOG UGOVORA O ZAJMU IZMEĐU REPUBLIKE HRVATSKE </w:t>
      </w:r>
    </w:p>
    <w:p w14:paraId="4CC960D8" w14:textId="4D227801" w:rsidR="00CF687A" w:rsidRDefault="00D1716D" w:rsidP="00D1716D">
      <w:pPr>
        <w:suppressAutoHyphens/>
        <w:jc w:val="center"/>
        <w:rPr>
          <w:b/>
        </w:rPr>
      </w:pPr>
      <w:r w:rsidRPr="007D23C3">
        <w:rPr>
          <w:b/>
        </w:rPr>
        <w:t>I RAZVOJNE BANKE VIJEĆA EUROPE ZA PROJEKT LD 2056 (2020) – PODRŠKA MJERAMA U REPUBLICI HRVATSKOJ, POVEZANIH S PANDEMIJOM BOLESTI COVID-19 – INSTRUMENT FINANCIRANJA JAVNOG SEKTORA</w:t>
      </w:r>
    </w:p>
    <w:p w14:paraId="6C9303E5" w14:textId="77777777" w:rsidR="00CF687A" w:rsidRPr="00616DCD" w:rsidRDefault="00CF687A" w:rsidP="00E80848">
      <w:pPr>
        <w:rPr>
          <w:highlight w:val="yellow"/>
        </w:rPr>
      </w:pPr>
    </w:p>
    <w:p w14:paraId="5F095330" w14:textId="56C67C35" w:rsidR="00E80848" w:rsidRDefault="00E80848" w:rsidP="00E80848">
      <w:pPr>
        <w:tabs>
          <w:tab w:val="left" w:pos="720"/>
          <w:tab w:val="left" w:pos="900"/>
        </w:tabs>
        <w:rPr>
          <w:b/>
        </w:rPr>
      </w:pPr>
    </w:p>
    <w:p w14:paraId="1797E15C" w14:textId="3775150B" w:rsidR="0019040A" w:rsidRDefault="0019040A" w:rsidP="00E80848">
      <w:pPr>
        <w:tabs>
          <w:tab w:val="left" w:pos="720"/>
          <w:tab w:val="left" w:pos="900"/>
        </w:tabs>
        <w:rPr>
          <w:b/>
        </w:rPr>
      </w:pPr>
    </w:p>
    <w:p w14:paraId="21B51C31" w14:textId="0326683D" w:rsidR="0019040A" w:rsidRDefault="0019040A" w:rsidP="00E80848">
      <w:pPr>
        <w:tabs>
          <w:tab w:val="left" w:pos="720"/>
          <w:tab w:val="left" w:pos="900"/>
        </w:tabs>
        <w:rPr>
          <w:b/>
        </w:rPr>
      </w:pPr>
    </w:p>
    <w:p w14:paraId="737993A5" w14:textId="77777777" w:rsidR="0019040A" w:rsidRPr="0014367C" w:rsidRDefault="0019040A" w:rsidP="00E80848">
      <w:pPr>
        <w:tabs>
          <w:tab w:val="left" w:pos="720"/>
          <w:tab w:val="left" w:pos="900"/>
        </w:tabs>
        <w:rPr>
          <w:b/>
        </w:rPr>
      </w:pPr>
    </w:p>
    <w:p w14:paraId="03C940F7" w14:textId="77777777" w:rsidR="00E80848" w:rsidRPr="0014367C" w:rsidRDefault="00E80848" w:rsidP="00EF0B23">
      <w:pPr>
        <w:jc w:val="center"/>
        <w:outlineLvl w:val="0"/>
        <w:rPr>
          <w:b/>
        </w:rPr>
      </w:pPr>
      <w:r w:rsidRPr="0014367C">
        <w:rPr>
          <w:b/>
        </w:rPr>
        <w:t>Članak 1.</w:t>
      </w:r>
    </w:p>
    <w:p w14:paraId="5ACE061E" w14:textId="77777777" w:rsidR="00E80848" w:rsidRPr="0014367C" w:rsidRDefault="00E80848" w:rsidP="00E80848">
      <w:pPr>
        <w:tabs>
          <w:tab w:val="left" w:pos="720"/>
          <w:tab w:val="left" w:pos="900"/>
        </w:tabs>
        <w:jc w:val="center"/>
        <w:rPr>
          <w:b/>
        </w:rPr>
      </w:pPr>
    </w:p>
    <w:p w14:paraId="2CCD8431" w14:textId="11F3599D" w:rsidR="00E80848" w:rsidRPr="0014367C" w:rsidRDefault="00E80848" w:rsidP="00E80848">
      <w:pPr>
        <w:tabs>
          <w:tab w:val="left" w:pos="720"/>
          <w:tab w:val="left" w:pos="900"/>
        </w:tabs>
        <w:jc w:val="both"/>
      </w:pPr>
      <w:r w:rsidRPr="0014367C">
        <w:rPr>
          <w:b/>
        </w:rPr>
        <w:tab/>
      </w:r>
      <w:r w:rsidRPr="0014367C">
        <w:t xml:space="preserve">Potvrđuje se </w:t>
      </w:r>
      <w:r w:rsidR="00D1716D">
        <w:t>Okvirni u</w:t>
      </w:r>
      <w:r w:rsidRPr="0014367C">
        <w:t xml:space="preserve">govor o zajmu između Republike Hrvatske i </w:t>
      </w:r>
      <w:r w:rsidR="00D1716D">
        <w:t>Razvojne</w:t>
      </w:r>
      <w:r w:rsidRPr="0014367C">
        <w:t xml:space="preserve"> banke </w:t>
      </w:r>
      <w:r w:rsidR="00D1716D">
        <w:t xml:space="preserve">Vijeća Europe </w:t>
      </w:r>
      <w:r w:rsidR="00D1716D" w:rsidRPr="007D23C3">
        <w:t xml:space="preserve">za </w:t>
      </w:r>
      <w:r w:rsidR="00D1716D">
        <w:t>P</w:t>
      </w:r>
      <w:r w:rsidR="00D1716D" w:rsidRPr="007D23C3">
        <w:t xml:space="preserve">rojekt </w:t>
      </w:r>
      <w:r w:rsidR="00D1716D">
        <w:t>LD 2056 (2020) – Podrška mjerama u R</w:t>
      </w:r>
      <w:r w:rsidR="00D1716D" w:rsidRPr="007D23C3">
        <w:t xml:space="preserve">epublici </w:t>
      </w:r>
      <w:r w:rsidR="00D1716D">
        <w:t>H</w:t>
      </w:r>
      <w:r w:rsidR="00D1716D" w:rsidRPr="007D23C3">
        <w:t>rvatskoj, povezanih s pandemijom bolesti COVID</w:t>
      </w:r>
      <w:r w:rsidR="00D1716D">
        <w:t>-19 – i</w:t>
      </w:r>
      <w:r w:rsidR="00D1716D" w:rsidRPr="007D23C3">
        <w:t>nstrument financiranja javnog sektora</w:t>
      </w:r>
      <w:r w:rsidR="00D1716D">
        <w:t>,</w:t>
      </w:r>
      <w:r w:rsidR="0097275D">
        <w:t xml:space="preserve"> </w:t>
      </w:r>
      <w:r w:rsidR="00547362">
        <w:t>potpisan</w:t>
      </w:r>
      <w:r w:rsidRPr="0014367C">
        <w:t xml:space="preserve"> u </w:t>
      </w:r>
      <w:r w:rsidR="00D1716D">
        <w:t>Parizu</w:t>
      </w:r>
      <w:r w:rsidR="004C3D5F">
        <w:t>,</w:t>
      </w:r>
      <w:r w:rsidR="00D1716D">
        <w:t xml:space="preserve"> 7</w:t>
      </w:r>
      <w:r w:rsidR="00F921F5">
        <w:t>. srpnja</w:t>
      </w:r>
      <w:r w:rsidR="00547362">
        <w:t xml:space="preserve"> 2020.</w:t>
      </w:r>
      <w:r w:rsidR="00D1716D">
        <w:t xml:space="preserve"> i </w:t>
      </w:r>
      <w:r w:rsidR="00547362">
        <w:t xml:space="preserve">u </w:t>
      </w:r>
      <w:r w:rsidR="00D1716D">
        <w:t>Zagrebu</w:t>
      </w:r>
      <w:r w:rsidR="00B23F45">
        <w:t>,</w:t>
      </w:r>
      <w:r w:rsidR="00D1716D">
        <w:t xml:space="preserve"> 15. srpnja </w:t>
      </w:r>
      <w:r w:rsidR="00547362">
        <w:t>2020.</w:t>
      </w:r>
      <w:r w:rsidR="00F921F5">
        <w:t xml:space="preserve">, </w:t>
      </w:r>
      <w:r w:rsidRPr="0014367C">
        <w:t>u izvorniku na engleskom jeziku.</w:t>
      </w:r>
    </w:p>
    <w:p w14:paraId="635516BA" w14:textId="77777777" w:rsidR="00E80848" w:rsidRPr="0014367C" w:rsidRDefault="00E80848" w:rsidP="00E80848">
      <w:pPr>
        <w:tabs>
          <w:tab w:val="left" w:pos="720"/>
          <w:tab w:val="left" w:pos="900"/>
        </w:tabs>
        <w:jc w:val="both"/>
      </w:pPr>
    </w:p>
    <w:p w14:paraId="5255CFFC" w14:textId="77777777" w:rsidR="00E80848" w:rsidRPr="0014367C" w:rsidRDefault="00E80848" w:rsidP="00E80848">
      <w:pPr>
        <w:tabs>
          <w:tab w:val="left" w:pos="720"/>
          <w:tab w:val="left" w:pos="900"/>
        </w:tabs>
        <w:jc w:val="both"/>
      </w:pPr>
    </w:p>
    <w:p w14:paraId="4118DE66" w14:textId="77777777" w:rsidR="00E80848" w:rsidRPr="0014367C" w:rsidRDefault="00E80848" w:rsidP="00EF0B23">
      <w:pPr>
        <w:jc w:val="center"/>
        <w:outlineLvl w:val="0"/>
        <w:rPr>
          <w:b/>
        </w:rPr>
      </w:pPr>
      <w:r w:rsidRPr="0014367C">
        <w:rPr>
          <w:b/>
        </w:rPr>
        <w:t>Članak 2.</w:t>
      </w:r>
    </w:p>
    <w:p w14:paraId="7218BF73" w14:textId="77777777" w:rsidR="00E80848" w:rsidRPr="0014367C" w:rsidRDefault="00E80848" w:rsidP="00E80848">
      <w:pPr>
        <w:tabs>
          <w:tab w:val="left" w:pos="720"/>
          <w:tab w:val="left" w:pos="900"/>
        </w:tabs>
        <w:jc w:val="both"/>
        <w:rPr>
          <w:b/>
        </w:rPr>
      </w:pPr>
    </w:p>
    <w:p w14:paraId="3A759B29" w14:textId="2094519F" w:rsidR="00E80848" w:rsidRPr="0014367C" w:rsidRDefault="00E80848" w:rsidP="00E80848">
      <w:pPr>
        <w:tabs>
          <w:tab w:val="left" w:pos="720"/>
          <w:tab w:val="left" w:pos="900"/>
        </w:tabs>
        <w:jc w:val="both"/>
      </w:pPr>
      <w:r w:rsidRPr="0014367C">
        <w:tab/>
      </w:r>
      <w:r w:rsidR="00F921F5" w:rsidRPr="00F921F5">
        <w:t>Tekst Ugovora iz članka 1. ovoga Zakona, u izvorniku na engleskom jeziku i u prijevodu na hrvatski jezik, glasi:</w:t>
      </w:r>
      <w:r w:rsidRPr="0014367C">
        <w:t xml:space="preserve"> </w:t>
      </w:r>
    </w:p>
    <w:p w14:paraId="4CCE3B73" w14:textId="2018F77F" w:rsidR="00F43E1B" w:rsidRDefault="00F43E1B">
      <w:pPr>
        <w:spacing w:after="160" w:line="259" w:lineRule="auto"/>
        <w:rPr>
          <w:highlight w:val="yellow"/>
        </w:rPr>
      </w:pPr>
      <w:r>
        <w:rPr>
          <w:highlight w:val="yellow"/>
        </w:rPr>
        <w:br w:type="page"/>
      </w:r>
    </w:p>
    <w:p w14:paraId="4318A83F" w14:textId="16F6558D" w:rsidR="00192A93" w:rsidRPr="004A6627" w:rsidRDefault="00192A93" w:rsidP="00192A93">
      <w:pPr>
        <w:tabs>
          <w:tab w:val="left" w:pos="6237"/>
          <w:tab w:val="left" w:pos="6480"/>
          <w:tab w:val="left" w:pos="7200"/>
          <w:tab w:val="left" w:pos="7920"/>
          <w:tab w:val="left" w:pos="8640"/>
        </w:tabs>
        <w:jc w:val="right"/>
      </w:pPr>
      <w:r w:rsidRPr="004A6627">
        <w:lastRenderedPageBreak/>
        <w:t>LD 2056 (2020)</w:t>
      </w:r>
    </w:p>
    <w:p w14:paraId="23FB48EA" w14:textId="77777777" w:rsidR="00192A93" w:rsidRPr="004A6627" w:rsidRDefault="00192A93" w:rsidP="00192A93"/>
    <w:p w14:paraId="7A28EC2E" w14:textId="77777777" w:rsidR="00192A93" w:rsidRPr="004A6627" w:rsidRDefault="00192A93" w:rsidP="00192A93"/>
    <w:p w14:paraId="0EF9A33D" w14:textId="34E80526" w:rsidR="00192A93" w:rsidRDefault="00192A93" w:rsidP="00192A93"/>
    <w:p w14:paraId="441A4FFB" w14:textId="647DF69D" w:rsidR="004C3D5F" w:rsidRDefault="004C3D5F" w:rsidP="00192A93"/>
    <w:p w14:paraId="4F6ABEB9" w14:textId="0F123C58" w:rsidR="004C3D5F" w:rsidRDefault="004C3D5F" w:rsidP="00192A93"/>
    <w:p w14:paraId="49A1B271" w14:textId="3215A410" w:rsidR="004C3D5F" w:rsidRDefault="004C3D5F" w:rsidP="00192A93"/>
    <w:p w14:paraId="0343D8C0" w14:textId="7D5F852C" w:rsidR="004C3D5F" w:rsidRDefault="004C3D5F" w:rsidP="00192A93"/>
    <w:p w14:paraId="5484F506" w14:textId="4813BD53" w:rsidR="004C3D5F" w:rsidRDefault="004C3D5F" w:rsidP="00192A93"/>
    <w:p w14:paraId="3852F996" w14:textId="364CDC2D" w:rsidR="004C3D5F" w:rsidRDefault="004C3D5F" w:rsidP="00192A93"/>
    <w:p w14:paraId="3DA772BB" w14:textId="77777777" w:rsidR="004C3D5F" w:rsidRPr="004A6627" w:rsidRDefault="004C3D5F" w:rsidP="00192A93"/>
    <w:p w14:paraId="19F81ED3" w14:textId="77777777" w:rsidR="00192A93" w:rsidRPr="004A6627" w:rsidRDefault="00192A93" w:rsidP="00192A93">
      <w:pPr>
        <w:jc w:val="center"/>
        <w:rPr>
          <w:b/>
        </w:rPr>
      </w:pPr>
    </w:p>
    <w:p w14:paraId="5EC338F3"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4A6627">
        <w:rPr>
          <w:b/>
        </w:rPr>
        <w:t>OKVIRNI UGOVOR O ZAJMU</w:t>
      </w:r>
    </w:p>
    <w:p w14:paraId="026CBA3E"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0318895"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7518E7B"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4A6627">
        <w:rPr>
          <w:i/>
        </w:rPr>
        <w:t>između</w:t>
      </w:r>
    </w:p>
    <w:p w14:paraId="7ED3C0B3"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C947FD3"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7F8919B" w14:textId="77777777" w:rsidR="00192A93" w:rsidRPr="004A6627" w:rsidRDefault="00192A93" w:rsidP="00192A93">
      <w:pPr>
        <w:jc w:val="center"/>
        <w:rPr>
          <w:b/>
        </w:rPr>
      </w:pPr>
      <w:r w:rsidRPr="004A6627">
        <w:rPr>
          <w:b/>
        </w:rPr>
        <w:t>REPUBLIKE HRVATSKE</w:t>
      </w:r>
    </w:p>
    <w:p w14:paraId="65F69384"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F860F3D"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5035A4D"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r w:rsidRPr="004A6627">
        <w:rPr>
          <w:i/>
        </w:rPr>
        <w:t>i</w:t>
      </w:r>
    </w:p>
    <w:p w14:paraId="3CABE5DC"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299DF101" w14:textId="77777777" w:rsidR="00192A93" w:rsidRPr="004A6627" w:rsidRDefault="00192A93" w:rsidP="00192A93">
      <w:pPr>
        <w:jc w:val="center"/>
        <w:rPr>
          <w:b/>
        </w:rPr>
      </w:pPr>
    </w:p>
    <w:p w14:paraId="2B33832A" w14:textId="77777777" w:rsidR="00192A93" w:rsidRPr="004A6627" w:rsidRDefault="00192A93" w:rsidP="00192A93">
      <w:pPr>
        <w:jc w:val="center"/>
        <w:rPr>
          <w:b/>
        </w:rPr>
      </w:pPr>
      <w:r w:rsidRPr="004A6627">
        <w:rPr>
          <w:b/>
        </w:rPr>
        <w:t>RAZVOJNE BANKE VIJEĆA EUROPE</w:t>
      </w:r>
    </w:p>
    <w:p w14:paraId="723BA6E4" w14:textId="77777777" w:rsidR="00192A93" w:rsidRPr="004A6627" w:rsidRDefault="00192A93" w:rsidP="00192A93">
      <w:pPr>
        <w:jc w:val="center"/>
        <w:rPr>
          <w:b/>
        </w:rPr>
      </w:pPr>
    </w:p>
    <w:p w14:paraId="757E615A" w14:textId="77777777" w:rsidR="00192A93" w:rsidRPr="004A6627" w:rsidRDefault="00192A93" w:rsidP="00192A93">
      <w:pPr>
        <w:jc w:val="center"/>
        <w:rPr>
          <w:b/>
        </w:rPr>
      </w:pPr>
    </w:p>
    <w:p w14:paraId="0C69A286" w14:textId="77777777" w:rsidR="00192A93" w:rsidRPr="004A6627" w:rsidRDefault="00192A93" w:rsidP="00192A93">
      <w:pPr>
        <w:jc w:val="center"/>
        <w:rPr>
          <w:b/>
        </w:rPr>
      </w:pPr>
    </w:p>
    <w:p w14:paraId="4B8CA6A7" w14:textId="77777777" w:rsidR="00192A93" w:rsidRPr="004A6627" w:rsidRDefault="00192A93" w:rsidP="00192A93">
      <w:pPr>
        <w:jc w:val="center"/>
      </w:pPr>
    </w:p>
    <w:p w14:paraId="6DE22271" w14:textId="77777777" w:rsidR="00192A93" w:rsidRPr="004A6627" w:rsidRDefault="00192A93" w:rsidP="00192A93">
      <w:pPr>
        <w:jc w:val="center"/>
      </w:pPr>
    </w:p>
    <w:p w14:paraId="175037B9"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0CD13172"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50629E5B"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7261EEE2"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32164E89"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1CCFB01E" w14:textId="2BDA9ED7" w:rsidR="00192A93"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7D0C5FE4" w14:textId="5EC79A19"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2A6F9D0E" w14:textId="16E8F21D"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5DD544AB" w14:textId="59B82C76"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098E8AA1" w14:textId="3C68FB36"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227A0D5A" w14:textId="3F5EFB27"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39D5EF9E" w14:textId="5F56622E"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10015A20" w14:textId="1EEB482E"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433CDC49" w14:textId="10DBB29E"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575FFF8F" w14:textId="18DBF894"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49DC0142" w14:textId="1829235C" w:rsidR="00987940" w:rsidRDefault="00987940"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66A43A46" w14:textId="77777777" w:rsidR="00192A93" w:rsidRPr="004A6627" w:rsidRDefault="00192A93" w:rsidP="00192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rPr>
      </w:pPr>
    </w:p>
    <w:p w14:paraId="455C854B" w14:textId="77777777" w:rsidR="00192A93" w:rsidRPr="004A6627" w:rsidRDefault="00192A93" w:rsidP="00192A93">
      <w:pPr>
        <w:jc w:val="center"/>
        <w:rPr>
          <w:rFonts w:eastAsia="Calibri"/>
          <w:i/>
          <w:spacing w:val="-2"/>
        </w:rPr>
      </w:pPr>
      <w:r w:rsidRPr="004A6627">
        <w:rPr>
          <w:rFonts w:eastAsia="Calibri"/>
          <w:i/>
          <w:spacing w:val="-2"/>
        </w:rPr>
        <w:t xml:space="preserve">- Podrška mjerama u Republici Hrvatskoj, povezanih s pandemijom bolesti COVID-19 - </w:t>
      </w:r>
    </w:p>
    <w:p w14:paraId="35E40742" w14:textId="3F368A49" w:rsidR="001F3C99" w:rsidRDefault="00192A93" w:rsidP="004C3D5F">
      <w:pPr>
        <w:jc w:val="center"/>
      </w:pPr>
      <w:r w:rsidRPr="004A6627">
        <w:t>instrument financiranja javnog sektora</w:t>
      </w:r>
      <w:r w:rsidR="001F3C99">
        <w:br w:type="page"/>
      </w:r>
    </w:p>
    <w:p w14:paraId="2AA5065D" w14:textId="77777777" w:rsidR="00192A93" w:rsidRPr="004A6627" w:rsidRDefault="00192A93" w:rsidP="00192A93">
      <w:pPr>
        <w:jc w:val="center"/>
      </w:pPr>
    </w:p>
    <w:p w14:paraId="60EC53AE" w14:textId="77777777" w:rsidR="00192A93" w:rsidRPr="004A6627" w:rsidRDefault="00192A93" w:rsidP="004A6627">
      <w:pPr>
        <w:jc w:val="both"/>
      </w:pPr>
      <w:r w:rsidRPr="004A6627">
        <w:rPr>
          <w:b/>
          <w:caps/>
        </w:rPr>
        <w:t>REPUBLIKA HRVATSKA</w:t>
      </w:r>
      <w:r w:rsidRPr="004A6627">
        <w:t xml:space="preserve"> (u daljnjem tekstu „</w:t>
      </w:r>
      <w:r w:rsidRPr="004A6627">
        <w:rPr>
          <w:b/>
        </w:rPr>
        <w:t>Zajmoprimac</w:t>
      </w:r>
      <w:r w:rsidRPr="004A6627">
        <w:t xml:space="preserve">”), koju predstavlja Ministarstvo financija, s jedne strane,  </w:t>
      </w:r>
    </w:p>
    <w:p w14:paraId="65533444" w14:textId="77777777" w:rsidR="00192A93" w:rsidRPr="004A6627" w:rsidRDefault="00192A93" w:rsidP="004A6627">
      <w:pPr>
        <w:jc w:val="both"/>
      </w:pPr>
    </w:p>
    <w:p w14:paraId="440910C9" w14:textId="77777777" w:rsidR="00192A93" w:rsidRPr="004A6627" w:rsidRDefault="00192A93" w:rsidP="004A6627">
      <w:pPr>
        <w:jc w:val="both"/>
      </w:pPr>
      <w:r w:rsidRPr="004A6627">
        <w:t>i</w:t>
      </w:r>
    </w:p>
    <w:p w14:paraId="2AD5C111" w14:textId="77777777" w:rsidR="00192A93" w:rsidRPr="004A6627" w:rsidRDefault="00192A93" w:rsidP="004A6627">
      <w:pPr>
        <w:jc w:val="both"/>
      </w:pPr>
    </w:p>
    <w:p w14:paraId="655C7F0B"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A6627">
        <w:rPr>
          <w:b/>
        </w:rPr>
        <w:t>RAZVOJNA BANKA VIJEĆA EUROPE</w:t>
      </w:r>
      <w:r w:rsidRPr="004A6627">
        <w:t>, međunarodna organizacija sa sjedištem na adresi 55, Avenue Kléber, 75116 Pariz, Francuska (u daljnjem tekstu „</w:t>
      </w:r>
      <w:r w:rsidRPr="004A6627">
        <w:rPr>
          <w:b/>
        </w:rPr>
        <w:t>CEB</w:t>
      </w:r>
      <w:r w:rsidRPr="004A6627">
        <w:t>” ili „</w:t>
      </w:r>
      <w:r w:rsidRPr="004A6627">
        <w:rPr>
          <w:b/>
        </w:rPr>
        <w:t>Banka</w:t>
      </w:r>
      <w:r w:rsidRPr="004A6627">
        <w:t>”, i zajedno sa Zajmoprimcem, „</w:t>
      </w:r>
      <w:r w:rsidRPr="004A6627">
        <w:rPr>
          <w:b/>
        </w:rPr>
        <w:t>stranke</w:t>
      </w:r>
      <w:r w:rsidRPr="004A6627">
        <w:t>« i svaka pojedinačno „</w:t>
      </w:r>
      <w:r w:rsidRPr="004A6627">
        <w:rPr>
          <w:b/>
        </w:rPr>
        <w:t>stranka</w:t>
      </w:r>
      <w:r w:rsidRPr="004A6627">
        <w:t xml:space="preserve">“), s druge strane, </w:t>
      </w:r>
    </w:p>
    <w:p w14:paraId="2882A8FB" w14:textId="4DE77996" w:rsidR="00192A93" w:rsidRDefault="00192A93" w:rsidP="004A6627">
      <w:pPr>
        <w:jc w:val="both"/>
      </w:pPr>
    </w:p>
    <w:p w14:paraId="4430413D" w14:textId="0A43A186" w:rsidR="00987940" w:rsidRDefault="00987940" w:rsidP="004A6627">
      <w:pPr>
        <w:jc w:val="both"/>
      </w:pPr>
    </w:p>
    <w:p w14:paraId="5F98356B" w14:textId="6D463C5C" w:rsidR="00987940" w:rsidRDefault="00987940" w:rsidP="004A6627">
      <w:pPr>
        <w:jc w:val="both"/>
      </w:pPr>
    </w:p>
    <w:p w14:paraId="3A86843E" w14:textId="558C0AE0" w:rsidR="00987940" w:rsidRDefault="00987940" w:rsidP="004A6627">
      <w:pPr>
        <w:jc w:val="both"/>
      </w:pPr>
    </w:p>
    <w:p w14:paraId="788A10BC" w14:textId="77777777" w:rsidR="00987940" w:rsidRPr="004A6627" w:rsidRDefault="00987940" w:rsidP="004A6627">
      <w:pPr>
        <w:jc w:val="both"/>
      </w:pPr>
    </w:p>
    <w:p w14:paraId="379972CF" w14:textId="6C77F526" w:rsidR="00192A93" w:rsidRDefault="00192A93" w:rsidP="004A6627">
      <w:pPr>
        <w:jc w:val="both"/>
        <w:rPr>
          <w:b/>
        </w:rPr>
      </w:pPr>
      <w:r w:rsidRPr="004A6627">
        <w:rPr>
          <w:b/>
        </w:rPr>
        <w:t>BUDUĆI DA</w:t>
      </w:r>
    </w:p>
    <w:p w14:paraId="51049243" w14:textId="77777777" w:rsidR="00BE1649" w:rsidRPr="004A6627" w:rsidRDefault="00BE1649" w:rsidP="004A6627">
      <w:pPr>
        <w:jc w:val="both"/>
        <w:rPr>
          <w:b/>
        </w:rPr>
      </w:pPr>
    </w:p>
    <w:p w14:paraId="14D64FEF" w14:textId="77777777" w:rsidR="00192A93" w:rsidRPr="004A6627" w:rsidRDefault="00192A93" w:rsidP="004A6627">
      <w:pPr>
        <w:ind w:left="709" w:hanging="709"/>
        <w:jc w:val="both"/>
      </w:pPr>
      <w:r w:rsidRPr="004A6627">
        <w:t>(A)</w:t>
      </w:r>
      <w:r w:rsidRPr="004A6627">
        <w:tab/>
        <w:t xml:space="preserve">uzimajući u obzir zahtjev za odobravanje zajma koji je Republika Hrvatska predala 27. travnja 2020., a odobrilo Upravno vijeće CEB-a pisanim postupkom </w:t>
      </w:r>
      <w:r w:rsidRPr="004A6627">
        <w:rPr>
          <w:caps/>
        </w:rPr>
        <w:t>12</w:t>
      </w:r>
      <w:r w:rsidRPr="004A6627">
        <w:t>. svibnja 2020.,</w:t>
      </w:r>
    </w:p>
    <w:p w14:paraId="7CC54A67" w14:textId="77777777" w:rsidR="00192A93" w:rsidRPr="004A6627" w:rsidRDefault="00192A93" w:rsidP="004A6627">
      <w:pPr>
        <w:ind w:left="709" w:hanging="709"/>
        <w:jc w:val="both"/>
      </w:pPr>
      <w:r w:rsidRPr="004A6627">
        <w:t>(B)</w:t>
      </w:r>
      <w:r w:rsidRPr="004A6627">
        <w:tab/>
        <w:t>uzimajući u obzir Treći protokol uz Opći sporazum o povlasticama i imunitetima Vijeća Europe od 6. ožujka 1959.,</w:t>
      </w:r>
    </w:p>
    <w:p w14:paraId="37C455AB" w14:textId="77777777" w:rsidR="00192A93" w:rsidRPr="004A6627" w:rsidRDefault="00192A93" w:rsidP="004A6627">
      <w:pPr>
        <w:ind w:left="709" w:hanging="709"/>
        <w:jc w:val="both"/>
      </w:pPr>
      <w:r w:rsidRPr="004A6627">
        <w:t>(C)</w:t>
      </w:r>
      <w:r w:rsidRPr="004A6627">
        <w:tab/>
        <w:t>uzimajući u obzir Pravila o zajmovima CEB-a, kako su usvojena Rezolucijom Upravnog vijeća CEB-a 1587 (2016) (u daljnjem tekstu „</w:t>
      </w:r>
      <w:r w:rsidRPr="004A6627">
        <w:rPr>
          <w:b/>
        </w:rPr>
        <w:t>Pravila o zajmovima</w:t>
      </w:r>
      <w:r w:rsidRPr="004A6627">
        <w:t>“),</w:t>
      </w:r>
    </w:p>
    <w:p w14:paraId="02174B87" w14:textId="77777777" w:rsidR="00192A93" w:rsidRPr="004A6627" w:rsidRDefault="00192A93" w:rsidP="004A6627">
      <w:pPr>
        <w:ind w:left="709" w:hanging="709"/>
        <w:jc w:val="both"/>
      </w:pPr>
      <w:r w:rsidRPr="004A6627">
        <w:t>(D)</w:t>
      </w:r>
      <w:r w:rsidRPr="004A6627">
        <w:tab/>
        <w:t>uzimajući u obzir Politiku CEB-a o zajmovima i financiranju projekata, kako je usvojena Rezolucijom Upravnog vijeća CEB-a 1611 (2019) (u daljnjem tekstu „</w:t>
      </w:r>
      <w:r w:rsidRPr="004A6627">
        <w:rPr>
          <w:b/>
        </w:rPr>
        <w:t>Politika zajmova</w:t>
      </w:r>
      <w:r w:rsidRPr="004A6627">
        <w:t>“),</w:t>
      </w:r>
    </w:p>
    <w:p w14:paraId="52B93BAE" w14:textId="77777777" w:rsidR="00192A93" w:rsidRPr="004A6627" w:rsidRDefault="00192A93" w:rsidP="004A6627">
      <w:pPr>
        <w:ind w:left="709" w:hanging="709"/>
        <w:jc w:val="both"/>
      </w:pPr>
      <w:r w:rsidRPr="004A6627">
        <w:t>(E)</w:t>
      </w:r>
      <w:r w:rsidRPr="004A6627">
        <w:tab/>
        <w:t>uzimajući u obzir Politiku CEB-a o zaštiti okoliša i socijalnoj zaštiti, kako je usvojena Rezolucijom Upravnog vijeća CEB-a 1588 (2016) (u daljnjem tekstu „</w:t>
      </w:r>
      <w:r w:rsidRPr="004A6627">
        <w:rPr>
          <w:b/>
        </w:rPr>
        <w:t>Politika zaštite okoliša i socijalne zaštite</w:t>
      </w:r>
      <w:r w:rsidRPr="004A6627">
        <w:t xml:space="preserve">“), </w:t>
      </w:r>
    </w:p>
    <w:p w14:paraId="2733608D" w14:textId="77777777" w:rsidR="00192A93" w:rsidRPr="004A6627" w:rsidRDefault="00192A93" w:rsidP="004A6627">
      <w:pPr>
        <w:ind w:left="709" w:hanging="709"/>
        <w:jc w:val="both"/>
      </w:pPr>
      <w:r w:rsidRPr="004A6627">
        <w:t>(F)</w:t>
      </w:r>
      <w:r w:rsidRPr="004A6627">
        <w:tab/>
        <w:t>uzimajući u obzir Smjernice CEB-a o nabavi koje je usvojilo Upravno vijeće CEB-a u rujnu 2011. (u daljnjem tekstu „</w:t>
      </w:r>
      <w:r w:rsidRPr="004A6627">
        <w:rPr>
          <w:b/>
        </w:rPr>
        <w:t>Smjernice o nabavi</w:t>
      </w:r>
      <w:r w:rsidRPr="004A6627">
        <w:t>“),</w:t>
      </w:r>
    </w:p>
    <w:p w14:paraId="790BBFA3" w14:textId="77777777" w:rsidR="00192A93" w:rsidRPr="004A6627" w:rsidRDefault="00192A93" w:rsidP="004A6627">
      <w:pPr>
        <w:jc w:val="both"/>
      </w:pPr>
    </w:p>
    <w:p w14:paraId="343F3EFF" w14:textId="77777777" w:rsidR="00BE1649" w:rsidRDefault="00BE1649" w:rsidP="004A6627">
      <w:pPr>
        <w:jc w:val="both"/>
        <w:rPr>
          <w:b/>
        </w:rPr>
      </w:pPr>
    </w:p>
    <w:p w14:paraId="52C3B5D1" w14:textId="3F9E3AB6" w:rsidR="00192A93" w:rsidRPr="004A6627" w:rsidRDefault="00192A93" w:rsidP="004A6627">
      <w:pPr>
        <w:jc w:val="both"/>
        <w:rPr>
          <w:b/>
        </w:rPr>
      </w:pPr>
      <w:r w:rsidRPr="004A6627">
        <w:rPr>
          <w:b/>
        </w:rPr>
        <w:t>OVIME SU SE SPORAZUMJELE O SLJEDEĆEM:</w:t>
      </w:r>
    </w:p>
    <w:p w14:paraId="3922F874" w14:textId="35338525" w:rsidR="00BE1649" w:rsidRDefault="00BE1649">
      <w:pPr>
        <w:spacing w:after="160" w:line="259" w:lineRule="auto"/>
        <w:rPr>
          <w:b/>
        </w:rPr>
      </w:pPr>
      <w:r>
        <w:rPr>
          <w:b/>
        </w:rPr>
        <w:br w:type="page"/>
      </w:r>
    </w:p>
    <w:p w14:paraId="0DA258B4" w14:textId="4B0FED75"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3" w:name="_Toc34130043"/>
      <w:r w:rsidRPr="004A6627">
        <w:rPr>
          <w:caps w:val="0"/>
          <w:szCs w:val="24"/>
        </w:rPr>
        <w:lastRenderedPageBreak/>
        <w:t>TUMAČENJE</w:t>
      </w:r>
    </w:p>
    <w:p w14:paraId="2831ADB6" w14:textId="4505ADD1" w:rsidR="00192A93" w:rsidRPr="004A6627" w:rsidRDefault="00192A9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szCs w:val="24"/>
        </w:rPr>
        <w:t>D</w:t>
      </w:r>
      <w:r w:rsidR="00E751D4" w:rsidRPr="004A6627">
        <w:rPr>
          <w:caps w:val="0"/>
          <w:szCs w:val="24"/>
        </w:rPr>
        <w:t>efinicije</w:t>
      </w:r>
    </w:p>
    <w:bookmarkEnd w:id="3"/>
    <w:p w14:paraId="14E1DB10" w14:textId="77777777" w:rsidR="00192A93" w:rsidRPr="004A6627" w:rsidRDefault="00192A93" w:rsidP="00987940">
      <w:pPr>
        <w:spacing w:before="120"/>
        <w:jc w:val="both"/>
        <w:rPr>
          <w:rFonts w:eastAsia="Calibri"/>
        </w:rPr>
      </w:pPr>
      <w:r w:rsidRPr="004A6627">
        <w:t>Sljedeći izrazi imaju značenje kako je navedeno u nastavku, osim ako kontekst ne zahtijeva drugačije:</w:t>
      </w:r>
      <w:r w:rsidRPr="004A6627">
        <w:rPr>
          <w:rFonts w:eastAsia="Calibri"/>
        </w:rPr>
        <w:t xml:space="preserve"> </w:t>
      </w:r>
    </w:p>
    <w:p w14:paraId="379DB447"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Ugovor</w:t>
      </w:r>
      <w:r w:rsidRPr="004A6627">
        <w:rPr>
          <w:rStyle w:val="kurziv"/>
          <w:lang w:val="hr-HR"/>
        </w:rPr>
        <w:t xml:space="preserve">“ </w:t>
      </w:r>
      <w:r w:rsidRPr="004A6627">
        <w:rPr>
          <w:lang w:val="hr-HR"/>
        </w:rPr>
        <w:t>znači ovaj Okvirni ugovor o zajmu, uključujući i njegove priloge.</w:t>
      </w:r>
    </w:p>
    <w:p w14:paraId="3819DBDD"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Dodjela</w:t>
      </w:r>
      <w:r w:rsidRPr="004A6627">
        <w:rPr>
          <w:rStyle w:val="kurziv"/>
          <w:lang w:val="hr-HR"/>
        </w:rPr>
        <w:t xml:space="preserve">“ </w:t>
      </w:r>
      <w:r w:rsidRPr="004A6627">
        <w:rPr>
          <w:lang w:val="hr-HR"/>
        </w:rPr>
        <w:t>znači izdvajanje tranše od strane Zajmoprimca za prihvatljive potprojekte čak i ako ta tranša još nije isplaćena prema Projektu.</w:t>
      </w:r>
    </w:p>
    <w:p w14:paraId="53147F7B"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Razdoblje dodjele sredstava</w:t>
      </w:r>
      <w:r w:rsidRPr="004A6627">
        <w:rPr>
          <w:rStyle w:val="kurziv"/>
          <w:lang w:val="hr-HR"/>
        </w:rPr>
        <w:t xml:space="preserve">“ </w:t>
      </w:r>
      <w:r w:rsidRPr="004A6627">
        <w:rPr>
          <w:lang w:val="hr-HR"/>
        </w:rPr>
        <w:t>ima značenje utvrđeno u podčlanku 5.2.</w:t>
      </w:r>
    </w:p>
    <w:p w14:paraId="546B757D"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Radni dan</w:t>
      </w:r>
      <w:r w:rsidRPr="004A6627">
        <w:rPr>
          <w:rStyle w:val="kurziv"/>
          <w:lang w:val="hr-HR"/>
        </w:rPr>
        <w:t>“</w:t>
      </w:r>
      <w:r w:rsidRPr="004A6627">
        <w:rPr>
          <w:lang w:val="hr-HR"/>
        </w:rPr>
        <w:t xml:space="preserve"> s obzirom na plaćanja u eurima znači bilo koji dan na koji je sustav TARGET 2 (Transeuropski sustav automatizirane bruto namire u stvarnom vremenu) otvoren za poslovanje.</w:t>
      </w:r>
    </w:p>
    <w:p w14:paraId="39871427"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 zatvaranja</w:t>
      </w:r>
      <w:r w:rsidRPr="004A6627">
        <w:rPr>
          <w:rStyle w:val="kurziv"/>
          <w:lang w:val="hr-HR"/>
        </w:rPr>
        <w:t xml:space="preserve">“ </w:t>
      </w:r>
      <w:r w:rsidRPr="004A6627">
        <w:rPr>
          <w:lang w:val="hr-HR"/>
        </w:rPr>
        <w:t>znači datum utvrđen u Prilogu 1. ovom Ugovoru nakon kojega Zajmoprimac više ne može tražiti daljnje isplate.</w:t>
      </w:r>
    </w:p>
    <w:p w14:paraId="0E1CEA8C"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Izvješće o završetku projekta</w:t>
      </w:r>
      <w:r w:rsidRPr="004A6627">
        <w:rPr>
          <w:rStyle w:val="kurziv"/>
          <w:lang w:val="hr-HR"/>
        </w:rPr>
        <w:t>“</w:t>
      </w:r>
      <w:r w:rsidRPr="004A6627">
        <w:rPr>
          <w:lang w:val="hr-HR"/>
        </w:rPr>
        <w:t xml:space="preserve"> ima značenje utvrđeno u podčlanku 6.1(b).</w:t>
      </w:r>
    </w:p>
    <w:p w14:paraId="065EB030" w14:textId="78C446C2" w:rsidR="00192A93" w:rsidRPr="004A6627" w:rsidRDefault="00192A93" w:rsidP="00987940">
      <w:pPr>
        <w:spacing w:before="120"/>
        <w:jc w:val="both"/>
        <w:rPr>
          <w:rFonts w:eastAsia="Calibri"/>
        </w:rPr>
      </w:pPr>
      <w:r w:rsidRPr="004A6627">
        <w:rPr>
          <w:rFonts w:eastAsia="Calibri"/>
          <w:b/>
        </w:rPr>
        <w:t xml:space="preserve">„Komponente” </w:t>
      </w:r>
      <w:r w:rsidRPr="004A6627">
        <w:rPr>
          <w:rFonts w:eastAsia="Calibri"/>
        </w:rPr>
        <w:t>imaju značenje prihvatljivih područja djelovanja</w:t>
      </w:r>
      <w:r w:rsidRPr="004A6627">
        <w:rPr>
          <w:rFonts w:eastAsia="Calibri"/>
          <w:b/>
        </w:rPr>
        <w:t xml:space="preserve"> </w:t>
      </w:r>
      <w:r w:rsidRPr="004A6627">
        <w:rPr>
          <w:rFonts w:eastAsia="Calibri"/>
        </w:rPr>
        <w:t xml:space="preserve">kako je utvrđeno u Prilogu 1. </w:t>
      </w:r>
      <w:r w:rsidR="00BE1649">
        <w:rPr>
          <w:rFonts w:eastAsia="Calibri"/>
        </w:rPr>
        <w:t>o</w:t>
      </w:r>
      <w:r w:rsidRPr="004A6627">
        <w:rPr>
          <w:rFonts w:eastAsia="Calibri"/>
        </w:rPr>
        <w:t xml:space="preserve">vom Ugovoru. </w:t>
      </w:r>
    </w:p>
    <w:p w14:paraId="7999E52B" w14:textId="6F12564B" w:rsidR="00192A93" w:rsidRPr="004A6627" w:rsidRDefault="00192A93" w:rsidP="00987940">
      <w:pPr>
        <w:spacing w:before="120"/>
        <w:jc w:val="both"/>
        <w:rPr>
          <w:rFonts w:eastAsia="Calibri"/>
          <w:b/>
        </w:rPr>
      </w:pPr>
      <w:r w:rsidRPr="004A6627">
        <w:rPr>
          <w:rFonts w:eastAsia="Calibri"/>
          <w:b/>
        </w:rPr>
        <w:t xml:space="preserve">„Valuta” </w:t>
      </w:r>
      <w:r w:rsidRPr="004A6627">
        <w:rPr>
          <w:rFonts w:eastAsia="Calibri"/>
        </w:rPr>
        <w:t>znači, u svrhe ovog</w:t>
      </w:r>
      <w:r w:rsidR="00BE1649">
        <w:rPr>
          <w:rFonts w:eastAsia="Calibri"/>
        </w:rPr>
        <w:t>a</w:t>
      </w:r>
      <w:r w:rsidRPr="004A6627">
        <w:rPr>
          <w:rFonts w:eastAsia="Calibri"/>
        </w:rPr>
        <w:t xml:space="preserve"> Ugovora, euro. </w:t>
      </w:r>
    </w:p>
    <w:p w14:paraId="1FF9AA9E"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Pravilo o utvrđivanju broja dana</w:t>
      </w:r>
      <w:r w:rsidRPr="004A6627">
        <w:rPr>
          <w:rStyle w:val="kurziv"/>
          <w:lang w:val="hr-HR"/>
        </w:rPr>
        <w:t xml:space="preserve">“ </w:t>
      </w:r>
      <w:r w:rsidRPr="004A6627">
        <w:rPr>
          <w:lang w:val="hr-HR"/>
        </w:rPr>
        <w:t>znači pravilo za utvrđivanje broja dana između dva datuma i broja dana u godini kako je navedeno u relevantnoj Obavijesti o isplati.</w:t>
      </w:r>
    </w:p>
    <w:p w14:paraId="48133CF3"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Dužnički instrument</w:t>
      </w:r>
      <w:r w:rsidRPr="004A6627">
        <w:rPr>
          <w:rStyle w:val="kurziv"/>
          <w:lang w:val="hr-HR"/>
        </w:rPr>
        <w:t xml:space="preserve">“ </w:t>
      </w:r>
      <w:r w:rsidRPr="004A6627">
        <w:rPr>
          <w:lang w:val="hr-HR"/>
        </w:rPr>
        <w:t>znači (i) svaki zajam ili drugi oblik financijske zaduženosti; (ii) instrument, uključujući bilo koju priznanicu ili bankovni izvadak, kojima se dokazuje ili koji stvara obvezu otplate zajma, pologa, predujma ili sličnog produženja kredita (uključujući bez ograničenja bilo koje produženje kredita prema sporazumu o refinanciranju ili reprogramiranju), (iii) obveznica, zadužnica, osiguranje otplate duga, pismo namjere ili slični pisani dokaz zaduženosti; ili (iv) instrument kojim se dokazuje jamstvo ispunjavanja obveze koja predstavlja financijsku zaduženost drugog.</w:t>
      </w:r>
    </w:p>
    <w:p w14:paraId="2516100B"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Zatezna kamatna stopa</w:t>
      </w:r>
      <w:r w:rsidRPr="004A6627">
        <w:rPr>
          <w:rStyle w:val="kurziv"/>
          <w:lang w:val="hr-HR"/>
        </w:rPr>
        <w:t xml:space="preserve">“ </w:t>
      </w:r>
      <w:r w:rsidRPr="004A6627">
        <w:rPr>
          <w:lang w:val="hr-HR"/>
        </w:rPr>
        <w:t>ima značenje utvrđeno u podčlanku 4.9.</w:t>
      </w:r>
    </w:p>
    <w:p w14:paraId="5A7240B3"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 isplate</w:t>
      </w:r>
      <w:r w:rsidRPr="004A6627">
        <w:rPr>
          <w:rStyle w:val="kurziv"/>
          <w:lang w:val="hr-HR"/>
        </w:rPr>
        <w:t xml:space="preserve">“ </w:t>
      </w:r>
      <w:r w:rsidRPr="004A6627">
        <w:rPr>
          <w:lang w:val="hr-HR"/>
        </w:rPr>
        <w:t>znači datum na koji je predviđena isplata tranše u skladu s primjenjivom Obavijesti o isplati.</w:t>
      </w:r>
    </w:p>
    <w:p w14:paraId="6C28F089"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Obavijest o isplati</w:t>
      </w:r>
      <w:r w:rsidRPr="004A6627">
        <w:rPr>
          <w:rStyle w:val="kurziv"/>
          <w:lang w:val="hr-HR"/>
        </w:rPr>
        <w:t xml:space="preserve">“ </w:t>
      </w:r>
      <w:r w:rsidRPr="004A6627">
        <w:rPr>
          <w:lang w:val="hr-HR"/>
        </w:rPr>
        <w:t>ima značenje utvrđeno u podčlanku 4.3(b).</w:t>
      </w:r>
    </w:p>
    <w:p w14:paraId="79A0ABFB"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Zahtjev za isplatu</w:t>
      </w:r>
      <w:r w:rsidRPr="004A6627">
        <w:rPr>
          <w:rStyle w:val="kurziv"/>
          <w:lang w:val="hr-HR"/>
        </w:rPr>
        <w:t xml:space="preserve">“ </w:t>
      </w:r>
      <w:r w:rsidRPr="004A6627">
        <w:rPr>
          <w:lang w:val="hr-HR"/>
        </w:rPr>
        <w:t>ima značenje utvrđeno u podčlanku 4.3(a).</w:t>
      </w:r>
    </w:p>
    <w:p w14:paraId="23F2B1E6"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Potvrda ranog povrata</w:t>
      </w:r>
      <w:r w:rsidRPr="004A6627">
        <w:rPr>
          <w:rStyle w:val="kurziv"/>
          <w:lang w:val="hr-HR"/>
        </w:rPr>
        <w:t xml:space="preserve">“ </w:t>
      </w:r>
      <w:r w:rsidRPr="004A6627">
        <w:rPr>
          <w:lang w:val="hr-HR"/>
        </w:rPr>
        <w:t>ima značenje utvrđeno u podčlanku 4.7.</w:t>
      </w:r>
    </w:p>
    <w:p w14:paraId="309F85D2"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Troškovi ranog povrata</w:t>
      </w:r>
      <w:r w:rsidRPr="004A6627">
        <w:rPr>
          <w:rStyle w:val="kurziv"/>
          <w:lang w:val="hr-HR"/>
        </w:rPr>
        <w:t xml:space="preserve">“ </w:t>
      </w:r>
      <w:r w:rsidRPr="004A6627">
        <w:rPr>
          <w:lang w:val="hr-HR"/>
        </w:rPr>
        <w:t>imaju značenje utvrđeno u podčlanku 4.7.</w:t>
      </w:r>
    </w:p>
    <w:p w14:paraId="72DD84C8"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 ranog povrata</w:t>
      </w:r>
      <w:r w:rsidRPr="004A6627">
        <w:rPr>
          <w:rStyle w:val="kurziv"/>
          <w:lang w:val="hr-HR"/>
        </w:rPr>
        <w:t xml:space="preserve">“ </w:t>
      </w:r>
      <w:r w:rsidRPr="004A6627">
        <w:rPr>
          <w:lang w:val="hr-HR"/>
        </w:rPr>
        <w:t>ima značenje utvrđeno u podčlanku 4.7.</w:t>
      </w:r>
    </w:p>
    <w:p w14:paraId="373BCF0A"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Obavijest o ranom povratu</w:t>
      </w:r>
      <w:r w:rsidRPr="004A6627">
        <w:rPr>
          <w:rStyle w:val="kurziv"/>
          <w:lang w:val="hr-HR"/>
        </w:rPr>
        <w:t xml:space="preserve">“ </w:t>
      </w:r>
      <w:r w:rsidRPr="004A6627">
        <w:rPr>
          <w:lang w:val="hr-HR"/>
        </w:rPr>
        <w:t>ima značenje utvrđeno u podčlanku 4.7.</w:t>
      </w:r>
    </w:p>
    <w:p w14:paraId="0C827925" w14:textId="77777777" w:rsidR="00192A93" w:rsidRPr="00987940" w:rsidRDefault="00192A93" w:rsidP="00987940">
      <w:pPr>
        <w:pStyle w:val="t-9-8"/>
        <w:spacing w:before="120" w:beforeAutospacing="0" w:after="0"/>
        <w:jc w:val="both"/>
        <w:rPr>
          <w:spacing w:val="-4"/>
          <w:lang w:val="hr-HR"/>
        </w:rPr>
      </w:pPr>
      <w:r w:rsidRPr="00987940">
        <w:rPr>
          <w:rStyle w:val="kurziv"/>
          <w:spacing w:val="-4"/>
          <w:lang w:val="hr-HR"/>
        </w:rPr>
        <w:lastRenderedPageBreak/>
        <w:t>„</w:t>
      </w:r>
      <w:r w:rsidRPr="00987940">
        <w:rPr>
          <w:rStyle w:val="kurziv"/>
          <w:b/>
          <w:spacing w:val="-4"/>
          <w:lang w:val="hr-HR"/>
        </w:rPr>
        <w:t>Datum stupanja na snagu</w:t>
      </w:r>
      <w:r w:rsidRPr="00987940">
        <w:rPr>
          <w:rStyle w:val="kurziv"/>
          <w:spacing w:val="-4"/>
          <w:lang w:val="hr-HR"/>
        </w:rPr>
        <w:t xml:space="preserve">“ </w:t>
      </w:r>
      <w:r w:rsidRPr="00987940">
        <w:rPr>
          <w:spacing w:val="-4"/>
          <w:lang w:val="hr-HR"/>
        </w:rPr>
        <w:t>znači datum stupanja na snagu Ugovora temeljem članka 17.</w:t>
      </w:r>
    </w:p>
    <w:p w14:paraId="046E3100"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EU</w:t>
      </w:r>
      <w:r w:rsidRPr="004A6627">
        <w:rPr>
          <w:rStyle w:val="kurziv"/>
          <w:lang w:val="hr-HR"/>
        </w:rPr>
        <w:t xml:space="preserve">“ </w:t>
      </w:r>
      <w:r w:rsidRPr="004A6627">
        <w:rPr>
          <w:lang w:val="hr-HR"/>
        </w:rPr>
        <w:t>znači Europska unija.</w:t>
      </w:r>
    </w:p>
    <w:p w14:paraId="125A7517"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EURIBOR</w:t>
      </w:r>
      <w:r w:rsidRPr="004A6627">
        <w:rPr>
          <w:rStyle w:val="kurziv"/>
          <w:lang w:val="hr-HR"/>
        </w:rPr>
        <w:t>“</w:t>
      </w:r>
      <w:r w:rsidRPr="004A6627">
        <w:rPr>
          <w:lang w:val="hr-HR"/>
        </w:rPr>
        <w:t xml:space="preserve"> znači godišnja stopa u postocima navedena na Thomson Reutersovoj stranici EURIBOR01 (ili zamjenskoj stranici koja zamjenjuje Thomson Reutersovu stranicu EURIBOR01) u približno ili točno 11 sati po briselskom vremenu na datum utvrđivanja kamate kao ponuđena međubankarska stopa u eurima kojom upravlja Europski institut za tržište novca (ili bilo koje drugo tijelo koje preuzima upravljanje tom stopom) za isto razdoblje kao i relevantno kamatno razdoblje.</w:t>
      </w:r>
    </w:p>
    <w:p w14:paraId="334AADA7" w14:textId="77777777" w:rsidR="00192A93" w:rsidRPr="004A6627" w:rsidRDefault="00192A93" w:rsidP="00987940">
      <w:pPr>
        <w:pStyle w:val="t-9-8"/>
        <w:spacing w:before="120" w:beforeAutospacing="0" w:after="0"/>
        <w:jc w:val="both"/>
        <w:rPr>
          <w:lang w:val="hr-HR"/>
        </w:rPr>
      </w:pPr>
      <w:r w:rsidRPr="004A6627">
        <w:rPr>
          <w:lang w:val="hr-HR"/>
        </w:rPr>
        <w:t>Ako relevantno kamatno razdoblje nije isto kao razdoblje koje navede Thomson Reuters, primjenjivi EURIBOR će biti godišnja stopa u postocima kao rezultat linearne interpolacije uz referenciju na dvije (2) EURIBOR stope na depozite u eurima, od kojih je jedna primjenjiva na razdoblje cijelih mjeseci neposredno kraćih, a druga na razdoblje cijelih mjeseci neposredno dužih od trajanja relevantnog kamatnog razdoblja.</w:t>
      </w:r>
    </w:p>
    <w:p w14:paraId="52F49F48"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Euro</w:t>
      </w:r>
      <w:r w:rsidRPr="004A6627">
        <w:rPr>
          <w:rStyle w:val="kurziv"/>
          <w:lang w:val="hr-HR"/>
        </w:rPr>
        <w:t xml:space="preserve">“ </w:t>
      </w:r>
      <w:r w:rsidRPr="004A6627">
        <w:rPr>
          <w:lang w:val="hr-HR"/>
        </w:rPr>
        <w:t>i oznaka</w:t>
      </w:r>
      <w:r w:rsidRPr="004A6627">
        <w:rPr>
          <w:rStyle w:val="kurziv"/>
          <w:lang w:val="hr-HR"/>
        </w:rPr>
        <w:t xml:space="preserve"> „</w:t>
      </w:r>
      <w:r w:rsidRPr="004A6627">
        <w:rPr>
          <w:rStyle w:val="kurziv"/>
          <w:b/>
          <w:lang w:val="hr-HR"/>
        </w:rPr>
        <w:t>EUR</w:t>
      </w:r>
      <w:r w:rsidRPr="004A6627">
        <w:rPr>
          <w:rStyle w:val="kurziv"/>
          <w:lang w:val="hr-HR"/>
        </w:rPr>
        <w:t xml:space="preserve">“ </w:t>
      </w:r>
      <w:r w:rsidRPr="004A6627">
        <w:rPr>
          <w:lang w:val="hr-HR"/>
        </w:rPr>
        <w:t>znači zakonitu valutu država članica EU-a koje povremeno usvajaju tu valutu kao svoju valutu u skladu s relevantnim odredbama Ugovora o EU i Ugovora o funkcioniranju EU-a ili narednih ugovora.</w:t>
      </w:r>
    </w:p>
    <w:p w14:paraId="0D8F6F2A"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Europska konvencija o ljudskim pravima</w:t>
      </w:r>
      <w:r w:rsidRPr="004A6627">
        <w:rPr>
          <w:rStyle w:val="kurziv"/>
          <w:lang w:val="hr-HR"/>
        </w:rPr>
        <w:t xml:space="preserve">“ </w:t>
      </w:r>
      <w:r w:rsidRPr="004A6627">
        <w:rPr>
          <w:lang w:val="hr-HR"/>
        </w:rPr>
        <w:t>znači Konvenciju za zaštitu ljudskih prava i temeljnih sloboda od 4. studenoga 1950., CETS br. 5, kako je povremeno izmijenjena i dopunjena.</w:t>
      </w:r>
    </w:p>
    <w:p w14:paraId="52A86836"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Europska socijalna povelja</w:t>
      </w:r>
      <w:r w:rsidRPr="004A6627">
        <w:rPr>
          <w:rStyle w:val="kurziv"/>
          <w:lang w:val="hr-HR"/>
        </w:rPr>
        <w:t xml:space="preserve">“ </w:t>
      </w:r>
      <w:r w:rsidRPr="004A6627">
        <w:rPr>
          <w:lang w:val="hr-HR"/>
        </w:rPr>
        <w:t>znači Europsku socijalnu povelju od 3. svibnja 1996., CETS br. 163, kako je povremeno izmijenjena i dopunjena.</w:t>
      </w:r>
    </w:p>
    <w:p w14:paraId="21B2C42C"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Krajnji korisnici</w:t>
      </w:r>
      <w:r w:rsidRPr="004A6627">
        <w:rPr>
          <w:rStyle w:val="kurziv"/>
          <w:lang w:val="hr-HR"/>
        </w:rPr>
        <w:t xml:space="preserve">“ </w:t>
      </w:r>
      <w:r w:rsidRPr="004A6627">
        <w:rPr>
          <w:lang w:val="hr-HR"/>
        </w:rPr>
        <w:t>su utvrđeni u Prilogu 1. ovom Ugovoru kao skupina koja ima koristi od društvenih učinaka projekta.</w:t>
      </w:r>
    </w:p>
    <w:p w14:paraId="621C9CAE"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Fiksna kamatna stopa</w:t>
      </w:r>
      <w:r w:rsidRPr="004A6627">
        <w:rPr>
          <w:rStyle w:val="kurziv"/>
          <w:lang w:val="hr-HR"/>
        </w:rPr>
        <w:t>“</w:t>
      </w:r>
      <w:r w:rsidRPr="004A6627">
        <w:rPr>
          <w:lang w:val="hr-HR"/>
        </w:rPr>
        <w:t xml:space="preserve"> znači godišnju kamatnu stopu utvrđenu u primjenjivoj Obavijesti o isplati.</w:t>
      </w:r>
    </w:p>
    <w:p w14:paraId="7EB3B119"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Promjenjiva kamatna stopa</w:t>
      </w:r>
      <w:r w:rsidRPr="004A6627">
        <w:rPr>
          <w:rStyle w:val="kurziv"/>
          <w:lang w:val="hr-HR"/>
        </w:rPr>
        <w:t xml:space="preserve">“ </w:t>
      </w:r>
      <w:r w:rsidRPr="004A6627">
        <w:rPr>
          <w:lang w:val="hr-HR"/>
        </w:rPr>
        <w:t>znači godišnju kamatnu stopu utvrđenu dodavanjem raspona navedenog u primjenjivoj Obavijesti o isplati na Referentnu stopu ili njegovim oduzimanjem od Referentne stope ovisno o slučaju.</w:t>
      </w:r>
    </w:p>
    <w:p w14:paraId="4E9E0FE1" w14:textId="77777777" w:rsidR="00192A93" w:rsidRPr="004A6627" w:rsidRDefault="00192A93" w:rsidP="00987940">
      <w:pPr>
        <w:pStyle w:val="t-9-8"/>
        <w:spacing w:before="120" w:beforeAutospacing="0" w:after="0"/>
        <w:jc w:val="both"/>
        <w:rPr>
          <w:lang w:val="hr-HR"/>
        </w:rPr>
      </w:pPr>
      <w:r w:rsidRPr="004A6627">
        <w:rPr>
          <w:lang w:val="hr-HR"/>
        </w:rPr>
        <w:t>Radi izbjegavanja nedoumice, kada tijekom utvrđivanja Promjenjive kamatne stope rezultat bude negativna kamatna stopa (zbog citirane negativne Referentne stope, na operaciju raspona koji se oduzima od Referentne stope ili bilo koje druge okolnosti), kamata koju Zajmoprimac treba platiti za Kamatno razdoblje bit će procijenjena na nulu.</w:t>
      </w:r>
    </w:p>
    <w:p w14:paraId="20D41810"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 utvrđivanja kamate</w:t>
      </w:r>
      <w:r w:rsidRPr="004A6627">
        <w:rPr>
          <w:rStyle w:val="kurziv"/>
          <w:lang w:val="hr-HR"/>
        </w:rPr>
        <w:t xml:space="preserve">“ </w:t>
      </w:r>
      <w:r w:rsidRPr="004A6627">
        <w:rPr>
          <w:lang w:val="hr-HR"/>
        </w:rPr>
        <w:t>znači, u svrhu utvrđivanja promjenjive kamatne stope, dan koji pada dva (2) radna dana prije prvog dana Kamatnog razdoblja, osim ako nije drugačije određeno u relevantnoj Obavijesti o isplati.</w:t>
      </w:r>
    </w:p>
    <w:p w14:paraId="03ABD1D1"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Datumi plaćanja kamate</w:t>
      </w:r>
      <w:r w:rsidRPr="004A6627">
        <w:rPr>
          <w:rStyle w:val="kurziv"/>
          <w:lang w:val="hr-HR"/>
        </w:rPr>
        <w:t>“</w:t>
      </w:r>
      <w:r w:rsidRPr="004A6627">
        <w:rPr>
          <w:lang w:val="hr-HR"/>
        </w:rPr>
        <w:t xml:space="preserve"> znače datume za plaćanje kamate koji odgovaraju relevantnom Kamatnom razdoblju utvrđenom u primjenjivoj Obavijesti o isplati.</w:t>
      </w:r>
    </w:p>
    <w:p w14:paraId="719CF4A6" w14:textId="77777777" w:rsidR="00192A93" w:rsidRPr="004A6627" w:rsidRDefault="00192A93" w:rsidP="00987940">
      <w:pPr>
        <w:pStyle w:val="t-9-8"/>
        <w:spacing w:before="120" w:beforeAutospacing="0" w:after="0"/>
        <w:jc w:val="both"/>
        <w:rPr>
          <w:lang w:val="hr-HR"/>
        </w:rPr>
      </w:pPr>
      <w:r w:rsidRPr="004A6627">
        <w:rPr>
          <w:rStyle w:val="kurziv"/>
          <w:lang w:val="hr-HR"/>
        </w:rPr>
        <w:lastRenderedPageBreak/>
        <w:t>„</w:t>
      </w:r>
      <w:r w:rsidRPr="004A6627">
        <w:rPr>
          <w:rStyle w:val="kurziv"/>
          <w:b/>
          <w:lang w:val="hr-HR"/>
        </w:rPr>
        <w:t>Kamatno razdoblje</w:t>
      </w:r>
      <w:r w:rsidRPr="004A6627">
        <w:rPr>
          <w:rStyle w:val="kurziv"/>
          <w:lang w:val="hr-HR"/>
        </w:rPr>
        <w:t xml:space="preserve">“ </w:t>
      </w:r>
      <w:r w:rsidRPr="004A6627">
        <w:rPr>
          <w:lang w:val="hr-HR"/>
        </w:rPr>
        <w:t>znači razdoblje koje počinje na datum plaćanja kamate i koje završava na dan odmah prije sljedećeg datuma plaćanja kamate, pod uvjetom da prvo Kamatno razdoblje primjenjivo na svaku tranšu počinje na datum isplate i završava na dan odmah prije sljedećeg datuma plaćanja kamate.</w:t>
      </w:r>
    </w:p>
    <w:p w14:paraId="2D626736"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Zajam</w:t>
      </w:r>
      <w:r w:rsidRPr="004A6627">
        <w:rPr>
          <w:rStyle w:val="kurziv"/>
          <w:lang w:val="hr-HR"/>
        </w:rPr>
        <w:t xml:space="preserve">“ </w:t>
      </w:r>
      <w:r w:rsidRPr="004A6627">
        <w:rPr>
          <w:lang w:val="hr-HR"/>
        </w:rPr>
        <w:t>znači zajam koji CEB dodjeljuje Zajmoprimcu putem ovog Ugovora.</w:t>
      </w:r>
    </w:p>
    <w:p w14:paraId="331E5377"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Iznos zajma</w:t>
      </w:r>
      <w:r w:rsidRPr="004A6627">
        <w:rPr>
          <w:rStyle w:val="kurziv"/>
          <w:lang w:val="hr-HR"/>
        </w:rPr>
        <w:t xml:space="preserve">“ </w:t>
      </w:r>
      <w:r w:rsidRPr="004A6627">
        <w:rPr>
          <w:lang w:val="hr-HR"/>
        </w:rPr>
        <w:t>znači iznos utvrđen u podčlanku 4.1.</w:t>
      </w:r>
    </w:p>
    <w:p w14:paraId="2D74D5B2"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Događaj narušavanja tržišta</w:t>
      </w:r>
      <w:r w:rsidRPr="004A6627">
        <w:rPr>
          <w:rStyle w:val="kurziv"/>
          <w:lang w:val="hr-HR"/>
        </w:rPr>
        <w:t>“</w:t>
      </w:r>
      <w:r w:rsidRPr="004A6627">
        <w:rPr>
          <w:lang w:val="hr-HR"/>
        </w:rPr>
        <w:t xml:space="preserve"> ima značenje utvrđeno u podčlanku 4.10.</w:t>
      </w:r>
    </w:p>
    <w:p w14:paraId="7636E2DB"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Značajna negativna promjena</w:t>
      </w:r>
      <w:r w:rsidRPr="004A6627">
        <w:rPr>
          <w:rStyle w:val="kurziv"/>
          <w:lang w:val="hr-HR"/>
        </w:rPr>
        <w:t>“</w:t>
      </w:r>
      <w:r w:rsidRPr="004A6627">
        <w:rPr>
          <w:lang w:val="hr-HR"/>
        </w:rPr>
        <w:t xml:space="preserve"> znači bilo koji događaj koji prema mišljenju CEB-a: (i) značajno umanjuje sposobnost Zajmoprimca da ispunjava svoje financijske obveze prema Ugovoru; ili (ii) negativno utječe na bilo koje instrumente osiguranja koje je pribavio Zajmoprimac ili neka treća strana u svrhu osiguranja urednog izvršavanja financijskih obveza Zajmoprimca prema Ugovoru.</w:t>
      </w:r>
    </w:p>
    <w:p w14:paraId="32A9D98E"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 dospijeća</w:t>
      </w:r>
      <w:r w:rsidRPr="004A6627">
        <w:rPr>
          <w:rStyle w:val="kurziv"/>
          <w:lang w:val="hr-HR"/>
        </w:rPr>
        <w:t>“</w:t>
      </w:r>
      <w:r w:rsidRPr="004A6627">
        <w:rPr>
          <w:lang w:val="hr-HR"/>
        </w:rPr>
        <w:t xml:space="preserve"> znači posljednji datum otplate glavnice za svaku tranšu utvrđen u primjenjivoj Obavijesti o isplati.</w:t>
      </w:r>
    </w:p>
    <w:p w14:paraId="390BE8F0"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Pravilo o izmijenjenom sljedećem radnom danu</w:t>
      </w:r>
      <w:r w:rsidRPr="004A6627">
        <w:rPr>
          <w:rStyle w:val="kurziv"/>
          <w:lang w:val="hr-HR"/>
        </w:rPr>
        <w:t xml:space="preserve">“ </w:t>
      </w:r>
      <w:r w:rsidRPr="004A6627">
        <w:rPr>
          <w:lang w:val="hr-HR"/>
        </w:rPr>
        <w:t>znači pravilo prema kojem ako neki utvrđeni datum pada na neradni dan, taj datum će biti prvi sljedeći radni dan, osim ako taj dan pada u sljedeći kalendarski mjesec, u kojem bi slučaju taj datum bio prvi prethodni dan koji je radni dan.</w:t>
      </w:r>
    </w:p>
    <w:p w14:paraId="321CCF3B"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Datum(i) otplate glavnice</w:t>
      </w:r>
      <w:r w:rsidRPr="004A6627">
        <w:rPr>
          <w:rStyle w:val="kurziv"/>
          <w:lang w:val="hr-HR"/>
        </w:rPr>
        <w:t>“</w:t>
      </w:r>
      <w:r w:rsidRPr="004A6627">
        <w:rPr>
          <w:lang w:val="hr-HR"/>
        </w:rPr>
        <w:t xml:space="preserve"> znači datum(i) otplate glavnice prema svakoj tranši kako je utvrđeno u primjenjivoj Obavijesti o isplati.</w:t>
      </w:r>
    </w:p>
    <w:p w14:paraId="1646EA45"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Razdoblje otplate glavnice</w:t>
      </w:r>
      <w:r w:rsidRPr="004A6627">
        <w:rPr>
          <w:rStyle w:val="kurziv"/>
          <w:lang w:val="hr-HR"/>
        </w:rPr>
        <w:t xml:space="preserve">“ </w:t>
      </w:r>
      <w:r w:rsidRPr="004A6627">
        <w:rPr>
          <w:lang w:val="hr-HR"/>
        </w:rPr>
        <w:t>znači s obzirom na svaku tranšu razdoblje koje teče od datuma isplate do datuma dospijeća.</w:t>
      </w:r>
    </w:p>
    <w:p w14:paraId="399618C2"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Izvješće o napretku</w:t>
      </w:r>
      <w:r w:rsidRPr="004A6627">
        <w:rPr>
          <w:rStyle w:val="kurziv"/>
          <w:lang w:val="hr-HR"/>
        </w:rPr>
        <w:t xml:space="preserve">“ </w:t>
      </w:r>
      <w:r w:rsidRPr="004A6627">
        <w:rPr>
          <w:lang w:val="hr-HR"/>
        </w:rPr>
        <w:t>ima značenje utvrđeno u podčlanku 6.1(a).</w:t>
      </w:r>
    </w:p>
    <w:p w14:paraId="4E408D16"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Zabranjena praksa</w:t>
      </w:r>
      <w:r w:rsidRPr="004A6627">
        <w:rPr>
          <w:rStyle w:val="kurziv"/>
          <w:lang w:val="hr-HR"/>
        </w:rPr>
        <w:t xml:space="preserve">“ </w:t>
      </w:r>
      <w:r w:rsidRPr="004A6627">
        <w:rPr>
          <w:lang w:val="hr-HR"/>
        </w:rPr>
        <w:t>ima značenje utvrđeno u podčlanku 5.8.</w:t>
      </w:r>
    </w:p>
    <w:p w14:paraId="1D717131"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Projekt</w:t>
      </w:r>
      <w:r w:rsidRPr="004A6627">
        <w:rPr>
          <w:rStyle w:val="kurziv"/>
          <w:lang w:val="hr-HR"/>
        </w:rPr>
        <w:t xml:space="preserve">“ </w:t>
      </w:r>
      <w:r w:rsidRPr="004A6627">
        <w:rPr>
          <w:lang w:val="hr-HR"/>
        </w:rPr>
        <w:t>znači program prihvatljivih potprojekata navedenih u Prilogu 1. koji će biti djelomično financirani putem zajma odobrenog od strane Upravnog vijeća CEB-a broj LD 2056 (2020.).</w:t>
      </w:r>
    </w:p>
    <w:p w14:paraId="2410235E"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Referentna stopa</w:t>
      </w:r>
      <w:r w:rsidRPr="004A6627">
        <w:rPr>
          <w:rStyle w:val="kurziv"/>
          <w:lang w:val="hr-HR"/>
        </w:rPr>
        <w:t xml:space="preserve">“ </w:t>
      </w:r>
      <w:r w:rsidRPr="004A6627">
        <w:rPr>
          <w:lang w:val="hr-HR"/>
        </w:rPr>
        <w:t>znači EURIBOR za Tranšu s Promjenjivom kamatnom stopom izraženom u eurima.</w:t>
      </w:r>
    </w:p>
    <w:p w14:paraId="1A299A54"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Osiguranje otplate duga</w:t>
      </w:r>
      <w:r w:rsidRPr="004A6627">
        <w:rPr>
          <w:rStyle w:val="kurziv"/>
          <w:lang w:val="hr-HR"/>
        </w:rPr>
        <w:t>“</w:t>
      </w:r>
      <w:r w:rsidRPr="004A6627">
        <w:rPr>
          <w:lang w:val="hr-HR"/>
        </w:rPr>
        <w:t xml:space="preserve"> znači svaki ugovor ili dogovor kojim se stvara povlašteni položaj, pravo na povlašteno plaćanje, zalog ili jamstvo bilo kakve prirode koji bi mogao prenijeti povećana prava na treće strane.</w:t>
      </w:r>
    </w:p>
    <w:p w14:paraId="49123F70"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Raspon</w:t>
      </w:r>
      <w:r w:rsidRPr="004A6627">
        <w:rPr>
          <w:rStyle w:val="kurziv"/>
          <w:lang w:val="hr-HR"/>
        </w:rPr>
        <w:t xml:space="preserve">“ </w:t>
      </w:r>
      <w:r w:rsidRPr="004A6627">
        <w:rPr>
          <w:lang w:val="hr-HR"/>
        </w:rPr>
        <w:t>znači, u odnosu na Tranšu s promjenjivom kamatnom stopom,</w:t>
      </w:r>
      <w:r w:rsidRPr="004A6627">
        <w:rPr>
          <w:rStyle w:val="kurziv"/>
          <w:lang w:val="hr-HR"/>
        </w:rPr>
        <w:t xml:space="preserve"> </w:t>
      </w:r>
      <w:r w:rsidRPr="004A6627">
        <w:rPr>
          <w:lang w:val="hr-HR"/>
        </w:rPr>
        <w:t>fiksni kamatni raspon prema Referentnoj stopi (koja može biti ili plus ili minus) utvrđen u baznim poenima u primjenjivoj Obavijesti o isplati.</w:t>
      </w:r>
    </w:p>
    <w:p w14:paraId="5C188AFF" w14:textId="77777777" w:rsidR="00192A93" w:rsidRPr="004A6627"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Potprojekt</w:t>
      </w:r>
      <w:r w:rsidRPr="004A6627">
        <w:rPr>
          <w:rStyle w:val="kurziv"/>
          <w:lang w:val="hr-HR"/>
        </w:rPr>
        <w:t xml:space="preserve">“ </w:t>
      </w:r>
      <w:r w:rsidRPr="004A6627">
        <w:rPr>
          <w:lang w:val="hr-HR"/>
        </w:rPr>
        <w:t>znači prihvatljivu ulagačku shemu koja se financira prema Projektu.</w:t>
      </w:r>
    </w:p>
    <w:p w14:paraId="34993446" w14:textId="1216DE3A" w:rsidR="00192A93" w:rsidRDefault="00192A93" w:rsidP="00987940">
      <w:pPr>
        <w:pStyle w:val="t-9-8"/>
        <w:spacing w:before="120" w:beforeAutospacing="0" w:after="0"/>
        <w:jc w:val="both"/>
        <w:rPr>
          <w:lang w:val="hr-HR"/>
        </w:rPr>
      </w:pPr>
      <w:r w:rsidRPr="004A6627">
        <w:rPr>
          <w:rStyle w:val="kurziv"/>
          <w:lang w:val="hr-HR"/>
        </w:rPr>
        <w:t>„</w:t>
      </w:r>
      <w:r w:rsidRPr="004A6627">
        <w:rPr>
          <w:rStyle w:val="kurziv"/>
          <w:b/>
          <w:lang w:val="hr-HR"/>
        </w:rPr>
        <w:t>Tranša</w:t>
      </w:r>
      <w:r w:rsidRPr="004A6627">
        <w:rPr>
          <w:rStyle w:val="kurziv"/>
          <w:lang w:val="hr-HR"/>
        </w:rPr>
        <w:t xml:space="preserve">“ </w:t>
      </w:r>
      <w:r w:rsidRPr="004A6627">
        <w:rPr>
          <w:lang w:val="hr-HR"/>
        </w:rPr>
        <w:t>znači svaku isplatu izvršenu ili koja treba biti izvršena iz Zajma.</w:t>
      </w:r>
    </w:p>
    <w:p w14:paraId="747740E3" w14:textId="78904AAF"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caps w:val="0"/>
          <w:szCs w:val="24"/>
        </w:rPr>
        <w:lastRenderedPageBreak/>
        <w:t>Tumačenje</w:t>
      </w:r>
    </w:p>
    <w:p w14:paraId="1E012E0B" w14:textId="599C6604" w:rsidR="00192A93" w:rsidRPr="00E751D4" w:rsidRDefault="00987940" w:rsidP="00987940">
      <w:pPr>
        <w:pStyle w:val="Heading1"/>
        <w:spacing w:before="0"/>
        <w:jc w:val="both"/>
        <w:rPr>
          <w:b w:val="0"/>
          <w:szCs w:val="24"/>
        </w:rPr>
      </w:pPr>
      <w:r w:rsidRPr="00E751D4">
        <w:rPr>
          <w:b w:val="0"/>
          <w:caps w:val="0"/>
          <w:szCs w:val="24"/>
        </w:rPr>
        <w:t>Osim ako kontekst ne zahtijeva drugačije, upućivanje na:</w:t>
      </w:r>
    </w:p>
    <w:p w14:paraId="5402D1A3" w14:textId="77777777" w:rsidR="00987940" w:rsidRPr="00987940" w:rsidRDefault="00987940" w:rsidP="00436B0A">
      <w:pPr>
        <w:keepNext/>
        <w:keepLines/>
        <w:numPr>
          <w:ilvl w:val="0"/>
          <w:numId w:val="16"/>
        </w:numPr>
        <w:spacing w:before="120" w:after="120"/>
        <w:ind w:left="709" w:hanging="425"/>
        <w:jc w:val="both"/>
        <w:outlineLvl w:val="0"/>
        <w:rPr>
          <w:lang w:eastAsia="en-US"/>
        </w:rPr>
      </w:pPr>
      <w:r w:rsidRPr="00987940">
        <w:rPr>
          <w:lang w:eastAsia="en-US"/>
        </w:rPr>
        <w:t>ovaj Ugovor tumači se kao upućivanje na Ugovor s njegovim povremenim dopunama, izmjenama ili prepravcima;</w:t>
      </w:r>
    </w:p>
    <w:p w14:paraId="0B312D04" w14:textId="77777777" w:rsidR="00987940" w:rsidRPr="00987940" w:rsidRDefault="00987940" w:rsidP="00436B0A">
      <w:pPr>
        <w:keepNext/>
        <w:keepLines/>
        <w:numPr>
          <w:ilvl w:val="0"/>
          <w:numId w:val="16"/>
        </w:numPr>
        <w:spacing w:before="120" w:after="120"/>
        <w:ind w:left="709" w:hanging="425"/>
        <w:jc w:val="both"/>
        <w:outlineLvl w:val="0"/>
        <w:rPr>
          <w:lang w:eastAsia="en-US"/>
        </w:rPr>
      </w:pPr>
      <w:r w:rsidRPr="00987940">
        <w:rPr>
          <w:lang w:eastAsia="en-US"/>
        </w:rPr>
        <w:t>„članke“, „podčlanke“ i „uvodne odredbe“ tumači se kao upućivanje na članke, podčlanke i uvodne odredbe ovoga Ugovora; te</w:t>
      </w:r>
    </w:p>
    <w:p w14:paraId="78989AE9" w14:textId="77777777" w:rsidR="00987940" w:rsidRPr="00987940" w:rsidRDefault="00987940" w:rsidP="00436B0A">
      <w:pPr>
        <w:keepNext/>
        <w:keepLines/>
        <w:numPr>
          <w:ilvl w:val="0"/>
          <w:numId w:val="16"/>
        </w:numPr>
        <w:spacing w:before="120" w:after="120"/>
        <w:ind w:left="709" w:hanging="425"/>
        <w:jc w:val="both"/>
        <w:outlineLvl w:val="0"/>
        <w:rPr>
          <w:lang w:eastAsia="en-US"/>
        </w:rPr>
      </w:pPr>
      <w:r w:rsidRPr="00987940">
        <w:rPr>
          <w:lang w:eastAsia="en-US"/>
        </w:rPr>
        <w:t>riječi u jednini uključuju i množinu i obrnuto.</w:t>
      </w:r>
    </w:p>
    <w:p w14:paraId="466C6A12" w14:textId="6C934A5D"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caps w:val="0"/>
          <w:szCs w:val="24"/>
        </w:rPr>
        <w:t>Poglavlja</w:t>
      </w:r>
    </w:p>
    <w:p w14:paraId="482E04F0" w14:textId="77777777" w:rsidR="00192A93" w:rsidRPr="004A6627" w:rsidRDefault="00192A93" w:rsidP="004A6627">
      <w:pPr>
        <w:jc w:val="both"/>
        <w:rPr>
          <w:b/>
        </w:rPr>
      </w:pPr>
      <w:r w:rsidRPr="004A6627">
        <w:t>Poglavlja u ovom Ugovoru nemaju pravno značenje i nemaju utjecaj na njegovo tumačenje.</w:t>
      </w:r>
      <w:r w:rsidRPr="004A6627">
        <w:rPr>
          <w:b/>
        </w:rPr>
        <w:t xml:space="preserve"> </w:t>
      </w:r>
    </w:p>
    <w:p w14:paraId="28804135" w14:textId="232D71BB"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caps w:val="0"/>
          <w:szCs w:val="24"/>
        </w:rPr>
        <w:t>Zaokruživanje</w:t>
      </w:r>
    </w:p>
    <w:p w14:paraId="5B5255CF" w14:textId="77777777" w:rsidR="00192A93" w:rsidRPr="004A6627" w:rsidRDefault="00192A93" w:rsidP="004A6627">
      <w:pPr>
        <w:jc w:val="both"/>
      </w:pPr>
      <w:r w:rsidRPr="004A6627">
        <w:t xml:space="preserve">U svrhu bilo kojih izračuna iz ovog Ugovora: </w:t>
      </w:r>
    </w:p>
    <w:p w14:paraId="00B2D1F3" w14:textId="77777777" w:rsidR="00192A93" w:rsidRPr="004A6627" w:rsidRDefault="00192A93" w:rsidP="00436B0A">
      <w:pPr>
        <w:pStyle w:val="ListParagraph"/>
        <w:numPr>
          <w:ilvl w:val="0"/>
          <w:numId w:val="17"/>
        </w:numPr>
        <w:autoSpaceDE w:val="0"/>
        <w:autoSpaceDN w:val="0"/>
        <w:adjustRightInd w:val="0"/>
        <w:snapToGrid w:val="0"/>
        <w:spacing w:line="240" w:lineRule="auto"/>
        <w:ind w:right="49"/>
        <w:jc w:val="both"/>
        <w:rPr>
          <w:sz w:val="24"/>
          <w:szCs w:val="24"/>
        </w:rPr>
      </w:pPr>
      <w:r w:rsidRPr="004A6627">
        <w:rPr>
          <w:sz w:val="24"/>
          <w:szCs w:val="24"/>
        </w:rPr>
        <w:t xml:space="preserve">svi postoci koji su rezultat izračuna osim onih utvrđenih korištenjem interpolacije bit će zaokruženi, po potrebi, na najbliži sto tisućiti dio postotnog boda (npr. 9,876541% (ili ,09876541) se zaokružuje na nižu vrijednost 9,87654% (ili ,0987654), a 9,876545 (ili ,09876545) se zaokružuje na višu vrijednost 9,87655% (ili ,0987655)); </w:t>
      </w:r>
    </w:p>
    <w:p w14:paraId="672D1265" w14:textId="0E76D0F7" w:rsidR="00192A93" w:rsidRPr="004A6627" w:rsidRDefault="00192A93" w:rsidP="00436B0A">
      <w:pPr>
        <w:pStyle w:val="ListParagraph"/>
        <w:numPr>
          <w:ilvl w:val="0"/>
          <w:numId w:val="17"/>
        </w:numPr>
        <w:autoSpaceDE w:val="0"/>
        <w:autoSpaceDN w:val="0"/>
        <w:adjustRightInd w:val="0"/>
        <w:snapToGrid w:val="0"/>
        <w:spacing w:line="240" w:lineRule="auto"/>
        <w:ind w:right="49"/>
        <w:jc w:val="both"/>
        <w:rPr>
          <w:sz w:val="24"/>
          <w:szCs w:val="24"/>
        </w:rPr>
      </w:pPr>
      <w:r w:rsidRPr="004A6627">
        <w:rPr>
          <w:sz w:val="24"/>
          <w:szCs w:val="24"/>
        </w:rPr>
        <w:t>svi postoci utvrđeni korištenjem linearne interpolacije usporedbom dvije (2) relevantne referentne stope bit će zaokruženi, po potrebi, u skladu s metodom navedenom u gornjoj toč</w:t>
      </w:r>
      <w:r w:rsidR="00E957C5">
        <w:rPr>
          <w:sz w:val="24"/>
          <w:szCs w:val="24"/>
        </w:rPr>
        <w:t>k</w:t>
      </w:r>
      <w:r w:rsidRPr="004A6627">
        <w:rPr>
          <w:sz w:val="24"/>
          <w:szCs w:val="24"/>
        </w:rPr>
        <w:t>i (a), ali s istim stupnjem točnosti kao i dvije (2) stope korištene za utvrđivanje (osim što takvi postoci neće biti zaokruženi na niži stupanj točnosti od najbližeg tisućitog dijela postotnog boda (0,001 %)); i</w:t>
      </w:r>
    </w:p>
    <w:p w14:paraId="47279298" w14:textId="77777777" w:rsidR="00192A93" w:rsidRPr="004A6627" w:rsidRDefault="00192A93" w:rsidP="00436B0A">
      <w:pPr>
        <w:pStyle w:val="ListParagraph"/>
        <w:numPr>
          <w:ilvl w:val="0"/>
          <w:numId w:val="17"/>
        </w:numPr>
        <w:autoSpaceDE w:val="0"/>
        <w:autoSpaceDN w:val="0"/>
        <w:adjustRightInd w:val="0"/>
        <w:snapToGrid w:val="0"/>
        <w:spacing w:line="240" w:lineRule="auto"/>
        <w:ind w:right="49"/>
        <w:jc w:val="both"/>
        <w:rPr>
          <w:sz w:val="24"/>
          <w:szCs w:val="24"/>
        </w:rPr>
      </w:pPr>
      <w:r w:rsidRPr="004A6627">
        <w:rPr>
          <w:sz w:val="24"/>
          <w:szCs w:val="24"/>
        </w:rPr>
        <w:t>svi valutni iznosi korišteni tijekom ili koji su rezultat gornjih izračuna bit će zaokruženi, osim ako nije drugačije utvrđeno u relevantnoj definiciji valute, na najbliža dva decimalna mjesta u relevantnoj valuti (,005 se zaokružuje na višu vrijednost (npr., ,674 se zaokružuje na nižu vrijednost ,67, a ,675 se zaokružuje na višu vrijednost ,68).</w:t>
      </w:r>
    </w:p>
    <w:p w14:paraId="542FB7B8" w14:textId="77777777" w:rsidR="00192A93" w:rsidRPr="004A6627" w:rsidRDefault="00192A93" w:rsidP="004A6627">
      <w:pPr>
        <w:jc w:val="both"/>
      </w:pPr>
      <w:bookmarkStart w:id="4" w:name="_Toc34130047"/>
    </w:p>
    <w:bookmarkEnd w:id="4"/>
    <w:p w14:paraId="45A7FA44" w14:textId="1166AAD0"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UVJETI</w:t>
      </w:r>
    </w:p>
    <w:p w14:paraId="5838D62C" w14:textId="77777777" w:rsidR="00192A93" w:rsidRPr="004A6627" w:rsidRDefault="00192A93" w:rsidP="004A6627">
      <w:pPr>
        <w:spacing w:after="440"/>
        <w:jc w:val="both"/>
      </w:pPr>
      <w:r w:rsidRPr="004A6627">
        <w:t>Zajam se odobrava prema općim uvjetima Pravila o zajmovima i prema posebnim uvjetima Ugovora.</w:t>
      </w:r>
    </w:p>
    <w:p w14:paraId="177D3D2A" w14:textId="25FB7BDE"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SVRHA</w:t>
      </w:r>
    </w:p>
    <w:p w14:paraId="3AA02C4E" w14:textId="77777777" w:rsidR="00192A93" w:rsidRPr="004A6627" w:rsidRDefault="00192A93" w:rsidP="004A6627">
      <w:pPr>
        <w:pStyle w:val="t-9-8"/>
        <w:spacing w:before="0" w:beforeAutospacing="0" w:after="120"/>
        <w:jc w:val="both"/>
        <w:rPr>
          <w:lang w:val="hr-HR"/>
        </w:rPr>
      </w:pPr>
      <w:r w:rsidRPr="004A6627">
        <w:rPr>
          <w:lang w:val="hr-HR"/>
        </w:rPr>
        <w:t>CEB Zajmoprimcu odobrava, a Zajmoprimac prihvaća Zajam isključivo u svrhu financiranja Projekta kako je opisano u Prilogu 1. ovom Ugovoru.</w:t>
      </w:r>
    </w:p>
    <w:p w14:paraId="2DD08115" w14:textId="77777777" w:rsidR="00192A93" w:rsidRPr="004A6627" w:rsidRDefault="00192A93" w:rsidP="004A6627">
      <w:pPr>
        <w:pStyle w:val="t-9-8"/>
        <w:spacing w:before="120" w:beforeAutospacing="0" w:after="440"/>
        <w:jc w:val="both"/>
        <w:rPr>
          <w:rFonts w:eastAsiaTheme="minorHAnsi"/>
          <w:lang w:val="hr-HR" w:eastAsia="en-US"/>
        </w:rPr>
      </w:pPr>
      <w:r w:rsidRPr="004A6627">
        <w:rPr>
          <w:lang w:val="hr-HR"/>
        </w:rPr>
        <w:t xml:space="preserve">Svaka izmjena u načinu na koji se koriste sredstva Zajma koja nije dobila odobrenje CEB-a predstavljala bi događaj u smislu članka 3.3 (h) Pravila o zajmovima te može dovesti do ranog povrata, obustave ili otkazivanja zajma prema odredbama članaka </w:t>
      </w:r>
      <w:r w:rsidRPr="004A6627">
        <w:rPr>
          <w:lang w:val="hr-HR"/>
        </w:rPr>
        <w:lastRenderedPageBreak/>
        <w:t xml:space="preserve">3.3 (Rani povrat isplaćenog zajma), 3.5 (Obustava neisplaćenog zajma od strane Banke) i 3.6 (Otkazivanje neisplaćenog zajma od strane Banke) Pravila o </w:t>
      </w:r>
      <w:r w:rsidRPr="004A6627">
        <w:rPr>
          <w:rFonts w:eastAsiaTheme="minorHAnsi"/>
          <w:lang w:val="hr-HR" w:eastAsia="en-US"/>
        </w:rPr>
        <w:t>zajmovima.</w:t>
      </w:r>
    </w:p>
    <w:p w14:paraId="32F4C6D1" w14:textId="78CD5713"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FINANCIJSKI UVJETI</w:t>
      </w:r>
    </w:p>
    <w:p w14:paraId="737BFEA3" w14:textId="1FB6A749"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caps w:val="0"/>
          <w:szCs w:val="24"/>
        </w:rPr>
        <w:t>Iznos zajma</w:t>
      </w:r>
    </w:p>
    <w:p w14:paraId="76E4B4B0" w14:textId="77777777" w:rsidR="00192A93" w:rsidRPr="004A6627" w:rsidRDefault="00192A93" w:rsidP="004A6627">
      <w:pPr>
        <w:jc w:val="both"/>
      </w:pPr>
      <w:r w:rsidRPr="004A6627">
        <w:t>Iznos zajma je:</w:t>
      </w:r>
    </w:p>
    <w:p w14:paraId="3EF4BF58" w14:textId="77777777" w:rsidR="00192A93" w:rsidRPr="004A6627" w:rsidRDefault="00192A93" w:rsidP="00E751D4">
      <w:pPr>
        <w:jc w:val="center"/>
        <w:rPr>
          <w:i/>
        </w:rPr>
      </w:pPr>
      <w:r w:rsidRPr="004A6627">
        <w:rPr>
          <w:i/>
        </w:rPr>
        <w:t>dvije stotine milijuna eura</w:t>
      </w:r>
    </w:p>
    <w:p w14:paraId="4E5D731A" w14:textId="1114016D" w:rsidR="00192A93" w:rsidRPr="004A6627" w:rsidRDefault="00192A93" w:rsidP="00E751D4">
      <w:pPr>
        <w:jc w:val="center"/>
      </w:pPr>
      <w:r w:rsidRPr="004A6627">
        <w:t>200.000.000</w:t>
      </w:r>
      <w:r w:rsidR="00662C0B" w:rsidRPr="00662C0B">
        <w:t xml:space="preserve"> </w:t>
      </w:r>
      <w:r w:rsidR="00662C0B" w:rsidRPr="004A6627">
        <w:t>EUR</w:t>
      </w:r>
    </w:p>
    <w:p w14:paraId="72158801" w14:textId="516F731D"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Iznos za isplatu</w:t>
      </w:r>
    </w:p>
    <w:p w14:paraId="3F0F8D38" w14:textId="77777777" w:rsidR="00192A93" w:rsidRPr="004A6627" w:rsidRDefault="00192A93" w:rsidP="004A6627">
      <w:pPr>
        <w:pStyle w:val="t-9-8"/>
        <w:spacing w:before="120" w:beforeAutospacing="0" w:after="0"/>
        <w:jc w:val="both"/>
        <w:rPr>
          <w:lang w:val="hr-HR"/>
        </w:rPr>
      </w:pPr>
      <w:bookmarkStart w:id="5" w:name="_Ref465937228"/>
      <w:bookmarkStart w:id="6" w:name="_Ref465937297"/>
      <w:bookmarkStart w:id="7" w:name="_Toc34130052"/>
      <w:r w:rsidRPr="004A6627">
        <w:rPr>
          <w:lang w:val="hr-HR"/>
        </w:rPr>
        <w:t>Zajam se isplaćuje u najmanje dvije (2) tranše.</w:t>
      </w:r>
    </w:p>
    <w:p w14:paraId="52A964C0" w14:textId="4AB65157" w:rsidR="00192A93" w:rsidRPr="004A6627" w:rsidRDefault="00192A93" w:rsidP="004A6627">
      <w:pPr>
        <w:pStyle w:val="t-9-8"/>
        <w:spacing w:before="120" w:beforeAutospacing="0" w:after="0"/>
        <w:jc w:val="both"/>
        <w:rPr>
          <w:lang w:val="hr-HR"/>
        </w:rPr>
      </w:pPr>
      <w:r w:rsidRPr="004A6627">
        <w:rPr>
          <w:lang w:val="hr-HR"/>
        </w:rPr>
        <w:t>Iznos svake tranše utvrđuje se u skladu s apsorpcijskom sposobnošću Projekta. Iznos prve tranše ne smije premašiti sedamdeset pet posto (75%) iznosa Zajma</w:t>
      </w:r>
    </w:p>
    <w:bookmarkEnd w:id="5"/>
    <w:bookmarkEnd w:id="6"/>
    <w:bookmarkEnd w:id="7"/>
    <w:p w14:paraId="478AF78F" w14:textId="03CFA24F"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Postupak isplate</w:t>
      </w:r>
    </w:p>
    <w:p w14:paraId="394812AC" w14:textId="77777777" w:rsidR="00192A93" w:rsidRPr="004A6627" w:rsidRDefault="00192A93" w:rsidP="004A6627">
      <w:pPr>
        <w:pStyle w:val="t-9-8"/>
        <w:spacing w:before="120" w:beforeAutospacing="0" w:after="0"/>
        <w:jc w:val="both"/>
        <w:rPr>
          <w:lang w:val="hr-HR"/>
        </w:rPr>
      </w:pPr>
      <w:r w:rsidRPr="004A6627">
        <w:rPr>
          <w:lang w:val="hr-HR"/>
        </w:rPr>
        <w:t>Isplata svake tranše utvrđena je sljedećim postupkom:</w:t>
      </w:r>
    </w:p>
    <w:p w14:paraId="1D0135A4" w14:textId="77777777" w:rsidR="00192A93" w:rsidRPr="004A6627" w:rsidRDefault="00192A93" w:rsidP="004A6627">
      <w:pPr>
        <w:pStyle w:val="t-9-8"/>
        <w:spacing w:before="120" w:beforeAutospacing="0" w:after="0"/>
        <w:ind w:left="284"/>
        <w:jc w:val="both"/>
        <w:rPr>
          <w:lang w:val="hr-HR"/>
        </w:rPr>
      </w:pPr>
      <w:r w:rsidRPr="004A6627">
        <w:rPr>
          <w:lang w:val="hr-HR"/>
        </w:rPr>
        <w:t>(a)   Zahtjev za isplatom</w:t>
      </w:r>
    </w:p>
    <w:p w14:paraId="5273904C" w14:textId="2A3296DD" w:rsidR="00192A93" w:rsidRPr="004A6627" w:rsidRDefault="00192A93" w:rsidP="004A6627">
      <w:pPr>
        <w:pStyle w:val="t-9-8"/>
        <w:spacing w:before="120" w:beforeAutospacing="0" w:after="0"/>
        <w:jc w:val="both"/>
        <w:rPr>
          <w:lang w:val="hr-HR"/>
        </w:rPr>
      </w:pPr>
      <w:r w:rsidRPr="004A6627">
        <w:rPr>
          <w:lang w:val="hr-HR"/>
        </w:rPr>
        <w:t>Prije svake isplate Zajmoprimac će CEB-u podnijeti zahtjev za isplatom u bitnome prem</w:t>
      </w:r>
      <w:r w:rsidR="00E957C5">
        <w:rPr>
          <w:lang w:val="hr-HR"/>
        </w:rPr>
        <w:t>a obrascu navedenom u Prilogu 3.</w:t>
      </w:r>
      <w:r w:rsidRPr="004A6627">
        <w:rPr>
          <w:lang w:val="hr-HR"/>
        </w:rPr>
        <w:t xml:space="preserve"> ovom Ugovoru (u daljnjem tekstu „</w:t>
      </w:r>
      <w:r w:rsidRPr="004A6627">
        <w:rPr>
          <w:b/>
          <w:lang w:val="hr-HR"/>
        </w:rPr>
        <w:t>Zahtjev za isplatom</w:t>
      </w:r>
      <w:r w:rsidRPr="004A6627">
        <w:rPr>
          <w:lang w:val="hr-HR"/>
        </w:rPr>
        <w:t>“).</w:t>
      </w:r>
    </w:p>
    <w:p w14:paraId="36738488" w14:textId="77777777" w:rsidR="00192A93" w:rsidRPr="004A6627" w:rsidRDefault="00192A93" w:rsidP="00CF6C0F">
      <w:pPr>
        <w:pStyle w:val="t-9-8"/>
        <w:spacing w:before="120" w:beforeAutospacing="0" w:after="120"/>
        <w:jc w:val="both"/>
        <w:rPr>
          <w:lang w:val="hr-HR"/>
        </w:rPr>
      </w:pPr>
      <w:r w:rsidRPr="004A6627">
        <w:rPr>
          <w:lang w:val="hr-HR"/>
        </w:rPr>
        <w:t>U Zahtjevu za isplatom navodi se sljedeće:</w:t>
      </w:r>
    </w:p>
    <w:p w14:paraId="08B035D8" w14:textId="77777777" w:rsidR="00192A93" w:rsidRPr="004A6627" w:rsidRDefault="00192A93" w:rsidP="00B0705A">
      <w:pPr>
        <w:pStyle w:val="t-9-8"/>
        <w:spacing w:before="0" w:beforeAutospacing="0" w:after="0"/>
        <w:ind w:left="709"/>
        <w:jc w:val="both"/>
        <w:rPr>
          <w:lang w:val="hr-HR"/>
        </w:rPr>
      </w:pPr>
      <w:r w:rsidRPr="004A6627">
        <w:rPr>
          <w:lang w:val="hr-HR"/>
        </w:rPr>
        <w:t>(i)     valuta/valute i iznos/iznosi za tranšu;</w:t>
      </w:r>
    </w:p>
    <w:p w14:paraId="6B0E4A2D" w14:textId="5900AE39" w:rsidR="00192A93" w:rsidRPr="004A6627" w:rsidRDefault="00192A93" w:rsidP="00B0705A">
      <w:pPr>
        <w:pStyle w:val="t-9-8"/>
        <w:spacing w:before="0" w:beforeAutospacing="0" w:after="0"/>
        <w:ind w:left="1276" w:hanging="567"/>
        <w:jc w:val="both"/>
        <w:rPr>
          <w:lang w:val="hr-HR"/>
        </w:rPr>
      </w:pPr>
      <w:r w:rsidRPr="004A6627">
        <w:rPr>
          <w:lang w:val="hr-HR"/>
        </w:rPr>
        <w:t xml:space="preserve">(ii)   </w:t>
      </w:r>
      <w:r w:rsidR="00E751D4">
        <w:rPr>
          <w:lang w:val="hr-HR"/>
        </w:rPr>
        <w:t xml:space="preserve"> </w:t>
      </w:r>
      <w:r w:rsidRPr="004A6627">
        <w:rPr>
          <w:lang w:val="hr-HR"/>
        </w:rPr>
        <w:t>datum isplate; takav datum isplate je radni dan koji pada najranije pet (5) radnih dana, ali ne kasnije od dvadeset (20) radnih dana nakon datuma zahtjeva za isplatom;</w:t>
      </w:r>
    </w:p>
    <w:p w14:paraId="1E408EB8" w14:textId="081647ED" w:rsidR="00192A93" w:rsidRPr="004A6627" w:rsidRDefault="00192A93" w:rsidP="00B0705A">
      <w:pPr>
        <w:pStyle w:val="t-9-8"/>
        <w:spacing w:before="0" w:beforeAutospacing="0" w:after="0"/>
        <w:ind w:left="1276" w:hanging="568"/>
        <w:jc w:val="both"/>
        <w:rPr>
          <w:lang w:val="hr-HR"/>
        </w:rPr>
      </w:pPr>
      <w:r w:rsidRPr="004A6627">
        <w:rPr>
          <w:lang w:val="hr-HR"/>
        </w:rPr>
        <w:t xml:space="preserve">(iii) </w:t>
      </w:r>
      <w:r w:rsidR="00E751D4">
        <w:rPr>
          <w:lang w:val="hr-HR"/>
        </w:rPr>
        <w:t xml:space="preserve">  </w:t>
      </w:r>
      <w:r w:rsidRPr="00E751D4">
        <w:rPr>
          <w:spacing w:val="-2"/>
          <w:lang w:val="hr-HR"/>
        </w:rPr>
        <w:t>datum/datumi otplate glavnice, uključujući i datum dospijeća, uzimajući</w:t>
      </w:r>
      <w:r w:rsidRPr="004A6627">
        <w:rPr>
          <w:lang w:val="hr-HR"/>
        </w:rPr>
        <w:t xml:space="preserve"> u obzir da razdoblje otplate glavnice za svaku tranšu ne smije biti dulje od dvanaest (12) godina uključujući i razdoblje počeka ne dulje od tri (3) godine;</w:t>
      </w:r>
    </w:p>
    <w:p w14:paraId="2DAFF1C0" w14:textId="12021142" w:rsidR="00192A93" w:rsidRPr="004A6627" w:rsidRDefault="00192A93" w:rsidP="00B0705A">
      <w:pPr>
        <w:pStyle w:val="t-9-8"/>
        <w:spacing w:before="0" w:beforeAutospacing="0" w:after="0"/>
        <w:ind w:left="1276" w:hanging="567"/>
        <w:jc w:val="both"/>
        <w:rPr>
          <w:lang w:val="hr-HR"/>
        </w:rPr>
      </w:pPr>
      <w:r w:rsidRPr="004A6627">
        <w:rPr>
          <w:lang w:val="hr-HR"/>
        </w:rPr>
        <w:t xml:space="preserve">(iv) </w:t>
      </w:r>
      <w:r w:rsidR="00E751D4">
        <w:rPr>
          <w:lang w:val="hr-HR"/>
        </w:rPr>
        <w:t xml:space="preserve">  </w:t>
      </w:r>
      <w:r w:rsidRPr="00E751D4">
        <w:rPr>
          <w:spacing w:val="-2"/>
          <w:lang w:val="hr-HR"/>
        </w:rPr>
        <w:t>maksimalna fiksna kamatna stopa ili maksimalni raspon prema Referentnoj stopi;</w:t>
      </w:r>
    </w:p>
    <w:p w14:paraId="51DA2279" w14:textId="77777777" w:rsidR="00192A93" w:rsidRPr="004A6627" w:rsidRDefault="00192A93" w:rsidP="00B0705A">
      <w:pPr>
        <w:pStyle w:val="t-9-8"/>
        <w:spacing w:before="0" w:beforeAutospacing="0" w:after="0"/>
        <w:ind w:left="709"/>
        <w:jc w:val="both"/>
        <w:rPr>
          <w:lang w:val="hr-HR"/>
        </w:rPr>
      </w:pPr>
      <w:r w:rsidRPr="004A6627">
        <w:rPr>
          <w:lang w:val="hr-HR"/>
        </w:rPr>
        <w:t>(v)    razdoblje plaćanja kamate i datumi plaćanja kamate;</w:t>
      </w:r>
    </w:p>
    <w:p w14:paraId="38695FFD" w14:textId="77777777" w:rsidR="00192A93" w:rsidRPr="004A6627" w:rsidRDefault="00192A93" w:rsidP="00B0705A">
      <w:pPr>
        <w:pStyle w:val="t-9-8"/>
        <w:spacing w:before="0" w:beforeAutospacing="0" w:after="0"/>
        <w:ind w:left="709"/>
        <w:jc w:val="both"/>
        <w:rPr>
          <w:lang w:val="hr-HR"/>
        </w:rPr>
      </w:pPr>
      <w:r w:rsidRPr="004A6627">
        <w:rPr>
          <w:lang w:val="hr-HR"/>
        </w:rPr>
        <w:t>(vi)   pravilo o utvrđivanju broja dana i radni dani; i</w:t>
      </w:r>
    </w:p>
    <w:p w14:paraId="3D943332" w14:textId="77777777" w:rsidR="00192A93" w:rsidRPr="004A6627" w:rsidRDefault="00192A93" w:rsidP="00B0705A">
      <w:pPr>
        <w:pStyle w:val="t-9-8"/>
        <w:spacing w:before="0" w:beforeAutospacing="0" w:after="0"/>
        <w:ind w:left="709"/>
        <w:jc w:val="both"/>
        <w:rPr>
          <w:lang w:val="hr-HR"/>
        </w:rPr>
      </w:pPr>
      <w:r w:rsidRPr="004A6627">
        <w:rPr>
          <w:lang w:val="hr-HR"/>
        </w:rPr>
        <w:t>(vii)  račun Zajmoprimca za plaćanja.</w:t>
      </w:r>
    </w:p>
    <w:p w14:paraId="797CC72C" w14:textId="77777777" w:rsidR="00192A93" w:rsidRPr="004A6627" w:rsidRDefault="00192A93" w:rsidP="004A6627">
      <w:pPr>
        <w:pStyle w:val="t-9-8"/>
        <w:spacing w:before="120" w:beforeAutospacing="0" w:after="0"/>
        <w:jc w:val="both"/>
        <w:rPr>
          <w:lang w:val="hr-HR"/>
        </w:rPr>
      </w:pPr>
      <w:r w:rsidRPr="004A6627">
        <w:rPr>
          <w:lang w:val="hr-HR"/>
        </w:rPr>
        <w:t>Svaki Zahtjev za isplatom dostavljen CEB-u je neopoziv, osim ako nije drugačije dogovoreno u pisanom obliku od strane CEB-a.</w:t>
      </w:r>
    </w:p>
    <w:p w14:paraId="42F1E429" w14:textId="77777777" w:rsidR="00192A93" w:rsidRPr="004A6627" w:rsidRDefault="00192A93" w:rsidP="004A6627">
      <w:pPr>
        <w:pStyle w:val="t-9-8"/>
        <w:spacing w:before="120" w:beforeAutospacing="0" w:after="0"/>
        <w:ind w:left="284"/>
        <w:jc w:val="both"/>
        <w:rPr>
          <w:lang w:val="hr-HR"/>
        </w:rPr>
      </w:pPr>
      <w:r w:rsidRPr="004A6627">
        <w:rPr>
          <w:lang w:val="hr-HR"/>
        </w:rPr>
        <w:t>(b)   Obavijest o isplati</w:t>
      </w:r>
    </w:p>
    <w:p w14:paraId="54CAD86D" w14:textId="77777777" w:rsidR="00192A93" w:rsidRPr="004A6627" w:rsidRDefault="00192A93" w:rsidP="004A6627">
      <w:pPr>
        <w:pStyle w:val="t-9-8"/>
        <w:spacing w:before="120" w:beforeAutospacing="0" w:after="0"/>
        <w:jc w:val="both"/>
        <w:rPr>
          <w:lang w:val="hr-HR"/>
        </w:rPr>
      </w:pPr>
      <w:r w:rsidRPr="004A6627">
        <w:rPr>
          <w:lang w:val="hr-HR"/>
        </w:rPr>
        <w:t xml:space="preserve">Ako CEB zaprimi Zahtjev za isplatom koji je u skladu s uvjetima propisanima za Zahtjev za isplatom navedenima u gornjem podčlanku 4.3 (a) i ako je Zajmoprimac ispunio sve relevantne uvjete za isplatu utvrđene u podčlanku 4.5 (Uvjeti isplate) u </w:t>
      </w:r>
      <w:r w:rsidRPr="004A6627">
        <w:rPr>
          <w:lang w:val="hr-HR"/>
        </w:rPr>
        <w:lastRenderedPageBreak/>
        <w:t>nastavku, CEB tada Zajmoprimcu dostavlja obavijest o isplati prema obrascu navedenom u Prilogu 3. ovom Ugovoru (u daljnjem tekstu „</w:t>
      </w:r>
      <w:r w:rsidRPr="004A6627">
        <w:rPr>
          <w:b/>
          <w:lang w:val="hr-HR"/>
        </w:rPr>
        <w:t>Obavijest o isplati</w:t>
      </w:r>
      <w:r w:rsidRPr="004A6627">
        <w:rPr>
          <w:lang w:val="hr-HR"/>
        </w:rPr>
        <w:t>“). Svaka Obavijest o isplati šalje se najmanje dva (2) radna dana prije predloženog datuma isplate.</w:t>
      </w:r>
    </w:p>
    <w:p w14:paraId="04DDBE25" w14:textId="77777777" w:rsidR="00192A93" w:rsidRPr="004A6627" w:rsidRDefault="00192A93" w:rsidP="00CF6C0F">
      <w:pPr>
        <w:pStyle w:val="t-9-8"/>
        <w:spacing w:before="120" w:beforeAutospacing="0" w:after="120"/>
        <w:jc w:val="both"/>
        <w:rPr>
          <w:lang w:val="hr-HR"/>
        </w:rPr>
      </w:pPr>
      <w:r w:rsidRPr="004A6627">
        <w:rPr>
          <w:lang w:val="hr-HR"/>
        </w:rPr>
        <w:t>U Obavijesti o isplati navodi se sljedeće:</w:t>
      </w:r>
    </w:p>
    <w:p w14:paraId="49D43E2C" w14:textId="77777777" w:rsidR="00192A93" w:rsidRPr="004A6627" w:rsidRDefault="00192A93" w:rsidP="00B0705A">
      <w:pPr>
        <w:pStyle w:val="t-9-8"/>
        <w:spacing w:before="0" w:beforeAutospacing="0" w:after="0"/>
        <w:ind w:left="709"/>
        <w:jc w:val="both"/>
        <w:rPr>
          <w:lang w:val="hr-HR"/>
        </w:rPr>
      </w:pPr>
      <w:r w:rsidRPr="004A6627">
        <w:rPr>
          <w:lang w:val="hr-HR"/>
        </w:rPr>
        <w:t>(i)     valuta/valute i iznos/iznosi za tranšu;</w:t>
      </w:r>
    </w:p>
    <w:p w14:paraId="6E6208AE" w14:textId="77777777" w:rsidR="00192A93" w:rsidRPr="004A6627" w:rsidRDefault="00192A93" w:rsidP="00B0705A">
      <w:pPr>
        <w:pStyle w:val="t-9-8"/>
        <w:spacing w:before="0" w:beforeAutospacing="0" w:after="0"/>
        <w:ind w:left="709"/>
        <w:jc w:val="both"/>
        <w:rPr>
          <w:lang w:val="hr-HR"/>
        </w:rPr>
      </w:pPr>
      <w:r w:rsidRPr="004A6627">
        <w:rPr>
          <w:lang w:val="hr-HR"/>
        </w:rPr>
        <w:t>(ii)    datum isplate;</w:t>
      </w:r>
    </w:p>
    <w:p w14:paraId="41F3EE3A" w14:textId="614640FA" w:rsidR="00192A93" w:rsidRPr="004A6627" w:rsidRDefault="00192A93" w:rsidP="00B0705A">
      <w:pPr>
        <w:pStyle w:val="t-9-8"/>
        <w:spacing w:before="0" w:beforeAutospacing="0" w:after="0"/>
        <w:ind w:left="1276" w:hanging="567"/>
        <w:jc w:val="both"/>
        <w:rPr>
          <w:lang w:val="hr-HR"/>
        </w:rPr>
      </w:pPr>
      <w:r w:rsidRPr="004A6627">
        <w:rPr>
          <w:lang w:val="hr-HR"/>
        </w:rPr>
        <w:t>(iii)  razdoblje otplate glavnice i datum/datumi otplate glavnice, uključujući i datum dospijeća,</w:t>
      </w:r>
    </w:p>
    <w:p w14:paraId="4606FA04" w14:textId="77777777" w:rsidR="00192A93" w:rsidRPr="004A6627" w:rsidRDefault="00192A93" w:rsidP="00B0705A">
      <w:pPr>
        <w:pStyle w:val="t-9-8"/>
        <w:spacing w:before="0" w:beforeAutospacing="0" w:after="0"/>
        <w:ind w:left="709"/>
        <w:jc w:val="both"/>
        <w:rPr>
          <w:lang w:val="hr-HR"/>
        </w:rPr>
      </w:pPr>
      <w:r w:rsidRPr="004A6627">
        <w:rPr>
          <w:lang w:val="hr-HR"/>
        </w:rPr>
        <w:t>(iv)   fiksna kamatna stopa ili raspon prema Referentnoj stopi;</w:t>
      </w:r>
    </w:p>
    <w:p w14:paraId="14B24838" w14:textId="77777777" w:rsidR="00192A93" w:rsidRPr="004A6627" w:rsidRDefault="00192A93" w:rsidP="00B0705A">
      <w:pPr>
        <w:pStyle w:val="t-9-8"/>
        <w:spacing w:before="0" w:beforeAutospacing="0" w:after="0"/>
        <w:ind w:left="709"/>
        <w:jc w:val="both"/>
        <w:rPr>
          <w:lang w:val="hr-HR"/>
        </w:rPr>
      </w:pPr>
      <w:r w:rsidRPr="004A6627">
        <w:rPr>
          <w:lang w:val="hr-HR"/>
        </w:rPr>
        <w:t>(v)    razdoblje plaćanja kamate i datumi plaćanja kamate;</w:t>
      </w:r>
    </w:p>
    <w:p w14:paraId="16893AE1" w14:textId="77777777" w:rsidR="00192A93" w:rsidRPr="004A6627" w:rsidRDefault="00192A93" w:rsidP="00B0705A">
      <w:pPr>
        <w:pStyle w:val="t-9-8"/>
        <w:spacing w:before="0" w:beforeAutospacing="0" w:after="0"/>
        <w:ind w:left="709"/>
        <w:jc w:val="both"/>
        <w:rPr>
          <w:lang w:val="hr-HR"/>
        </w:rPr>
      </w:pPr>
      <w:r w:rsidRPr="004A6627">
        <w:rPr>
          <w:lang w:val="hr-HR"/>
        </w:rPr>
        <w:t>(vi)   pravilo o utvrđivanju broja dana i radnih dana; i</w:t>
      </w:r>
    </w:p>
    <w:p w14:paraId="29A47580" w14:textId="77777777" w:rsidR="00192A93" w:rsidRPr="004A6627" w:rsidRDefault="00192A93" w:rsidP="00B0705A">
      <w:pPr>
        <w:pStyle w:val="t-9-8"/>
        <w:spacing w:before="0" w:beforeAutospacing="0" w:after="0"/>
        <w:ind w:left="709"/>
        <w:jc w:val="both"/>
        <w:rPr>
          <w:lang w:val="hr-HR"/>
        </w:rPr>
      </w:pPr>
      <w:r w:rsidRPr="004A6627">
        <w:rPr>
          <w:lang w:val="hr-HR"/>
        </w:rPr>
        <w:t>(vii)  računi Zajmoprimca i CEB-a za plaćanja.</w:t>
      </w:r>
    </w:p>
    <w:p w14:paraId="253C65FA" w14:textId="77777777" w:rsidR="00192A93" w:rsidRPr="004A6627" w:rsidRDefault="00192A93" w:rsidP="004A6627">
      <w:pPr>
        <w:pStyle w:val="t-9-8"/>
        <w:spacing w:before="120" w:beforeAutospacing="0" w:after="0"/>
        <w:jc w:val="both"/>
        <w:rPr>
          <w:lang w:val="hr-HR"/>
        </w:rPr>
      </w:pPr>
      <w:r w:rsidRPr="004A6627">
        <w:rPr>
          <w:lang w:val="hr-HR"/>
        </w:rPr>
        <w:t>Ako je Zajmoprimac predao CEB-u Zahtjev za isplatom u kojem Zajmoprimac nije predložio fiksnu ili promjenjivu kamatnu stopu, smatrat će se da se Zajmoprimac unaprijed složio s onom kamatnom stopom koju je CEB naknadno utvrdio u Obavijesti o isplati.</w:t>
      </w:r>
    </w:p>
    <w:p w14:paraId="1920DD52" w14:textId="77777777" w:rsidR="00192A93" w:rsidRPr="004A6627" w:rsidRDefault="00192A93" w:rsidP="004A6627">
      <w:pPr>
        <w:pStyle w:val="t-9-8"/>
        <w:spacing w:before="120" w:beforeAutospacing="0" w:after="0"/>
        <w:jc w:val="both"/>
        <w:rPr>
          <w:lang w:val="hr-HR"/>
        </w:rPr>
      </w:pPr>
      <w:r w:rsidRPr="004A6627">
        <w:rPr>
          <w:lang w:val="hr-HR"/>
        </w:rPr>
        <w:t>Obavijest o isplati čiji elementi se poklapaju s onima u Zahtjevu za isplatom predstavlja neopozivu i bezuvjetnu obvezu Zajmoprimca da će pozajmiti od CEB-a i obvezu CEB-a da će odobriti Zajmoprimcu tranšu prema odredbama i uvjetima utvrđenima u Obavijesti o isplati.</w:t>
      </w:r>
    </w:p>
    <w:p w14:paraId="1CD760CB" w14:textId="77777777" w:rsidR="00192A93" w:rsidRPr="004A6627" w:rsidRDefault="00192A93" w:rsidP="004A6627">
      <w:pPr>
        <w:pStyle w:val="t-9-8"/>
        <w:spacing w:before="120" w:beforeAutospacing="0" w:after="0"/>
        <w:jc w:val="both"/>
        <w:rPr>
          <w:lang w:val="hr-HR"/>
        </w:rPr>
      </w:pPr>
      <w:r w:rsidRPr="004A6627">
        <w:rPr>
          <w:lang w:val="hr-HR"/>
        </w:rPr>
        <w:t>Bez obzira na gore navedeno, ako CEB nije dostavio Obavijest o isplati u roku od deset (10) radnih dana nakon zaprimanja Zahtjeva za isplatom, smatrat će se da je relevantni Zahtjev za isplatom povučen.</w:t>
      </w:r>
    </w:p>
    <w:p w14:paraId="0DA90299" w14:textId="58E0821A"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Razdoblje isplate</w:t>
      </w:r>
    </w:p>
    <w:p w14:paraId="27D55990" w14:textId="77777777" w:rsidR="00192A93" w:rsidRPr="004A6627" w:rsidRDefault="00192A93" w:rsidP="00CF6C0F">
      <w:pPr>
        <w:pStyle w:val="t-9-8"/>
        <w:spacing w:before="120" w:beforeAutospacing="0" w:after="120"/>
        <w:jc w:val="both"/>
        <w:rPr>
          <w:lang w:val="hr-HR"/>
        </w:rPr>
      </w:pPr>
      <w:r w:rsidRPr="004A6627">
        <w:rPr>
          <w:lang w:val="hr-HR"/>
        </w:rPr>
        <w:t>Osim ako se CEB nije drugačije suglasio u pisanom obliku, Zajmoprimac nema pravo na sljedeće:</w:t>
      </w:r>
    </w:p>
    <w:p w14:paraId="3ED9A2B5" w14:textId="536643E7" w:rsidR="00192A93" w:rsidRPr="004A6627" w:rsidRDefault="00192A93" w:rsidP="00B0705A">
      <w:pPr>
        <w:pStyle w:val="t-9-8"/>
        <w:spacing w:before="0" w:beforeAutospacing="0" w:after="0"/>
        <w:ind w:left="1276" w:hanging="567"/>
        <w:jc w:val="both"/>
        <w:rPr>
          <w:lang w:val="hr-HR"/>
        </w:rPr>
      </w:pPr>
      <w:r w:rsidRPr="004A6627">
        <w:rPr>
          <w:lang w:val="hr-HR"/>
        </w:rPr>
        <w:t xml:space="preserve">(i)     </w:t>
      </w:r>
      <w:r w:rsidR="00E751D4">
        <w:rPr>
          <w:lang w:val="hr-HR"/>
        </w:rPr>
        <w:t xml:space="preserve">  </w:t>
      </w:r>
      <w:r w:rsidRPr="004A6627">
        <w:rPr>
          <w:lang w:val="hr-HR"/>
        </w:rPr>
        <w:t>izdavanje Zahtjeva za isplatom za prvu tranšu nakon dvanaest (12) mjeseci nakon datuma stupanja na snagu;</w:t>
      </w:r>
    </w:p>
    <w:p w14:paraId="3E43D8D7" w14:textId="4EC81BCD" w:rsidR="00192A93" w:rsidRPr="004A6627" w:rsidRDefault="00192A93" w:rsidP="00B0705A">
      <w:pPr>
        <w:pStyle w:val="t-9-8"/>
        <w:spacing w:before="0" w:beforeAutospacing="0" w:after="0"/>
        <w:ind w:left="1276" w:hanging="567"/>
        <w:jc w:val="both"/>
        <w:rPr>
          <w:lang w:val="hr-HR"/>
        </w:rPr>
      </w:pPr>
      <w:r w:rsidRPr="004A6627">
        <w:rPr>
          <w:lang w:val="hr-HR"/>
        </w:rPr>
        <w:t xml:space="preserve">(ii)   </w:t>
      </w:r>
      <w:r w:rsidR="00E751D4">
        <w:rPr>
          <w:lang w:val="hr-HR"/>
        </w:rPr>
        <w:t xml:space="preserve"> </w:t>
      </w:r>
      <w:r w:rsidRPr="004A6627">
        <w:rPr>
          <w:lang w:val="hr-HR"/>
        </w:rPr>
        <w:t>izdavanje bilo kojeg daljnjeg Zahtjeva za isplatom nakon osamnaest (18) mjeseci nakon prethodne isplate; ili</w:t>
      </w:r>
    </w:p>
    <w:p w14:paraId="4BE276D6" w14:textId="5B43EDBA" w:rsidR="00192A93" w:rsidRPr="004A6627" w:rsidRDefault="00192A93" w:rsidP="00B0705A">
      <w:pPr>
        <w:pStyle w:val="t-9-8"/>
        <w:spacing w:before="0" w:beforeAutospacing="0" w:after="0"/>
        <w:ind w:left="1276" w:hanging="567"/>
        <w:jc w:val="both"/>
        <w:rPr>
          <w:lang w:val="hr-HR"/>
        </w:rPr>
      </w:pPr>
      <w:r w:rsidRPr="004A6627">
        <w:rPr>
          <w:lang w:val="hr-HR"/>
        </w:rPr>
        <w:t xml:space="preserve">(iii) </w:t>
      </w:r>
      <w:r w:rsidR="00E751D4">
        <w:rPr>
          <w:lang w:val="hr-HR"/>
        </w:rPr>
        <w:t xml:space="preserve">  </w:t>
      </w:r>
      <w:r w:rsidRPr="00E751D4">
        <w:rPr>
          <w:spacing w:val="-2"/>
          <w:lang w:val="hr-HR"/>
        </w:rPr>
        <w:t>izdavanje bilo kojeg daljnjeg Zahtjeva za isplatom nakon datuma zatvaranja</w:t>
      </w:r>
      <w:r w:rsidRPr="004A6627">
        <w:rPr>
          <w:lang w:val="hr-HR"/>
        </w:rPr>
        <w:t xml:space="preserve"> koji je utvrđen u Prilogu 1. ovom Ugovoru.</w:t>
      </w:r>
    </w:p>
    <w:p w14:paraId="49F5DB90" w14:textId="7276BACF"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Uvjeti isplate</w:t>
      </w:r>
    </w:p>
    <w:p w14:paraId="77F50BC2" w14:textId="77777777" w:rsidR="00192A93" w:rsidRPr="004A6627" w:rsidRDefault="00192A93" w:rsidP="00CF6C0F">
      <w:pPr>
        <w:pStyle w:val="t-9-8"/>
        <w:spacing w:before="120" w:beforeAutospacing="0" w:after="120"/>
        <w:ind w:left="284"/>
        <w:jc w:val="both"/>
        <w:rPr>
          <w:lang w:val="hr-HR"/>
        </w:rPr>
      </w:pPr>
      <w:r w:rsidRPr="004A6627">
        <w:rPr>
          <w:lang w:val="hr-HR"/>
        </w:rPr>
        <w:t>(a)   Uvjeti koji prethode Zahtjevu za isplatom za prvu tranšu:</w:t>
      </w:r>
    </w:p>
    <w:p w14:paraId="0ED119A0" w14:textId="24092C02" w:rsidR="00192A93" w:rsidRPr="004A6627" w:rsidRDefault="00192A93" w:rsidP="00B0705A">
      <w:pPr>
        <w:pStyle w:val="t-9-8"/>
        <w:spacing w:before="0" w:beforeAutospacing="0" w:after="0"/>
        <w:ind w:left="1276" w:hanging="568"/>
        <w:jc w:val="both"/>
        <w:rPr>
          <w:lang w:val="hr-HR"/>
        </w:rPr>
      </w:pPr>
      <w:r w:rsidRPr="004A6627">
        <w:rPr>
          <w:lang w:val="hr-HR"/>
        </w:rPr>
        <w:t>(i)</w:t>
      </w:r>
      <w:r w:rsidR="0067698A">
        <w:rPr>
          <w:lang w:val="hr-HR"/>
        </w:rPr>
        <w:tab/>
      </w:r>
      <w:r w:rsidRPr="004A6627">
        <w:rPr>
          <w:lang w:val="hr-HR"/>
        </w:rPr>
        <w:t>pravno mišljenje na engleskom jeziku koje je izdao ministar pravosuđa Zajmoprimca kojim se potvrđuje, na zadovoljstvo CEB-a, prema obrascu navedenom u Prilogu 2. ovom Ugovoru, da je Ugovor propisno sklopljen od strane ovlaštenih predstavnika Zajmoprimca i da je Ugovor važeći, obvezujući i provediv u skladu sa svojim odredbama u nadležnosti Zajmoprimca.</w:t>
      </w:r>
    </w:p>
    <w:p w14:paraId="06D0C441" w14:textId="7768A081" w:rsidR="00192A93" w:rsidRPr="004A6627" w:rsidRDefault="00192A93" w:rsidP="00B0705A">
      <w:pPr>
        <w:pStyle w:val="t-9-8"/>
        <w:spacing w:before="0" w:beforeAutospacing="0" w:after="0"/>
        <w:ind w:left="1276" w:hanging="568"/>
        <w:jc w:val="both"/>
        <w:rPr>
          <w:lang w:val="hr-HR"/>
        </w:rPr>
      </w:pPr>
      <w:r w:rsidRPr="004A6627">
        <w:rPr>
          <w:lang w:val="hr-HR"/>
        </w:rPr>
        <w:lastRenderedPageBreak/>
        <w:t>(ii)</w:t>
      </w:r>
      <w:r w:rsidR="0067698A">
        <w:rPr>
          <w:lang w:val="hr-HR"/>
        </w:rPr>
        <w:tab/>
      </w:r>
      <w:r w:rsidRPr="004A6627">
        <w:rPr>
          <w:lang w:val="hr-HR"/>
        </w:rPr>
        <w:t xml:space="preserve">dokazi na engleskom jeziku (npr. statut, pravilnici, odluke Uprave, punomoći itd.), na zadovoljstvo CEB-a, o osobi (osobama) ovlaštenoj (ovlaštenima) za potpisivanje Ugovora te Zahtjeva za isplatom u ime Zajmoprimca, zajedno s ovjerenim uzorkom potpisa takve druge osobe/osoba. </w:t>
      </w:r>
    </w:p>
    <w:p w14:paraId="12059CC6" w14:textId="77777777" w:rsidR="00192A93" w:rsidRPr="004A6627" w:rsidRDefault="00192A93" w:rsidP="00CF6C0F">
      <w:pPr>
        <w:pStyle w:val="t-9-8"/>
        <w:spacing w:before="120" w:beforeAutospacing="0" w:after="120"/>
        <w:ind w:left="284"/>
        <w:jc w:val="both"/>
        <w:rPr>
          <w:lang w:val="hr-HR"/>
        </w:rPr>
      </w:pPr>
      <w:r w:rsidRPr="004A6627">
        <w:rPr>
          <w:lang w:val="hr-HR"/>
        </w:rPr>
        <w:t>(b)   Uvjeti koji prethode svakom daljnjem Zahtjevu za isplatom:</w:t>
      </w:r>
    </w:p>
    <w:p w14:paraId="7C5C2361" w14:textId="44CF77F2" w:rsidR="00192A93" w:rsidRPr="004A6627" w:rsidRDefault="00192A93" w:rsidP="00B0705A">
      <w:pPr>
        <w:pStyle w:val="t-9-8"/>
        <w:spacing w:before="0" w:beforeAutospacing="0" w:after="0"/>
        <w:ind w:left="1276" w:hanging="567"/>
        <w:jc w:val="both"/>
        <w:rPr>
          <w:lang w:val="hr-HR"/>
        </w:rPr>
      </w:pPr>
      <w:r w:rsidRPr="004A6627">
        <w:rPr>
          <w:lang w:val="hr-HR"/>
        </w:rPr>
        <w:t>(i)    u slučaju kada je došlo do promjene vezano za osobu/osobe ovlaštene potpisivati zahtjeve za isplatom u ime Zajmoprimca, Zajmoprimac CEB-u dostavlja ažurirani dokaz o osobi/osobama ovlaštenima potpisati odgovarajuće Zahtjeve za isplatom u ime Zajmoprimca, zajedno s ovjerenim uzorkom potpisa te osobe/osoba.</w:t>
      </w:r>
    </w:p>
    <w:p w14:paraId="75C63D11" w14:textId="77777777" w:rsidR="00192A93" w:rsidRPr="004A6627" w:rsidRDefault="00192A93" w:rsidP="00B0705A">
      <w:pPr>
        <w:pStyle w:val="t-9-8"/>
        <w:spacing w:before="0" w:beforeAutospacing="0" w:after="0"/>
        <w:ind w:left="1276" w:hanging="567"/>
        <w:jc w:val="both"/>
        <w:rPr>
          <w:lang w:val="hr-HR"/>
        </w:rPr>
      </w:pPr>
      <w:r w:rsidRPr="004A6627">
        <w:rPr>
          <w:lang w:val="hr-HR"/>
        </w:rPr>
        <w:t xml:space="preserve">(ii)   </w:t>
      </w:r>
      <w:r w:rsidRPr="004A6627">
        <w:rPr>
          <w:spacing w:val="-4"/>
          <w:lang w:val="hr-HR"/>
        </w:rPr>
        <w:t xml:space="preserve">izvješće o napretku kojim se na zadovoljstvo CEB-a potvrđuje cjelokupna dodjela prethodne </w:t>
      </w:r>
      <w:r w:rsidRPr="004A6627">
        <w:rPr>
          <w:lang w:val="hr-HR"/>
        </w:rPr>
        <w:t>tranše.</w:t>
      </w:r>
    </w:p>
    <w:p w14:paraId="5121A6B1" w14:textId="531C1DA2" w:rsidR="00192A93" w:rsidRPr="004A6627" w:rsidRDefault="00E751D4" w:rsidP="00CF6C0F">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67" w:hanging="567"/>
        <w:jc w:val="both"/>
        <w:rPr>
          <w:szCs w:val="24"/>
        </w:rPr>
      </w:pPr>
      <w:r w:rsidRPr="004A6627">
        <w:rPr>
          <w:caps w:val="0"/>
          <w:szCs w:val="24"/>
        </w:rPr>
        <w:t>Otplata</w:t>
      </w:r>
    </w:p>
    <w:p w14:paraId="1304B556" w14:textId="77777777" w:rsidR="00192A93" w:rsidRPr="004A6627" w:rsidRDefault="00192A93" w:rsidP="004A6627">
      <w:pPr>
        <w:jc w:val="both"/>
      </w:pPr>
      <w:r w:rsidRPr="004A6627">
        <w:t>Na bilo koji datum otplate glavnice, Zajmoprimac mora otplatiti glavnicu svake tranše koja dospije na taj datum otplate glavnice u skladu s odredbama navedenima u primjenjivoj Obavijesti o isplati.</w:t>
      </w:r>
    </w:p>
    <w:p w14:paraId="36AD6056" w14:textId="232FB6D3" w:rsidR="00192A93" w:rsidRPr="004A6627" w:rsidRDefault="00E751D4"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Rani povrat</w:t>
      </w:r>
    </w:p>
    <w:p w14:paraId="345590A5" w14:textId="77777777" w:rsidR="00192A93" w:rsidRPr="004A6627" w:rsidRDefault="00192A93" w:rsidP="004A6627">
      <w:pPr>
        <w:pStyle w:val="t-9-8"/>
        <w:spacing w:before="120" w:beforeAutospacing="0" w:after="0"/>
        <w:ind w:left="284"/>
        <w:jc w:val="both"/>
        <w:rPr>
          <w:lang w:val="hr-HR"/>
        </w:rPr>
      </w:pPr>
      <w:r w:rsidRPr="004A6627">
        <w:rPr>
          <w:lang w:val="hr-HR"/>
        </w:rPr>
        <w:t>(a)   Mehanizmi</w:t>
      </w:r>
    </w:p>
    <w:p w14:paraId="519AD5C5" w14:textId="77777777" w:rsidR="00192A93" w:rsidRPr="004A6627" w:rsidRDefault="00192A93" w:rsidP="004A6627">
      <w:pPr>
        <w:pStyle w:val="t-9-8"/>
        <w:spacing w:before="120" w:beforeAutospacing="0" w:after="0"/>
        <w:jc w:val="both"/>
        <w:rPr>
          <w:lang w:val="hr-HR"/>
        </w:rPr>
      </w:pPr>
      <w:r w:rsidRPr="004A6627">
        <w:rPr>
          <w:lang w:val="hr-HR"/>
        </w:rPr>
        <w:t>Ako u slučaju bilo kojeg događaja utvrđenog u ovom Ugovoru vezanog uz ovaj podčlanak Zajmoprimac treba prije dospijeća vratiti cijelu ili dio tranše, Zajmoprimac CEB-u dostavlja pisanu obavijest najmanje jedan (1) mjesec ranije (u daljnjem tekstu „</w:t>
      </w:r>
      <w:r w:rsidRPr="004A6627">
        <w:rPr>
          <w:b/>
          <w:lang w:val="hr-HR"/>
        </w:rPr>
        <w:t>Obavijest o ranom povratu</w:t>
      </w:r>
      <w:r w:rsidRPr="004A6627">
        <w:rPr>
          <w:lang w:val="hr-HR"/>
        </w:rPr>
        <w:t>“) u kojoj navodi koje iznose treba vratiti, datum na koji će se izvršiti povrat (u daljnjem tekstu „</w:t>
      </w:r>
      <w:r w:rsidRPr="004A6627">
        <w:rPr>
          <w:b/>
          <w:lang w:val="hr-HR"/>
        </w:rPr>
        <w:t>Datum ranog povrata</w:t>
      </w:r>
      <w:r w:rsidRPr="004A6627">
        <w:rPr>
          <w:lang w:val="hr-HR"/>
        </w:rPr>
        <w:t>“) te, temeljem prethodne konzultacije s CEB-om, maksimalne troškove ranog povrata. Datum ranog povrata pada na datum plaćanja kamate, osim ako nije drugačije dogovoreno u pisanom obliku s CEB-om.</w:t>
      </w:r>
    </w:p>
    <w:p w14:paraId="3C07B983" w14:textId="77777777" w:rsidR="00192A93" w:rsidRPr="004A6627" w:rsidRDefault="00192A93" w:rsidP="004A6627">
      <w:pPr>
        <w:pStyle w:val="t-9-8"/>
        <w:spacing w:before="120" w:beforeAutospacing="0" w:after="0"/>
        <w:jc w:val="both"/>
        <w:rPr>
          <w:lang w:val="hr-HR"/>
        </w:rPr>
      </w:pPr>
      <w:r w:rsidRPr="004A6627">
        <w:rPr>
          <w:lang w:val="hr-HR"/>
        </w:rPr>
        <w:t>Nakon što zaprimi Obavijest o ranom povratu, CEB šalje pisanu obavijest Zajmoprimcu (u daljnjem tekstu „</w:t>
      </w:r>
      <w:r w:rsidRPr="004A6627">
        <w:rPr>
          <w:b/>
          <w:lang w:val="hr-HR"/>
        </w:rPr>
        <w:t>Potvrda o ranom povratu</w:t>
      </w:r>
      <w:r w:rsidRPr="004A6627">
        <w:rPr>
          <w:lang w:val="hr-HR"/>
        </w:rPr>
        <w:t>“) najkasnije pet (5) radnih dana prije datuma ranog povrata, u kojoj se navode obračunana kamata na taj iznos i troškovi ranog povrata u skladu s podčlankom 4.7 (b).</w:t>
      </w:r>
    </w:p>
    <w:p w14:paraId="0F64B35B" w14:textId="77777777" w:rsidR="00192A93" w:rsidRPr="004A6627" w:rsidRDefault="00192A93" w:rsidP="004A6627">
      <w:pPr>
        <w:pStyle w:val="t-9-8"/>
        <w:spacing w:before="120" w:beforeAutospacing="0" w:after="0"/>
        <w:jc w:val="both"/>
        <w:rPr>
          <w:lang w:val="hr-HR"/>
        </w:rPr>
      </w:pPr>
      <w:r w:rsidRPr="004A6627">
        <w:rPr>
          <w:lang w:val="hr-HR"/>
        </w:rPr>
        <w:t>Potvrda o ranom povratu čiji se elementi poklapaju s elementima navedenima u Obavijesti o ranom povratu predstavlja neopozivu i bezuvjetnu obvezu od strane Zajmoprimca da će vratiti relevantne iznose CEB-u prema odredbama i uvjetima utvrđenima u Potvrdi ranog povrata.</w:t>
      </w:r>
    </w:p>
    <w:p w14:paraId="25415897" w14:textId="77777777" w:rsidR="00192A93" w:rsidRPr="004A6627" w:rsidRDefault="00192A93" w:rsidP="004A6627">
      <w:pPr>
        <w:pStyle w:val="t-9-8"/>
        <w:spacing w:before="120" w:beforeAutospacing="0" w:after="0"/>
        <w:jc w:val="both"/>
        <w:rPr>
          <w:lang w:val="hr-HR"/>
        </w:rPr>
      </w:pPr>
      <w:r w:rsidRPr="004A6627">
        <w:rPr>
          <w:lang w:val="hr-HR"/>
        </w:rPr>
        <w:t>Ako Zajmoprimac djelomično vrati tranšu, vraćeni iznos se proporcionalno primjenjuje na svaku neizvršenu otplatu glavnice. U tom slučaju, Potvrda o ranom povratu sukladno tome navodi i prilagođeni raspored plaćanja koji je obvezujući za Zajmoprimca.</w:t>
      </w:r>
    </w:p>
    <w:p w14:paraId="56F06AFA" w14:textId="77777777" w:rsidR="00192A93" w:rsidRPr="004A6627" w:rsidRDefault="00192A93" w:rsidP="004A6627">
      <w:pPr>
        <w:pStyle w:val="t-9-8"/>
        <w:spacing w:before="120" w:beforeAutospacing="0" w:after="0"/>
        <w:ind w:left="284"/>
        <w:jc w:val="both"/>
        <w:rPr>
          <w:lang w:val="hr-HR"/>
        </w:rPr>
      </w:pPr>
      <w:r w:rsidRPr="004A6627">
        <w:rPr>
          <w:lang w:val="hr-HR"/>
        </w:rPr>
        <w:t>(b)   Troškovi ranog povrata</w:t>
      </w:r>
    </w:p>
    <w:p w14:paraId="6044D5A8" w14:textId="77777777" w:rsidR="00192A93" w:rsidRPr="004A6627" w:rsidRDefault="00192A93" w:rsidP="004A6627">
      <w:pPr>
        <w:pStyle w:val="t-9-8"/>
        <w:spacing w:before="120" w:beforeAutospacing="0" w:after="0"/>
        <w:jc w:val="both"/>
        <w:rPr>
          <w:lang w:val="hr-HR"/>
        </w:rPr>
      </w:pPr>
      <w:r w:rsidRPr="004A6627">
        <w:rPr>
          <w:lang w:val="hr-HR"/>
        </w:rPr>
        <w:lastRenderedPageBreak/>
        <w:t>Troškove ranog povrata koji su rezultat ranog povrata u skladu s podčlankom 4.7 (a) utvrđuje CEB na temelju troškova potrebnih za preraspodjelu iznosa koji treba biti vraćen od datuma ranog povrata do datuma dospijeća, uključujući i sve povezane troškove, kao na primjer bilo koje pokretanje postupka zaštite od rizika. Troškovi preraspodjele bit će utvrđeni temeljem razlike između originalne stope i stope preraspodjele, koju utvrđuje CEB na temelju tržišnih uvjeta na datum Obavijesti o ranom povratu.</w:t>
      </w:r>
    </w:p>
    <w:p w14:paraId="4BC569E5" w14:textId="65B6AB40"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Utvrđivanje kamate</w:t>
      </w:r>
    </w:p>
    <w:p w14:paraId="6F7C4430" w14:textId="77777777" w:rsidR="00192A93" w:rsidRPr="004A6627" w:rsidRDefault="00192A93" w:rsidP="004A6627">
      <w:pPr>
        <w:pStyle w:val="t-9-8"/>
        <w:spacing w:before="120" w:beforeAutospacing="0" w:after="0"/>
        <w:jc w:val="both"/>
        <w:rPr>
          <w:lang w:val="hr-HR"/>
        </w:rPr>
      </w:pPr>
      <w:r w:rsidRPr="004A6627">
        <w:rPr>
          <w:lang w:val="hr-HR"/>
        </w:rPr>
        <w:t>Zajmoprimac plaća kamatu na glavnicu svake tranše koja s vremena na vrijeme preostaje tijekom svakog kamatnog razdoblja prema fiksnoj kamatnoj stopi/promjenjivoj kamatnoj stopi utvrđenoj u primjenjivoj Obavijesti o isplati.</w:t>
      </w:r>
    </w:p>
    <w:p w14:paraId="0D50E904" w14:textId="77777777" w:rsidR="00192A93" w:rsidRPr="004A6627" w:rsidRDefault="00192A93" w:rsidP="004A6627">
      <w:pPr>
        <w:pStyle w:val="t-9-8"/>
        <w:spacing w:before="120" w:beforeAutospacing="0" w:after="0"/>
        <w:jc w:val="both"/>
        <w:rPr>
          <w:lang w:val="hr-HR"/>
        </w:rPr>
      </w:pPr>
      <w:r w:rsidRPr="004A6627">
        <w:rPr>
          <w:lang w:val="hr-HR"/>
        </w:rPr>
        <w:t>Kamata se (i) obračunava od (uključujući) prvog dana kamatnog razdoblja sve do zadnjeg dana kamatnog razdoblja, ali ne uključujući zadnji dan takvog kamatnog razdoblja i (ii) dospjet će i postati plativa na datume plaćanja kamate utvrđene u primjenjivoj Obavijesti o isplati. Kamata se obračunava na temelju Pravila o broju dana utvrđenih u relevantnoj Obavijesti o isplati.</w:t>
      </w:r>
    </w:p>
    <w:p w14:paraId="56BFF114" w14:textId="77777777" w:rsidR="00192A93" w:rsidRPr="004A6627" w:rsidRDefault="00192A93" w:rsidP="004A6627">
      <w:pPr>
        <w:pStyle w:val="t-9-8"/>
        <w:spacing w:before="120" w:beforeAutospacing="0" w:after="0"/>
        <w:jc w:val="both"/>
        <w:rPr>
          <w:lang w:val="hr-HR"/>
        </w:rPr>
      </w:pPr>
      <w:r w:rsidRPr="004A6627">
        <w:rPr>
          <w:lang w:val="hr-HR"/>
        </w:rPr>
        <w:t>U slučaju tranši s promjenjivom kamatnom stopom, CEB na svaki datum utvrđivanja kamate utvrđuje kamatnu stopu primjenjivu tijekom relevantnog kamatnog razdoblja u skladu s Ugovorom i o tome odmah obavješćuje Zajmoprimca. Svako utvrđivanje od strane CEB-a je konačno, nepobitno i obvezujuće za Zajmoprimca, osim ako Zajmoprimac dokaže, na zadovoljstvo CEB-a, da je tijekom takvog utvrđivanja počinjena očigledna pogreška.</w:t>
      </w:r>
    </w:p>
    <w:p w14:paraId="1C906103" w14:textId="78F5192C"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bookmarkStart w:id="8" w:name="_Ref474421871"/>
      <w:bookmarkStart w:id="9" w:name="_Ref474422671"/>
      <w:bookmarkStart w:id="10" w:name="_Toc34130058"/>
      <w:r w:rsidRPr="004A6627">
        <w:rPr>
          <w:caps w:val="0"/>
          <w:szCs w:val="24"/>
        </w:rPr>
        <w:t>Zatezna kamatna stopa</w:t>
      </w:r>
    </w:p>
    <w:p w14:paraId="69E67446" w14:textId="77777777" w:rsidR="00192A93" w:rsidRPr="004A6627" w:rsidRDefault="00192A93" w:rsidP="004A6627">
      <w:pPr>
        <w:pStyle w:val="t-9-8"/>
        <w:spacing w:before="120" w:beforeAutospacing="0" w:after="0"/>
        <w:jc w:val="both"/>
        <w:rPr>
          <w:lang w:val="hr-HR"/>
        </w:rPr>
      </w:pPr>
      <w:r w:rsidRPr="004A6627">
        <w:rPr>
          <w:lang w:val="hr-HR"/>
        </w:rPr>
        <w:t>U slučaju da Zajmoprimac ne plati cijeli iznos ili dio iznosa prema Ugovoru te bez obzira na bilo koja druga sredstva koja CEB-u stoje na raspolaganju prema Ugovoru ili na neki drugi način, Zajmoprimac plaća kamatu na takve neplaćene iznose od datuma dospijeća do datuma CEB-ova primitka takvog plaćanja prema godišnjoj kamatnoj stopi jednakoj jednomjesečnom EURIBOR-u na datum dospijeća plus dvije stotine i pedeset baznih poena (250 bp) (u daljnjem tekstu „</w:t>
      </w:r>
      <w:r w:rsidRPr="004A6627">
        <w:rPr>
          <w:b/>
          <w:lang w:val="hr-HR"/>
        </w:rPr>
        <w:t>Zatezna kamatna stopa</w:t>
      </w:r>
      <w:r w:rsidRPr="004A6627">
        <w:rPr>
          <w:lang w:val="hr-HR"/>
        </w:rPr>
        <w:t>“).</w:t>
      </w:r>
    </w:p>
    <w:p w14:paraId="49078682" w14:textId="77777777" w:rsidR="00192A93" w:rsidRPr="004A6627" w:rsidRDefault="00192A93" w:rsidP="004A6627">
      <w:pPr>
        <w:pStyle w:val="t-9-8"/>
        <w:spacing w:before="120" w:beforeAutospacing="0" w:after="0"/>
        <w:jc w:val="both"/>
        <w:rPr>
          <w:lang w:val="hr-HR"/>
        </w:rPr>
      </w:pPr>
      <w:r w:rsidRPr="004A6627">
        <w:rPr>
          <w:lang w:val="hr-HR"/>
        </w:rPr>
        <w:t>Primjenjiva zatezna kamatna stopa ažurira se svakih trideset (30) kalendarskih dana.</w:t>
      </w:r>
    </w:p>
    <w:p w14:paraId="40C00457" w14:textId="0C43FC51"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Događaj narušavanja tržišta</w:t>
      </w:r>
    </w:p>
    <w:p w14:paraId="217352A7" w14:textId="77777777" w:rsidR="00192A93" w:rsidRPr="004A6627" w:rsidRDefault="00192A93" w:rsidP="004A6627">
      <w:pPr>
        <w:pStyle w:val="t-9-8"/>
        <w:spacing w:before="120" w:beforeAutospacing="0" w:after="0"/>
        <w:jc w:val="both"/>
        <w:rPr>
          <w:lang w:val="hr-HR"/>
        </w:rPr>
      </w:pPr>
      <w:r w:rsidRPr="004A6627">
        <w:rPr>
          <w:lang w:val="hr-HR"/>
        </w:rPr>
        <w:t>CEB odmah po saznanju obavješćuje Zajmoprimca da se dogodio događaj narušavanja tržišta.</w:t>
      </w:r>
    </w:p>
    <w:p w14:paraId="60368A5C" w14:textId="77777777" w:rsidR="00192A93" w:rsidRPr="004A6627" w:rsidRDefault="00192A93" w:rsidP="004A6627">
      <w:pPr>
        <w:pStyle w:val="t-9-8"/>
        <w:spacing w:before="120" w:beforeAutospacing="0" w:after="0"/>
        <w:jc w:val="both"/>
        <w:rPr>
          <w:lang w:val="hr-HR"/>
        </w:rPr>
      </w:pPr>
      <w:r w:rsidRPr="004A6627">
        <w:rPr>
          <w:lang w:val="hr-HR"/>
        </w:rPr>
        <w:t>U svrhu ovog Ugovora, „</w:t>
      </w:r>
      <w:r w:rsidRPr="004A6627">
        <w:rPr>
          <w:b/>
          <w:lang w:val="hr-HR"/>
        </w:rPr>
        <w:t>Događaj narušavanja tržišta</w:t>
      </w:r>
      <w:r w:rsidRPr="004A6627">
        <w:rPr>
          <w:lang w:val="hr-HR"/>
        </w:rPr>
        <w:t>“ znači sljedeće okolnosti:</w:t>
      </w:r>
    </w:p>
    <w:p w14:paraId="2766E662" w14:textId="77777777" w:rsidR="00192A93" w:rsidRPr="004A6627" w:rsidRDefault="00192A93" w:rsidP="004A6627">
      <w:pPr>
        <w:pStyle w:val="t-9-8"/>
        <w:spacing w:before="120" w:beforeAutospacing="0" w:after="0"/>
        <w:ind w:left="709" w:hanging="425"/>
        <w:jc w:val="both"/>
        <w:rPr>
          <w:lang w:val="hr-HR"/>
        </w:rPr>
      </w:pPr>
      <w:r w:rsidRPr="004A6627">
        <w:rPr>
          <w:lang w:val="hr-HR"/>
        </w:rPr>
        <w:t>(a)  Reutersova stranica navedena u definiciji EURIBOR-a ne navodi potrebne detalje ili nije dostupna.</w:t>
      </w:r>
    </w:p>
    <w:p w14:paraId="31A0F3DA" w14:textId="77777777" w:rsidR="00192A93" w:rsidRPr="004A6627" w:rsidRDefault="00192A93" w:rsidP="004A6627">
      <w:pPr>
        <w:pStyle w:val="t-9-8"/>
        <w:spacing w:before="120" w:beforeAutospacing="0" w:after="0"/>
        <w:ind w:left="709"/>
        <w:jc w:val="both"/>
        <w:rPr>
          <w:lang w:val="hr-HR"/>
        </w:rPr>
      </w:pPr>
      <w:r w:rsidRPr="004A6627">
        <w:rPr>
          <w:lang w:val="hr-HR"/>
        </w:rPr>
        <w:t xml:space="preserve">U okviru takvog događaja narušavanja tržišta, primjenjivi EURIBOR je godišnja stopa u postocima koju CEB utvrdi kao aritmetičku sredinu stopa po kojima tri (3) vodeće banke na EU međubankarskom tržištu koje odabere CEB nude zajmove u eurima u iznosima koji su identični ili najbliži dotičnom iznosu zajma i za razdoblje koje je identično ili najbliže relativnom kamatnom </w:t>
      </w:r>
      <w:r w:rsidRPr="004A6627">
        <w:rPr>
          <w:lang w:val="hr-HR"/>
        </w:rPr>
        <w:lastRenderedPageBreak/>
        <w:t>razdoblju na datum utvrđivanja kamate. Ako se pribave najmanje dvije (2) ponude, primjenjivi EURIBOR za taj datum utvrđivanja kamate je aritmetička sredina svih pribavljenih ponuda.</w:t>
      </w:r>
    </w:p>
    <w:p w14:paraId="06B7B928" w14:textId="77777777" w:rsidR="00192A93" w:rsidRPr="004A6627" w:rsidRDefault="00192A93" w:rsidP="004A6627">
      <w:pPr>
        <w:pStyle w:val="t-9-8"/>
        <w:spacing w:before="120" w:beforeAutospacing="0" w:after="0"/>
        <w:ind w:left="709"/>
        <w:jc w:val="both"/>
        <w:rPr>
          <w:lang w:val="hr-HR"/>
        </w:rPr>
      </w:pPr>
      <w:r w:rsidRPr="004A6627">
        <w:rPr>
          <w:lang w:val="hr-HR"/>
        </w:rPr>
        <w:t>Ako se pribavi samo jedna (1) ponuda, primjenjivi EURIBOR je godišnja stopa u postocima koju CEB utvrdi kao aritmetičku sredinu stopa po kojima vodeće banke na EU međubankovnom tržištu koje odabere CEB nude zajmove u eurima u iznosima koji su identični ili najbliži iznosu dotičnog Zajma i za razdoblje koje je identično ili najbliže relativnom kamatnom razdoblju drugog radnog dana nakon početka relevantnog kamatnog razdoblja.</w:t>
      </w:r>
    </w:p>
    <w:p w14:paraId="5146E788" w14:textId="5C139E99" w:rsidR="00192A93" w:rsidRPr="004A6627" w:rsidRDefault="00192A93" w:rsidP="004A6627">
      <w:pPr>
        <w:pStyle w:val="t-9-8"/>
        <w:spacing w:before="120" w:beforeAutospacing="0" w:after="0"/>
        <w:ind w:left="709" w:hanging="425"/>
        <w:jc w:val="both"/>
        <w:rPr>
          <w:lang w:val="hr-HR"/>
        </w:rPr>
      </w:pPr>
      <w:r w:rsidRPr="004A6627">
        <w:rPr>
          <w:lang w:val="hr-HR"/>
        </w:rPr>
        <w:t>(b)  CEB utvrđuje da nije moguće utvrditi primjenjivu referentnu stopu u skladu s gornjim stavkom (a).</w:t>
      </w:r>
    </w:p>
    <w:p w14:paraId="282D287F" w14:textId="77777777" w:rsidR="00192A93" w:rsidRPr="004A6627" w:rsidRDefault="00192A93" w:rsidP="004A6627">
      <w:pPr>
        <w:pStyle w:val="t-9-8"/>
        <w:spacing w:before="120" w:beforeAutospacing="0" w:after="0"/>
        <w:ind w:left="709"/>
        <w:jc w:val="both"/>
        <w:rPr>
          <w:lang w:val="hr-HR"/>
        </w:rPr>
      </w:pPr>
      <w:r w:rsidRPr="004A6627">
        <w:rPr>
          <w:lang w:val="hr-HR"/>
        </w:rPr>
        <w:t>U okviru takvog događaja narušavanja tržišta, primjenjiva promjenjiva kamatna stopa zamjenjuje se stopom koja izražava godišnju stopu u postocima CEB-ovih troškova za financiranje Zajma iz bilo kojeg izvora koji CEB može razumno odabrati.</w:t>
      </w:r>
    </w:p>
    <w:p w14:paraId="67774CAD" w14:textId="77B83C8E" w:rsidR="00192A93" w:rsidRPr="004A6627" w:rsidRDefault="00192A93" w:rsidP="004A6627">
      <w:pPr>
        <w:pStyle w:val="t-9-8"/>
        <w:spacing w:before="120" w:beforeAutospacing="0" w:after="0"/>
        <w:ind w:left="709" w:hanging="425"/>
        <w:jc w:val="both"/>
        <w:rPr>
          <w:lang w:val="hr-HR"/>
        </w:rPr>
      </w:pPr>
      <w:r w:rsidRPr="004A6627">
        <w:rPr>
          <w:lang w:val="hr-HR"/>
        </w:rPr>
        <w:t>(c)  U bilo koje vrijeme između dostave Obavijesti o isplati i datuma isplate CEB može razumno utvrditi da postoje iznimne i neočekivane okolnosti ekonomske, financijske, političke ili druge vanjske prirode koje imaju negativan učinak na CEB-ov pristup CEB-ovim izvorima financiranja.</w:t>
      </w:r>
    </w:p>
    <w:p w14:paraId="127EE7FC" w14:textId="77777777" w:rsidR="00192A93" w:rsidRPr="004A6627" w:rsidRDefault="00192A93" w:rsidP="004A6627">
      <w:pPr>
        <w:pStyle w:val="t-9-8"/>
        <w:spacing w:before="120" w:beforeAutospacing="0" w:after="0"/>
        <w:ind w:left="709"/>
        <w:jc w:val="both"/>
        <w:rPr>
          <w:lang w:val="hr-HR"/>
        </w:rPr>
      </w:pPr>
      <w:r w:rsidRPr="004A6627">
        <w:rPr>
          <w:lang w:val="hr-HR"/>
        </w:rPr>
        <w:t>U okviru takvog događaja narušavanja tržišta, CEB ima pravo otkazati zakazanu isplatu bez dodatnih troškova.</w:t>
      </w:r>
    </w:p>
    <w:p w14:paraId="29965FB4" w14:textId="77777777" w:rsidR="00192A93" w:rsidRPr="004A6627" w:rsidRDefault="00192A93" w:rsidP="004A6627">
      <w:pPr>
        <w:pStyle w:val="t-9-8"/>
        <w:spacing w:before="120" w:beforeAutospacing="0" w:after="0"/>
        <w:jc w:val="both"/>
        <w:rPr>
          <w:lang w:val="hr-HR"/>
        </w:rPr>
      </w:pPr>
      <w:r w:rsidRPr="004A6627">
        <w:rPr>
          <w:lang w:val="hr-HR"/>
        </w:rPr>
        <w:t>U slučaju događaja narušavanja tržišta navedenih u gornjim točkama (a) i (b):</w:t>
      </w:r>
    </w:p>
    <w:p w14:paraId="08E235DD" w14:textId="37CEAA8F" w:rsidR="00192A93" w:rsidRPr="004A6627" w:rsidRDefault="00192A93" w:rsidP="006E63C8">
      <w:pPr>
        <w:pStyle w:val="t-9-8"/>
        <w:spacing w:before="120" w:beforeAutospacing="0" w:after="0"/>
        <w:ind w:left="1276" w:hanging="567"/>
        <w:jc w:val="both"/>
        <w:rPr>
          <w:lang w:val="hr-HR"/>
        </w:rPr>
      </w:pPr>
      <w:r w:rsidRPr="004A6627">
        <w:rPr>
          <w:lang w:val="hr-HR"/>
        </w:rPr>
        <w:t>(i)</w:t>
      </w:r>
      <w:r w:rsidR="005866CB">
        <w:rPr>
          <w:lang w:val="hr-HR"/>
        </w:rPr>
        <w:tab/>
      </w:r>
      <w:r w:rsidRPr="006E63C8">
        <w:rPr>
          <w:spacing w:val="-2"/>
          <w:lang w:val="hr-HR"/>
        </w:rPr>
        <w:t>ako Zajmoprimac tako zatraži, stranke, postupajući u dobroj vjeri, započinju</w:t>
      </w:r>
      <w:r w:rsidRPr="004A6627">
        <w:rPr>
          <w:lang w:val="hr-HR"/>
        </w:rPr>
        <w:t xml:space="preserve"> pregovore u razdoblju ne duljem od trideset (30) kalendarskih dana u svrhu dogovaranja alternative za primjenjivi EURIBOR. Ako se ne postigne nikakav dogovor, Zajmoprimac može započeti s postupkom ranog povrata na sljedeći datum plaćanja kamate prema uvjetima utvrđenima u podčlanku 4.7.</w:t>
      </w:r>
    </w:p>
    <w:p w14:paraId="69391EF9" w14:textId="0712D462" w:rsidR="00192A93" w:rsidRPr="004A6627" w:rsidRDefault="00192A93" w:rsidP="00BC3443">
      <w:pPr>
        <w:pStyle w:val="t-9-8"/>
        <w:spacing w:before="120" w:beforeAutospacing="0" w:after="0"/>
        <w:ind w:left="1276" w:hanging="567"/>
        <w:jc w:val="both"/>
        <w:rPr>
          <w:lang w:val="hr-HR"/>
        </w:rPr>
      </w:pPr>
      <w:r w:rsidRPr="004A6627">
        <w:rPr>
          <w:lang w:val="hr-HR"/>
        </w:rPr>
        <w:t xml:space="preserve">(ii) </w:t>
      </w:r>
      <w:r w:rsidR="00BC3443">
        <w:rPr>
          <w:lang w:val="hr-HR"/>
        </w:rPr>
        <w:t xml:space="preserve">    </w:t>
      </w:r>
      <w:r w:rsidRPr="00BC3443">
        <w:rPr>
          <w:spacing w:val="-2"/>
          <w:lang w:val="hr-HR"/>
        </w:rPr>
        <w:t>CEB ima pravo, postupajući u dobroj vjeri i u konzultaciji sa Zajmoprimcem</w:t>
      </w:r>
      <w:r w:rsidRPr="004A6627">
        <w:rPr>
          <w:lang w:val="hr-HR"/>
        </w:rPr>
        <w:t xml:space="preserve"> koliko je to razumno moguće, promijeniti trajanje bilo kojeg naknadnog kamatnog razdoblja na trideset (30) kalendarskih dana ili manje dostavom Zajmoprimcu obavijesti o tome. Bilo koja takva promjena kamatnog razdoblja stupa na snagu na datum koji CEB odredi u toj obavijesti.</w:t>
      </w:r>
    </w:p>
    <w:p w14:paraId="4F661F6E" w14:textId="77777777" w:rsidR="00192A93" w:rsidRPr="004A6627" w:rsidRDefault="00192A93" w:rsidP="004A6627">
      <w:pPr>
        <w:pStyle w:val="t-9-8"/>
        <w:spacing w:before="120" w:beforeAutospacing="0" w:after="0"/>
        <w:jc w:val="both"/>
        <w:rPr>
          <w:lang w:val="hr-HR"/>
        </w:rPr>
      </w:pPr>
      <w:r w:rsidRPr="004A6627">
        <w:rPr>
          <w:lang w:val="hr-HR"/>
        </w:rPr>
        <w:t>Ako CEB utvrdi da relevantni događaj narušavanja tržišta više ne postoji, tada podložno pojavi i postojanju bilo kojeg daljnjeg događaja narušavanja tržišta, promjenjiva kamatna stopa i/ili kamatno razdoblje primjenjivo za svaku relevantnu tranšu ponovno se vraća od prvog dana sljedećeg kamatnog razdoblja na izračunavanje u skladu s promjenjivom kamatnom stopom i kamatnim razdobljem utvrđenim u relevantnoj Obavijesti o isplati.</w:t>
      </w:r>
      <w:bookmarkStart w:id="11" w:name="_Toc34130063"/>
      <w:bookmarkEnd w:id="8"/>
      <w:bookmarkEnd w:id="9"/>
      <w:bookmarkEnd w:id="10"/>
    </w:p>
    <w:p w14:paraId="1BD0AB29" w14:textId="796049D8"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lastRenderedPageBreak/>
        <w:t>Plaćanja</w:t>
      </w:r>
    </w:p>
    <w:p w14:paraId="2F430276" w14:textId="77777777" w:rsidR="00192A93" w:rsidRPr="004A6627" w:rsidRDefault="00192A93" w:rsidP="004A6627">
      <w:pPr>
        <w:pStyle w:val="t-9-8"/>
        <w:spacing w:before="120" w:beforeAutospacing="0" w:after="0"/>
        <w:jc w:val="both"/>
        <w:rPr>
          <w:lang w:val="hr-HR"/>
        </w:rPr>
      </w:pPr>
      <w:r w:rsidRPr="004A6627">
        <w:rPr>
          <w:lang w:val="hr-HR"/>
        </w:rPr>
        <w:t>Sva plaćanja koja prema ovom Ugovoru treba izvršiti Zajmoprimac plativa su u valuti svake tranše na CEB-ov račun naveden u primjenjivoj Obavijesti o isplati. Svako plaćanje prema ovom Ugovoru izvršava se na radni dan što podliježe Pravilu o izmijenjenom sljedećem radnom danu. Sva plaćanja smatraju se izvršenima kada CEB zaprimi iznos na svoj račun.</w:t>
      </w:r>
    </w:p>
    <w:p w14:paraId="38C2360B" w14:textId="77777777" w:rsidR="00192A93" w:rsidRPr="004A6627" w:rsidRDefault="00192A93" w:rsidP="004A6627">
      <w:pPr>
        <w:pStyle w:val="t-9-8"/>
        <w:spacing w:before="120" w:beforeAutospacing="0" w:after="480"/>
        <w:jc w:val="both"/>
        <w:rPr>
          <w:lang w:val="hr-HR"/>
        </w:rPr>
      </w:pPr>
      <w:r w:rsidRPr="004A6627">
        <w:rPr>
          <w:lang w:val="hr-HR"/>
        </w:rPr>
        <w:t>Zajmoprimac ili banka koju Zajmoprimac tako uputi, ovisno o slučaju, šalje pisanu obavijest o plaćanju CEB-u najmanje pet (5) radnih dana prije plaćanja bilo kojeg iznosa koji dospijeva prema ovom Ugovoru.</w:t>
      </w:r>
    </w:p>
    <w:p w14:paraId="0DA02149" w14:textId="1BE35E91"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PROVEDBA PROJEKTA</w:t>
      </w:r>
    </w:p>
    <w:p w14:paraId="5329A677" w14:textId="77777777" w:rsidR="00192A93" w:rsidRPr="004A6627" w:rsidRDefault="00192A93" w:rsidP="004A6627">
      <w:pPr>
        <w:pStyle w:val="t-9-8"/>
        <w:spacing w:before="120" w:beforeAutospacing="0" w:after="0"/>
        <w:jc w:val="both"/>
        <w:rPr>
          <w:lang w:val="hr-HR"/>
        </w:rPr>
      </w:pPr>
      <w:r w:rsidRPr="004A6627">
        <w:rPr>
          <w:lang w:val="hr-HR"/>
        </w:rPr>
        <w:t>Zajmoprimac provodi Projekt u skladu s Ugovorom.</w:t>
      </w:r>
    </w:p>
    <w:p w14:paraId="7FE3FEDD" w14:textId="77777777" w:rsidR="00192A93" w:rsidRPr="004A6627" w:rsidRDefault="00192A93" w:rsidP="004A6627">
      <w:pPr>
        <w:pStyle w:val="t-9-8"/>
        <w:spacing w:before="120" w:beforeAutospacing="0" w:after="0"/>
        <w:jc w:val="both"/>
        <w:rPr>
          <w:lang w:val="hr-HR"/>
        </w:rPr>
      </w:pPr>
      <w:r w:rsidRPr="004A6627">
        <w:rPr>
          <w:lang w:val="hr-HR"/>
        </w:rPr>
        <w:t xml:space="preserve">Propuštanje izvršavanja zadataka provedbe Projekta navedenih u članku 5. predstavljalo bi, bez obzira na bilo koje druge primjenjive odredbe Pravila o zajmovima, događaj u smislu članka 3.3 (h) Pravila o zajmovima te može dovesti do (i) toga da relevantni potprojekt bude proglašen neprihvatljivim za dodjelu prema Projektu i/ili (ii) ranog povrata, obustave ili raskida zajma, u cijelosti ili djelomično, prema odredbama članaka 3.3 </w:t>
      </w:r>
      <w:r w:rsidRPr="004A6627">
        <w:rPr>
          <w:rStyle w:val="kurziv"/>
          <w:lang w:val="hr-HR"/>
        </w:rPr>
        <w:t>(</w:t>
      </w:r>
      <w:r w:rsidRPr="000C1727">
        <w:rPr>
          <w:rStyle w:val="kurziv"/>
          <w:i/>
          <w:lang w:val="hr-HR"/>
        </w:rPr>
        <w:t>Rani povrat isplaćenog zajma</w:t>
      </w:r>
      <w:r w:rsidRPr="004A6627">
        <w:rPr>
          <w:lang w:val="hr-HR"/>
        </w:rPr>
        <w:t>), 3.5 (</w:t>
      </w:r>
      <w:r w:rsidRPr="000C1727">
        <w:rPr>
          <w:rStyle w:val="kurziv"/>
          <w:i/>
          <w:lang w:val="hr-HR"/>
        </w:rPr>
        <w:t>Obustava neisplaćenog zajma od strane Banke</w:t>
      </w:r>
      <w:r w:rsidRPr="004A6627">
        <w:rPr>
          <w:lang w:val="hr-HR"/>
        </w:rPr>
        <w:t>) i 3.6 (</w:t>
      </w:r>
      <w:r w:rsidRPr="000C1727">
        <w:rPr>
          <w:rStyle w:val="kurziv"/>
          <w:i/>
          <w:lang w:val="hr-HR"/>
        </w:rPr>
        <w:t>Otkazivanje neisplaćenih zajmova od strane Banke</w:t>
      </w:r>
      <w:r w:rsidRPr="004A6627">
        <w:rPr>
          <w:lang w:val="hr-HR"/>
        </w:rPr>
        <w:t>) Pravila o zajmovima.</w:t>
      </w:r>
    </w:p>
    <w:p w14:paraId="68B56A1B" w14:textId="52FA6114"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bookmarkStart w:id="12" w:name="_Toc34130065"/>
      <w:bookmarkEnd w:id="11"/>
      <w:r w:rsidRPr="004A6627">
        <w:rPr>
          <w:caps w:val="0"/>
          <w:szCs w:val="24"/>
        </w:rPr>
        <w:t>Dužnost pažnje</w:t>
      </w:r>
    </w:p>
    <w:p w14:paraId="12B47789" w14:textId="77777777" w:rsidR="00192A93" w:rsidRPr="004A6627" w:rsidRDefault="00192A93" w:rsidP="004A6627">
      <w:pPr>
        <w:pStyle w:val="t-9-8"/>
        <w:spacing w:before="120" w:beforeAutospacing="0" w:after="0"/>
        <w:jc w:val="both"/>
        <w:rPr>
          <w:lang w:val="hr-HR"/>
        </w:rPr>
      </w:pPr>
      <w:r w:rsidRPr="004A6627">
        <w:rPr>
          <w:lang w:val="hr-HR"/>
        </w:rPr>
        <w:t>Zajmoprimac se brine da pažljivo postupa i koristi sva uobičajeno korištena sredstva (uključujući, ali ne ograničavajući se na pravna, financijska, upravljačka i tehnička sredstva) koja su nužna za valjanu provedbu Projekta.</w:t>
      </w:r>
    </w:p>
    <w:p w14:paraId="305A8190" w14:textId="5416CB4B"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Razdoblje dodjele</w:t>
      </w:r>
    </w:p>
    <w:p w14:paraId="1B292D08" w14:textId="77777777" w:rsidR="00192A93" w:rsidRPr="004A6627" w:rsidRDefault="00192A93" w:rsidP="004A6627">
      <w:pPr>
        <w:pStyle w:val="t-9-8"/>
        <w:spacing w:before="120" w:beforeAutospacing="0" w:after="0"/>
        <w:jc w:val="both"/>
        <w:rPr>
          <w:lang w:val="hr-HR"/>
        </w:rPr>
      </w:pPr>
      <w:r w:rsidRPr="004A6627">
        <w:rPr>
          <w:lang w:val="hr-HR"/>
        </w:rPr>
        <w:t>Zajmoprimac dodjeljuje svaku tranšu Projektu u roku od dvanaest (12) mjeseci nakon relevantnog datuma isplate („</w:t>
      </w:r>
      <w:r w:rsidRPr="004A6627">
        <w:rPr>
          <w:b/>
          <w:lang w:val="hr-HR"/>
        </w:rPr>
        <w:t>Razdoblje dodjele</w:t>
      </w:r>
      <w:r w:rsidRPr="004A6627">
        <w:rPr>
          <w:lang w:val="hr-HR"/>
        </w:rPr>
        <w:t>“).</w:t>
      </w:r>
    </w:p>
    <w:p w14:paraId="50431173" w14:textId="77777777" w:rsidR="00192A93" w:rsidRPr="004A6627" w:rsidRDefault="00192A93" w:rsidP="004A6627">
      <w:pPr>
        <w:pStyle w:val="t-9-8"/>
        <w:spacing w:before="120" w:beforeAutospacing="0" w:after="0"/>
        <w:jc w:val="both"/>
        <w:rPr>
          <w:lang w:val="hr-HR"/>
        </w:rPr>
      </w:pPr>
      <w:r w:rsidRPr="004A6627">
        <w:rPr>
          <w:lang w:val="hr-HR"/>
        </w:rPr>
        <w:t>Ako neka tranša koju CEB isplati nije dodijeljena Projektu ili je samo djelomično dodijeljena Projektu unutar Razdoblja dodjele, Zajmoprimac CEB-u nadoknađuje ne-dodijeljene iznose u skladu s podčlankom 4.7.</w:t>
      </w:r>
    </w:p>
    <w:p w14:paraId="380139DA" w14:textId="588852ED"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Troškovi projekta</w:t>
      </w:r>
    </w:p>
    <w:p w14:paraId="22152834" w14:textId="77777777" w:rsidR="00192A93" w:rsidRPr="004A6627" w:rsidRDefault="00192A93" w:rsidP="004A6627">
      <w:pPr>
        <w:pStyle w:val="t-9-8"/>
        <w:spacing w:before="120" w:beforeAutospacing="0" w:after="0"/>
        <w:jc w:val="both"/>
        <w:rPr>
          <w:lang w:val="hr-HR"/>
        </w:rPr>
      </w:pPr>
      <w:r w:rsidRPr="004A6627">
        <w:rPr>
          <w:lang w:val="hr-HR"/>
        </w:rPr>
        <w:t>Tranše isplaćene prema Zajmu ne smiju premašiti devedeset posto (90%) ukupnih prihvatljivih troškova Projekta. Ako tranše isplaćene prema Zajmu premaše gornjih devedeset posto (90%) (smanjenjem ukupnih prihvatljivih troškova ili na drugi način), Zajmoprimac nadoknađuje CEB-u višak u skladu s podčlankom 4.7.</w:t>
      </w:r>
    </w:p>
    <w:p w14:paraId="20B41BB9" w14:textId="77777777" w:rsidR="00192A93" w:rsidRPr="004A6627" w:rsidRDefault="00192A93" w:rsidP="004A6627">
      <w:pPr>
        <w:pStyle w:val="t-9-8"/>
        <w:spacing w:before="120" w:beforeAutospacing="0" w:after="0"/>
        <w:jc w:val="both"/>
        <w:rPr>
          <w:lang w:val="hr-HR"/>
        </w:rPr>
      </w:pPr>
      <w:r w:rsidRPr="004A6627">
        <w:rPr>
          <w:lang w:val="hr-HR"/>
        </w:rPr>
        <w:t>Ako ukupni prihvatljivi troškovi Projekta budu povećani ili revidirani zbog bilo kojeg razloga, Zajmoprimac osigurava dodatne financijske resurse potrebne za završetak Projekta bez traženja pomoći od CEB-a. CEB se bez odgode obavješćuje o planovima za financiranje povećanih troškova.</w:t>
      </w:r>
    </w:p>
    <w:p w14:paraId="389850F7" w14:textId="328FAE67"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bookmarkStart w:id="13" w:name="_Ref466472458"/>
      <w:bookmarkStart w:id="14" w:name="_Toc34130068"/>
      <w:bookmarkEnd w:id="12"/>
      <w:r w:rsidRPr="004A6627">
        <w:rPr>
          <w:caps w:val="0"/>
          <w:szCs w:val="24"/>
        </w:rPr>
        <w:lastRenderedPageBreak/>
        <w:t>Obveze specifične za projekt</w:t>
      </w:r>
    </w:p>
    <w:p w14:paraId="4666D584" w14:textId="77777777" w:rsidR="00192A93" w:rsidRPr="004A6627" w:rsidRDefault="00192A93" w:rsidP="00357CA0">
      <w:pPr>
        <w:pStyle w:val="t-9-8"/>
        <w:spacing w:before="120" w:beforeAutospacing="0" w:after="120"/>
        <w:jc w:val="both"/>
        <w:rPr>
          <w:lang w:val="hr-HR"/>
        </w:rPr>
      </w:pPr>
      <w:r w:rsidRPr="004A6627">
        <w:rPr>
          <w:lang w:val="hr-HR"/>
        </w:rPr>
        <w:t>Zajmoprimac osigurava sljedeće:</w:t>
      </w:r>
    </w:p>
    <w:p w14:paraId="721A1539" w14:textId="5E4F56B2" w:rsidR="00192A93" w:rsidRPr="004A6627" w:rsidRDefault="00192A93" w:rsidP="00357CA0">
      <w:pPr>
        <w:pStyle w:val="t-9-8"/>
        <w:spacing w:before="0" w:beforeAutospacing="0" w:after="0"/>
        <w:ind w:left="1134" w:hanging="425"/>
        <w:jc w:val="both"/>
        <w:rPr>
          <w:lang w:val="hr-HR"/>
        </w:rPr>
      </w:pPr>
      <w:r w:rsidRPr="004A6627">
        <w:rPr>
          <w:lang w:val="hr-HR"/>
        </w:rPr>
        <w:t>(i)</w:t>
      </w:r>
      <w:r w:rsidR="00641BB3">
        <w:rPr>
          <w:lang w:val="hr-HR"/>
        </w:rPr>
        <w:tab/>
      </w:r>
      <w:r w:rsidRPr="004A6627">
        <w:rPr>
          <w:lang w:val="hr-HR"/>
        </w:rPr>
        <w:t>sve zemljišne čestice, vlasnička prava nad nekretninama i dozvole potrebne za provedbu Projekta pravodobno su dostupni;</w:t>
      </w:r>
    </w:p>
    <w:p w14:paraId="6DAD179A" w14:textId="2B8BF990" w:rsidR="00192A93" w:rsidRPr="004A6627" w:rsidRDefault="00192A93" w:rsidP="00357CA0">
      <w:pPr>
        <w:pStyle w:val="t-9-8"/>
        <w:spacing w:before="0" w:beforeAutospacing="0" w:after="0"/>
        <w:ind w:left="1134" w:hanging="425"/>
        <w:jc w:val="both"/>
        <w:rPr>
          <w:lang w:val="hr-HR"/>
        </w:rPr>
      </w:pPr>
      <w:r w:rsidRPr="004A6627">
        <w:rPr>
          <w:lang w:val="hr-HR"/>
        </w:rPr>
        <w:t xml:space="preserve">(ii) </w:t>
      </w:r>
      <w:r w:rsidR="00357CA0">
        <w:rPr>
          <w:lang w:val="hr-HR"/>
        </w:rPr>
        <w:t xml:space="preserve"> </w:t>
      </w:r>
      <w:r w:rsidRPr="004A6627">
        <w:rPr>
          <w:lang w:val="hr-HR"/>
        </w:rPr>
        <w:t>sva imovina i postrojenja u okviru Projekta stalno su osigurani i održavani u skladu s međunarodnom najboljom praksom.</w:t>
      </w:r>
    </w:p>
    <w:p w14:paraId="246F5E5E" w14:textId="54F20168"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Nabava</w:t>
      </w:r>
    </w:p>
    <w:p w14:paraId="5F83F385" w14:textId="77777777" w:rsidR="00192A93" w:rsidRPr="004A6627" w:rsidRDefault="00192A93" w:rsidP="004A6627">
      <w:pPr>
        <w:pStyle w:val="t-9-8"/>
        <w:spacing w:before="120" w:beforeAutospacing="0" w:after="0"/>
        <w:jc w:val="both"/>
        <w:rPr>
          <w:lang w:val="hr-HR"/>
        </w:rPr>
      </w:pPr>
      <w:r w:rsidRPr="004A6627">
        <w:rPr>
          <w:lang w:val="hr-HR"/>
        </w:rPr>
        <w:t>Nabava robe, izvođenje radova i pružanje usluga koji se financiraju prema Projektu usklađeni su sa Smjernicama o nabavi.</w:t>
      </w:r>
    </w:p>
    <w:p w14:paraId="64221812" w14:textId="59BD9A64"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 xml:space="preserve">Zaštita okoliša i socijalna zaštita </w:t>
      </w:r>
    </w:p>
    <w:p w14:paraId="0B0253D1" w14:textId="77777777" w:rsidR="00192A93" w:rsidRPr="004A6627" w:rsidRDefault="00192A93" w:rsidP="004A6627">
      <w:pPr>
        <w:pStyle w:val="t-9-8"/>
        <w:spacing w:before="120" w:beforeAutospacing="0" w:after="0"/>
        <w:jc w:val="both"/>
        <w:rPr>
          <w:lang w:val="hr-HR"/>
        </w:rPr>
      </w:pPr>
      <w:r w:rsidRPr="004A6627">
        <w:rPr>
          <w:lang w:val="hr-HR"/>
        </w:rPr>
        <w:t xml:space="preserve">Zajmoprimac provodi Projekt u skladu s odredbama navedenima u politici zaštite okoliša i socijalne zaštite. Posebno, ako bilo koji potprojekt zahtijeva postupak procjene utjecaja na okoliš (PUO) u skladu s politikom zaštite okoliša i socijalne zaštite, Zajmoprimac obavještava CEB i osigurava da su poduzete primjerene procjene utjecaja na okoliš i društvenog učinka sukladno zahtjevima politike zaštite okoliša i socijalne zaštite. Zajmoprimac osigurava da je relevantna dokumentacija o procjeni utjecaja na okoliš i društvenog učinka dostupna na pregled CEB-u kada god CEB to traži. </w:t>
      </w:r>
    </w:p>
    <w:p w14:paraId="73563444" w14:textId="6ECB710A" w:rsidR="00192A93" w:rsidRPr="004A6627" w:rsidRDefault="00574D66"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Ljudska prava</w:t>
      </w:r>
    </w:p>
    <w:p w14:paraId="4D200F83" w14:textId="77777777" w:rsidR="00192A93" w:rsidRPr="004A6627" w:rsidRDefault="00192A93" w:rsidP="004A6627">
      <w:pPr>
        <w:pStyle w:val="t-9-8"/>
        <w:spacing w:before="120" w:beforeAutospacing="0" w:after="0"/>
        <w:jc w:val="both"/>
        <w:rPr>
          <w:lang w:val="hr-HR"/>
        </w:rPr>
      </w:pPr>
      <w:r w:rsidRPr="004A6627">
        <w:rPr>
          <w:lang w:val="hr-HR"/>
        </w:rPr>
        <w:t>Zajmoprimac osigurava da tijekom provedbe Projekta ne dođe do kršenja (i) Europske konvencije o ljudskim pravima ili (ii) Europske socijalne povelje.</w:t>
      </w:r>
    </w:p>
    <w:p w14:paraId="61FFE356" w14:textId="0930ABD7"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bookmarkStart w:id="15" w:name="_Ref474422110"/>
      <w:bookmarkStart w:id="16" w:name="_Toc34130072"/>
      <w:bookmarkEnd w:id="13"/>
      <w:bookmarkEnd w:id="14"/>
      <w:r w:rsidRPr="004A6627">
        <w:rPr>
          <w:caps w:val="0"/>
          <w:szCs w:val="24"/>
        </w:rPr>
        <w:t>Integritet</w:t>
      </w:r>
    </w:p>
    <w:p w14:paraId="30C156C6" w14:textId="77777777" w:rsidR="00192A93" w:rsidRPr="004A6627" w:rsidRDefault="00192A93" w:rsidP="004A6627">
      <w:pPr>
        <w:pStyle w:val="t-9-8"/>
        <w:spacing w:before="120" w:beforeAutospacing="0" w:after="0"/>
        <w:jc w:val="both"/>
        <w:rPr>
          <w:lang w:val="hr-HR"/>
        </w:rPr>
      </w:pPr>
      <w:r w:rsidRPr="004A6627">
        <w:rPr>
          <w:lang w:val="hr-HR"/>
        </w:rPr>
        <w:t>Zajmoprimac osigurava da tijekom provedbe Projekta ne dođe do kršenja važećih propisa o prijevari, korupciji ili bilo kojeg drugog nezakonitog korištenja sredstava.</w:t>
      </w:r>
    </w:p>
    <w:p w14:paraId="042ABF6D" w14:textId="28D0D1A5"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ind w:left="567" w:hanging="567"/>
        <w:jc w:val="both"/>
        <w:rPr>
          <w:szCs w:val="24"/>
        </w:rPr>
      </w:pPr>
      <w:r w:rsidRPr="004A6627">
        <w:rPr>
          <w:caps w:val="0"/>
          <w:szCs w:val="24"/>
        </w:rPr>
        <w:t>Vidljivost</w:t>
      </w:r>
    </w:p>
    <w:p w14:paraId="76FE75BC" w14:textId="77777777" w:rsidR="00192A93" w:rsidRPr="004A6627" w:rsidRDefault="00192A93" w:rsidP="004A6627">
      <w:pPr>
        <w:pStyle w:val="t-9-8"/>
        <w:spacing w:before="120" w:beforeAutospacing="0" w:after="0"/>
        <w:jc w:val="both"/>
        <w:rPr>
          <w:lang w:val="hr-HR"/>
        </w:rPr>
      </w:pPr>
      <w:r w:rsidRPr="004A6627">
        <w:rPr>
          <w:lang w:val="hr-HR"/>
        </w:rPr>
        <w:t>Zajmoprimac obavješćuje Krajnje korisnike posredstvom odgovarajućih sredstava priopćavanja, poput mrežnih stranica, priopćenja za tisak, brošura i postavljanja informativnih plakata/ploča na relevantnim lokacijama Projekta, da budu upoznati s time da se Projekt djelomično financira sredstvima CEB-a. U svakom slučaju, u informacijama danim Krajnjim korisnicima na odgovarajući način prikazuju se ime i logo CEB-a.</w:t>
      </w:r>
    </w:p>
    <w:p w14:paraId="2C09CAC4" w14:textId="77777777" w:rsidR="00192A93" w:rsidRPr="004A6627" w:rsidRDefault="00192A93" w:rsidP="006E63C8">
      <w:pPr>
        <w:pStyle w:val="t-10-9-sred"/>
        <w:spacing w:before="0" w:beforeAutospacing="0" w:after="120"/>
        <w:jc w:val="both"/>
        <w:rPr>
          <w:b/>
          <w:lang w:val="hr-HR"/>
        </w:rPr>
      </w:pPr>
      <w:bookmarkStart w:id="17" w:name="_Ref474422712"/>
      <w:bookmarkStart w:id="18" w:name="_Toc34130074"/>
      <w:bookmarkEnd w:id="15"/>
      <w:bookmarkEnd w:id="16"/>
    </w:p>
    <w:p w14:paraId="0EB47A01" w14:textId="3A202924"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PRAĆENJE</w:t>
      </w:r>
    </w:p>
    <w:p w14:paraId="3CB91FB3" w14:textId="3229C896"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t>Izvješćivanje</w:t>
      </w:r>
    </w:p>
    <w:p w14:paraId="2501FDBB" w14:textId="77777777" w:rsidR="00192A93" w:rsidRPr="004A6627" w:rsidRDefault="00192A93" w:rsidP="004A6627">
      <w:pPr>
        <w:pStyle w:val="t-10-9-kurz-s"/>
        <w:spacing w:before="0" w:beforeAutospacing="0" w:after="120"/>
        <w:jc w:val="both"/>
        <w:rPr>
          <w:b/>
          <w:lang w:val="hr-HR"/>
        </w:rPr>
      </w:pPr>
      <w:r w:rsidRPr="004A6627">
        <w:rPr>
          <w:lang w:val="hr-HR"/>
        </w:rPr>
        <w:t>(a)  Izvješća o napretku projekta</w:t>
      </w:r>
    </w:p>
    <w:p w14:paraId="586FB165" w14:textId="77777777" w:rsidR="00192A93" w:rsidRPr="004A6627" w:rsidRDefault="00192A93" w:rsidP="004A6627">
      <w:pPr>
        <w:pStyle w:val="t-9-8"/>
        <w:spacing w:before="0" w:beforeAutospacing="0" w:after="120"/>
        <w:jc w:val="both"/>
        <w:rPr>
          <w:lang w:val="hr-HR"/>
        </w:rPr>
      </w:pPr>
      <w:r w:rsidRPr="004A6627">
        <w:rPr>
          <w:lang w:val="hr-HR"/>
        </w:rPr>
        <w:t xml:space="preserve">Zajmoprimac CEB-u šalje izvješće o napretku projekta (u daljnjem tekstu </w:t>
      </w:r>
      <w:r w:rsidRPr="00F34221">
        <w:rPr>
          <w:b/>
          <w:lang w:val="hr-HR"/>
        </w:rPr>
        <w:t>„</w:t>
      </w:r>
      <w:r w:rsidRPr="004A6627">
        <w:rPr>
          <w:b/>
          <w:lang w:val="hr-HR"/>
        </w:rPr>
        <w:t>Izvješće o napretku projekta“</w:t>
      </w:r>
      <w:r w:rsidRPr="004A6627">
        <w:rPr>
          <w:lang w:val="hr-HR"/>
        </w:rPr>
        <w:t xml:space="preserve">) (i) svakih šest (6) mjeseci sve do potpune dodjele isplaćenih tranši; i (ii) prije svakog Zahtjeva za isplatom, što god bilo prije. </w:t>
      </w:r>
    </w:p>
    <w:p w14:paraId="4FF54DF3" w14:textId="77777777" w:rsidR="00192A93" w:rsidRPr="004A6627" w:rsidRDefault="00192A93" w:rsidP="004A6627">
      <w:pPr>
        <w:pStyle w:val="t-9-8"/>
        <w:spacing w:before="0" w:beforeAutospacing="0" w:after="120"/>
        <w:jc w:val="both"/>
        <w:rPr>
          <w:lang w:val="hr-HR"/>
        </w:rPr>
      </w:pPr>
      <w:r w:rsidRPr="004A6627">
        <w:rPr>
          <w:lang w:val="hr-HR"/>
        </w:rPr>
        <w:lastRenderedPageBreak/>
        <w:t>Prilog 4. ovom Ugovoru sadrži predložak koji navodi minimalne informacije koje zahtijeva CEB. Mogu se koristiti i alternativni formati koji sadrže iste informacije.</w:t>
      </w:r>
    </w:p>
    <w:p w14:paraId="10BC5073" w14:textId="0800DEF7" w:rsidR="00192A93" w:rsidRPr="004A6627" w:rsidRDefault="00192A93" w:rsidP="006E63C8">
      <w:pPr>
        <w:spacing w:after="120"/>
        <w:jc w:val="both"/>
      </w:pPr>
      <w:r w:rsidRPr="004A6627">
        <w:t xml:space="preserve">U slučaju da bilo koji potprojekt kojemu je dodijeljena tranša nije usklađen s kriterijima prihvatljivosti navedenim u Prilogu 1., Zajmoprimac pravodobno dodjeljuje relevantne iznose drugim prihvatljivim potprojektima ili na drugačiji način otplaćuje ne-dodijeljene iznose CEB-u u skladu s podčlankom 4.7. </w:t>
      </w:r>
    </w:p>
    <w:p w14:paraId="23671835" w14:textId="77777777" w:rsidR="00192A93" w:rsidRPr="004A6627" w:rsidRDefault="00192A93" w:rsidP="004A6627">
      <w:pPr>
        <w:pStyle w:val="t-9-8"/>
        <w:spacing w:before="0" w:beforeAutospacing="0" w:after="120"/>
        <w:jc w:val="both"/>
        <w:rPr>
          <w:lang w:val="hr-HR"/>
        </w:rPr>
      </w:pPr>
      <w:r w:rsidRPr="004A6627">
        <w:rPr>
          <w:lang w:val="hr-HR"/>
        </w:rPr>
        <w:t>(b)  Izvješće o završetku projekta</w:t>
      </w:r>
    </w:p>
    <w:p w14:paraId="45186738" w14:textId="77777777" w:rsidR="00192A93" w:rsidRPr="004A6627" w:rsidRDefault="00192A93" w:rsidP="004A6627">
      <w:pPr>
        <w:pStyle w:val="t-9-8"/>
        <w:spacing w:before="0" w:beforeAutospacing="0" w:after="120"/>
        <w:jc w:val="both"/>
        <w:rPr>
          <w:lang w:val="hr-HR"/>
        </w:rPr>
      </w:pPr>
      <w:r w:rsidRPr="004A6627">
        <w:rPr>
          <w:lang w:val="hr-HR"/>
        </w:rPr>
        <w:t>Nakon potpune dodjele tranši, Zajmoprimac predaje izvješće o završetku projekta (u daljnjem tekstu „</w:t>
      </w:r>
      <w:r w:rsidRPr="004A6627">
        <w:rPr>
          <w:b/>
          <w:lang w:val="hr-HR"/>
        </w:rPr>
        <w:t>Izvješće o završetku projekta</w:t>
      </w:r>
      <w:r w:rsidRPr="004A6627">
        <w:rPr>
          <w:lang w:val="hr-HR"/>
        </w:rPr>
        <w:t>“) koje sadrži i procjenu društvenog učinka Projekta s tehničkim indikatorima o kojima se dogovorio s CEB-om, i navedenim u Prilogu 4., tablica 2.</w:t>
      </w:r>
    </w:p>
    <w:p w14:paraId="543CB180" w14:textId="77777777" w:rsidR="00192A93" w:rsidRPr="004A6627" w:rsidRDefault="00192A93" w:rsidP="004A6627">
      <w:pPr>
        <w:pStyle w:val="t-9-8"/>
        <w:spacing w:before="0" w:beforeAutospacing="0" w:after="120"/>
        <w:jc w:val="both"/>
        <w:rPr>
          <w:lang w:val="hr-HR"/>
        </w:rPr>
      </w:pPr>
      <w:r w:rsidRPr="004A6627">
        <w:rPr>
          <w:lang w:val="hr-HR"/>
        </w:rPr>
        <w:t>Prilog 4. ovom Ugovoru sadrži predložak koji navodi minimalne informacije koje zahtijeva CEB. Mogu se koristiti i alternativni formati koji sadrže iste informacije.</w:t>
      </w:r>
    </w:p>
    <w:p w14:paraId="37725364" w14:textId="1D538000"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t>Posjeti</w:t>
      </w:r>
    </w:p>
    <w:p w14:paraId="37F5FFA4" w14:textId="77777777" w:rsidR="00192A93" w:rsidRPr="004A6627" w:rsidRDefault="00192A93" w:rsidP="004A6627">
      <w:pPr>
        <w:pStyle w:val="t-9-8"/>
        <w:spacing w:before="0" w:beforeAutospacing="0" w:after="120"/>
        <w:jc w:val="both"/>
        <w:rPr>
          <w:lang w:val="hr-HR"/>
        </w:rPr>
      </w:pPr>
      <w:r w:rsidRPr="004A6627">
        <w:rPr>
          <w:lang w:val="hr-HR"/>
        </w:rPr>
        <w:t>Zajmoprimac blagonaklono prima svaki nadzorni/tehnički/evaluacijski posjet na jednak način, uključujući i omogućavanje pristupa relevantnim lokacijama/ugovornim stranama u potprojektu, a koje posjete će provoditi članovi osoblja CEB-a ili imenovane treće strane.</w:t>
      </w:r>
    </w:p>
    <w:p w14:paraId="735D0806" w14:textId="01DE4D23"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t>Revizija</w:t>
      </w:r>
    </w:p>
    <w:p w14:paraId="5309B907" w14:textId="77777777" w:rsidR="00192A93" w:rsidRPr="004A6627" w:rsidRDefault="00192A93" w:rsidP="004A6627">
      <w:pPr>
        <w:pStyle w:val="t-9-8"/>
        <w:spacing w:before="0" w:beforeAutospacing="0" w:after="120"/>
        <w:jc w:val="both"/>
        <w:rPr>
          <w:lang w:val="hr-HR"/>
        </w:rPr>
      </w:pPr>
      <w:r w:rsidRPr="004A6627">
        <w:rPr>
          <w:lang w:val="hr-HR"/>
        </w:rPr>
        <w:t>U slučaju da Zajmoprimac propusti ispuniti svoje zadatke prema Ugovoru, Zajmoprimac blagonaklono dočekuje svaku terensku reviziju koju će provoditi članovi osoblja CEB-a ili imenovane treće strane, a trošak čega snosi Zajmoprimac.</w:t>
      </w:r>
    </w:p>
    <w:p w14:paraId="370C1C48" w14:textId="53A07ABB" w:rsidR="00192A93" w:rsidRPr="004A6627" w:rsidRDefault="006E63C8"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bookmarkStart w:id="19" w:name="_Toc34130078"/>
      <w:bookmarkEnd w:id="17"/>
      <w:bookmarkEnd w:id="18"/>
      <w:r w:rsidRPr="004A6627">
        <w:rPr>
          <w:caps w:val="0"/>
          <w:szCs w:val="24"/>
        </w:rPr>
        <w:t>Informacije o projektu</w:t>
      </w:r>
    </w:p>
    <w:p w14:paraId="66A5CEB8" w14:textId="77777777" w:rsidR="00192A93" w:rsidRPr="004A6627" w:rsidRDefault="00192A93" w:rsidP="004A6627">
      <w:pPr>
        <w:pStyle w:val="t-9-8"/>
        <w:spacing w:before="0" w:beforeAutospacing="0" w:after="120"/>
        <w:jc w:val="both"/>
        <w:rPr>
          <w:lang w:val="hr-HR"/>
        </w:rPr>
      </w:pPr>
      <w:r w:rsidRPr="004A6627">
        <w:rPr>
          <w:lang w:val="hr-HR"/>
        </w:rPr>
        <w:t>Zajmoprimac vodi računovodstvenu evidenciju o Projektu, koja će biti u skladu s međunarodnim standardima i koja će, u svakom trenutku, pokazivati stanje napretka Projekta i koja će evidentirati sve izvršene radnje i identificirati imovinu i usluge koje su djelomično financirane uz pomoć Zajma.</w:t>
      </w:r>
    </w:p>
    <w:p w14:paraId="01F85D83" w14:textId="77777777" w:rsidR="00192A93" w:rsidRPr="004A6627" w:rsidRDefault="00192A93" w:rsidP="004A6627">
      <w:pPr>
        <w:pStyle w:val="t-9-8"/>
        <w:spacing w:before="0" w:beforeAutospacing="0" w:after="120"/>
        <w:jc w:val="both"/>
        <w:rPr>
          <w:lang w:val="hr-HR"/>
        </w:rPr>
      </w:pPr>
      <w:r w:rsidRPr="004A6627">
        <w:rPr>
          <w:lang w:val="hr-HR"/>
        </w:rPr>
        <w:t>Zajmoprimac pravodobno dostavlja CEB-u sve informacije i dokumentaciju o financiranju ili provedbi Projekta (uključujući posebice pitanja zaštite okoliša i nabave) koje CEB može razumno zatražiti.</w:t>
      </w:r>
    </w:p>
    <w:p w14:paraId="302816F3" w14:textId="77777777" w:rsidR="00192A93" w:rsidRPr="004A6627" w:rsidRDefault="00192A93" w:rsidP="004A6627">
      <w:pPr>
        <w:pStyle w:val="t-9-8"/>
        <w:spacing w:before="0" w:beforeAutospacing="0" w:after="120"/>
        <w:jc w:val="both"/>
        <w:rPr>
          <w:lang w:val="hr-HR"/>
        </w:rPr>
      </w:pPr>
      <w:r w:rsidRPr="004A6627">
        <w:rPr>
          <w:lang w:val="hr-HR"/>
        </w:rPr>
        <w:t>Zajmoprimac odmah obavješćuje CEB o svakom događaju koji može imati značajan negativan utjecaj na provedbu Projekta uključujući, ali ne ograničavajući se na sljedeće:</w:t>
      </w:r>
    </w:p>
    <w:p w14:paraId="0D053024" w14:textId="77777777" w:rsidR="00192A93" w:rsidRPr="004A6627" w:rsidRDefault="00192A93" w:rsidP="00357CA0">
      <w:pPr>
        <w:pStyle w:val="t-9-8"/>
        <w:spacing w:before="0" w:beforeAutospacing="0" w:after="0"/>
        <w:ind w:left="1134" w:hanging="425"/>
        <w:jc w:val="both"/>
        <w:rPr>
          <w:lang w:val="hr-HR"/>
        </w:rPr>
      </w:pPr>
      <w:r w:rsidRPr="004A6627">
        <w:rPr>
          <w:lang w:val="hr-HR"/>
        </w:rPr>
        <w:t>(i)   svaku radnja ili protest ili svaki prigovor koji je podnijela bilo koja treća strana ili svaka stvarna pritužba koju je primio Zajmoprimac, ili bilo koji značajan parnični postupak koji je pokrenut ili za koji postoji rizik da će biti pokrenut protiv njega u vezi s pitanjima nabave ili zaštite okoliša ili drugim pitanjima koja utječu na Projekt; i</w:t>
      </w:r>
    </w:p>
    <w:p w14:paraId="1B14809D" w14:textId="77777777" w:rsidR="00192A93" w:rsidRPr="004A6627" w:rsidRDefault="00192A93" w:rsidP="004A6627">
      <w:pPr>
        <w:pStyle w:val="t-9-8"/>
        <w:spacing w:before="0" w:beforeAutospacing="0" w:after="120"/>
        <w:ind w:left="1134" w:hanging="425"/>
        <w:jc w:val="both"/>
        <w:rPr>
          <w:lang w:val="hr-HR"/>
        </w:rPr>
      </w:pPr>
      <w:r w:rsidRPr="004A6627">
        <w:rPr>
          <w:lang w:val="hr-HR"/>
        </w:rPr>
        <w:lastRenderedPageBreak/>
        <w:t>(ii)  svako donošenje ili izmjena i dopuna zakona, propisa ili pravilnika (ili u primjeni ili službenom tumačenju bilo kojeg zakona, propisa ili pravilnika).</w:t>
      </w:r>
    </w:p>
    <w:p w14:paraId="7C96CEF7" w14:textId="77777777" w:rsidR="00192A93" w:rsidRPr="004A6627" w:rsidRDefault="00192A93" w:rsidP="004A6627">
      <w:pPr>
        <w:pStyle w:val="t-9-8"/>
        <w:spacing w:before="0" w:beforeAutospacing="0" w:after="120"/>
        <w:jc w:val="both"/>
        <w:rPr>
          <w:lang w:val="hr-HR"/>
        </w:rPr>
      </w:pPr>
      <w:r w:rsidRPr="004A6627">
        <w:rPr>
          <w:lang w:val="hr-HR"/>
        </w:rPr>
        <w:t>Svaki događaj koji može imati značajan negativan utjecaj na provedbu Projekta predstavljao bi događaj u smislu članka 3.3 (h) Pravila o zajmovima te može dovesti do ranog povrata, obustave ili otkazivanja Zajma prema odredbama članaka 3.3 (</w:t>
      </w:r>
      <w:r w:rsidRPr="00F34221">
        <w:rPr>
          <w:rStyle w:val="kurziv"/>
          <w:i/>
          <w:lang w:val="hr-HR"/>
        </w:rPr>
        <w:t>Rani povrat isplaćenog zajma</w:t>
      </w:r>
      <w:r w:rsidRPr="004A6627">
        <w:rPr>
          <w:lang w:val="hr-HR"/>
        </w:rPr>
        <w:t>), 3.5 (</w:t>
      </w:r>
      <w:r w:rsidRPr="00F34221">
        <w:rPr>
          <w:rStyle w:val="kurziv"/>
          <w:i/>
          <w:lang w:val="hr-HR"/>
        </w:rPr>
        <w:t>Obustava neisplaćenih zajmova od strane Banke</w:t>
      </w:r>
      <w:r w:rsidRPr="004A6627">
        <w:rPr>
          <w:lang w:val="hr-HR"/>
        </w:rPr>
        <w:t>) i 3.6 (</w:t>
      </w:r>
      <w:r w:rsidRPr="00F34221">
        <w:rPr>
          <w:rStyle w:val="kurziv"/>
          <w:i/>
          <w:lang w:val="hr-HR"/>
        </w:rPr>
        <w:t>Otkazivanje neisplaćenih zajmova od strane Banke</w:t>
      </w:r>
      <w:r w:rsidRPr="004A6627">
        <w:rPr>
          <w:lang w:val="hr-HR"/>
        </w:rPr>
        <w:t>) Pravila o zajmovima.</w:t>
      </w:r>
    </w:p>
    <w:p w14:paraId="408EC1F5" w14:textId="623DEE94" w:rsidR="00192A93" w:rsidRPr="004A6627" w:rsidRDefault="00BC344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bookmarkStart w:id="20" w:name="_Ref474422074"/>
      <w:bookmarkStart w:id="21" w:name="_Toc34130079"/>
      <w:bookmarkEnd w:id="19"/>
      <w:r w:rsidRPr="004A6627">
        <w:rPr>
          <w:caps w:val="0"/>
          <w:szCs w:val="24"/>
        </w:rPr>
        <w:t>Informacije o zajmoprimcu</w:t>
      </w:r>
    </w:p>
    <w:p w14:paraId="3FB3A0F5" w14:textId="77777777" w:rsidR="00192A93" w:rsidRPr="004A6627" w:rsidRDefault="00192A93" w:rsidP="004A6627">
      <w:pPr>
        <w:pStyle w:val="t-9-8"/>
        <w:spacing w:before="0" w:beforeAutospacing="0" w:after="120"/>
        <w:jc w:val="both"/>
        <w:rPr>
          <w:lang w:val="hr-HR"/>
        </w:rPr>
      </w:pPr>
      <w:r w:rsidRPr="004A6627">
        <w:rPr>
          <w:lang w:val="hr-HR"/>
        </w:rPr>
        <w:t>Zajmoprimac dostavlja sve informacije vezane uz vlastitu opću financijsku situaciju koju CEB opravdano zatraži s vremena na vrijeme.</w:t>
      </w:r>
    </w:p>
    <w:p w14:paraId="69329F62" w14:textId="77777777" w:rsidR="00192A93" w:rsidRPr="004A6627" w:rsidRDefault="00192A93" w:rsidP="004A6627">
      <w:pPr>
        <w:pStyle w:val="t-9-8"/>
        <w:spacing w:before="0" w:beforeAutospacing="0" w:after="120"/>
        <w:jc w:val="both"/>
        <w:rPr>
          <w:lang w:val="hr-HR"/>
        </w:rPr>
      </w:pPr>
      <w:r w:rsidRPr="004A6627">
        <w:rPr>
          <w:lang w:val="hr-HR"/>
        </w:rPr>
        <w:t>Zajmoprimac odmah obavješćuje CEB o svakoj značajnoj negativnoj promjeni. Svaka značajna negativna promjena predstavljala bi događaj u smislu članka 3.3 (h) Pravila o zajmovima te može dovesti do ranog povrata, obustave ili otkazivanja Zajma prema odredbama članaka 3.3 (</w:t>
      </w:r>
      <w:r w:rsidRPr="009117B7">
        <w:rPr>
          <w:rStyle w:val="kurziv"/>
          <w:i/>
          <w:lang w:val="hr-HR"/>
        </w:rPr>
        <w:t>Rani povrat isplaćenog zajma</w:t>
      </w:r>
      <w:r w:rsidRPr="004A6627">
        <w:rPr>
          <w:lang w:val="hr-HR"/>
        </w:rPr>
        <w:t>), 3.5 (</w:t>
      </w:r>
      <w:r w:rsidRPr="009117B7">
        <w:rPr>
          <w:rStyle w:val="kurziv"/>
          <w:i/>
          <w:lang w:val="hr-HR"/>
        </w:rPr>
        <w:t>Obustava neisplaćenih zajmova od strane Banke</w:t>
      </w:r>
      <w:r w:rsidRPr="004A6627">
        <w:rPr>
          <w:lang w:val="hr-HR"/>
        </w:rPr>
        <w:t>) i 3.6 (</w:t>
      </w:r>
      <w:r w:rsidRPr="009117B7">
        <w:rPr>
          <w:rStyle w:val="kurziv"/>
          <w:i/>
          <w:lang w:val="hr-HR"/>
        </w:rPr>
        <w:t>Otkazivanje neisplaćenih zajmova od strane Banke</w:t>
      </w:r>
      <w:r w:rsidRPr="004A6627">
        <w:rPr>
          <w:lang w:val="hr-HR"/>
        </w:rPr>
        <w:t>) Pravila o zajmovima.</w:t>
      </w:r>
    </w:p>
    <w:p w14:paraId="56195E46" w14:textId="77777777" w:rsidR="00192A93" w:rsidRPr="004A6627" w:rsidRDefault="00192A93" w:rsidP="004A6627">
      <w:pPr>
        <w:pStyle w:val="t-9-8"/>
        <w:spacing w:before="0" w:beforeAutospacing="0" w:after="120"/>
        <w:ind w:left="284"/>
        <w:jc w:val="both"/>
        <w:rPr>
          <w:lang w:val="hr-HR"/>
        </w:rPr>
      </w:pPr>
      <w:r w:rsidRPr="004A6627">
        <w:rPr>
          <w:lang w:val="hr-HR"/>
        </w:rPr>
        <w:t>(a)   Neispunjavanje bilo koje od obveza</w:t>
      </w:r>
    </w:p>
    <w:p w14:paraId="26427DF2" w14:textId="77777777" w:rsidR="00192A93" w:rsidRPr="004A6627" w:rsidRDefault="00192A93" w:rsidP="004A6627">
      <w:pPr>
        <w:pStyle w:val="t-9-8"/>
        <w:spacing w:before="0" w:beforeAutospacing="0" w:after="480"/>
        <w:jc w:val="both"/>
        <w:rPr>
          <w:lang w:val="hr-HR"/>
        </w:rPr>
      </w:pPr>
      <w:r w:rsidRPr="004A6627">
        <w:rPr>
          <w:lang w:val="hr-HR"/>
        </w:rPr>
        <w:t xml:space="preserve">Činjenica da se, zbog neispunjavanja bilo koje ugovorne obveze, od Zajmoprimca zatraži ili se od Zajmoprimca može zatražiti ili će se, nakon isteka bilo kojeg važećeg ugovorenog razdoblja počeka, od Zajmoprimca zatražiti ili će se moći zatražiti da prije dospijeća unaprijed plati, otplati ili otkaže bilo koji dužnički instrument ili činjenica da je otkazana ili obustavljena bilo koja obveza povezana s bilo kojim drugim dužničkim instrumentom, predstavljala bi događaj u smislu članka 3.3 (h) Pravila o zajmovima te može dovesti do ranog povrata, obustave ili otkazivanja Zajma prema odredbama članaka 3.3 </w:t>
      </w:r>
      <w:r w:rsidRPr="004A6627">
        <w:rPr>
          <w:rStyle w:val="kurziv"/>
          <w:lang w:val="hr-HR"/>
        </w:rPr>
        <w:t>(</w:t>
      </w:r>
      <w:r w:rsidRPr="009117B7">
        <w:rPr>
          <w:rStyle w:val="kurziv"/>
          <w:i/>
          <w:lang w:val="hr-HR"/>
        </w:rPr>
        <w:t>Rani povrat isplaćenog zajma</w:t>
      </w:r>
      <w:r w:rsidRPr="004A6627">
        <w:rPr>
          <w:lang w:val="hr-HR"/>
        </w:rPr>
        <w:t>), 3.5 (</w:t>
      </w:r>
      <w:r w:rsidRPr="009117B7">
        <w:rPr>
          <w:rStyle w:val="kurziv"/>
          <w:i/>
          <w:lang w:val="hr-HR"/>
        </w:rPr>
        <w:t>Obustava neisplaćenih zajmova od strane Banke</w:t>
      </w:r>
      <w:r w:rsidRPr="004A6627">
        <w:rPr>
          <w:lang w:val="hr-HR"/>
        </w:rPr>
        <w:t>) i 3.6 (</w:t>
      </w:r>
      <w:r w:rsidRPr="009117B7">
        <w:rPr>
          <w:rStyle w:val="kurziv"/>
          <w:i/>
          <w:lang w:val="hr-HR"/>
        </w:rPr>
        <w:t>Otkazivanje neisplaćenih zajmova od strane Banke</w:t>
      </w:r>
      <w:r w:rsidRPr="004A6627">
        <w:rPr>
          <w:lang w:val="hr-HR"/>
        </w:rPr>
        <w:t>) Pravila o zajmovima.</w:t>
      </w:r>
    </w:p>
    <w:p w14:paraId="5FE67093" w14:textId="1F33C9BB"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r w:rsidRPr="004A6627">
        <w:rPr>
          <w:caps w:val="0"/>
          <w:szCs w:val="24"/>
        </w:rPr>
        <w:t>KLAUZULA PARI PASSU</w:t>
      </w:r>
    </w:p>
    <w:p w14:paraId="26799211" w14:textId="77777777" w:rsidR="00192A93" w:rsidRPr="004A6627" w:rsidRDefault="00192A93" w:rsidP="004A6627">
      <w:pPr>
        <w:pStyle w:val="t-9-8"/>
        <w:spacing w:before="0" w:beforeAutospacing="0" w:after="120"/>
        <w:jc w:val="both"/>
        <w:rPr>
          <w:lang w:val="hr-HR"/>
        </w:rPr>
      </w:pPr>
      <w:r w:rsidRPr="004A6627">
        <w:rPr>
          <w:lang w:val="hr-HR"/>
        </w:rPr>
        <w:t>Nepridržavanje odredaba navedenih u članku 7. predstavljalo bi događaj u smislu članka 3.3 (h) Pravila o zajmovima te može dovesti do ranog povrata, obustave ili otkazivanja Zajma prema odredbama članaka 3.3 (</w:t>
      </w:r>
      <w:r w:rsidRPr="0011278D">
        <w:rPr>
          <w:rStyle w:val="kurziv"/>
          <w:i/>
          <w:lang w:val="hr-HR"/>
        </w:rPr>
        <w:t>Rani povrat isplaćenog zajma</w:t>
      </w:r>
      <w:r w:rsidRPr="004A6627">
        <w:rPr>
          <w:lang w:val="hr-HR"/>
        </w:rPr>
        <w:t>), 3.5 (</w:t>
      </w:r>
      <w:r w:rsidRPr="0011278D">
        <w:rPr>
          <w:rStyle w:val="kurziv"/>
          <w:i/>
          <w:lang w:val="hr-HR"/>
        </w:rPr>
        <w:t>Obustava neisplaćenih zajmova od strane Banke</w:t>
      </w:r>
      <w:r w:rsidRPr="004A6627">
        <w:rPr>
          <w:lang w:val="hr-HR"/>
        </w:rPr>
        <w:t>) i 3.6 (</w:t>
      </w:r>
      <w:r w:rsidRPr="0011278D">
        <w:rPr>
          <w:rStyle w:val="kurziv"/>
          <w:i/>
          <w:lang w:val="hr-HR"/>
        </w:rPr>
        <w:t>Otkazivanje neisplaćenih zajmova od strane Banke</w:t>
      </w:r>
      <w:r w:rsidRPr="004A6627">
        <w:rPr>
          <w:lang w:val="hr-HR"/>
        </w:rPr>
        <w:t>) Pravila o zajmovima.</w:t>
      </w:r>
    </w:p>
    <w:p w14:paraId="20E567C6" w14:textId="2129120C" w:rsidR="00192A93" w:rsidRPr="004A6627" w:rsidRDefault="00BC344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bookmarkStart w:id="22" w:name="_Toc31730723"/>
      <w:bookmarkStart w:id="23" w:name="_Toc38893642"/>
      <w:bookmarkEnd w:id="20"/>
      <w:bookmarkEnd w:id="21"/>
      <w:r w:rsidRPr="004A6627">
        <w:rPr>
          <w:caps w:val="0"/>
          <w:szCs w:val="24"/>
        </w:rPr>
        <w:t>Položaj</w:t>
      </w:r>
    </w:p>
    <w:p w14:paraId="1BCAE95A" w14:textId="77777777" w:rsidR="00192A93" w:rsidRPr="004A6627" w:rsidRDefault="00192A93" w:rsidP="004A6627">
      <w:pPr>
        <w:pStyle w:val="t-9-8"/>
        <w:spacing w:before="0" w:beforeAutospacing="0" w:after="120"/>
        <w:jc w:val="both"/>
        <w:rPr>
          <w:lang w:val="hr-HR"/>
        </w:rPr>
      </w:pPr>
      <w:r w:rsidRPr="004A6627">
        <w:rPr>
          <w:lang w:val="hr-HR"/>
        </w:rPr>
        <w:t>Zajmoprimac osigurava da njegove obveze plaćanja prema ovom Ugovoru imaju i da će imati barem jednaki položaj (</w:t>
      </w:r>
      <w:r w:rsidRPr="004A6627">
        <w:rPr>
          <w:rStyle w:val="kurziv"/>
          <w:i/>
          <w:lang w:val="hr-HR"/>
        </w:rPr>
        <w:t>pari passu</w:t>
      </w:r>
      <w:r w:rsidRPr="004A6627">
        <w:rPr>
          <w:lang w:val="hr-HR"/>
        </w:rPr>
        <w:t>) u pogledu prava plaćanja u odnosu na sve druge, sadašnje i buduće neosigurane i ne-subordinirane obveze prema njegovim dužničkim instrumentima.</w:t>
      </w:r>
    </w:p>
    <w:p w14:paraId="5266F40A" w14:textId="77777777" w:rsidR="00192A93" w:rsidRPr="004A6627" w:rsidRDefault="00192A93" w:rsidP="004A6627">
      <w:pPr>
        <w:pStyle w:val="t-9-8"/>
        <w:spacing w:before="0" w:beforeAutospacing="0" w:after="120"/>
        <w:jc w:val="both"/>
        <w:rPr>
          <w:lang w:val="hr-HR"/>
        </w:rPr>
      </w:pPr>
      <w:r w:rsidRPr="004A6627">
        <w:rPr>
          <w:lang w:val="hr-HR"/>
        </w:rPr>
        <w:lastRenderedPageBreak/>
        <w:t>Posebice, Zajmoprimac ne vrši (niti odobrava) nikakva plaćanja s obzirom na bilo koji drugi takav dužnički instrument (bilo da je redovito planiran ili da nije) ako:</w:t>
      </w:r>
    </w:p>
    <w:p w14:paraId="52AD1560" w14:textId="53EADA46" w:rsidR="00192A93" w:rsidRPr="004A6627" w:rsidRDefault="00192A93" w:rsidP="00357CA0">
      <w:pPr>
        <w:pStyle w:val="t-9-8"/>
        <w:spacing w:before="0" w:beforeAutospacing="0" w:after="0"/>
        <w:ind w:left="567"/>
        <w:jc w:val="both"/>
        <w:rPr>
          <w:lang w:val="hr-HR"/>
        </w:rPr>
      </w:pPr>
      <w:r w:rsidRPr="004A6627">
        <w:rPr>
          <w:lang w:val="hr-HR"/>
        </w:rPr>
        <w:t>(i)   CEB uputi zahtjev za rani povrat prema članku 3.3 Pravila o zajmovima; ili</w:t>
      </w:r>
    </w:p>
    <w:p w14:paraId="5519D35F" w14:textId="0C735303" w:rsidR="00192A93" w:rsidRPr="004A6627" w:rsidRDefault="00192A93" w:rsidP="004A6627">
      <w:pPr>
        <w:pStyle w:val="t-9-8"/>
        <w:spacing w:before="0" w:beforeAutospacing="0" w:after="120"/>
        <w:ind w:left="993" w:hanging="426"/>
        <w:jc w:val="both"/>
        <w:rPr>
          <w:lang w:val="hr-HR"/>
        </w:rPr>
      </w:pPr>
      <w:r w:rsidRPr="004A6627">
        <w:rPr>
          <w:lang w:val="hr-HR"/>
        </w:rPr>
        <w:t xml:space="preserve">(ii)  </w:t>
      </w:r>
      <w:r w:rsidRPr="00BC3443">
        <w:rPr>
          <w:spacing w:val="-2"/>
          <w:lang w:val="hr-HR"/>
        </w:rPr>
        <w:t>se dogodio i traje neki događaj ili potencijalni događaj neispunjavanja obveza</w:t>
      </w:r>
      <w:r w:rsidRPr="004A6627">
        <w:rPr>
          <w:lang w:val="hr-HR"/>
        </w:rPr>
        <w:t xml:space="preserve"> prema bilo kojem neosiguranom i ne-subordiniranom dužničkom instrumentu Zajmoprimca ili bilo koje od njegovih agencija ili posredovanja.</w:t>
      </w:r>
    </w:p>
    <w:p w14:paraId="5ACED8FF" w14:textId="77777777" w:rsidR="00192A93" w:rsidRPr="004A6627" w:rsidRDefault="00192A93" w:rsidP="004A6627">
      <w:pPr>
        <w:pStyle w:val="t-9-8"/>
        <w:spacing w:before="0" w:beforeAutospacing="0" w:after="120"/>
        <w:jc w:val="both"/>
        <w:rPr>
          <w:lang w:val="hr-HR"/>
        </w:rPr>
      </w:pPr>
      <w:r w:rsidRPr="004A6627">
        <w:rPr>
          <w:lang w:val="hr-HR"/>
        </w:rPr>
        <w:t>Međutim, plaćanje s obzirom na takav dužnički instrument je moguće ako Zajmoprimac:</w:t>
      </w:r>
    </w:p>
    <w:p w14:paraId="4C67A7A5" w14:textId="77777777" w:rsidR="00192A93" w:rsidRPr="004A6627" w:rsidRDefault="00192A93" w:rsidP="00357CA0">
      <w:pPr>
        <w:pStyle w:val="t-9-8"/>
        <w:spacing w:before="0" w:beforeAutospacing="0" w:after="0"/>
        <w:ind w:left="567"/>
        <w:jc w:val="both"/>
        <w:rPr>
          <w:lang w:val="hr-HR"/>
        </w:rPr>
      </w:pPr>
      <w:r w:rsidRPr="004A6627">
        <w:rPr>
          <w:lang w:val="hr-HR"/>
        </w:rPr>
        <w:t>(i)    istovremeno plaća; ili</w:t>
      </w:r>
    </w:p>
    <w:p w14:paraId="3F974C31" w14:textId="77777777" w:rsidR="00192A93" w:rsidRPr="004A6627" w:rsidRDefault="00192A93" w:rsidP="004A6627">
      <w:pPr>
        <w:pStyle w:val="t-9-8"/>
        <w:spacing w:before="0" w:beforeAutospacing="0" w:after="120"/>
        <w:ind w:left="567"/>
        <w:jc w:val="both"/>
        <w:rPr>
          <w:lang w:val="hr-HR"/>
        </w:rPr>
      </w:pPr>
      <w:r w:rsidRPr="004A6627">
        <w:rPr>
          <w:lang w:val="hr-HR"/>
        </w:rPr>
        <w:t>(ii)   rasporedi na namjenski račun za plaćanje na sljedeći datum plaćanja kamate</w:t>
      </w:r>
    </w:p>
    <w:p w14:paraId="2A52D92E" w14:textId="77777777" w:rsidR="00192A93" w:rsidRPr="004A6627" w:rsidRDefault="00192A93" w:rsidP="004A6627">
      <w:pPr>
        <w:pStyle w:val="t-9-8"/>
        <w:spacing w:before="0" w:beforeAutospacing="0" w:after="120"/>
        <w:jc w:val="both"/>
        <w:rPr>
          <w:lang w:val="hr-HR"/>
        </w:rPr>
      </w:pPr>
      <w:r w:rsidRPr="004A6627">
        <w:rPr>
          <w:lang w:val="hr-HR"/>
        </w:rPr>
        <w:t>iznos jednak udjelu neotplaćene glavnice prema ovom Ugovoru koji odgovara onom udjelu koji plaćanje prema takvom dužničkom instrumentu ima u ukupno neotplaćenom dugu prema tom instrumentu.</w:t>
      </w:r>
    </w:p>
    <w:p w14:paraId="2A61C9CE" w14:textId="77777777" w:rsidR="00192A93" w:rsidRPr="004A6627" w:rsidRDefault="00192A93" w:rsidP="004A6627">
      <w:pPr>
        <w:pStyle w:val="t-9-8"/>
        <w:spacing w:before="0" w:beforeAutospacing="0" w:after="120"/>
        <w:jc w:val="both"/>
        <w:rPr>
          <w:lang w:val="hr-HR"/>
        </w:rPr>
      </w:pPr>
      <w:r w:rsidRPr="004A6627">
        <w:rPr>
          <w:lang w:val="hr-HR"/>
        </w:rPr>
        <w:t>U tu svrhu, svako plaćanje dužničkog instrumenta koje se izvrši iz sredstava izdavanja drugog instrumenta, na koji su se velikim dijelom upisale za poravnanje iste osobe koje imaju potraživanja iz dužničkog instrumenta, odbija se.</w:t>
      </w:r>
    </w:p>
    <w:bookmarkEnd w:id="22"/>
    <w:bookmarkEnd w:id="23"/>
    <w:p w14:paraId="04879F09" w14:textId="395127E0" w:rsidR="00192A93" w:rsidRPr="004A6627" w:rsidRDefault="00BC344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t>Osiguranje otplate duga</w:t>
      </w:r>
    </w:p>
    <w:p w14:paraId="61ECBC69" w14:textId="77777777" w:rsidR="00192A93" w:rsidRPr="004A6627" w:rsidRDefault="00192A93" w:rsidP="004A6627">
      <w:pPr>
        <w:pStyle w:val="t-9-8"/>
        <w:spacing w:before="0" w:beforeAutospacing="0" w:after="120"/>
        <w:jc w:val="both"/>
        <w:rPr>
          <w:lang w:val="hr-HR"/>
        </w:rPr>
      </w:pPr>
      <w:r w:rsidRPr="004A6627">
        <w:rPr>
          <w:lang w:val="hr-HR"/>
        </w:rPr>
        <w:t>Ako je osiguranje otplate duga ustupljeno za izvršenje dužničkog instrumenta Zajmoprimca, Zajmoprimac pravodobno obavješćuje CEB o svojim namjerama i, ako CEB to zatraži, dostavlja CEB-u u roku navedenom u CEB-ovoj obavijesti identično ili istovjetno osiguranje otplate duga za izvršenje svojih financijskih obaveza prema ovom Ugovoru.</w:t>
      </w:r>
    </w:p>
    <w:p w14:paraId="5205056D" w14:textId="77777777" w:rsidR="00192A93" w:rsidRPr="004A6627" w:rsidRDefault="00192A93" w:rsidP="004A6627">
      <w:pPr>
        <w:pStyle w:val="t-9-8"/>
        <w:spacing w:before="0" w:beforeAutospacing="0" w:after="120"/>
        <w:jc w:val="both"/>
        <w:rPr>
          <w:lang w:val="hr-HR"/>
        </w:rPr>
      </w:pPr>
      <w:r w:rsidRPr="004A6627">
        <w:rPr>
          <w:lang w:val="hr-HR"/>
        </w:rPr>
        <w:t>Ova odredba ne primjenjuje se na osiguranje otplate duga:</w:t>
      </w:r>
    </w:p>
    <w:p w14:paraId="25ADF50D" w14:textId="5737F5E7" w:rsidR="00192A93" w:rsidRPr="004A6627" w:rsidRDefault="00192A93" w:rsidP="00357CA0">
      <w:pPr>
        <w:pStyle w:val="t-9-8"/>
        <w:spacing w:before="0" w:beforeAutospacing="0" w:after="0"/>
        <w:ind w:left="992" w:hanging="425"/>
        <w:jc w:val="both"/>
        <w:rPr>
          <w:lang w:val="hr-HR"/>
        </w:rPr>
      </w:pPr>
      <w:r w:rsidRPr="004A6627">
        <w:rPr>
          <w:lang w:val="hr-HR"/>
        </w:rPr>
        <w:t>(i)  izdano na imovinu u vrijeme kupnje samo kao osiguranje otplate duga za plaćanje kupovne cijene ili za plaćanje duga nastalog u svrhu financiranja kupnje takve imovine;</w:t>
      </w:r>
    </w:p>
    <w:p w14:paraId="1D9EAE05" w14:textId="18E17FA7" w:rsidR="00192A93" w:rsidRPr="004A6627" w:rsidRDefault="00192A93" w:rsidP="00357CA0">
      <w:pPr>
        <w:pStyle w:val="t-9-8"/>
        <w:spacing w:before="0" w:beforeAutospacing="0" w:after="0"/>
        <w:ind w:left="992" w:hanging="425"/>
        <w:jc w:val="both"/>
        <w:rPr>
          <w:lang w:val="hr-HR"/>
        </w:rPr>
      </w:pPr>
      <w:r w:rsidRPr="004A6627">
        <w:rPr>
          <w:lang w:val="hr-HR"/>
        </w:rPr>
        <w:t>(ii)  kojim se osigurava dužnički instrument koji dospijeva najkasnije jednu (1) godinu nakon datuma kada je izvorno izdano; ili</w:t>
      </w:r>
    </w:p>
    <w:p w14:paraId="6B86B56E" w14:textId="0E30D601" w:rsidR="00192A93" w:rsidRPr="004A6627" w:rsidRDefault="00192A93" w:rsidP="00495D63">
      <w:pPr>
        <w:pStyle w:val="t-9-8"/>
        <w:spacing w:before="0" w:beforeAutospacing="0" w:after="120"/>
        <w:ind w:left="993" w:hanging="426"/>
        <w:jc w:val="both"/>
        <w:rPr>
          <w:lang w:val="hr-HR"/>
        </w:rPr>
      </w:pPr>
      <w:r w:rsidRPr="004A6627">
        <w:rPr>
          <w:lang w:val="hr-HR"/>
        </w:rPr>
        <w:t>(iii)  prethodno odobreno od strane CEB-a.</w:t>
      </w:r>
    </w:p>
    <w:p w14:paraId="29EB1EF8" w14:textId="3449DA6F" w:rsidR="00192A93" w:rsidRPr="004A6627" w:rsidRDefault="00495D6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t>Ubačena odredba</w:t>
      </w:r>
    </w:p>
    <w:p w14:paraId="3C0FDA0C" w14:textId="77777777" w:rsidR="00192A93" w:rsidRPr="004A6627" w:rsidRDefault="00192A93" w:rsidP="004A6627">
      <w:pPr>
        <w:pStyle w:val="t-9-8"/>
        <w:spacing w:before="0" w:beforeAutospacing="0" w:after="120"/>
        <w:jc w:val="both"/>
        <w:rPr>
          <w:lang w:val="hr-HR"/>
        </w:rPr>
      </w:pPr>
      <w:r w:rsidRPr="004A6627">
        <w:rPr>
          <w:lang w:val="hr-HR"/>
        </w:rPr>
        <w:t>Ako bilo koji dužnički instrument Zajmoprimca uključuje odredbe o padu boniteta Zajmoprimca, financijske pokazatelje, ili položaj jednakih prava (</w:t>
      </w:r>
      <w:r w:rsidRPr="004A6627">
        <w:rPr>
          <w:rStyle w:val="kurziv"/>
          <w:i/>
          <w:lang w:val="hr-HR"/>
        </w:rPr>
        <w:t>pari passu</w:t>
      </w:r>
      <w:r w:rsidRPr="004A6627">
        <w:rPr>
          <w:rStyle w:val="kurziv"/>
          <w:lang w:val="hr-HR"/>
        </w:rPr>
        <w:t>)</w:t>
      </w:r>
      <w:r w:rsidRPr="004A6627">
        <w:rPr>
          <w:lang w:val="hr-HR"/>
        </w:rPr>
        <w:t>, a koje su strože od ekvivalentne odredbe ovog Ugovora, Zajmoprimac o tome obavješćuje CEB i, na zahtjev CEB-a putem pisane obavijesti, izvršava u roku navedenom u obavijesti CEB-a, izmjenu i dopunu Ugovora u svrhu osiguravanja ekvivalentne odredbe u korist CEB-a.</w:t>
      </w:r>
    </w:p>
    <w:p w14:paraId="472CE2EA" w14:textId="1C685000" w:rsidR="00192A93" w:rsidRPr="004A6627" w:rsidRDefault="00495D63" w:rsidP="00436B0A">
      <w:pPr>
        <w:pStyle w:val="Heading1"/>
        <w:keepLines/>
        <w:numPr>
          <w:ilvl w:val="1"/>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ind w:left="567" w:hanging="567"/>
        <w:jc w:val="both"/>
        <w:rPr>
          <w:szCs w:val="24"/>
        </w:rPr>
      </w:pPr>
      <w:r w:rsidRPr="004A6627">
        <w:rPr>
          <w:caps w:val="0"/>
          <w:szCs w:val="24"/>
        </w:rPr>
        <w:lastRenderedPageBreak/>
        <w:t>Prijevremena otplata trećim stranama</w:t>
      </w:r>
    </w:p>
    <w:p w14:paraId="2009FBB5" w14:textId="77777777" w:rsidR="00192A93" w:rsidRPr="004A6627" w:rsidRDefault="00192A93" w:rsidP="004A6627">
      <w:pPr>
        <w:pStyle w:val="t-9-8"/>
        <w:spacing w:before="0" w:beforeAutospacing="0" w:after="120"/>
        <w:jc w:val="both"/>
        <w:rPr>
          <w:lang w:val="hr-HR"/>
        </w:rPr>
      </w:pPr>
      <w:r w:rsidRPr="004A6627">
        <w:rPr>
          <w:lang w:val="hr-HR"/>
        </w:rPr>
        <w:t>Ako Zajmoprimac prijevremeno otplati u cijelosti ili djelomično, dobrovoljno ili na drugi način, bilo koji dužnički instrument, Zajmoprimac o tome obavješćuje CEB.</w:t>
      </w:r>
    </w:p>
    <w:p w14:paraId="3A0A1A48" w14:textId="77777777" w:rsidR="00192A93" w:rsidRPr="004A6627" w:rsidRDefault="00192A93" w:rsidP="004A6627">
      <w:pPr>
        <w:pStyle w:val="t-9-8"/>
        <w:spacing w:before="0" w:beforeAutospacing="0" w:after="120"/>
        <w:jc w:val="both"/>
        <w:rPr>
          <w:lang w:val="hr-HR"/>
        </w:rPr>
      </w:pPr>
      <w:r w:rsidRPr="004A6627">
        <w:rPr>
          <w:lang w:val="hr-HR"/>
        </w:rPr>
        <w:t>U slučaju takvog događaja, CEB može uputiti zahtjev Zajmoprimcu i na temelju zahtjeva CEB-a, Zajmoprimac CEB-u nadoknađuje iznose isplaćene u okviru Zajma prema podčlanku 4.7 u mjeri u kojoj prijevremeno otplaćeni iznos odgovara odgovarajućem dužničkom instrumentu. Prethodno se ne tiče prijevremene otplate sredstava obnovljivog kredita koja ostaju otvorena za povlačenje pod istim uvjetima nakon takve prijevremene otplate.</w:t>
      </w:r>
    </w:p>
    <w:p w14:paraId="309F1998" w14:textId="77777777" w:rsidR="00192A93" w:rsidRPr="004A6627" w:rsidRDefault="00192A93" w:rsidP="004A6627">
      <w:pPr>
        <w:pStyle w:val="t-9-8"/>
        <w:spacing w:before="0" w:beforeAutospacing="0" w:after="440"/>
        <w:jc w:val="both"/>
        <w:rPr>
          <w:lang w:val="hr-HR"/>
        </w:rPr>
      </w:pPr>
      <w:r w:rsidRPr="004A6627">
        <w:rPr>
          <w:lang w:val="hr-HR"/>
        </w:rPr>
        <w:t>U svrhe ovog Ugovora, „</w:t>
      </w:r>
      <w:r w:rsidRPr="004A6627">
        <w:rPr>
          <w:b/>
          <w:lang w:val="hr-HR"/>
        </w:rPr>
        <w:t>prijevremena otplata</w:t>
      </w:r>
      <w:r w:rsidRPr="004A6627">
        <w:rPr>
          <w:lang w:val="hr-HR"/>
        </w:rPr>
        <w:t>“ i „</w:t>
      </w:r>
      <w:r w:rsidRPr="004A6627">
        <w:rPr>
          <w:b/>
          <w:lang w:val="hr-HR"/>
        </w:rPr>
        <w:t>prijevremeno otplatiti</w:t>
      </w:r>
      <w:r w:rsidRPr="004A6627">
        <w:rPr>
          <w:lang w:val="hr-HR"/>
        </w:rPr>
        <w:t>” znači otplatu prije dospijeća.</w:t>
      </w:r>
    </w:p>
    <w:p w14:paraId="62A5A319" w14:textId="52DBBC0A"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bookmarkStart w:id="24" w:name="_Toc31730727"/>
      <w:bookmarkStart w:id="25" w:name="_Toc38893646"/>
      <w:r w:rsidRPr="004A6627">
        <w:rPr>
          <w:caps w:val="0"/>
          <w:szCs w:val="24"/>
        </w:rPr>
        <w:t>IZJAVE I JAMSTVA</w:t>
      </w:r>
    </w:p>
    <w:p w14:paraId="076EEFD8" w14:textId="77777777" w:rsidR="00192A93" w:rsidRPr="004A6627" w:rsidRDefault="00192A93" w:rsidP="004A6627">
      <w:pPr>
        <w:pStyle w:val="t-9-8"/>
        <w:spacing w:before="0" w:beforeAutospacing="0" w:after="120"/>
        <w:jc w:val="both"/>
        <w:rPr>
          <w:lang w:val="hr-HR"/>
        </w:rPr>
      </w:pPr>
      <w:r w:rsidRPr="004A6627">
        <w:rPr>
          <w:lang w:val="hr-HR"/>
        </w:rPr>
        <w:t>Zajmoprimac izjavljuje i jamči da:</w:t>
      </w:r>
    </w:p>
    <w:p w14:paraId="45F3EB50" w14:textId="007CEF09" w:rsidR="00192A93" w:rsidRPr="004A6627" w:rsidRDefault="00192A93" w:rsidP="00357CA0">
      <w:pPr>
        <w:pStyle w:val="t-9-8"/>
        <w:spacing w:before="0" w:beforeAutospacing="0" w:after="0"/>
        <w:ind w:left="709" w:hanging="425"/>
        <w:jc w:val="both"/>
        <w:rPr>
          <w:lang w:val="hr-HR"/>
        </w:rPr>
      </w:pPr>
      <w:r w:rsidRPr="004A6627">
        <w:rPr>
          <w:lang w:val="hr-HR"/>
        </w:rPr>
        <w:t xml:space="preserve">(a) </w:t>
      </w:r>
      <w:r w:rsidRPr="00495D63">
        <w:rPr>
          <w:spacing w:val="-2"/>
          <w:lang w:val="hr-HR"/>
        </w:rPr>
        <w:t>su ga njegova nadležna tijela ovlastila da sklopi Ugovor i da su ovlastila</w:t>
      </w:r>
      <w:r w:rsidRPr="004A6627">
        <w:rPr>
          <w:lang w:val="hr-HR"/>
        </w:rPr>
        <w:t xml:space="preserve"> potpisnika/potpisnike u skladu sa zakonima, odlukama, uredbama, osnivačkim aktima i drugim primjenjivim tekstovima;</w:t>
      </w:r>
    </w:p>
    <w:p w14:paraId="39973E98" w14:textId="064B4E49" w:rsidR="00192A93" w:rsidRPr="004A6627" w:rsidRDefault="00192A93" w:rsidP="00357CA0">
      <w:pPr>
        <w:pStyle w:val="t-9-8"/>
        <w:spacing w:before="0" w:beforeAutospacing="0" w:after="0"/>
        <w:ind w:left="709" w:hanging="426"/>
        <w:jc w:val="both"/>
        <w:rPr>
          <w:lang w:val="hr-HR"/>
        </w:rPr>
      </w:pPr>
      <w:r w:rsidRPr="004A6627">
        <w:rPr>
          <w:lang w:val="hr-HR"/>
        </w:rPr>
        <w:t xml:space="preserve">(b) </w:t>
      </w:r>
      <w:r w:rsidR="00495D63">
        <w:rPr>
          <w:lang w:val="hr-HR"/>
        </w:rPr>
        <w:t xml:space="preserve"> </w:t>
      </w:r>
      <w:r w:rsidRPr="004A6627">
        <w:rPr>
          <w:lang w:val="hr-HR"/>
        </w:rPr>
        <w:t>izvršavanje i ispunjenje njegovih obveza prema i u skladu s odredbama ovog Ugovora nije:</w:t>
      </w:r>
    </w:p>
    <w:p w14:paraId="7A492196" w14:textId="2996710A" w:rsidR="00192A93" w:rsidRPr="004A6627" w:rsidRDefault="00192A93" w:rsidP="00357CA0">
      <w:pPr>
        <w:pStyle w:val="t-9-8"/>
        <w:spacing w:before="0" w:beforeAutospacing="0" w:after="0"/>
        <w:ind w:left="1134" w:hanging="425"/>
        <w:jc w:val="both"/>
        <w:rPr>
          <w:lang w:val="hr-HR"/>
        </w:rPr>
      </w:pPr>
      <w:r w:rsidRPr="004A6627">
        <w:rPr>
          <w:lang w:val="hr-HR"/>
        </w:rPr>
        <w:t xml:space="preserve">(i)  </w:t>
      </w:r>
      <w:r w:rsidRPr="004A6627">
        <w:rPr>
          <w:spacing w:val="-2"/>
          <w:lang w:val="hr-HR"/>
        </w:rPr>
        <w:t>u suprotnosti ili sukobu s bilo kojim primjenjivim zakonom, osnivačkim aktima, pravilom</w:t>
      </w:r>
      <w:r w:rsidRPr="004A6627">
        <w:rPr>
          <w:lang w:val="hr-HR"/>
        </w:rPr>
        <w:t xml:space="preserve"> ili uredbom, ili bilo kojom presudom, uredbom ili dozvolom kojoj podliježe;</w:t>
      </w:r>
    </w:p>
    <w:p w14:paraId="71ACB2CD" w14:textId="1CA1F61B" w:rsidR="00495D63" w:rsidRPr="004A6627" w:rsidRDefault="00192A93" w:rsidP="00357CA0">
      <w:pPr>
        <w:pStyle w:val="t-9-8"/>
        <w:spacing w:before="0" w:beforeAutospacing="0" w:after="0"/>
        <w:ind w:left="1134" w:hanging="425"/>
        <w:jc w:val="both"/>
        <w:rPr>
          <w:lang w:val="hr-HR"/>
        </w:rPr>
      </w:pPr>
      <w:r w:rsidRPr="004A6627">
        <w:rPr>
          <w:lang w:val="hr-HR"/>
        </w:rPr>
        <w:t>(ii)</w:t>
      </w:r>
      <w:r w:rsidR="00EA6233">
        <w:rPr>
          <w:lang w:val="hr-HR"/>
        </w:rPr>
        <w:tab/>
      </w:r>
      <w:r w:rsidRPr="004A6627">
        <w:rPr>
          <w:lang w:val="hr-HR"/>
        </w:rPr>
        <w:t>u suprotnosti ili sukobu s bilo kojim sporazumom ili drugim dužničkim instrumentom koji je za njega obvezujući, za kojeg bi se moglo razumno očekivati da će dovesti do značajne negativne promjene;</w:t>
      </w:r>
    </w:p>
    <w:p w14:paraId="408D3AE6" w14:textId="46CD27C7" w:rsidR="00192A93" w:rsidRPr="004A6627" w:rsidRDefault="00192A93" w:rsidP="00357CA0">
      <w:pPr>
        <w:pStyle w:val="t-9-8"/>
        <w:spacing w:before="0" w:beforeAutospacing="0" w:after="0"/>
        <w:ind w:left="709" w:hanging="425"/>
        <w:jc w:val="both"/>
        <w:rPr>
          <w:lang w:val="hr-HR"/>
        </w:rPr>
      </w:pPr>
      <w:r w:rsidRPr="004A6627">
        <w:rPr>
          <w:lang w:val="hr-HR"/>
        </w:rPr>
        <w:t>(c)</w:t>
      </w:r>
      <w:r w:rsidR="00EA6233">
        <w:rPr>
          <w:lang w:val="hr-HR"/>
        </w:rPr>
        <w:tab/>
      </w:r>
      <w:r w:rsidRPr="004A6627">
        <w:rPr>
          <w:lang w:val="hr-HR"/>
        </w:rPr>
        <w:t>nema nikakvog neriješenog događaja ili okolnosti koja bi predstavljala neispunjenje obveze prema bilo kojem ugovoru ili dužničkom instrumentu koji je obvezujući za Zajmoprimca ili kojemu podliježe njegova imovina, a za što bi se razumno moglo očekivati da može dovesti do značajne negativne promjene;</w:t>
      </w:r>
    </w:p>
    <w:p w14:paraId="05195DEE" w14:textId="5B0A5582" w:rsidR="00192A93" w:rsidRPr="004A6627" w:rsidRDefault="00192A93" w:rsidP="00357CA0">
      <w:pPr>
        <w:pStyle w:val="t-9-8"/>
        <w:spacing w:before="0" w:beforeAutospacing="0" w:after="0"/>
        <w:ind w:left="709" w:hanging="425"/>
        <w:jc w:val="both"/>
        <w:rPr>
          <w:lang w:val="hr-HR"/>
        </w:rPr>
      </w:pPr>
      <w:r w:rsidRPr="004A6627">
        <w:rPr>
          <w:lang w:val="hr-HR"/>
        </w:rPr>
        <w:t>(d)</w:t>
      </w:r>
      <w:r w:rsidR="00EA6233">
        <w:rPr>
          <w:lang w:val="hr-HR"/>
        </w:rPr>
        <w:tab/>
      </w:r>
      <w:r w:rsidRPr="004A6627">
        <w:rPr>
          <w:lang w:val="hr-HR"/>
        </w:rPr>
        <w:t>nikakvo osiguranje otplate duga nije odobreno trećoj strani protivno podčlanku 7.2;</w:t>
      </w:r>
    </w:p>
    <w:p w14:paraId="393514CE" w14:textId="7FAC5632" w:rsidR="00192A93" w:rsidRPr="004A6627" w:rsidRDefault="00192A93" w:rsidP="00357CA0">
      <w:pPr>
        <w:pStyle w:val="t-9-8"/>
        <w:spacing w:before="0" w:beforeAutospacing="0" w:after="0"/>
        <w:ind w:left="709" w:hanging="425"/>
        <w:jc w:val="both"/>
        <w:rPr>
          <w:lang w:val="hr-HR"/>
        </w:rPr>
      </w:pPr>
      <w:r w:rsidRPr="004A6627">
        <w:rPr>
          <w:lang w:val="hr-HR"/>
        </w:rPr>
        <w:t>(e)</w:t>
      </w:r>
      <w:r w:rsidR="00EA6233">
        <w:rPr>
          <w:lang w:val="hr-HR"/>
        </w:rPr>
        <w:tab/>
      </w:r>
      <w:r w:rsidRPr="00495D63">
        <w:rPr>
          <w:spacing w:val="-2"/>
          <w:lang w:val="hr-HR"/>
        </w:rPr>
        <w:t>koliko mu je poznato, protiv njega nije pokrenuta niti je iskazana prijetnja</w:t>
      </w:r>
      <w:r w:rsidRPr="004A6627">
        <w:rPr>
          <w:lang w:val="hr-HR"/>
        </w:rPr>
        <w:t xml:space="preserve"> pokretanja nikakve parnice, arbitraže ili upravnog postupka pred bilo kojim sudom, arbitražnim sudom ili agencijom, za koje bi se moglo razumno očekivati da bi doveli do značajne negativne promjene;</w:t>
      </w:r>
    </w:p>
    <w:p w14:paraId="446BF628" w14:textId="28BFF058" w:rsidR="00192A93" w:rsidRPr="004A6627" w:rsidRDefault="00192A93" w:rsidP="00495D63">
      <w:pPr>
        <w:pStyle w:val="t-9-8"/>
        <w:spacing w:before="0" w:beforeAutospacing="0" w:after="120"/>
        <w:ind w:left="709" w:hanging="425"/>
        <w:jc w:val="both"/>
        <w:rPr>
          <w:lang w:val="hr-HR"/>
        </w:rPr>
      </w:pPr>
      <w:r w:rsidRPr="004A6627">
        <w:rPr>
          <w:lang w:val="hr-HR"/>
        </w:rPr>
        <w:t xml:space="preserve">(f)  </w:t>
      </w:r>
      <w:r w:rsidR="00495D63">
        <w:rPr>
          <w:lang w:val="hr-HR"/>
        </w:rPr>
        <w:t xml:space="preserve"> </w:t>
      </w:r>
      <w:r w:rsidRPr="004A6627">
        <w:rPr>
          <w:spacing w:val="-4"/>
          <w:lang w:val="hr-HR"/>
        </w:rPr>
        <w:t>je zaprimio primjerak Pravila o zajmovima, politike o zajmovima, politike zaštite okoliša i socijalne</w:t>
      </w:r>
      <w:r w:rsidRPr="004A6627">
        <w:rPr>
          <w:lang w:val="hr-HR"/>
        </w:rPr>
        <w:t xml:space="preserve"> zaštite, te Smjernice o nabavi, i da ih je primio na znanje.</w:t>
      </w:r>
    </w:p>
    <w:p w14:paraId="7CCF35C4" w14:textId="77777777" w:rsidR="00192A93" w:rsidRPr="004A6627" w:rsidRDefault="00192A93" w:rsidP="004A6627">
      <w:pPr>
        <w:pStyle w:val="t-9-8"/>
        <w:spacing w:before="0" w:beforeAutospacing="0" w:after="120"/>
        <w:jc w:val="both"/>
        <w:rPr>
          <w:lang w:val="hr-HR"/>
        </w:rPr>
      </w:pPr>
      <w:r w:rsidRPr="004A6627">
        <w:rPr>
          <w:lang w:val="hr-HR"/>
        </w:rPr>
        <w:t>Gornje izjave i jamstva smatraju se ponovljenima na datum potpisivanja svakog Zahtjeva za isplatom. CEB mora bez odgode biti obaviješten o bilo kojoj promjeni vezanoj uz gornje izjave i jamstva tijekom cijelog razdoblja Zajma, te sva prateća dokumentacija mora odmah biti dostavljena CEB-u.</w:t>
      </w:r>
    </w:p>
    <w:p w14:paraId="344EAD38" w14:textId="77777777" w:rsidR="00192A93" w:rsidRPr="004A6627" w:rsidRDefault="00192A93" w:rsidP="004A6627">
      <w:pPr>
        <w:pStyle w:val="t-9-8"/>
        <w:spacing w:before="0" w:beforeAutospacing="0" w:after="440"/>
        <w:jc w:val="both"/>
        <w:rPr>
          <w:lang w:val="hr-HR"/>
        </w:rPr>
      </w:pPr>
      <w:r w:rsidRPr="004A6627">
        <w:rPr>
          <w:lang w:val="hr-HR"/>
        </w:rPr>
        <w:lastRenderedPageBreak/>
        <w:t xml:space="preserve">Ako bilo koja od gornjih izjava ili jamstva bude netočna ili se pokaže netočnom ili u bilo kojem pogledu obmanjujućom, to bi predstavljalo događaj u smislu članka 3.3 (h) Pravila o zajmovima te može dovesti do ranog povrata, obustave ili otkazivanja Zajma prema odredbama članaka 3.3 </w:t>
      </w:r>
      <w:r w:rsidRPr="004A6627">
        <w:rPr>
          <w:rStyle w:val="kurziv"/>
          <w:lang w:val="hr-HR"/>
        </w:rPr>
        <w:t>(</w:t>
      </w:r>
      <w:r w:rsidRPr="00EA6233">
        <w:rPr>
          <w:rStyle w:val="kurziv"/>
          <w:i/>
          <w:lang w:val="hr-HR"/>
        </w:rPr>
        <w:t>Rani povrat isplaćenog zajma</w:t>
      </w:r>
      <w:r w:rsidRPr="004A6627">
        <w:rPr>
          <w:lang w:val="hr-HR"/>
        </w:rPr>
        <w:t>), 3.5 (</w:t>
      </w:r>
      <w:r w:rsidRPr="00EA6233">
        <w:rPr>
          <w:rStyle w:val="kurziv"/>
          <w:i/>
          <w:lang w:val="hr-HR"/>
        </w:rPr>
        <w:t>Obustava neisplaćenih zajmova od strane Banke</w:t>
      </w:r>
      <w:r w:rsidRPr="004A6627">
        <w:rPr>
          <w:lang w:val="hr-HR"/>
        </w:rPr>
        <w:t>) i 3.6 (</w:t>
      </w:r>
      <w:r w:rsidRPr="00EA6233">
        <w:rPr>
          <w:rStyle w:val="kurziv"/>
          <w:i/>
          <w:lang w:val="hr-HR"/>
        </w:rPr>
        <w:t>Otkazivanje neisplaćenih zajmova od strane Banke</w:t>
      </w:r>
      <w:r w:rsidRPr="004A6627">
        <w:rPr>
          <w:lang w:val="hr-HR"/>
        </w:rPr>
        <w:t>) Pravila o zajmovima.</w:t>
      </w:r>
    </w:p>
    <w:p w14:paraId="4958117D" w14:textId="54E2D75D" w:rsidR="00192A93" w:rsidRPr="004A6627" w:rsidRDefault="00662C0B"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bookmarkStart w:id="26" w:name="_Toc34130092"/>
      <w:bookmarkEnd w:id="24"/>
      <w:bookmarkEnd w:id="25"/>
      <w:r w:rsidRPr="004A6627">
        <w:rPr>
          <w:caps w:val="0"/>
          <w:szCs w:val="24"/>
        </w:rPr>
        <w:t>TREĆE STRANE</w:t>
      </w:r>
    </w:p>
    <w:p w14:paraId="52A3C193" w14:textId="77777777" w:rsidR="00192A93" w:rsidRPr="004A6627" w:rsidRDefault="00192A93" w:rsidP="004A6627">
      <w:pPr>
        <w:pStyle w:val="t-9-8"/>
        <w:spacing w:before="0" w:beforeAutospacing="0" w:after="120"/>
        <w:jc w:val="both"/>
        <w:rPr>
          <w:lang w:val="hr-HR"/>
        </w:rPr>
      </w:pPr>
      <w:r w:rsidRPr="004A6627">
        <w:rPr>
          <w:lang w:val="hr-HR"/>
        </w:rPr>
        <w:t xml:space="preserve">Zajmoprimac ne može koristiti bilo koju činjenicu, unutar opsega korištenja Zajma, za svoje odnose s trećim stranama s ciljem izbjegavanja ispunjenja, potpunog ili djelomičnog, obveza koje proistječu iz Ugovora. </w:t>
      </w:r>
    </w:p>
    <w:p w14:paraId="6F460415" w14:textId="77777777" w:rsidR="00192A93" w:rsidRPr="004A6627" w:rsidRDefault="00192A93" w:rsidP="004A6627">
      <w:pPr>
        <w:pStyle w:val="t-9-8"/>
        <w:spacing w:before="0" w:beforeAutospacing="0" w:after="440"/>
        <w:jc w:val="both"/>
        <w:rPr>
          <w:lang w:val="hr-HR"/>
        </w:rPr>
      </w:pPr>
      <w:r w:rsidRPr="004A6627">
        <w:rPr>
          <w:lang w:val="hr-HR"/>
        </w:rPr>
        <w:t>CEB ne može biti uključen u sporove koji mogu nastati između Zajmoprimca i trećih strana, a troškove, koje god prirode bili, koji nastanu za CEB uslijed bilo kakvih potraživanja, naročito pravne ili sudske troškove, snosi Zajmoprimac.</w:t>
      </w:r>
    </w:p>
    <w:p w14:paraId="6C17981B"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NEODRICANJE OD PRAVA</w:t>
      </w:r>
    </w:p>
    <w:p w14:paraId="60333506" w14:textId="77777777" w:rsidR="00192A93" w:rsidRPr="004A6627" w:rsidRDefault="00192A93" w:rsidP="004A6627">
      <w:pPr>
        <w:pStyle w:val="t-9-8"/>
        <w:spacing w:before="0" w:beforeAutospacing="0" w:after="440"/>
        <w:jc w:val="both"/>
        <w:rPr>
          <w:lang w:val="hr-HR"/>
        </w:rPr>
      </w:pPr>
      <w:r w:rsidRPr="004A6627">
        <w:rPr>
          <w:lang w:val="hr-HR"/>
        </w:rPr>
        <w:t>Ni u kojem slučaju, čak niti kod kašnjenja ili djelomičnog izvršenja, ne može se pretpostaviti da se CEB prešutno odrekao bilo kojeg prava koje mu je dano Ugovorom.</w:t>
      </w:r>
    </w:p>
    <w:p w14:paraId="278612B4"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PRIJENOS</w:t>
      </w:r>
    </w:p>
    <w:p w14:paraId="5D884FF7" w14:textId="77777777" w:rsidR="00192A93" w:rsidRPr="004A6627" w:rsidRDefault="00192A93" w:rsidP="004A6627">
      <w:pPr>
        <w:pStyle w:val="t-9-8"/>
        <w:spacing w:before="0" w:beforeAutospacing="0" w:after="120"/>
        <w:jc w:val="both"/>
        <w:rPr>
          <w:lang w:val="hr-HR"/>
        </w:rPr>
      </w:pPr>
      <w:r w:rsidRPr="004A6627">
        <w:rPr>
          <w:lang w:val="hr-HR"/>
        </w:rPr>
        <w:t>Zajmoprimac ne smije prenijeti ili ustupiti niti jedno od svojih prava ili obveza prema Ugovoru bez prethodnog pisanog pristanka CEB-a.</w:t>
      </w:r>
    </w:p>
    <w:p w14:paraId="5170A8FF" w14:textId="77777777" w:rsidR="00192A93" w:rsidRPr="004A6627" w:rsidRDefault="00192A93" w:rsidP="004A6627">
      <w:pPr>
        <w:pStyle w:val="t-9-8"/>
        <w:spacing w:before="0" w:beforeAutospacing="0" w:after="440"/>
        <w:jc w:val="both"/>
        <w:rPr>
          <w:lang w:val="hr-HR"/>
        </w:rPr>
      </w:pPr>
      <w:r w:rsidRPr="004A6627">
        <w:rPr>
          <w:lang w:val="hr-HR"/>
        </w:rPr>
        <w:t>CEB može prenijeti sva ili dio svojih prava i koristi ili ustupiti sva ili dio svojih prava, koristi i obveza prema Ugovoru.</w:t>
      </w:r>
    </w:p>
    <w:bookmarkEnd w:id="26"/>
    <w:p w14:paraId="6A10188C"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MJERODAVNO PRAVO</w:t>
      </w:r>
    </w:p>
    <w:p w14:paraId="068AB1DE" w14:textId="77777777" w:rsidR="00192A93" w:rsidRPr="004A6627" w:rsidRDefault="00192A93" w:rsidP="00662C0B">
      <w:pPr>
        <w:pStyle w:val="t-9-8"/>
        <w:spacing w:before="0" w:beforeAutospacing="0" w:after="440"/>
        <w:jc w:val="both"/>
        <w:rPr>
          <w:lang w:val="hr-HR"/>
        </w:rPr>
      </w:pPr>
      <w:r w:rsidRPr="004A6627">
        <w:rPr>
          <w:lang w:val="hr-HR"/>
        </w:rPr>
        <w:t>Ugovor je uređen pravilima CEB-a kako je utvrđeno u odredbama članka 1. stavka 3. Trećeg protokola (od 6. ožujka 1959.) uz Opći sporazum o povlasticama i imunitetima Vijeća Europe (od 2. rujna 1949.) i sekundarno, ako je potrebno, francuskim pravom.</w:t>
      </w:r>
    </w:p>
    <w:p w14:paraId="11D6408F"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SPOROVI</w:t>
      </w:r>
    </w:p>
    <w:p w14:paraId="6377562F" w14:textId="77777777" w:rsidR="00192A93" w:rsidRPr="004A6627" w:rsidRDefault="00192A93" w:rsidP="004A6627">
      <w:pPr>
        <w:pStyle w:val="t-9-8"/>
        <w:spacing w:before="0" w:beforeAutospacing="0" w:after="120"/>
        <w:jc w:val="both"/>
        <w:rPr>
          <w:lang w:val="hr-HR"/>
        </w:rPr>
      </w:pPr>
      <w:r w:rsidRPr="004A6627">
        <w:rPr>
          <w:lang w:val="hr-HR"/>
        </w:rPr>
        <w:t xml:space="preserve">Sporovi između stranaka Ugovora podliježu arbitraži prema uvjetima utvrđenima u poglavlju 4. Pravila o zajmovima. </w:t>
      </w:r>
    </w:p>
    <w:p w14:paraId="743237AA" w14:textId="77777777" w:rsidR="00192A93" w:rsidRPr="004A6627" w:rsidRDefault="00192A93" w:rsidP="004A6627">
      <w:pPr>
        <w:pStyle w:val="t-9-8"/>
        <w:spacing w:before="0" w:beforeAutospacing="0" w:after="120"/>
        <w:jc w:val="both"/>
        <w:rPr>
          <w:lang w:val="hr-HR"/>
        </w:rPr>
      </w:pPr>
      <w:r w:rsidRPr="004A6627">
        <w:rPr>
          <w:lang w:val="hr-HR"/>
        </w:rPr>
        <w:t>Stranke su suglasne da neće koristiti bilo kakve povlastice, imunitete ili zakonodavstvo pred bilo kojim sudskim ili drugim tijelom, bilo domaćim ili međunarodnim, sa svrhom da prigovore provedbi odluke koja je donesena prema uvjetima utvrđenima u poglavlju 4. Pravila o zajmovima.</w:t>
      </w:r>
    </w:p>
    <w:p w14:paraId="458E78DB" w14:textId="77777777" w:rsidR="00192A93" w:rsidRPr="004A6627" w:rsidRDefault="00192A93" w:rsidP="004A6627">
      <w:pPr>
        <w:pStyle w:val="t-9-8"/>
        <w:spacing w:before="0" w:beforeAutospacing="0" w:after="440"/>
        <w:jc w:val="both"/>
        <w:rPr>
          <w:lang w:val="hr-HR"/>
        </w:rPr>
      </w:pPr>
      <w:r w:rsidRPr="004A6627">
        <w:rPr>
          <w:lang w:val="hr-HR"/>
        </w:rPr>
        <w:lastRenderedPageBreak/>
        <w:t xml:space="preserve">U slučaju bilo koje pravne radnje koja proizlazi iz ovog Ugovora, CEB-ova potvrda o bilo kojim dospjelim iznosima ili kamatnim stopama primjenjivima prema Ugovoru, u nedostatku očite pogreške, predstavlja </w:t>
      </w:r>
      <w:r w:rsidRPr="004A6627">
        <w:rPr>
          <w:rStyle w:val="kurziv"/>
          <w:i/>
          <w:lang w:val="hr-HR"/>
        </w:rPr>
        <w:t>prima facie</w:t>
      </w:r>
      <w:r w:rsidRPr="004A6627">
        <w:rPr>
          <w:lang w:val="hr-HR"/>
        </w:rPr>
        <w:t xml:space="preserve"> dokaz takvog iznosa ili kamatne stope.</w:t>
      </w:r>
    </w:p>
    <w:p w14:paraId="05BF4C65"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OBAVIJESTI</w:t>
      </w:r>
    </w:p>
    <w:p w14:paraId="16E26236" w14:textId="77777777" w:rsidR="00192A93" w:rsidRPr="004A6627" w:rsidRDefault="00192A93" w:rsidP="004A6627">
      <w:pPr>
        <w:pStyle w:val="t-9-8"/>
        <w:spacing w:before="0" w:beforeAutospacing="0" w:after="120"/>
        <w:jc w:val="both"/>
        <w:rPr>
          <w:lang w:val="hr-HR"/>
        </w:rPr>
      </w:pPr>
      <w:r w:rsidRPr="004A6627">
        <w:rPr>
          <w:lang w:val="hr-HR"/>
        </w:rPr>
        <w:t>Svaka obavijest ili drugo priopćenje koje treba biti dano ili sastavljeno prema ovom Ugovoru CEB-u ili Zajmoprimcu u pisanom je obliku i smatrat će se valjano danim ili sastavljenim ako ga je jedna stranka dostavila drugoj preporučenom poštom ili telefaksom na niže utvrđenu adresu stranke ili broj telefaksa:</w:t>
      </w:r>
    </w:p>
    <w:p w14:paraId="05DE68D8"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4A6627">
        <w:rPr>
          <w:u w:val="single"/>
        </w:rPr>
        <w:t>Za Zajmoprimca:</w:t>
      </w:r>
    </w:p>
    <w:p w14:paraId="4068D4ED"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rPr>
      </w:pPr>
      <w:r w:rsidRPr="004A6627">
        <w:rPr>
          <w:iCs/>
        </w:rPr>
        <w:t xml:space="preserve">Republika Hrvatska </w:t>
      </w:r>
    </w:p>
    <w:p w14:paraId="10BD5341"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rPr>
          <w:iCs/>
        </w:rPr>
        <w:t xml:space="preserve">Ministarstvo financija </w:t>
      </w:r>
    </w:p>
    <w:p w14:paraId="4A2F9F35"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rPr>
      </w:pPr>
      <w:r w:rsidRPr="004A6627">
        <w:rPr>
          <w:iCs/>
        </w:rPr>
        <w:t>Katančićeva 5, 10 000 Zagreb</w:t>
      </w:r>
    </w:p>
    <w:p w14:paraId="1FFB8FBE"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rPr>
      </w:pPr>
      <w:r w:rsidRPr="004A6627">
        <w:rPr>
          <w:iCs/>
        </w:rPr>
        <w:t>Hrvatska</w:t>
      </w:r>
    </w:p>
    <w:p w14:paraId="10C63D8C"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Na ruke: ministru financija</w:t>
      </w:r>
      <w:r w:rsidRPr="004A6627">
        <w:tab/>
      </w:r>
      <w:r w:rsidRPr="004A6627" w:rsidDel="0093602D">
        <w:t xml:space="preserve"> </w:t>
      </w:r>
    </w:p>
    <w:p w14:paraId="2033EF50"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 xml:space="preserve">Telefaks: </w:t>
      </w:r>
      <w:r w:rsidRPr="004A6627">
        <w:rPr>
          <w:lang w:val="en-GB"/>
        </w:rPr>
        <w:t>+385 1 4922-583</w:t>
      </w:r>
      <w:r w:rsidRPr="004A6627">
        <w:tab/>
      </w:r>
      <w:r w:rsidRPr="004A6627">
        <w:tab/>
      </w:r>
    </w:p>
    <w:p w14:paraId="0370A689"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rPr>
      </w:pPr>
    </w:p>
    <w:p w14:paraId="13B17A6A"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4A6627">
        <w:rPr>
          <w:u w:val="single"/>
        </w:rPr>
        <w:t>Za CEB:</w:t>
      </w:r>
    </w:p>
    <w:p w14:paraId="1AB1E12B"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Razvojna banka Vijeća Europe</w:t>
      </w:r>
    </w:p>
    <w:p w14:paraId="3517EBFD"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55 Avenue Kléber</w:t>
      </w:r>
    </w:p>
    <w:p w14:paraId="71C519AE"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75116 Paris</w:t>
      </w:r>
    </w:p>
    <w:p w14:paraId="31772112"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Francuska</w:t>
      </w:r>
    </w:p>
    <w:p w14:paraId="423C88EE"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Na ruke: direktoru, Odjel za projekte</w:t>
      </w:r>
    </w:p>
    <w:p w14:paraId="275DE0B0"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r w:rsidRPr="004A6627">
        <w:t>Telefaks: +33 1 47 55 37 52</w:t>
      </w:r>
    </w:p>
    <w:p w14:paraId="57818BB0" w14:textId="77777777" w:rsidR="00192A93" w:rsidRPr="004A6627" w:rsidRDefault="00192A93" w:rsidP="004A6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pPr>
    </w:p>
    <w:p w14:paraId="3FF917A4" w14:textId="77777777" w:rsidR="00FD6839" w:rsidRDefault="00FD6839" w:rsidP="004A6627">
      <w:pPr>
        <w:pStyle w:val="t-9-8"/>
        <w:spacing w:before="0" w:beforeAutospacing="0" w:after="120"/>
        <w:jc w:val="both"/>
        <w:rPr>
          <w:lang w:val="hr-HR"/>
        </w:rPr>
      </w:pPr>
    </w:p>
    <w:p w14:paraId="49F42ECA" w14:textId="77777777" w:rsidR="00FD6839" w:rsidRDefault="00FD6839" w:rsidP="004A6627">
      <w:pPr>
        <w:pStyle w:val="t-9-8"/>
        <w:spacing w:before="0" w:beforeAutospacing="0" w:after="120"/>
        <w:jc w:val="both"/>
        <w:rPr>
          <w:lang w:val="hr-HR"/>
        </w:rPr>
      </w:pPr>
    </w:p>
    <w:p w14:paraId="193191F9" w14:textId="77777777" w:rsidR="00FD6839" w:rsidRDefault="00FD6839" w:rsidP="004A6627">
      <w:pPr>
        <w:pStyle w:val="t-9-8"/>
        <w:spacing w:before="0" w:beforeAutospacing="0" w:after="120"/>
        <w:jc w:val="both"/>
        <w:rPr>
          <w:lang w:val="hr-HR"/>
        </w:rPr>
      </w:pPr>
    </w:p>
    <w:p w14:paraId="1FD8D148" w14:textId="4B3DB40F" w:rsidR="00192A93" w:rsidRPr="004A6627" w:rsidRDefault="00192A93" w:rsidP="004A6627">
      <w:pPr>
        <w:pStyle w:val="t-9-8"/>
        <w:spacing w:before="0" w:beforeAutospacing="0" w:after="120"/>
        <w:jc w:val="both"/>
        <w:rPr>
          <w:lang w:val="hr-HR"/>
        </w:rPr>
      </w:pPr>
      <w:r w:rsidRPr="004A6627">
        <w:rPr>
          <w:lang w:val="hr-HR"/>
        </w:rPr>
        <w:t>Sve obavijesti ili druga priopćenja koja trebaju biti dana ili sastavljena prema Ugovoru na engleskom su ili francuskom jeziku ili će, ako su na drugom jeziku, biti popraćena ovjerenim prijevodom na engleski ili francuski jezik, kada tako zatraži CEB.</w:t>
      </w:r>
    </w:p>
    <w:p w14:paraId="5BE171AD" w14:textId="77777777" w:rsidR="00192A93" w:rsidRPr="004A6627" w:rsidRDefault="00192A93" w:rsidP="004A6627">
      <w:pPr>
        <w:pStyle w:val="t-9-8"/>
        <w:spacing w:before="0" w:beforeAutospacing="0" w:after="120"/>
        <w:jc w:val="both"/>
        <w:rPr>
          <w:lang w:val="hr-HR"/>
        </w:rPr>
      </w:pPr>
      <w:r w:rsidRPr="004A6627">
        <w:rPr>
          <w:lang w:val="hr-HR"/>
        </w:rPr>
        <w:t>Bez utjecaja na valjanost bilo koje obavijesti dostavljene telefaksom u skladu s gornjim stavcima, primjerak svake obavijesti dostavljene telefaksom također će biti poslana preporučenom poštom dotičnoj stranki najkasnije sljedećeg radnog dana.</w:t>
      </w:r>
    </w:p>
    <w:p w14:paraId="72D2CE5D" w14:textId="77777777" w:rsidR="00192A93" w:rsidRPr="004A6627" w:rsidRDefault="00192A93" w:rsidP="004A6627">
      <w:pPr>
        <w:pStyle w:val="t-9-8"/>
        <w:spacing w:before="0" w:beforeAutospacing="0" w:after="120"/>
        <w:jc w:val="both"/>
        <w:rPr>
          <w:lang w:val="hr-HR"/>
        </w:rPr>
      </w:pPr>
      <w:r w:rsidRPr="004A6627">
        <w:rPr>
          <w:lang w:val="hr-HR"/>
        </w:rPr>
        <w:t>Obavijesti koje izda Zajmoprimac prema bilo kojoj odredbi ovog Ugovora, kada tako traži CEB, dostavljaju se CEB-u zajedno sa zadovoljavajućim dokazima o ovlaštenju osobe ili osoba ovlaštenih za potpisivanje takve obavijesti u ime Zajmoprimca i ovjerenim uzorkom potpisa takve osobe odnosno osoba.</w:t>
      </w:r>
    </w:p>
    <w:p w14:paraId="6E6E53E6" w14:textId="77777777" w:rsidR="00192A93" w:rsidRPr="004A6627" w:rsidRDefault="00192A93" w:rsidP="004A6627">
      <w:pPr>
        <w:pStyle w:val="t-9-8"/>
        <w:spacing w:before="0" w:beforeAutospacing="0" w:after="120"/>
        <w:jc w:val="both"/>
        <w:rPr>
          <w:lang w:val="hr-HR"/>
        </w:rPr>
      </w:pPr>
    </w:p>
    <w:p w14:paraId="19957F84"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lastRenderedPageBreak/>
        <w:t>POREZI I TROŠKOVI</w:t>
      </w:r>
    </w:p>
    <w:p w14:paraId="1749A03B" w14:textId="77777777" w:rsidR="00192A93" w:rsidRPr="004A6627" w:rsidRDefault="00192A93" w:rsidP="004A6627">
      <w:pPr>
        <w:pStyle w:val="t-9-8"/>
        <w:spacing w:before="0" w:beforeAutospacing="0" w:after="120"/>
        <w:jc w:val="both"/>
        <w:rPr>
          <w:lang w:val="hr-HR"/>
        </w:rPr>
      </w:pPr>
      <w:r w:rsidRPr="004A6627">
        <w:rPr>
          <w:lang w:val="hr-HR"/>
        </w:rPr>
        <w:t>Zajmoprimac plaća sve poreze, pristojbe, naknade i ostala davanja bilo koje vrste, uključujući i pristojbe za biljege i registraciju, koji proizlaze iz potpisivanja, registracije ili izvršenja Ugovora ili bilo kojeg povezanog dokumenta, kao i izrade, zaključivanja, registracije ili ovrhe bilo kojeg sredstva osiguranja ili jamstva potrebnih prema Ugovoru u mjeri u kojoj se to na njega primjenjuje.</w:t>
      </w:r>
    </w:p>
    <w:p w14:paraId="7E94B087" w14:textId="77777777" w:rsidR="00192A93" w:rsidRPr="004A6627" w:rsidRDefault="00192A93" w:rsidP="004A6627">
      <w:pPr>
        <w:pStyle w:val="t-9-8"/>
        <w:spacing w:before="0" w:beforeAutospacing="0" w:after="120"/>
        <w:jc w:val="both"/>
        <w:rPr>
          <w:lang w:val="hr-HR"/>
        </w:rPr>
      </w:pPr>
      <w:r w:rsidRPr="004A6627">
        <w:rPr>
          <w:lang w:val="hr-HR"/>
        </w:rPr>
        <w:t>Zajmoprimac snosi troškove svih pristojbi i troškove (uključujući pravne, profesionalne, bankarske i tečajne naknade) nastale u vezi s (i) pripremom, potpisivanjem, zaključivanjem, provedbom i okončanjem ovog Ugovora ili bilo kojeg s njim povezanog dokumenta; (ii) bilo koje izmjene i dopune, dodatka ili odricanja koje je povezano s ovim Ugovorom ili bilo kojim povezanim dokumentom; i (iii) pripremom, potpisivanjem, zaključivanjem, upravljanjem i ovrhom bilo kojeg sredstva osiguranja potrebnog prema ovom Zajmu.</w:t>
      </w:r>
    </w:p>
    <w:p w14:paraId="2945149E" w14:textId="77777777" w:rsidR="00192A93" w:rsidRPr="004A6627" w:rsidRDefault="00192A93" w:rsidP="004A6627">
      <w:pPr>
        <w:pStyle w:val="t-9-8"/>
        <w:spacing w:before="0" w:beforeAutospacing="0" w:after="440"/>
        <w:jc w:val="both"/>
        <w:rPr>
          <w:lang w:val="hr-HR"/>
        </w:rPr>
      </w:pPr>
      <w:r w:rsidRPr="004A6627">
        <w:rPr>
          <w:lang w:val="hr-HR"/>
        </w:rPr>
        <w:t>Bez obzira na gore navedeno, članak 4.7 (</w:t>
      </w:r>
      <w:r w:rsidRPr="00DC0327">
        <w:rPr>
          <w:rStyle w:val="kurziv"/>
          <w:i/>
          <w:lang w:val="hr-HR"/>
        </w:rPr>
        <w:t>Troškovi arbitraže</w:t>
      </w:r>
      <w:r w:rsidRPr="004A6627">
        <w:rPr>
          <w:lang w:val="hr-HR"/>
        </w:rPr>
        <w:t>) Pravila o zajmovima primjenjuje se na troškove arbitraže kako je navedeno u članku 13 (</w:t>
      </w:r>
      <w:r w:rsidRPr="00DC0327">
        <w:rPr>
          <w:i/>
          <w:lang w:val="hr-HR"/>
        </w:rPr>
        <w:t>Sporovi</w:t>
      </w:r>
      <w:r w:rsidRPr="004A6627">
        <w:rPr>
          <w:lang w:val="hr-HR"/>
        </w:rPr>
        <w:t>).</w:t>
      </w:r>
    </w:p>
    <w:p w14:paraId="5A34C8B0"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RAZRJEŠENJE</w:t>
      </w:r>
    </w:p>
    <w:p w14:paraId="3603F93B" w14:textId="59E2B3F4" w:rsidR="00192A93" w:rsidRPr="004A6627" w:rsidRDefault="00192A93" w:rsidP="004A6627">
      <w:pPr>
        <w:pStyle w:val="t-10-9-kurz-s"/>
        <w:spacing w:before="0" w:beforeAutospacing="0" w:after="440"/>
        <w:jc w:val="both"/>
        <w:rPr>
          <w:lang w:val="hr-HR"/>
        </w:rPr>
      </w:pPr>
      <w:r w:rsidRPr="004A6627">
        <w:rPr>
          <w:lang w:val="hr-HR"/>
        </w:rPr>
        <w:t>Po plaćanju punog iznosa glavnice Zajma i svih kamata i drugih troškova koji su proizašli iz Ugovora, uključujući posebice one iznose prema podčlanku 4.9 (</w:t>
      </w:r>
      <w:r w:rsidRPr="00FD6839">
        <w:rPr>
          <w:i/>
          <w:lang w:val="hr-HR"/>
        </w:rPr>
        <w:t>Zatezna kamatna stopa</w:t>
      </w:r>
      <w:r w:rsidRPr="004A6627">
        <w:rPr>
          <w:lang w:val="hr-HR"/>
        </w:rPr>
        <w:t>)</w:t>
      </w:r>
      <w:r w:rsidRPr="004A6627">
        <w:rPr>
          <w:i/>
          <w:lang w:val="hr-HR"/>
        </w:rPr>
        <w:t xml:space="preserve"> </w:t>
      </w:r>
      <w:r w:rsidRPr="004A6627">
        <w:rPr>
          <w:lang w:val="hr-HR"/>
        </w:rPr>
        <w:t>i članku 15. (</w:t>
      </w:r>
      <w:r w:rsidRPr="00FD6839">
        <w:rPr>
          <w:i/>
          <w:lang w:val="hr-HR"/>
        </w:rPr>
        <w:t xml:space="preserve">Porezi </w:t>
      </w:r>
      <w:r w:rsidR="00FD6839" w:rsidRPr="00FD6839">
        <w:rPr>
          <w:i/>
          <w:lang w:val="hr-HR"/>
        </w:rPr>
        <w:t>i</w:t>
      </w:r>
      <w:r w:rsidRPr="00FD6839">
        <w:rPr>
          <w:i/>
          <w:lang w:val="hr-HR"/>
        </w:rPr>
        <w:t xml:space="preserve"> troškovi</w:t>
      </w:r>
      <w:r w:rsidRPr="004A6627">
        <w:rPr>
          <w:lang w:val="hr-HR"/>
        </w:rPr>
        <w:t>), Zajmoprimca se u potpunosti razrješava njegovih obveza prema CEB-u, s izuzetkom obveza navedenih u članku 6. (</w:t>
      </w:r>
      <w:r w:rsidRPr="00FD6839">
        <w:rPr>
          <w:i/>
          <w:lang w:val="hr-HR"/>
        </w:rPr>
        <w:t>Praćenje</w:t>
      </w:r>
      <w:r w:rsidRPr="004A6627">
        <w:rPr>
          <w:lang w:val="hr-HR"/>
        </w:rPr>
        <w:t>) u svrhu moguće ocjene Projekta, što se može dogoditi najkasnije četiri (4) godine nakon otplate punog iznosa glavnice Zajma.</w:t>
      </w:r>
    </w:p>
    <w:p w14:paraId="517D187C"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r w:rsidRPr="004A6627">
        <w:rPr>
          <w:szCs w:val="24"/>
        </w:rPr>
        <w:t>IZMJENE I DOPUNE</w:t>
      </w:r>
    </w:p>
    <w:p w14:paraId="472134E6" w14:textId="2AF70603" w:rsidR="00192A93" w:rsidRPr="004A6627" w:rsidRDefault="00192A93" w:rsidP="004A6627">
      <w:pPr>
        <w:pStyle w:val="t-10-9-kurz-s"/>
        <w:spacing w:before="0" w:beforeAutospacing="0" w:after="440"/>
        <w:jc w:val="both"/>
        <w:rPr>
          <w:lang w:val="hr-HR"/>
        </w:rPr>
      </w:pPr>
      <w:r w:rsidRPr="004A6627">
        <w:rPr>
          <w:lang w:val="hr-HR"/>
        </w:rPr>
        <w:t>Svaka odredba ovog</w:t>
      </w:r>
      <w:r w:rsidR="00FD6839">
        <w:rPr>
          <w:lang w:val="hr-HR"/>
        </w:rPr>
        <w:t>a</w:t>
      </w:r>
      <w:r w:rsidRPr="004A6627">
        <w:rPr>
          <w:lang w:val="hr-HR"/>
        </w:rPr>
        <w:t xml:space="preserve"> Ugovora može se izmijeniti i dopuniti samo uz pristanak svih stranaka Ugovora.</w:t>
      </w:r>
    </w:p>
    <w:p w14:paraId="5FF72BF3" w14:textId="77777777" w:rsidR="00192A93" w:rsidRPr="004A6627" w:rsidRDefault="00192A93" w:rsidP="00436B0A">
      <w:pPr>
        <w:pStyle w:val="Heading1"/>
        <w:keepLines/>
        <w:numPr>
          <w:ilvl w:val="0"/>
          <w:numId w:val="1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120"/>
        <w:jc w:val="both"/>
        <w:rPr>
          <w:szCs w:val="24"/>
        </w:rPr>
      </w:pPr>
      <w:bookmarkStart w:id="27" w:name="_Ref474422008"/>
      <w:bookmarkStart w:id="28" w:name="_Toc34130100"/>
      <w:r w:rsidRPr="004A6627">
        <w:rPr>
          <w:szCs w:val="24"/>
        </w:rPr>
        <w:t>STUPANJE NA SNAGU</w:t>
      </w:r>
    </w:p>
    <w:p w14:paraId="285E05A9" w14:textId="77777777" w:rsidR="00192A93" w:rsidRPr="004A6627" w:rsidRDefault="00192A93" w:rsidP="004A6627">
      <w:pPr>
        <w:pStyle w:val="t-9-8"/>
        <w:spacing w:before="0" w:beforeAutospacing="0" w:after="440"/>
        <w:jc w:val="both"/>
        <w:rPr>
          <w:lang w:val="hr-HR"/>
        </w:rPr>
      </w:pPr>
      <w:r w:rsidRPr="004A6627">
        <w:rPr>
          <w:lang w:val="hr-HR"/>
        </w:rPr>
        <w:t>Ugovor stupa na snagu nakon što ga stranke potpišu, na datum na koji CEB primi obavijest diplomatskim putem, kojom Republika Hrvatska obavješćuje CEB da je Hrvatski sabor potvrdio Ugovor.</w:t>
      </w:r>
    </w:p>
    <w:p w14:paraId="02DE57F2" w14:textId="77777777" w:rsidR="00FD6839" w:rsidRDefault="00FD6839" w:rsidP="004A6627">
      <w:pPr>
        <w:pStyle w:val="t-9-8"/>
        <w:spacing w:before="0" w:beforeAutospacing="0" w:after="120"/>
        <w:jc w:val="both"/>
        <w:rPr>
          <w:lang w:val="hr-HR"/>
        </w:rPr>
      </w:pPr>
    </w:p>
    <w:p w14:paraId="3A0BEBF4" w14:textId="508469DE" w:rsidR="00192A93" w:rsidRPr="004A6627" w:rsidRDefault="00192A93" w:rsidP="004A6627">
      <w:pPr>
        <w:pStyle w:val="t-9-8"/>
        <w:spacing w:before="0" w:beforeAutospacing="0" w:after="120"/>
        <w:jc w:val="both"/>
        <w:rPr>
          <w:lang w:val="hr-HR"/>
        </w:rPr>
      </w:pPr>
      <w:r w:rsidRPr="004A6627">
        <w:rPr>
          <w:lang w:val="hr-HR"/>
        </w:rPr>
        <w:t xml:space="preserve">U POTVRDU TOGA, stranke su sklopile ovaj Ugovor u (2) dva izvornika od kojih je svaki jednako vjerodostojan. Jedan (1) izvornik zadržava svaka stranka. </w:t>
      </w:r>
    </w:p>
    <w:bookmarkEnd w:id="27"/>
    <w:bookmarkEnd w:id="28"/>
    <w:p w14:paraId="0E772D92" w14:textId="6941E745" w:rsidR="00FD6839" w:rsidRDefault="00FD6839" w:rsidP="004A6627">
      <w:pPr>
        <w:jc w:val="both"/>
      </w:pPr>
    </w:p>
    <w:p w14:paraId="20523815" w14:textId="77777777" w:rsidR="00666E46" w:rsidRDefault="00666E46" w:rsidP="004A6627">
      <w:pPr>
        <w:jc w:val="both"/>
      </w:pPr>
    </w:p>
    <w:p w14:paraId="7667B505" w14:textId="3CD33A7A" w:rsidR="00192A93" w:rsidRPr="004A6627" w:rsidRDefault="00192A93" w:rsidP="004A6627">
      <w:pPr>
        <w:jc w:val="both"/>
      </w:pPr>
      <w:r w:rsidRPr="004A6627">
        <w:t xml:space="preserve">Zagreb, dana </w:t>
      </w:r>
      <w:r w:rsidR="00662C0B">
        <w:t>15. srpnja 2020.</w:t>
      </w:r>
    </w:p>
    <w:p w14:paraId="3DE9C330" w14:textId="77777777" w:rsidR="00FD6839" w:rsidRPr="004A6627" w:rsidRDefault="00FD6839" w:rsidP="004A6627">
      <w:pPr>
        <w:jc w:val="both"/>
        <w:rPr>
          <w:u w:val="single"/>
        </w:rPr>
      </w:pPr>
    </w:p>
    <w:p w14:paraId="0DBFA160" w14:textId="77777777" w:rsidR="00192A93" w:rsidRPr="004A6627" w:rsidRDefault="00192A93" w:rsidP="004A6627">
      <w:pPr>
        <w:jc w:val="both"/>
        <w:rPr>
          <w:u w:val="single"/>
        </w:rPr>
      </w:pPr>
      <w:r w:rsidRPr="004A6627">
        <w:rPr>
          <w:u w:val="single"/>
        </w:rPr>
        <w:lastRenderedPageBreak/>
        <w:t>Za Zajmoprimca</w:t>
      </w:r>
    </w:p>
    <w:p w14:paraId="6FD34767" w14:textId="77777777" w:rsidR="00FD6839" w:rsidRDefault="00FD6839" w:rsidP="004A6627">
      <w:pPr>
        <w:jc w:val="both"/>
      </w:pPr>
    </w:p>
    <w:p w14:paraId="0B9E9B85" w14:textId="180E189F" w:rsidR="00192A93" w:rsidRPr="004A6627" w:rsidRDefault="00662C0B" w:rsidP="004A6627">
      <w:pPr>
        <w:jc w:val="both"/>
      </w:pPr>
      <w:r>
        <w:t>Zdravko Marić</w:t>
      </w:r>
      <w:r w:rsidR="00FD6839">
        <w:t>, v.r.</w:t>
      </w:r>
    </w:p>
    <w:p w14:paraId="5EC10745" w14:textId="66577B81" w:rsidR="00192A93" w:rsidRPr="004A6627" w:rsidRDefault="000B2927" w:rsidP="004A6627">
      <w:pPr>
        <w:jc w:val="both"/>
      </w:pPr>
      <w:r>
        <w:t>p</w:t>
      </w:r>
      <w:r w:rsidR="00662C0B">
        <w:t>otpredsjednik Vlade Republike Hrvatske i ministar financija</w:t>
      </w:r>
    </w:p>
    <w:p w14:paraId="2E40C69F" w14:textId="17C916FB" w:rsidR="00192A93" w:rsidRDefault="00192A93" w:rsidP="004A6627">
      <w:pPr>
        <w:jc w:val="both"/>
        <w:rPr>
          <w:u w:val="single"/>
        </w:rPr>
      </w:pPr>
    </w:p>
    <w:p w14:paraId="18836391" w14:textId="77777777" w:rsidR="00666E46" w:rsidRPr="004A6627" w:rsidRDefault="00666E46" w:rsidP="004A6627">
      <w:pPr>
        <w:jc w:val="both"/>
        <w:rPr>
          <w:u w:val="single"/>
        </w:rPr>
      </w:pPr>
    </w:p>
    <w:p w14:paraId="05B33CA3" w14:textId="77777777" w:rsidR="00FD6839" w:rsidRDefault="00FD6839" w:rsidP="004A6627">
      <w:pPr>
        <w:jc w:val="both"/>
      </w:pPr>
    </w:p>
    <w:p w14:paraId="06109277" w14:textId="61153586" w:rsidR="00192A93" w:rsidRPr="004A6627" w:rsidRDefault="00192A93" w:rsidP="004A6627">
      <w:pPr>
        <w:jc w:val="both"/>
        <w:rPr>
          <w:u w:val="single"/>
        </w:rPr>
      </w:pPr>
      <w:r w:rsidRPr="004A6627">
        <w:t xml:space="preserve">Pariz, dana </w:t>
      </w:r>
      <w:r w:rsidR="00662C0B">
        <w:t>7. srpnja 2020.</w:t>
      </w:r>
    </w:p>
    <w:p w14:paraId="44CF8465" w14:textId="3CFB5634" w:rsidR="00192A93" w:rsidRDefault="00192A93" w:rsidP="004A6627">
      <w:pPr>
        <w:jc w:val="both"/>
        <w:rPr>
          <w:u w:val="single"/>
        </w:rPr>
      </w:pPr>
    </w:p>
    <w:p w14:paraId="6816F420" w14:textId="77777777" w:rsidR="00192A93" w:rsidRPr="004A6627" w:rsidRDefault="00192A93" w:rsidP="004A6627">
      <w:pPr>
        <w:jc w:val="both"/>
        <w:rPr>
          <w:u w:val="single"/>
        </w:rPr>
      </w:pPr>
      <w:r w:rsidRPr="004A6627">
        <w:rPr>
          <w:u w:val="single"/>
        </w:rPr>
        <w:t>Za CEB</w:t>
      </w:r>
    </w:p>
    <w:p w14:paraId="7C5F28F0" w14:textId="77777777" w:rsidR="00FD6839" w:rsidRDefault="00FD6839" w:rsidP="00192A93"/>
    <w:p w14:paraId="4169A17B" w14:textId="10F0AE66" w:rsidR="00662C0B" w:rsidRDefault="00662C0B" w:rsidP="00192A93">
      <w:r>
        <w:t>Rolf Wenzel</w:t>
      </w:r>
      <w:r w:rsidR="00FD6839">
        <w:t>, v.r.</w:t>
      </w:r>
    </w:p>
    <w:p w14:paraId="53A05CDF" w14:textId="3A678853" w:rsidR="00192A93" w:rsidRPr="004A6627" w:rsidRDefault="00662C0B" w:rsidP="00192A93">
      <w:r>
        <w:t>guverner</w:t>
      </w:r>
      <w:r w:rsidR="00192A93" w:rsidRPr="004A6627">
        <w:br w:type="page"/>
      </w:r>
    </w:p>
    <w:p w14:paraId="4A17AA68" w14:textId="77777777" w:rsidR="00192A93" w:rsidRPr="007F0CF6" w:rsidRDefault="00192A93" w:rsidP="000B2927">
      <w:pPr>
        <w:spacing w:after="120"/>
        <w:jc w:val="center"/>
      </w:pPr>
      <w:r w:rsidRPr="007F0CF6">
        <w:lastRenderedPageBreak/>
        <w:t>PRILOG 1</w:t>
      </w:r>
    </w:p>
    <w:p w14:paraId="08F137FE" w14:textId="68687B8B" w:rsidR="00192A93" w:rsidRDefault="00192A93" w:rsidP="00192A93">
      <w:pPr>
        <w:jc w:val="center"/>
        <w:rPr>
          <w:b/>
        </w:rPr>
      </w:pPr>
      <w:r w:rsidRPr="004A6627">
        <w:rPr>
          <w:b/>
        </w:rPr>
        <w:t>Opis Projekta</w:t>
      </w:r>
    </w:p>
    <w:p w14:paraId="0B586103" w14:textId="77777777" w:rsidR="00B33A1E" w:rsidRPr="004A6627" w:rsidRDefault="00B33A1E" w:rsidP="00192A93">
      <w:pPr>
        <w:jc w:val="center"/>
        <w:rPr>
          <w:b/>
        </w:rPr>
      </w:pPr>
    </w:p>
    <w:tbl>
      <w:tblPr>
        <w:tblW w:w="9027" w:type="dxa"/>
        <w:jc w:val="center"/>
        <w:tblLayout w:type="fixed"/>
        <w:tblCellMar>
          <w:left w:w="71" w:type="dxa"/>
          <w:right w:w="71" w:type="dxa"/>
        </w:tblCellMar>
        <w:tblLook w:val="0000" w:firstRow="0" w:lastRow="0" w:firstColumn="0" w:lastColumn="0" w:noHBand="0" w:noVBand="0"/>
      </w:tblPr>
      <w:tblGrid>
        <w:gridCol w:w="506"/>
        <w:gridCol w:w="2837"/>
        <w:gridCol w:w="2288"/>
        <w:gridCol w:w="2602"/>
        <w:gridCol w:w="794"/>
      </w:tblGrid>
      <w:tr w:rsidR="00192A93" w:rsidRPr="004A6627" w14:paraId="16FC4CE0" w14:textId="77777777" w:rsidTr="00B11F60">
        <w:trPr>
          <w:gridAfter w:val="1"/>
          <w:wAfter w:w="794" w:type="dxa"/>
          <w:trHeight w:val="266"/>
          <w:jc w:val="center"/>
        </w:trPr>
        <w:tc>
          <w:tcPr>
            <w:tcW w:w="506" w:type="dxa"/>
          </w:tcPr>
          <w:p w14:paraId="28FDC771" w14:textId="77777777" w:rsidR="00192A93" w:rsidRPr="004A6627" w:rsidRDefault="00192A93" w:rsidP="00192A93">
            <w:pPr>
              <w:rPr>
                <w:b/>
              </w:rPr>
            </w:pPr>
            <w:r w:rsidRPr="004A6627">
              <w:rPr>
                <w: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AD90E6C" w14:textId="77777777" w:rsidR="00192A93" w:rsidRPr="004A6627" w:rsidRDefault="00192A93" w:rsidP="00192A93">
            <w:pPr>
              <w:rPr>
                <w:b/>
              </w:rPr>
            </w:pPr>
            <w:r w:rsidRPr="004A6627">
              <w:rPr>
                <w:b/>
              </w:rPr>
              <w:t>LD</w:t>
            </w:r>
          </w:p>
        </w:tc>
        <w:tc>
          <w:tcPr>
            <w:tcW w:w="4890" w:type="dxa"/>
            <w:gridSpan w:val="2"/>
            <w:tcBorders>
              <w:top w:val="single" w:sz="12" w:space="0" w:color="auto"/>
              <w:left w:val="single" w:sz="6" w:space="0" w:color="auto"/>
              <w:bottom w:val="single" w:sz="6" w:space="0" w:color="auto"/>
              <w:right w:val="single" w:sz="12" w:space="0" w:color="auto"/>
            </w:tcBorders>
            <w:shd w:val="pct5" w:color="auto" w:fill="auto"/>
          </w:tcPr>
          <w:p w14:paraId="640B0CF0" w14:textId="77777777" w:rsidR="00192A93" w:rsidRPr="004A6627" w:rsidRDefault="00192A93" w:rsidP="00192A93">
            <w:r w:rsidRPr="004A6627">
              <w:t>2056 (2020)</w:t>
            </w:r>
          </w:p>
        </w:tc>
      </w:tr>
      <w:tr w:rsidR="00192A93" w:rsidRPr="004A6627" w14:paraId="27B86E3D" w14:textId="77777777" w:rsidTr="00B11F60">
        <w:trPr>
          <w:gridAfter w:val="1"/>
          <w:wAfter w:w="794" w:type="dxa"/>
          <w:trHeight w:val="266"/>
          <w:jc w:val="center"/>
        </w:trPr>
        <w:tc>
          <w:tcPr>
            <w:tcW w:w="506" w:type="dxa"/>
          </w:tcPr>
          <w:p w14:paraId="681DE040" w14:textId="77777777" w:rsidR="00192A93" w:rsidRPr="004A6627" w:rsidRDefault="00192A93" w:rsidP="00192A93">
            <w:pPr>
              <w:tabs>
                <w:tab w:val="left" w:pos="851"/>
              </w:tabs>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D30DDE6" w14:textId="77777777" w:rsidR="00192A93" w:rsidRPr="004A6627" w:rsidRDefault="00192A93" w:rsidP="00192A93">
            <w:pPr>
              <w:tabs>
                <w:tab w:val="left" w:pos="851"/>
              </w:tabs>
              <w:rPr>
                <w:b/>
              </w:rPr>
            </w:pPr>
            <w:r w:rsidRPr="004A6627">
              <w:rPr>
                <w:b/>
              </w:rPr>
              <w:t xml:space="preserve">Zajmoprimac </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36BDBAEA" w14:textId="77777777" w:rsidR="00192A93" w:rsidRPr="004A6627" w:rsidRDefault="00192A93" w:rsidP="00192A93">
            <w:r w:rsidRPr="004A6627">
              <w:t>Republika Hrvatska</w:t>
            </w:r>
          </w:p>
        </w:tc>
      </w:tr>
      <w:tr w:rsidR="00192A93" w:rsidRPr="004A6627" w14:paraId="1B497DE8" w14:textId="77777777" w:rsidTr="00B11F60">
        <w:trPr>
          <w:gridAfter w:val="1"/>
          <w:wAfter w:w="794" w:type="dxa"/>
          <w:trHeight w:val="266"/>
          <w:jc w:val="center"/>
        </w:trPr>
        <w:tc>
          <w:tcPr>
            <w:tcW w:w="506" w:type="dxa"/>
          </w:tcPr>
          <w:p w14:paraId="6969DBB8" w14:textId="77777777" w:rsidR="00192A93" w:rsidRPr="004A6627" w:rsidRDefault="00192A93" w:rsidP="00192A93">
            <w:pPr>
              <w:tabs>
                <w:tab w:val="left" w:pos="851"/>
              </w:tabs>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D1F1F93" w14:textId="77777777" w:rsidR="00192A93" w:rsidRPr="004A6627" w:rsidRDefault="00192A93" w:rsidP="00192A93">
            <w:pPr>
              <w:tabs>
                <w:tab w:val="left" w:pos="851"/>
              </w:tabs>
              <w:rPr>
                <w:b/>
              </w:rPr>
            </w:pPr>
            <w:r w:rsidRPr="004A6627">
              <w:rPr>
                <w:b/>
              </w:rPr>
              <w:t>Vrsta zajma</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4E0B1C4C" w14:textId="77777777" w:rsidR="00192A93" w:rsidRPr="004A6627" w:rsidRDefault="00192A93" w:rsidP="00192A93">
            <w:r w:rsidRPr="004A6627">
              <w:t>Instrument financiranja javnog sektora</w:t>
            </w:r>
          </w:p>
        </w:tc>
      </w:tr>
      <w:tr w:rsidR="00192A93" w:rsidRPr="004A6627" w14:paraId="321C1623" w14:textId="77777777" w:rsidTr="00B11F60">
        <w:trPr>
          <w:gridAfter w:val="1"/>
          <w:wAfter w:w="794" w:type="dxa"/>
          <w:trHeight w:val="301"/>
          <w:jc w:val="center"/>
        </w:trPr>
        <w:tc>
          <w:tcPr>
            <w:tcW w:w="506" w:type="dxa"/>
          </w:tcPr>
          <w:p w14:paraId="6D6FEF24"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A362B51" w14:textId="77777777" w:rsidR="00192A93" w:rsidRPr="004A6627" w:rsidRDefault="00192A93" w:rsidP="00192A93">
            <w:pPr>
              <w:rPr>
                <w:b/>
              </w:rPr>
            </w:pPr>
            <w:r w:rsidRPr="004A6627">
              <w:rPr>
                <w:b/>
              </w:rPr>
              <w:t>Iznos zajma</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0B28AA5B" w14:textId="77777777" w:rsidR="00192A93" w:rsidRPr="004A6627" w:rsidRDefault="00192A93" w:rsidP="00192A93">
            <w:r w:rsidRPr="004A6627">
              <w:t>200.000.000 EUR</w:t>
            </w:r>
          </w:p>
        </w:tc>
      </w:tr>
      <w:tr w:rsidR="00192A93" w:rsidRPr="004A6627" w14:paraId="30AB699C" w14:textId="77777777" w:rsidTr="00B11F60">
        <w:trPr>
          <w:gridAfter w:val="1"/>
          <w:wAfter w:w="794" w:type="dxa"/>
          <w:trHeight w:val="266"/>
          <w:jc w:val="center"/>
        </w:trPr>
        <w:tc>
          <w:tcPr>
            <w:tcW w:w="506" w:type="dxa"/>
          </w:tcPr>
          <w:p w14:paraId="7A8A1594" w14:textId="77777777" w:rsidR="00192A93" w:rsidRPr="004A6627" w:rsidRDefault="00192A93" w:rsidP="00192A93">
            <w:pPr>
              <w:rPr>
                <w: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1E6AB8F1" w14:textId="77777777" w:rsidR="00192A93" w:rsidRPr="004A6627" w:rsidRDefault="00192A93" w:rsidP="00192A93">
            <w:pPr>
              <w:rPr>
                <w:b/>
              </w:rPr>
            </w:pPr>
            <w:r w:rsidRPr="004A6627">
              <w:rPr>
                <w:rStyle w:val="bold"/>
                <w:b/>
              </w:rPr>
              <w:t>Odobrenje Upravnog vijeća CEB-a</w:t>
            </w:r>
          </w:p>
        </w:tc>
        <w:tc>
          <w:tcPr>
            <w:tcW w:w="4890" w:type="dxa"/>
            <w:gridSpan w:val="2"/>
            <w:tcBorders>
              <w:top w:val="single" w:sz="6" w:space="0" w:color="auto"/>
              <w:left w:val="single" w:sz="6" w:space="0" w:color="auto"/>
              <w:bottom w:val="single" w:sz="12" w:space="0" w:color="auto"/>
              <w:right w:val="single" w:sz="12" w:space="0" w:color="auto"/>
            </w:tcBorders>
            <w:shd w:val="pct5" w:color="auto" w:fill="auto"/>
          </w:tcPr>
          <w:p w14:paraId="7F45B7DC" w14:textId="77777777" w:rsidR="00192A93" w:rsidRPr="00F85162" w:rsidRDefault="00192A93" w:rsidP="000B2927">
            <w:pPr>
              <w:pStyle w:val="Heading2"/>
              <w:spacing w:before="120"/>
              <w:ind w:left="0" w:firstLine="0"/>
              <w:rPr>
                <w:b w:val="0"/>
                <w:szCs w:val="24"/>
              </w:rPr>
            </w:pPr>
            <w:r w:rsidRPr="00F85162">
              <w:rPr>
                <w:b w:val="0"/>
                <w:szCs w:val="24"/>
              </w:rPr>
              <w:t>12. svibnja 2020.</w:t>
            </w:r>
          </w:p>
        </w:tc>
      </w:tr>
      <w:tr w:rsidR="00192A93" w:rsidRPr="004A6627" w14:paraId="49A8B875" w14:textId="77777777" w:rsidTr="00B11F60">
        <w:trPr>
          <w:trHeight w:val="266"/>
          <w:jc w:val="center"/>
        </w:trPr>
        <w:tc>
          <w:tcPr>
            <w:tcW w:w="506" w:type="dxa"/>
          </w:tcPr>
          <w:p w14:paraId="3AFF54B9" w14:textId="77777777" w:rsidR="00192A93" w:rsidRPr="004A6627" w:rsidRDefault="00192A93" w:rsidP="00192A93">
            <w:pPr>
              <w:rPr>
                <w:b/>
              </w:rPr>
            </w:pPr>
          </w:p>
        </w:tc>
        <w:tc>
          <w:tcPr>
            <w:tcW w:w="2837" w:type="dxa"/>
          </w:tcPr>
          <w:p w14:paraId="706208E2" w14:textId="77777777" w:rsidR="00192A93" w:rsidRPr="004A6627" w:rsidRDefault="00192A93" w:rsidP="00192A93">
            <w:pPr>
              <w:rPr>
                <w:b/>
              </w:rPr>
            </w:pPr>
          </w:p>
        </w:tc>
        <w:tc>
          <w:tcPr>
            <w:tcW w:w="2288" w:type="dxa"/>
          </w:tcPr>
          <w:p w14:paraId="7BFBB178" w14:textId="77777777" w:rsidR="00192A93" w:rsidRPr="004A6627" w:rsidRDefault="00192A93" w:rsidP="00192A93">
            <w:pPr>
              <w:rPr>
                <w:i/>
              </w:rPr>
            </w:pPr>
          </w:p>
        </w:tc>
        <w:tc>
          <w:tcPr>
            <w:tcW w:w="3396" w:type="dxa"/>
            <w:gridSpan w:val="2"/>
          </w:tcPr>
          <w:p w14:paraId="01D4540A" w14:textId="77777777" w:rsidR="00192A93" w:rsidRPr="004A6627" w:rsidRDefault="00192A93" w:rsidP="00192A93"/>
        </w:tc>
      </w:tr>
      <w:tr w:rsidR="00192A93" w:rsidRPr="004A6627" w14:paraId="11C2EC7F" w14:textId="77777777" w:rsidTr="00B11F60">
        <w:trPr>
          <w:gridAfter w:val="1"/>
          <w:wAfter w:w="794" w:type="dxa"/>
          <w:trHeight w:val="306"/>
          <w:jc w:val="center"/>
        </w:trPr>
        <w:tc>
          <w:tcPr>
            <w:tcW w:w="506" w:type="dxa"/>
          </w:tcPr>
          <w:p w14:paraId="68B93C84" w14:textId="77777777" w:rsidR="00192A93" w:rsidRPr="004A6627" w:rsidRDefault="00192A93" w:rsidP="00192A93">
            <w:pPr>
              <w:rPr>
                <w:b/>
              </w:rPr>
            </w:pPr>
            <w:r w:rsidRPr="004A6627">
              <w:rPr>
                <w: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255386E5" w14:textId="77777777" w:rsidR="00192A93" w:rsidRPr="004A6627" w:rsidRDefault="00192A93" w:rsidP="00192A93">
            <w:pPr>
              <w:rPr>
                <w:b/>
              </w:rPr>
            </w:pPr>
            <w:r w:rsidRPr="004A6627">
              <w:rPr>
                <w:b/>
              </w:rPr>
              <w:t>Područja djelovanja</w:t>
            </w:r>
          </w:p>
        </w:tc>
        <w:tc>
          <w:tcPr>
            <w:tcW w:w="4890" w:type="dxa"/>
            <w:gridSpan w:val="2"/>
            <w:tcBorders>
              <w:top w:val="single" w:sz="12" w:space="0" w:color="auto"/>
              <w:left w:val="single" w:sz="6" w:space="0" w:color="auto"/>
              <w:bottom w:val="single" w:sz="6" w:space="0" w:color="auto"/>
              <w:right w:val="single" w:sz="12" w:space="0" w:color="auto"/>
            </w:tcBorders>
            <w:shd w:val="pct5" w:color="auto" w:fill="auto"/>
          </w:tcPr>
          <w:p w14:paraId="106ACB19" w14:textId="77777777" w:rsidR="00192A93" w:rsidRPr="004A6627" w:rsidRDefault="00192A93" w:rsidP="00192A93">
            <w:r w:rsidRPr="004A6627">
              <w:t>Zdravstvena i socijalna skrb</w:t>
            </w:r>
          </w:p>
          <w:p w14:paraId="6BFE31A1" w14:textId="77777777" w:rsidR="00192A93" w:rsidRPr="004A6627" w:rsidRDefault="00192A93" w:rsidP="00192A93">
            <w:r w:rsidRPr="004A6627">
              <w:t xml:space="preserve">Unaprjeđenje uvjeta života u urbanim i ruralnim područjima </w:t>
            </w:r>
          </w:p>
        </w:tc>
      </w:tr>
      <w:tr w:rsidR="00192A93" w:rsidRPr="004A6627" w14:paraId="4DFF2D3E" w14:textId="77777777" w:rsidTr="00B11F60">
        <w:trPr>
          <w:gridAfter w:val="1"/>
          <w:wAfter w:w="794" w:type="dxa"/>
          <w:trHeight w:val="306"/>
          <w:jc w:val="center"/>
        </w:trPr>
        <w:tc>
          <w:tcPr>
            <w:tcW w:w="506" w:type="dxa"/>
          </w:tcPr>
          <w:p w14:paraId="7DF7731D" w14:textId="77777777" w:rsidR="00192A93" w:rsidRPr="004A6627" w:rsidRDefault="00192A93" w:rsidP="00192A93">
            <w:pPr>
              <w:rPr>
                <w: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19081B78" w14:textId="77777777" w:rsidR="00192A93" w:rsidRPr="004A6627" w:rsidRDefault="00192A93" w:rsidP="00192A93">
            <w:pPr>
              <w:rPr>
                <w:b/>
              </w:rPr>
            </w:pPr>
            <w:r w:rsidRPr="004A6627">
              <w:rPr>
                <w:b/>
              </w:rPr>
              <w:t>Planirani radovi/potprojekti</w:t>
            </w:r>
          </w:p>
        </w:tc>
        <w:tc>
          <w:tcPr>
            <w:tcW w:w="4890" w:type="dxa"/>
            <w:gridSpan w:val="2"/>
            <w:tcBorders>
              <w:top w:val="single" w:sz="12" w:space="0" w:color="auto"/>
              <w:left w:val="single" w:sz="6" w:space="0" w:color="auto"/>
              <w:bottom w:val="single" w:sz="6" w:space="0" w:color="auto"/>
              <w:right w:val="single" w:sz="12" w:space="0" w:color="auto"/>
            </w:tcBorders>
            <w:shd w:val="pct5" w:color="auto" w:fill="auto"/>
          </w:tcPr>
          <w:p w14:paraId="67128EDA" w14:textId="77777777" w:rsidR="00192A93" w:rsidRPr="004A6627" w:rsidRDefault="00192A93" w:rsidP="000B2927">
            <w:pPr>
              <w:jc w:val="both"/>
            </w:pPr>
            <w:r w:rsidRPr="004A6627">
              <w:t>Instrument financiranja javnog sektora</w:t>
            </w:r>
            <w:r w:rsidRPr="004A6627">
              <w:rPr>
                <w:bCs/>
                <w:iCs/>
              </w:rPr>
              <w:t xml:space="preserve"> fokusiran je na smanjenje širenja i posljedica zaraze virusom Covid-19, očuvanje dostupnosti medicinskih usluga i izravno i neizravno pogođenima virusom, osiguravanje potrebnih farmaceutskih proizvoda, medicinskih potrepština i zaštitne opreme, kao i pružanje potpore lokalnim vlastima kako bi se osigurao kontinuitet komunalnih usluga na koje može utjecati gubitak prihoda zbog otpisa ili odgoda poreznih plaćanja.</w:t>
            </w:r>
          </w:p>
        </w:tc>
      </w:tr>
      <w:tr w:rsidR="00192A93" w:rsidRPr="004A6627" w14:paraId="79C66EC8" w14:textId="77777777" w:rsidTr="00B11F60">
        <w:trPr>
          <w:gridAfter w:val="1"/>
          <w:wAfter w:w="794" w:type="dxa"/>
          <w:trHeight w:val="266"/>
          <w:jc w:val="center"/>
        </w:trPr>
        <w:tc>
          <w:tcPr>
            <w:tcW w:w="506" w:type="dxa"/>
          </w:tcPr>
          <w:p w14:paraId="51777A84"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6FA3EF5E" w14:textId="77777777" w:rsidR="00192A93" w:rsidRPr="004A6627" w:rsidRDefault="00192A93" w:rsidP="00192A93">
            <w:pPr>
              <w:rPr>
                <w:b/>
              </w:rPr>
            </w:pPr>
            <w:r w:rsidRPr="004A6627">
              <w:rPr>
                <w:b/>
              </w:rPr>
              <w:t>Lokacija</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7F22EC0B" w14:textId="77777777" w:rsidR="00192A93" w:rsidRPr="004A6627" w:rsidRDefault="00192A93" w:rsidP="00192A93">
            <w:pPr>
              <w:rPr>
                <w:bCs/>
              </w:rPr>
            </w:pPr>
            <w:r w:rsidRPr="004A6627">
              <w:rPr>
                <w:bCs/>
              </w:rPr>
              <w:t>U cijeloj Republici Hrvatskoj</w:t>
            </w:r>
          </w:p>
        </w:tc>
      </w:tr>
      <w:tr w:rsidR="00192A93" w:rsidRPr="004A6627" w14:paraId="4FCD0F6B" w14:textId="77777777" w:rsidTr="00B11F60">
        <w:trPr>
          <w:gridAfter w:val="1"/>
          <w:wAfter w:w="794" w:type="dxa"/>
          <w:trHeight w:val="266"/>
          <w:jc w:val="center"/>
        </w:trPr>
        <w:tc>
          <w:tcPr>
            <w:tcW w:w="506" w:type="dxa"/>
          </w:tcPr>
          <w:p w14:paraId="4C94FA8C"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0A5CAB7F" w14:textId="77777777" w:rsidR="00192A93" w:rsidRPr="004A6627" w:rsidRDefault="00192A93" w:rsidP="00192A93">
            <w:pPr>
              <w:rPr>
                <w:b/>
              </w:rPr>
            </w:pPr>
            <w:r w:rsidRPr="004A6627">
              <w:rPr>
                <w:b/>
              </w:rPr>
              <w:t>Konačni korisnici</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202BEA6D" w14:textId="77777777" w:rsidR="00192A93" w:rsidRPr="004A6627" w:rsidRDefault="00192A93" w:rsidP="000B2927">
            <w:pPr>
              <w:jc w:val="both"/>
            </w:pPr>
            <w:r w:rsidRPr="004A6627">
              <w:t xml:space="preserve">Krajnji korisnici će biti 4,1 milijun stanovnika države, a naročito osobe koje trebaju medicinsku pažnju i zdravstvene usluga, kao i medicinsko osoblje. </w:t>
            </w:r>
          </w:p>
        </w:tc>
      </w:tr>
      <w:tr w:rsidR="00192A93" w:rsidRPr="004A6627" w14:paraId="7A7FC9C2" w14:textId="77777777" w:rsidTr="00B11F60">
        <w:trPr>
          <w:gridAfter w:val="1"/>
          <w:wAfter w:w="794" w:type="dxa"/>
          <w:trHeight w:val="266"/>
          <w:jc w:val="center"/>
        </w:trPr>
        <w:tc>
          <w:tcPr>
            <w:tcW w:w="506" w:type="dxa"/>
          </w:tcPr>
          <w:p w14:paraId="08D56214"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7D204372" w14:textId="77777777" w:rsidR="00192A93" w:rsidRPr="004A6627" w:rsidRDefault="00192A93" w:rsidP="00192A93">
            <w:pPr>
              <w:rPr>
                <w:b/>
              </w:rPr>
            </w:pPr>
            <w:r w:rsidRPr="004A6627">
              <w:rPr>
                <w:b/>
              </w:rPr>
              <w:t>Ukupni troškovi Projekta</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59C876BB" w14:textId="77777777" w:rsidR="00192A93" w:rsidRPr="004A6627" w:rsidRDefault="00192A93" w:rsidP="00192A93">
            <w:r w:rsidRPr="004A6627">
              <w:t>Procijenjenih 222.500.000 EUR</w:t>
            </w:r>
          </w:p>
        </w:tc>
      </w:tr>
      <w:tr w:rsidR="00192A93" w:rsidRPr="004A6627" w14:paraId="34CC562B" w14:textId="77777777" w:rsidTr="00B11F60">
        <w:trPr>
          <w:gridAfter w:val="1"/>
          <w:wAfter w:w="794" w:type="dxa"/>
          <w:trHeight w:val="266"/>
          <w:jc w:val="center"/>
        </w:trPr>
        <w:tc>
          <w:tcPr>
            <w:tcW w:w="506" w:type="dxa"/>
          </w:tcPr>
          <w:p w14:paraId="136C11EA"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33F7E9FE" w14:textId="77777777" w:rsidR="00192A93" w:rsidRPr="004A6627" w:rsidRDefault="00192A93" w:rsidP="00192A93">
            <w:pPr>
              <w:rPr>
                <w:b/>
              </w:rPr>
            </w:pPr>
            <w:r w:rsidRPr="004A6627">
              <w:rPr>
                <w:b/>
              </w:rPr>
              <w:t>Plan financiranja</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48D880A7" w14:textId="77777777" w:rsidR="00192A93" w:rsidRPr="004A6627" w:rsidRDefault="00192A93" w:rsidP="000B2927">
            <w:pPr>
              <w:tabs>
                <w:tab w:val="right" w:pos="3839"/>
              </w:tabs>
              <w:jc w:val="both"/>
            </w:pPr>
            <w:r w:rsidRPr="004A6627">
              <w:t xml:space="preserve">Sudjelovanje CEB-a s maksimalnih 90%, ostatak podmiruje Zajmoprimac iz vlastitih sredstava ili nekih drugih sredstava. </w:t>
            </w:r>
          </w:p>
        </w:tc>
      </w:tr>
      <w:tr w:rsidR="00192A93" w:rsidRPr="004A6627" w14:paraId="648F4DE8" w14:textId="77777777" w:rsidTr="00B11F60">
        <w:trPr>
          <w:gridAfter w:val="1"/>
          <w:wAfter w:w="794" w:type="dxa"/>
          <w:trHeight w:val="285"/>
          <w:jc w:val="center"/>
        </w:trPr>
        <w:tc>
          <w:tcPr>
            <w:tcW w:w="506" w:type="dxa"/>
          </w:tcPr>
          <w:p w14:paraId="1E127EBF" w14:textId="77777777" w:rsidR="00192A93" w:rsidRPr="004A6627" w:rsidRDefault="00192A93" w:rsidP="00192A93">
            <w:pPr>
              <w:rPr>
                <w: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46953808" w14:textId="77777777" w:rsidR="00192A93" w:rsidRPr="004A6627" w:rsidRDefault="00192A93" w:rsidP="00192A93">
            <w:pPr>
              <w:rPr>
                <w:b/>
              </w:rPr>
            </w:pPr>
            <w:r w:rsidRPr="004A6627">
              <w:rPr>
                <w:rStyle w:val="bold"/>
                <w:b/>
              </w:rPr>
              <w:t>Raspored radova/prihvatljive proračunske godine</w:t>
            </w:r>
          </w:p>
        </w:tc>
        <w:tc>
          <w:tcPr>
            <w:tcW w:w="4890" w:type="dxa"/>
            <w:gridSpan w:val="2"/>
            <w:tcBorders>
              <w:top w:val="single" w:sz="6" w:space="0" w:color="auto"/>
              <w:left w:val="single" w:sz="6" w:space="0" w:color="auto"/>
              <w:bottom w:val="single" w:sz="6" w:space="0" w:color="auto"/>
              <w:right w:val="single" w:sz="12" w:space="0" w:color="auto"/>
            </w:tcBorders>
            <w:shd w:val="pct5" w:color="auto" w:fill="auto"/>
          </w:tcPr>
          <w:p w14:paraId="65937228" w14:textId="77777777" w:rsidR="00192A93" w:rsidRPr="004A6627" w:rsidRDefault="00192A93" w:rsidP="00192A93">
            <w:r w:rsidRPr="004A6627">
              <w:t>2020. – 2021.</w:t>
            </w:r>
          </w:p>
        </w:tc>
      </w:tr>
      <w:tr w:rsidR="00192A93" w:rsidRPr="004A6627" w14:paraId="3D1F4615" w14:textId="77777777" w:rsidTr="00B11F60">
        <w:trPr>
          <w:gridAfter w:val="1"/>
          <w:wAfter w:w="794" w:type="dxa"/>
          <w:trHeight w:val="266"/>
          <w:jc w:val="center"/>
        </w:trPr>
        <w:tc>
          <w:tcPr>
            <w:tcW w:w="506" w:type="dxa"/>
          </w:tcPr>
          <w:p w14:paraId="68ACB444" w14:textId="77777777" w:rsidR="00192A93" w:rsidRPr="004A6627" w:rsidRDefault="00192A93" w:rsidP="00192A93">
            <w:pPr>
              <w:rPr>
                <w: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448C7FA0" w14:textId="77777777" w:rsidR="00192A93" w:rsidRPr="004A6627" w:rsidRDefault="00192A93" w:rsidP="00192A93">
            <w:pPr>
              <w:rPr>
                <w:b/>
              </w:rPr>
            </w:pPr>
            <w:r w:rsidRPr="004A6627">
              <w:rPr>
                <w:rStyle w:val="bold"/>
                <w:b/>
              </w:rPr>
              <w:t>Datum zatvaranja</w:t>
            </w:r>
          </w:p>
        </w:tc>
        <w:tc>
          <w:tcPr>
            <w:tcW w:w="4890" w:type="dxa"/>
            <w:gridSpan w:val="2"/>
            <w:tcBorders>
              <w:top w:val="single" w:sz="6" w:space="0" w:color="auto"/>
              <w:left w:val="single" w:sz="6" w:space="0" w:color="auto"/>
              <w:bottom w:val="single" w:sz="12" w:space="0" w:color="auto"/>
              <w:right w:val="single" w:sz="12" w:space="0" w:color="auto"/>
            </w:tcBorders>
            <w:shd w:val="pct5" w:color="auto" w:fill="auto"/>
          </w:tcPr>
          <w:p w14:paraId="5D08FEAE" w14:textId="77777777" w:rsidR="00192A93" w:rsidRPr="004A6627" w:rsidRDefault="00192A93" w:rsidP="00192A93">
            <w:r w:rsidRPr="004A6627">
              <w:t>31. prosinca 2021.</w:t>
            </w:r>
          </w:p>
        </w:tc>
      </w:tr>
      <w:tr w:rsidR="00192A93" w:rsidRPr="004A6627" w14:paraId="204E902B" w14:textId="77777777" w:rsidTr="00B11F60">
        <w:trPr>
          <w:trHeight w:val="51"/>
          <w:jc w:val="center"/>
        </w:trPr>
        <w:tc>
          <w:tcPr>
            <w:tcW w:w="506" w:type="dxa"/>
          </w:tcPr>
          <w:p w14:paraId="73D06A8B" w14:textId="77777777" w:rsidR="00192A93" w:rsidRPr="004A6627" w:rsidRDefault="00192A93" w:rsidP="00192A93">
            <w:pPr>
              <w:rPr>
                <w:b/>
              </w:rPr>
            </w:pPr>
          </w:p>
        </w:tc>
        <w:tc>
          <w:tcPr>
            <w:tcW w:w="2837" w:type="dxa"/>
          </w:tcPr>
          <w:p w14:paraId="1D944B50" w14:textId="77777777" w:rsidR="00192A93" w:rsidRPr="004A6627" w:rsidRDefault="00192A93" w:rsidP="00192A93">
            <w:pPr>
              <w:rPr>
                <w:b/>
              </w:rPr>
            </w:pPr>
          </w:p>
        </w:tc>
        <w:tc>
          <w:tcPr>
            <w:tcW w:w="2288" w:type="dxa"/>
          </w:tcPr>
          <w:p w14:paraId="5D19F66E" w14:textId="77777777" w:rsidR="00192A93" w:rsidRPr="004A6627" w:rsidRDefault="00192A93" w:rsidP="00192A93">
            <w:pPr>
              <w:rPr>
                <w:i/>
              </w:rPr>
            </w:pPr>
          </w:p>
        </w:tc>
        <w:tc>
          <w:tcPr>
            <w:tcW w:w="3396" w:type="dxa"/>
            <w:gridSpan w:val="2"/>
          </w:tcPr>
          <w:p w14:paraId="480FC6E8" w14:textId="77777777" w:rsidR="00192A93" w:rsidRPr="004A6627" w:rsidRDefault="00192A93" w:rsidP="00192A93"/>
        </w:tc>
      </w:tr>
      <w:tr w:rsidR="00192A93" w:rsidRPr="004A6627" w14:paraId="4470ECA7" w14:textId="77777777" w:rsidTr="00B11F60">
        <w:trPr>
          <w:gridAfter w:val="1"/>
          <w:wAfter w:w="794" w:type="dxa"/>
          <w:trHeight w:val="532"/>
          <w:jc w:val="center"/>
        </w:trPr>
        <w:tc>
          <w:tcPr>
            <w:tcW w:w="506" w:type="dxa"/>
          </w:tcPr>
          <w:p w14:paraId="00FD8BF4" w14:textId="7A7B03A0" w:rsidR="00192A93" w:rsidRPr="004A6627" w:rsidRDefault="00192A93" w:rsidP="00041CA1">
            <w:pPr>
              <w:rPr>
                <w:b/>
              </w:rPr>
            </w:pPr>
            <w:r w:rsidRPr="004A6627">
              <w:rPr>
                <w:b/>
              </w:rPr>
              <w:t>III</w:t>
            </w:r>
            <w:r w:rsidR="00041CA1">
              <w:rPr>
                <w:b/>
              </w:rPr>
              <w:t>.</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19EECA50" w14:textId="77777777" w:rsidR="00192A93" w:rsidRPr="004A6627" w:rsidRDefault="00192A93" w:rsidP="00192A93">
            <w:pPr>
              <w:rPr>
                <w:b/>
              </w:rPr>
            </w:pPr>
            <w:r w:rsidRPr="004A6627">
              <w:rPr>
                <w:rStyle w:val="bold"/>
                <w:b/>
              </w:rPr>
              <w:t>Kriteriji prihvatljivosti</w:t>
            </w:r>
          </w:p>
        </w:tc>
        <w:tc>
          <w:tcPr>
            <w:tcW w:w="4890" w:type="dxa"/>
            <w:gridSpan w:val="2"/>
            <w:tcBorders>
              <w:top w:val="single" w:sz="12" w:space="0" w:color="auto"/>
              <w:left w:val="single" w:sz="6" w:space="0" w:color="auto"/>
              <w:bottom w:val="single" w:sz="12" w:space="0" w:color="auto"/>
              <w:right w:val="single" w:sz="12" w:space="0" w:color="auto"/>
            </w:tcBorders>
            <w:shd w:val="pct5" w:color="auto" w:fill="auto"/>
          </w:tcPr>
          <w:p w14:paraId="78D41B27" w14:textId="77777777" w:rsidR="00192A93" w:rsidRPr="004A6627" w:rsidRDefault="00192A93" w:rsidP="000B2927">
            <w:pPr>
              <w:tabs>
                <w:tab w:val="left" w:pos="921"/>
              </w:tabs>
              <w:spacing w:after="60"/>
              <w:jc w:val="both"/>
            </w:pPr>
            <w:r w:rsidRPr="004A6627">
              <w:t>Na temelju kriterija prihvatljivosti navedenih u CEB-ovoj politici o zajmovima i financiranju projekata za „zdravstvenu i socijalnu skrb“ te „unaprjeđenje uvjeta života u urbanim i ruralnim područjima”.</w:t>
            </w:r>
          </w:p>
          <w:p w14:paraId="7C22A66E" w14:textId="77777777" w:rsidR="00192A93" w:rsidRPr="004A6627" w:rsidRDefault="00192A93" w:rsidP="00192A93">
            <w:pPr>
              <w:tabs>
                <w:tab w:val="left" w:pos="921"/>
              </w:tabs>
              <w:spacing w:after="60"/>
            </w:pPr>
          </w:p>
          <w:p w14:paraId="5857CAE9" w14:textId="77777777" w:rsidR="00192A93" w:rsidRPr="004A6627" w:rsidRDefault="00192A93" w:rsidP="000B2927">
            <w:pPr>
              <w:tabs>
                <w:tab w:val="left" w:pos="921"/>
              </w:tabs>
              <w:spacing w:after="60"/>
              <w:jc w:val="both"/>
            </w:pPr>
            <w:r w:rsidRPr="004A6627">
              <w:t>U okviru „</w:t>
            </w:r>
            <w:r w:rsidRPr="004A6627">
              <w:rPr>
                <w:u w:val="single"/>
              </w:rPr>
              <w:t>zdravstvene i socijalne skrbi</w:t>
            </w:r>
            <w:r w:rsidRPr="004A6627">
              <w:t>”, CEB može financirati potprojekte vezano uz COVID-19 koji se tiču zdravlja, socijalne skrbi i povezane infrastrukture, poput:</w:t>
            </w:r>
          </w:p>
          <w:p w14:paraId="3B103DB6"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 xml:space="preserve">izgradnje i/ili obnove: </w:t>
            </w:r>
          </w:p>
          <w:p w14:paraId="791C4CA0" w14:textId="77777777" w:rsidR="00192A93" w:rsidRPr="004A6627" w:rsidRDefault="00192A93" w:rsidP="00436B0A">
            <w:pPr>
              <w:pStyle w:val="ListParagraph"/>
              <w:numPr>
                <w:ilvl w:val="0"/>
                <w:numId w:val="13"/>
              </w:numPr>
              <w:autoSpaceDE w:val="0"/>
              <w:autoSpaceDN w:val="0"/>
              <w:adjustRightInd w:val="0"/>
              <w:snapToGrid w:val="0"/>
              <w:spacing w:line="240" w:lineRule="auto"/>
              <w:ind w:right="49"/>
              <w:jc w:val="both"/>
              <w:rPr>
                <w:sz w:val="24"/>
                <w:szCs w:val="24"/>
              </w:rPr>
            </w:pPr>
            <w:r w:rsidRPr="004A6627">
              <w:rPr>
                <w:sz w:val="24"/>
                <w:szCs w:val="24"/>
              </w:rPr>
              <w:t>javnih ili privatnih bolnica;</w:t>
            </w:r>
          </w:p>
          <w:p w14:paraId="4DB48A57" w14:textId="77777777" w:rsidR="00192A93" w:rsidRPr="004A6627" w:rsidRDefault="00192A93" w:rsidP="00436B0A">
            <w:pPr>
              <w:numPr>
                <w:ilvl w:val="0"/>
                <w:numId w:val="13"/>
              </w:numPr>
              <w:tabs>
                <w:tab w:val="left" w:pos="779"/>
              </w:tabs>
              <w:contextualSpacing/>
              <w:jc w:val="both"/>
            </w:pPr>
            <w:r w:rsidRPr="004A6627">
              <w:t>javne ili privatne infrastrukture medicinske službe;</w:t>
            </w:r>
          </w:p>
          <w:p w14:paraId="222BFAF5" w14:textId="77777777" w:rsidR="00192A93" w:rsidRPr="004A6627" w:rsidRDefault="00192A93" w:rsidP="00436B0A">
            <w:pPr>
              <w:numPr>
                <w:ilvl w:val="0"/>
                <w:numId w:val="13"/>
              </w:numPr>
              <w:tabs>
                <w:tab w:val="left" w:pos="779"/>
              </w:tabs>
              <w:contextualSpacing/>
              <w:jc w:val="both"/>
            </w:pPr>
            <w:r w:rsidRPr="004A6627">
              <w:t>specijaliziranih centara koji pomažu ranjivim i ovisnim skupinama stanovništva;</w:t>
            </w:r>
          </w:p>
          <w:p w14:paraId="0C474A32" w14:textId="77777777" w:rsidR="00192A93" w:rsidRPr="004A6627" w:rsidRDefault="00192A93" w:rsidP="00436B0A">
            <w:pPr>
              <w:numPr>
                <w:ilvl w:val="0"/>
                <w:numId w:val="13"/>
              </w:numPr>
              <w:tabs>
                <w:tab w:val="left" w:pos="779"/>
              </w:tabs>
              <w:contextualSpacing/>
              <w:jc w:val="both"/>
            </w:pPr>
            <w:r w:rsidRPr="004A6627">
              <w:t xml:space="preserve">domova za starije i nemoćne te centara za socijalnu skrb, uključujući  domove za starije koji su još uvijek neovisni; i </w:t>
            </w:r>
          </w:p>
          <w:p w14:paraId="25F614B1" w14:textId="77777777" w:rsidR="00192A93" w:rsidRPr="004A6627" w:rsidRDefault="00192A93" w:rsidP="00436B0A">
            <w:pPr>
              <w:numPr>
                <w:ilvl w:val="0"/>
                <w:numId w:val="13"/>
              </w:numPr>
              <w:tabs>
                <w:tab w:val="left" w:pos="779"/>
              </w:tabs>
              <w:contextualSpacing/>
              <w:jc w:val="both"/>
            </w:pPr>
            <w:r w:rsidRPr="004A6627">
              <w:t>objekata za istraživanje i razvoj.</w:t>
            </w:r>
          </w:p>
          <w:p w14:paraId="6C848A70"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opskrbe i postavljanja (ugradnje i montaže) medicinske opreme, ne-medicinske opreme i namještaja;</w:t>
            </w:r>
          </w:p>
          <w:p w14:paraId="33BFD71C"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adaptacije tih prostora radi olakšavanja pristupa osobama smanjene pokretljivosti;</w:t>
            </w:r>
          </w:p>
          <w:p w14:paraId="61AC20B7"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nabave higijenskih i odgovarajućih materijala i opreme; to može uključivati izravnu kupnju, ili zakup ili druge oblike dugoročnog najma te opreme;</w:t>
            </w:r>
          </w:p>
          <w:p w14:paraId="236FFAA1"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programa kućne njege i potpore kućnoj njezi;</w:t>
            </w:r>
          </w:p>
          <w:p w14:paraId="19EEA66B"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programa istraživanja i razvoja vezano uz zdravlje;</w:t>
            </w:r>
          </w:p>
          <w:p w14:paraId="737305A0"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 xml:space="preserve">programa edukacije i potpore za invalidne skupine;  </w:t>
            </w:r>
          </w:p>
          <w:p w14:paraId="1EABB227" w14:textId="2E1E5F8B" w:rsidR="00192A93"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edukacije za specijalizirane zaposlenike socijalnog i zdravstvenog sektora.</w:t>
            </w:r>
          </w:p>
          <w:p w14:paraId="5E442BA4" w14:textId="77777777" w:rsidR="00662C0B" w:rsidRPr="004A6627" w:rsidRDefault="00662C0B" w:rsidP="00662C0B">
            <w:pPr>
              <w:pStyle w:val="ListParagraph"/>
              <w:autoSpaceDE w:val="0"/>
              <w:autoSpaceDN w:val="0"/>
              <w:adjustRightInd w:val="0"/>
              <w:snapToGrid w:val="0"/>
              <w:spacing w:line="240" w:lineRule="auto"/>
              <w:ind w:left="571" w:right="49"/>
              <w:jc w:val="both"/>
              <w:rPr>
                <w:sz w:val="24"/>
                <w:szCs w:val="24"/>
              </w:rPr>
            </w:pPr>
          </w:p>
          <w:p w14:paraId="3BDE52B7" w14:textId="77777777" w:rsidR="00192A93" w:rsidRPr="004A6627" w:rsidRDefault="00192A93" w:rsidP="000B2927">
            <w:pPr>
              <w:ind w:left="4" w:hanging="4"/>
            </w:pPr>
            <w:r w:rsidRPr="004A6627">
              <w:t xml:space="preserve">Uz to, CEB može, u okviru Projekta, financirati i sljedeće:  </w:t>
            </w:r>
          </w:p>
          <w:p w14:paraId="5B181A6F"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rFonts w:eastAsiaTheme="minorHAnsi"/>
                <w:sz w:val="24"/>
                <w:szCs w:val="24"/>
              </w:rPr>
            </w:pPr>
            <w:r w:rsidRPr="004A6627">
              <w:rPr>
                <w:sz w:val="24"/>
                <w:szCs w:val="24"/>
              </w:rPr>
              <w:lastRenderedPageBreak/>
              <w:t>nabavu farmaceutskih proizvoda i zaštitne opreme (maske za lice, odjeća, kacige,  zaštitne naočale);</w:t>
            </w:r>
          </w:p>
          <w:p w14:paraId="46BAFA00"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naknadu za rad medicinskog osoblja koje radi u iznimnim okolnostima i povremeno, radi održavanja opstojnosti i održivosti javnih službi rijekom širenja zaraze Covid-19;</w:t>
            </w:r>
          </w:p>
          <w:p w14:paraId="0E15BE80" w14:textId="53D49634"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mjera Vlade RH da osigura kontinuitet zdravstvenih službi tijekom izvanrednog stanja izazvanog virusom Covid-19 kroz beskamatne zajmove Hrvatskom zavodu za zdravstveno osiguranje, što je regulirano Naputkom ministra financija (Narodne novine, br</w:t>
            </w:r>
            <w:r w:rsidR="00B33A1E">
              <w:rPr>
                <w:sz w:val="24"/>
                <w:szCs w:val="24"/>
              </w:rPr>
              <w:t>oj</w:t>
            </w:r>
            <w:r w:rsidRPr="004A6627">
              <w:rPr>
                <w:sz w:val="24"/>
                <w:szCs w:val="24"/>
              </w:rPr>
              <w:t xml:space="preserve"> 46/20) o načinu isplate beskamatnog zajma jedinicama lokalne i područne (regionalne) samouprave, Hrvatskom zavodu za mirovinsko osiguranje i Hrvatskom zavodu za zdravstveno osiguranje. </w:t>
            </w:r>
          </w:p>
          <w:p w14:paraId="7339E893" w14:textId="77777777" w:rsidR="00192A93" w:rsidRPr="004A6627" w:rsidRDefault="00192A93" w:rsidP="00192A93">
            <w:pPr>
              <w:ind w:left="71"/>
            </w:pPr>
          </w:p>
          <w:p w14:paraId="0F9C3276" w14:textId="3FE6DCD8" w:rsidR="00192A93" w:rsidRDefault="00192A93" w:rsidP="000B2927">
            <w:pPr>
              <w:ind w:left="71"/>
              <w:jc w:val="both"/>
            </w:pPr>
            <w:r w:rsidRPr="004A6627">
              <w:t xml:space="preserve">U okviru </w:t>
            </w:r>
            <w:r w:rsidRPr="004A6627">
              <w:rPr>
                <w:u w:val="single"/>
              </w:rPr>
              <w:t>„unaprjeđenja uvjeta života u urbanim i ruralnim područjima”</w:t>
            </w:r>
            <w:r w:rsidRPr="00B33A1E">
              <w:t xml:space="preserve">, </w:t>
            </w:r>
            <w:r w:rsidRPr="004A6627">
              <w:t>CEB može financirati potprojekte vezano uz COVID-19 u skladu s mjerom Vlade RH radi osiguravanja kontinuiteta lokalnih službi tijekom izvanrednog stanja izazvanog virusom Covid-19 kroz beskamatne zajmove lokalnim vlastima za financiranje rashoda koji su ključni za izvršavanje osnovnih zadataka, kako je regulirano Naputkom ministra financija (Narodne novine, br</w:t>
            </w:r>
            <w:r w:rsidR="00B33A1E">
              <w:t>oj</w:t>
            </w:r>
            <w:r w:rsidRPr="004A6627">
              <w:t xml:space="preserve"> 46/20) o načinu isplate beskamatnog zajma jedinicama lokalne i područne (regionalne) samouprave, Hrvatskom zavodu za mirovinsko osiguranje i Hrvatskom zavodu za zdravstveno osiguranje.</w:t>
            </w:r>
          </w:p>
          <w:p w14:paraId="720E57B4" w14:textId="77777777" w:rsidR="00662C0B" w:rsidRPr="004A6627" w:rsidRDefault="00662C0B" w:rsidP="00192A93">
            <w:pPr>
              <w:ind w:left="71"/>
            </w:pPr>
          </w:p>
          <w:p w14:paraId="7648916F" w14:textId="77777777" w:rsidR="00192A93" w:rsidRPr="004A6627" w:rsidRDefault="00192A93" w:rsidP="00192A93">
            <w:r w:rsidRPr="004A6627">
              <w:t xml:space="preserve">Rashodi mogu uključivati ulaganja u: </w:t>
            </w:r>
          </w:p>
          <w:p w14:paraId="590054D8"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komunalne usluge kao što su vodovodne mreže, opskrba električnom energijom i plinom, kanalizacija, postupanje s krutim i tekućim otpadom;</w:t>
            </w:r>
          </w:p>
          <w:p w14:paraId="7CC3D6AE"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infrastrukturu i održavanje lokalne cestovne mreže;</w:t>
            </w:r>
          </w:p>
          <w:p w14:paraId="000FC6DA"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infrastrukturu, opremanje i održavanje lokalnog  javnog prijevoza;</w:t>
            </w:r>
          </w:p>
          <w:p w14:paraId="784C5390"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javnu rasvjetu;</w:t>
            </w:r>
          </w:p>
          <w:p w14:paraId="232EA843"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centralizirano grijanje;</w:t>
            </w:r>
          </w:p>
          <w:p w14:paraId="4FF9D7A6"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komunalne službe, edukacijske i medicinske objekte;</w:t>
            </w:r>
          </w:p>
          <w:p w14:paraId="3ED2D5D2"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privremena utočišta i socijalne stanove;</w:t>
            </w:r>
          </w:p>
          <w:p w14:paraId="39619CF3"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društveno-kulturne ili sportske objekte poput igrališta, zelenih površina, izložbenih prostora, kazališta i knjižnica;</w:t>
            </w:r>
          </w:p>
          <w:p w14:paraId="70CEF0F0"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razvoj industrijskih zona;</w:t>
            </w:r>
          </w:p>
          <w:p w14:paraId="4DFE1F26"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mreže navodnjavanja u ruralnim područjima;</w:t>
            </w:r>
          </w:p>
          <w:p w14:paraId="28FDC74D"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upravne zgrade i subvencionirano stanovanje.</w:t>
            </w:r>
          </w:p>
          <w:p w14:paraId="2AD3AE4A" w14:textId="77777777" w:rsidR="00192A93" w:rsidRPr="004A6627" w:rsidRDefault="00192A93" w:rsidP="00192A93"/>
          <w:p w14:paraId="15D21424" w14:textId="77777777" w:rsidR="00192A93" w:rsidRPr="004A6627" w:rsidRDefault="00192A93" w:rsidP="000B2927">
            <w:pPr>
              <w:jc w:val="both"/>
            </w:pPr>
            <w:r w:rsidRPr="004A6627">
              <w:t xml:space="preserve">U pogledu </w:t>
            </w:r>
            <w:r w:rsidRPr="00B33A1E">
              <w:rPr>
                <w:u w:val="single"/>
              </w:rPr>
              <w:t>zaštite okoliša i socijalne zaštite</w:t>
            </w:r>
            <w:r w:rsidRPr="004A6627">
              <w:t>, Zajmoprimac osigurava da se primjenjuju sljedeće mjere, kada je to primjereno, vezano uz investicije koje se financiraju prihodima iz Zajma:</w:t>
            </w:r>
          </w:p>
          <w:p w14:paraId="375B78F4" w14:textId="77777777" w:rsidR="00192A93" w:rsidRPr="004A6627" w:rsidRDefault="00192A93" w:rsidP="00436B0A">
            <w:pPr>
              <w:numPr>
                <w:ilvl w:val="0"/>
                <w:numId w:val="11"/>
              </w:numPr>
              <w:ind w:left="565" w:hanging="565"/>
              <w:jc w:val="both"/>
            </w:pPr>
            <w:r w:rsidRPr="004A6627">
              <w:t xml:space="preserve">Protokoli o zaštiti za zaposlenike zdravstvenog sektora su uspostavljeni, a informacije, kao i zaštitna oprema, dostupni su svim zaposlenicima za provedbu tih protokola.  </w:t>
            </w:r>
          </w:p>
          <w:p w14:paraId="4B3BF43E" w14:textId="77777777" w:rsidR="00192A93" w:rsidRPr="004A6627" w:rsidRDefault="00192A93" w:rsidP="00436B0A">
            <w:pPr>
              <w:numPr>
                <w:ilvl w:val="0"/>
                <w:numId w:val="11"/>
              </w:numPr>
              <w:ind w:left="565" w:hanging="565"/>
              <w:jc w:val="both"/>
            </w:pPr>
            <w:r w:rsidRPr="004A6627">
              <w:t xml:space="preserve">Novozaposleni, kao i osobe koje su mobilizirane radi nastanka izvanrednog stanja, prošle su edukaciju o operativnim zdravstvenim i sigurnosnim postupcima i specifičnim postupcima povezanim s bolešću COVID-19. Edukacija je dokumentirana. </w:t>
            </w:r>
          </w:p>
          <w:p w14:paraId="5615D2ED" w14:textId="77777777" w:rsidR="00192A93" w:rsidRPr="004A6627" w:rsidRDefault="00192A93" w:rsidP="00436B0A">
            <w:pPr>
              <w:numPr>
                <w:ilvl w:val="0"/>
                <w:numId w:val="11"/>
              </w:numPr>
              <w:ind w:left="565" w:hanging="565"/>
              <w:jc w:val="both"/>
            </w:pPr>
            <w:r w:rsidRPr="004A6627">
              <w:t>Plan zbrinjavanja medicinskog otpada je usvojen te postoji dokumentacija o tome u zdravstvenim centrima, kao i u novim prenamijenjenim područjima, a ispravno gospodarenje se nastavilo i tijekom izvanredne situacije.</w:t>
            </w:r>
          </w:p>
          <w:p w14:paraId="1E49B739" w14:textId="77777777" w:rsidR="00192A93" w:rsidRPr="004A6627" w:rsidRDefault="00192A93" w:rsidP="00436B0A">
            <w:pPr>
              <w:numPr>
                <w:ilvl w:val="0"/>
                <w:numId w:val="11"/>
              </w:numPr>
              <w:ind w:left="565" w:hanging="565"/>
              <w:jc w:val="both"/>
            </w:pPr>
            <w:r w:rsidRPr="004A6627">
              <w:t>Svako područje prenamijenjeno za liječenje pacijenata zaraženih bolešću COVID-19 dostiže najviši mogući standard zdravlja koji se može postići u takvoj izvanrednoj situaciji.</w:t>
            </w:r>
          </w:p>
          <w:p w14:paraId="0D06D97B" w14:textId="77777777" w:rsidR="00192A93" w:rsidRPr="004A6627" w:rsidRDefault="00192A93" w:rsidP="00436B0A">
            <w:pPr>
              <w:numPr>
                <w:ilvl w:val="0"/>
                <w:numId w:val="11"/>
              </w:numPr>
              <w:ind w:left="565" w:hanging="565"/>
              <w:jc w:val="both"/>
            </w:pPr>
            <w:r w:rsidRPr="004A6627">
              <w:t>Područja karantene i izolacije djeluju u skladu s važećim zakonima i člankom 5.7.</w:t>
            </w:r>
          </w:p>
          <w:p w14:paraId="5AD1FA01" w14:textId="77777777" w:rsidR="00192A93" w:rsidRPr="004A6627" w:rsidRDefault="00192A93" w:rsidP="000B2927">
            <w:pPr>
              <w:jc w:val="both"/>
            </w:pPr>
            <w:r w:rsidRPr="004A6627">
              <w:t xml:space="preserve">CEB zadržava pravo, u skladu s člankom 6.4, provesti ispitivanja o usklađenosti s gore navedenim mjerama. </w:t>
            </w:r>
          </w:p>
        </w:tc>
      </w:tr>
      <w:tr w:rsidR="00192A93" w:rsidRPr="004A6627" w14:paraId="1C43E933" w14:textId="77777777" w:rsidTr="00B11F60">
        <w:trPr>
          <w:gridAfter w:val="1"/>
          <w:wAfter w:w="794" w:type="dxa"/>
          <w:trHeight w:val="188"/>
          <w:jc w:val="center"/>
        </w:trPr>
        <w:tc>
          <w:tcPr>
            <w:tcW w:w="506" w:type="dxa"/>
          </w:tcPr>
          <w:p w14:paraId="3B3398E9" w14:textId="77777777" w:rsidR="00192A93" w:rsidRPr="004A6627" w:rsidRDefault="00192A93" w:rsidP="00192A93">
            <w:pPr>
              <w:rPr>
                <w:b/>
              </w:rPr>
            </w:pPr>
            <w:r w:rsidRPr="004A6627">
              <w:rPr>
                <w:b/>
              </w:rPr>
              <w:lastRenderedPageBreak/>
              <w:t>IV.</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457DFF1B" w14:textId="77777777" w:rsidR="00192A93" w:rsidRPr="004A6627" w:rsidRDefault="00192A93" w:rsidP="00192A93">
            <w:pPr>
              <w:rPr>
                <w:b/>
              </w:rPr>
            </w:pPr>
            <w:r w:rsidRPr="004A6627">
              <w:rPr>
                <w:rStyle w:val="bold"/>
                <w:b/>
              </w:rPr>
              <w:t>Prihvatljivi troškovi</w:t>
            </w:r>
          </w:p>
        </w:tc>
        <w:tc>
          <w:tcPr>
            <w:tcW w:w="4890" w:type="dxa"/>
            <w:gridSpan w:val="2"/>
            <w:tcBorders>
              <w:top w:val="single" w:sz="12" w:space="0" w:color="auto"/>
              <w:left w:val="single" w:sz="6" w:space="0" w:color="auto"/>
              <w:bottom w:val="single" w:sz="12" w:space="0" w:color="auto"/>
              <w:right w:val="single" w:sz="12" w:space="0" w:color="auto"/>
            </w:tcBorders>
            <w:shd w:val="pct5" w:color="auto" w:fill="auto"/>
          </w:tcPr>
          <w:p w14:paraId="0DB08E32" w14:textId="04ED013E" w:rsidR="00192A93" w:rsidRPr="004A6627" w:rsidRDefault="00192A93" w:rsidP="000B2927">
            <w:pPr>
              <w:spacing w:after="60"/>
              <w:jc w:val="both"/>
            </w:pPr>
            <w:r w:rsidRPr="004A6627">
              <w:t xml:space="preserve">Instrument financiranja javnog sektora pokriva proračunske rashode povezane s COVID-19. Prihvatljivi troškovi za CEB-ovo financiranje mogu uključivati: </w:t>
            </w:r>
          </w:p>
          <w:p w14:paraId="494BD068" w14:textId="77777777" w:rsidR="00192A93" w:rsidRPr="004A6627" w:rsidRDefault="00192A93" w:rsidP="00436B0A">
            <w:pPr>
              <w:pStyle w:val="ListParagraph"/>
              <w:numPr>
                <w:ilvl w:val="0"/>
                <w:numId w:val="14"/>
              </w:numPr>
              <w:autoSpaceDE w:val="0"/>
              <w:autoSpaceDN w:val="0"/>
              <w:adjustRightInd w:val="0"/>
              <w:snapToGrid w:val="0"/>
              <w:spacing w:line="240" w:lineRule="auto"/>
              <w:ind w:left="571" w:right="49" w:hanging="571"/>
              <w:jc w:val="both"/>
              <w:rPr>
                <w:sz w:val="24"/>
                <w:szCs w:val="24"/>
              </w:rPr>
            </w:pPr>
            <w:r w:rsidRPr="004A6627">
              <w:rPr>
                <w:sz w:val="24"/>
                <w:szCs w:val="24"/>
              </w:rPr>
              <w:t xml:space="preserve">Pripremne ankete ili studije (tehničke, ekonomske ili komercijalne, tehnološke; procjene utjecaja na okoliš i procjene društvenog učinka, te planove upravljanja) tehničkog nadzora Projekta i ostalih profesionalnih usluga povezanih s projektom. Ti troškovi ne smiju premašiti 5% ukupnog troška za Projekt, osim ako nije  opravdano iz nekog razloga; </w:t>
            </w:r>
          </w:p>
          <w:p w14:paraId="7C87011E"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 xml:space="preserve">Nabavu zemljišta izravno povezanog s provedbom Projekta koja je planirana u vrlo bliskoj budućnosti, po njenoj nabavnoj cijeni, osim ako nije donirana ili dodijeljena; </w:t>
            </w:r>
          </w:p>
          <w:p w14:paraId="6242C5D8"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Pripremu zemljišta izravno povezanog s provedbom Projekta planiranom u vrlo bliskoj budućnosti;</w:t>
            </w:r>
          </w:p>
          <w:p w14:paraId="36ACE9AD"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Izgradnju/obnovu/modernizaciju ili kupnju zgrada izravno povezanih s Projektom;</w:t>
            </w:r>
          </w:p>
          <w:p w14:paraId="228D7581"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Instaliranje osnovne infrastrukture, poput kanalizacije, vodovoda, plinovoda, mreže električne energije i telekomunikacija, zbrinjavanja otpada i postupanja s otpadnim vodama, cestovne mreže, itd.;</w:t>
            </w:r>
          </w:p>
          <w:p w14:paraId="27E19FAB"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Potporu održivosti javnih službi; uključujući i određene kategorije periodičnih troškova kada su ti troškovi povezani s radnicima u sektoru zdravstva i drugim javnim službenicima uključenim u upravljanje izvanrednim stanjem uzrokovanim bolešću Covid-19;</w:t>
            </w:r>
          </w:p>
          <w:p w14:paraId="15B739BE"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Kupnju materijala, opreme i strojeva, uključujući i informatičku opremu i softvere, kao i troškove povezane s edukacijom zaposlenika;</w:t>
            </w:r>
          </w:p>
          <w:p w14:paraId="312EE09A"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Nepredviđene izdatke za neočekivane troškove (tehničke troškove i/ili povećanja cijena) može financirati CEB. Ti izdaci predstavljaju financijsko namirenje nepredviđenih promjena u količini posla koju je potrebno odraditi, ili jediničnim cijenama, ili u vrsti i količini opreme koja će se kupiti ili u načinu na koji se izvršava Projekt;</w:t>
            </w:r>
          </w:p>
          <w:p w14:paraId="6E6B3EB9"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Ovisno o sektoru djelatnosti i raznim komponentama Projekta, ti nepredviđeni izdaci mogu predstavljati do 10% ukupnog troška Projekta. Postotak nepredviđenih izdataka može biti veći ako se procjenom povećanje opravda;</w:t>
            </w:r>
          </w:p>
          <w:p w14:paraId="235223B0" w14:textId="783696F0"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Troškovi povezani s profesionalnom</w:t>
            </w:r>
            <w:r w:rsidR="000B2927">
              <w:rPr>
                <w:sz w:val="24"/>
                <w:szCs w:val="24"/>
              </w:rPr>
              <w:t xml:space="preserve"> </w:t>
            </w:r>
            <w:r w:rsidRPr="004A6627">
              <w:rPr>
                <w:sz w:val="24"/>
                <w:szCs w:val="24"/>
              </w:rPr>
              <w:t xml:space="preserve">/strukovnom edukacijom i kampanjama za podizanje svjesnosti u javnosti mogu biti prihvatljivi za CEB-ovo financiranje uzimajući u obzir njihove ciljeve u okviru Projekta; </w:t>
            </w:r>
          </w:p>
          <w:p w14:paraId="212FE0BE"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Zajmovi CEB-a ne mogu pokriti troškove zaposlenika (plaće i ostala davanja poput plaćanja za mirovine), osim kada se ti troškovi odnose na zdravstvene radnike i ostale javne službenike  uključene u upravljanje izvanrednim stanjem uzrokovanim bolešću Covid-19.</w:t>
            </w:r>
          </w:p>
          <w:p w14:paraId="44CDAFA4"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Zajmovi CEB-a ne mogu pokriti financijske naknade i bezgotovinske elemente poput deprecijacije;</w:t>
            </w:r>
          </w:p>
          <w:p w14:paraId="21D7FF85"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 xml:space="preserve">Financijski troškovi (plaćanje i/ili refinanciranje duga, naknade za kamate, stjecanje udjela u kapitalu poduzeća, itd.) ili financijska ulaganja ne mogu se uključiti u procijenjen trošak Projekta i CEB ih ne može financirati; i </w:t>
            </w:r>
          </w:p>
          <w:p w14:paraId="76725C18" w14:textId="77777777" w:rsidR="00192A93" w:rsidRPr="004A6627" w:rsidRDefault="00192A93" w:rsidP="00436B0A">
            <w:pPr>
              <w:pStyle w:val="ListParagraph"/>
              <w:numPr>
                <w:ilvl w:val="0"/>
                <w:numId w:val="12"/>
              </w:numPr>
              <w:autoSpaceDE w:val="0"/>
              <w:autoSpaceDN w:val="0"/>
              <w:adjustRightInd w:val="0"/>
              <w:snapToGrid w:val="0"/>
              <w:spacing w:line="240" w:lineRule="auto"/>
              <w:ind w:left="571" w:right="49" w:hanging="571"/>
              <w:jc w:val="both"/>
              <w:rPr>
                <w:sz w:val="24"/>
                <w:szCs w:val="24"/>
              </w:rPr>
            </w:pPr>
            <w:r w:rsidRPr="004A6627">
              <w:rPr>
                <w:sz w:val="24"/>
                <w:szCs w:val="24"/>
              </w:rPr>
              <w:t>PDV koji se ne može odbiti i koji je nepovratan te ostali troškovi vezano uz poreze koji se ne mogu odbiti i koji su nepovratni mogu se smatrati prihvatljivim troškovima.</w:t>
            </w:r>
          </w:p>
        </w:tc>
      </w:tr>
      <w:tr w:rsidR="00192A93" w:rsidRPr="004A6627" w14:paraId="232DF77A" w14:textId="77777777" w:rsidTr="00B11F60">
        <w:trPr>
          <w:trHeight w:val="51"/>
          <w:jc w:val="center"/>
        </w:trPr>
        <w:tc>
          <w:tcPr>
            <w:tcW w:w="506" w:type="dxa"/>
          </w:tcPr>
          <w:p w14:paraId="74561354" w14:textId="77777777" w:rsidR="00192A93" w:rsidRPr="004A6627" w:rsidRDefault="00192A93" w:rsidP="00192A93">
            <w:pPr>
              <w:rPr>
                <w:b/>
              </w:rPr>
            </w:pPr>
          </w:p>
        </w:tc>
        <w:tc>
          <w:tcPr>
            <w:tcW w:w="2837" w:type="dxa"/>
          </w:tcPr>
          <w:p w14:paraId="25307A7F" w14:textId="77777777" w:rsidR="00192A93" w:rsidRPr="004A6627" w:rsidRDefault="00192A93" w:rsidP="00192A93">
            <w:pPr>
              <w:rPr>
                <w:b/>
              </w:rPr>
            </w:pPr>
          </w:p>
        </w:tc>
        <w:tc>
          <w:tcPr>
            <w:tcW w:w="2288" w:type="dxa"/>
          </w:tcPr>
          <w:p w14:paraId="4FD83313" w14:textId="77777777" w:rsidR="00192A93" w:rsidRPr="004A6627" w:rsidRDefault="00192A93" w:rsidP="00192A93">
            <w:pPr>
              <w:rPr>
                <w:i/>
              </w:rPr>
            </w:pPr>
          </w:p>
        </w:tc>
        <w:tc>
          <w:tcPr>
            <w:tcW w:w="3396" w:type="dxa"/>
            <w:gridSpan w:val="2"/>
          </w:tcPr>
          <w:p w14:paraId="342C510C" w14:textId="77777777" w:rsidR="00192A93" w:rsidRPr="004A6627" w:rsidRDefault="00192A93" w:rsidP="00192A93"/>
        </w:tc>
      </w:tr>
      <w:tr w:rsidR="00192A93" w:rsidRPr="004A6627" w14:paraId="161439CF" w14:textId="77777777" w:rsidTr="00B11F60">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794" w:type="dxa"/>
          <w:trHeight w:val="285"/>
          <w:jc w:val="center"/>
        </w:trPr>
        <w:tc>
          <w:tcPr>
            <w:tcW w:w="506" w:type="dxa"/>
            <w:tcBorders>
              <w:top w:val="nil"/>
              <w:left w:val="nil"/>
              <w:bottom w:val="nil"/>
              <w:right w:val="nil"/>
            </w:tcBorders>
          </w:tcPr>
          <w:p w14:paraId="357BCD0D" w14:textId="77777777" w:rsidR="00192A93" w:rsidRPr="004A6627" w:rsidRDefault="00192A93" w:rsidP="00192A93">
            <w:pPr>
              <w:rPr>
                <w:b/>
              </w:rPr>
            </w:pPr>
            <w:r w:rsidRPr="004A6627">
              <w:rPr>
                <w:b/>
              </w:rPr>
              <w:t>V.</w:t>
            </w:r>
          </w:p>
        </w:tc>
        <w:tc>
          <w:tcPr>
            <w:tcW w:w="2837" w:type="dxa"/>
            <w:tcBorders>
              <w:top w:val="single" w:sz="12" w:space="0" w:color="auto"/>
              <w:left w:val="single" w:sz="12" w:space="0" w:color="auto"/>
              <w:bottom w:val="single" w:sz="12" w:space="0" w:color="auto"/>
            </w:tcBorders>
            <w:shd w:val="pct5" w:color="auto" w:fill="auto"/>
          </w:tcPr>
          <w:p w14:paraId="69763B5F" w14:textId="77777777" w:rsidR="00192A93" w:rsidRPr="004A6627" w:rsidRDefault="00192A93" w:rsidP="00192A93">
            <w:pPr>
              <w:rPr>
                <w:b/>
              </w:rPr>
            </w:pPr>
            <w:r w:rsidRPr="004A6627">
              <w:rPr>
                <w:rStyle w:val="bold"/>
                <w:b/>
              </w:rPr>
              <w:t>Društveni učinak</w:t>
            </w:r>
          </w:p>
        </w:tc>
        <w:tc>
          <w:tcPr>
            <w:tcW w:w="4890" w:type="dxa"/>
            <w:gridSpan w:val="2"/>
            <w:tcBorders>
              <w:top w:val="single" w:sz="12" w:space="0" w:color="auto"/>
              <w:bottom w:val="single" w:sz="12" w:space="0" w:color="auto"/>
            </w:tcBorders>
            <w:shd w:val="pct5" w:color="auto" w:fill="auto"/>
          </w:tcPr>
          <w:p w14:paraId="77D08892" w14:textId="77777777" w:rsidR="00192A93" w:rsidRPr="004A6627" w:rsidRDefault="00192A93" w:rsidP="000B2927">
            <w:pPr>
              <w:jc w:val="both"/>
            </w:pPr>
            <w:r w:rsidRPr="004A6627">
              <w:t>Društveni učinak Projekta je visok budući da će Instrument financiranja javnog sektora djelomično financirati hitne mjere RH koje su poduzete za suočavanje s posljedicama bolesti Covid-19, uključujući i smanjenje učinka krize na život njezinih stanovnika.</w:t>
            </w:r>
          </w:p>
        </w:tc>
      </w:tr>
    </w:tbl>
    <w:p w14:paraId="20FA7BEA" w14:textId="77777777" w:rsidR="00192A93" w:rsidRPr="00440E66" w:rsidRDefault="00192A93" w:rsidP="000B2927">
      <w:pPr>
        <w:pStyle w:val="prilog"/>
        <w:rPr>
          <w:lang w:val="hr-HR"/>
        </w:rPr>
      </w:pPr>
      <w:r w:rsidRPr="004A6627">
        <w:rPr>
          <w:lang w:val="hr-HR"/>
        </w:rPr>
        <w:br w:type="page"/>
      </w:r>
      <w:r w:rsidRPr="00440E66">
        <w:rPr>
          <w:lang w:val="hr-HR"/>
        </w:rPr>
        <w:lastRenderedPageBreak/>
        <w:t>P</w:t>
      </w:r>
      <w:r w:rsidRPr="00440E66">
        <w:rPr>
          <w:bCs/>
          <w:lang w:val="hr-HR"/>
        </w:rPr>
        <w:t>RILOG 2</w:t>
      </w:r>
    </w:p>
    <w:p w14:paraId="44707EF3" w14:textId="77777777" w:rsidR="00192A93" w:rsidRPr="004A6627" w:rsidRDefault="00192A93" w:rsidP="00192A93">
      <w:pPr>
        <w:pStyle w:val="t-11-9-sred"/>
        <w:jc w:val="center"/>
        <w:rPr>
          <w:b/>
          <w:lang w:val="hr-HR"/>
        </w:rPr>
      </w:pPr>
      <w:r w:rsidRPr="004A6627">
        <w:rPr>
          <w:b/>
          <w:lang w:val="hr-HR"/>
        </w:rPr>
        <w:t>Obrazac pravnog mišljenja</w:t>
      </w:r>
    </w:p>
    <w:p w14:paraId="2AC2F9EF" w14:textId="77777777" w:rsidR="00192A93" w:rsidRPr="004A6627" w:rsidRDefault="00192A93" w:rsidP="00192A93">
      <w:pPr>
        <w:pStyle w:val="t-9-8-bez-uvl"/>
        <w:spacing w:before="0" w:beforeAutospacing="0" w:after="120"/>
        <w:rPr>
          <w:lang w:val="hr-HR"/>
        </w:rPr>
      </w:pPr>
      <w:r w:rsidRPr="004A6627">
        <w:rPr>
          <w:lang w:val="hr-HR"/>
        </w:rPr>
        <w:t>Razvojna banka Vijeća Europe</w:t>
      </w:r>
    </w:p>
    <w:p w14:paraId="14FB0E82" w14:textId="77777777" w:rsidR="00192A93" w:rsidRPr="004A6627" w:rsidRDefault="00192A93" w:rsidP="00192A93">
      <w:pPr>
        <w:pStyle w:val="t-9-8-bez-uvl"/>
        <w:spacing w:before="0" w:beforeAutospacing="0" w:after="120"/>
        <w:rPr>
          <w:lang w:val="hr-HR"/>
        </w:rPr>
      </w:pPr>
      <w:r w:rsidRPr="004A6627">
        <w:rPr>
          <w:lang w:val="hr-HR"/>
        </w:rPr>
        <w:t>55, Avenue Kléber</w:t>
      </w:r>
    </w:p>
    <w:p w14:paraId="7E684C0B" w14:textId="77777777" w:rsidR="00192A93" w:rsidRPr="004A6627" w:rsidRDefault="00192A93" w:rsidP="00192A93">
      <w:pPr>
        <w:pStyle w:val="t-9-8-bez-uvl"/>
        <w:spacing w:before="0" w:beforeAutospacing="0" w:after="120"/>
        <w:rPr>
          <w:lang w:val="hr-HR"/>
        </w:rPr>
      </w:pPr>
      <w:r w:rsidRPr="004A6627">
        <w:rPr>
          <w:lang w:val="hr-HR"/>
        </w:rPr>
        <w:t>75116 Pariz</w:t>
      </w:r>
    </w:p>
    <w:p w14:paraId="023A3265" w14:textId="77777777" w:rsidR="00192A93" w:rsidRPr="004A6627" w:rsidRDefault="00192A93" w:rsidP="00192A93">
      <w:pPr>
        <w:pStyle w:val="t-9-8-bez-uvl"/>
        <w:spacing w:before="0" w:beforeAutospacing="0" w:after="120"/>
        <w:rPr>
          <w:lang w:val="hr-HR"/>
        </w:rPr>
      </w:pPr>
      <w:r w:rsidRPr="004A6627">
        <w:rPr>
          <w:lang w:val="hr-HR"/>
        </w:rPr>
        <w:t>FRANCUSKA</w:t>
      </w:r>
    </w:p>
    <w:p w14:paraId="0DABEB7E" w14:textId="77777777" w:rsidR="00192A93" w:rsidRPr="004A6627" w:rsidRDefault="00192A93" w:rsidP="00192A93">
      <w:pPr>
        <w:pStyle w:val="t-9-8-bez-uvl"/>
        <w:spacing w:before="0" w:beforeAutospacing="0" w:after="120"/>
        <w:rPr>
          <w:lang w:val="hr-HR"/>
        </w:rPr>
      </w:pPr>
    </w:p>
    <w:p w14:paraId="1775E6FE" w14:textId="77777777" w:rsidR="00192A93" w:rsidRPr="004A6627" w:rsidRDefault="00192A93" w:rsidP="00192A93">
      <w:pPr>
        <w:pStyle w:val="t-9-8-bez-uvl"/>
        <w:spacing w:before="0" w:beforeAutospacing="0" w:after="120"/>
        <w:rPr>
          <w:lang w:val="hr-HR"/>
        </w:rPr>
      </w:pPr>
      <w:r w:rsidRPr="004A6627">
        <w:rPr>
          <w:lang w:val="hr-HR"/>
        </w:rPr>
        <w:t>Na pažnju: Odjelu za projekte</w:t>
      </w:r>
    </w:p>
    <w:p w14:paraId="212B5AD1" w14:textId="77777777" w:rsidR="00192A93" w:rsidRPr="004A6627" w:rsidRDefault="00192A93" w:rsidP="00192A93">
      <w:pPr>
        <w:pStyle w:val="t-9-8-bez-uvl"/>
        <w:spacing w:before="0" w:beforeAutospacing="0" w:after="120"/>
        <w:rPr>
          <w:lang w:val="hr-HR"/>
        </w:rPr>
      </w:pPr>
      <w:r w:rsidRPr="004A6627">
        <w:rPr>
          <w:lang w:val="hr-HR"/>
        </w:rPr>
        <w:t>Na znanje: Uredu glavnog pravnog savjetnika</w:t>
      </w:r>
    </w:p>
    <w:p w14:paraId="1747D4C7" w14:textId="77777777" w:rsidR="00192A93" w:rsidRPr="004A6627" w:rsidRDefault="00192A93" w:rsidP="00192A93"/>
    <w:p w14:paraId="39BA8965" w14:textId="77777777" w:rsidR="00192A93" w:rsidRPr="004A6627" w:rsidRDefault="00192A93" w:rsidP="00192A93">
      <w:pPr>
        <w:jc w:val="right"/>
      </w:pPr>
      <w:r w:rsidRPr="004A6627">
        <w:t>[DATUM]</w:t>
      </w:r>
    </w:p>
    <w:p w14:paraId="4435BCE3" w14:textId="77777777" w:rsidR="00192A93" w:rsidRPr="004A6627" w:rsidRDefault="00192A93" w:rsidP="00192A93"/>
    <w:p w14:paraId="5C9C1818" w14:textId="77777777" w:rsidR="00192A93" w:rsidRPr="004A6627" w:rsidRDefault="00192A93" w:rsidP="00006A37">
      <w:pPr>
        <w:ind w:left="993" w:hanging="993"/>
        <w:jc w:val="both"/>
        <w:rPr>
          <w:b/>
        </w:rPr>
      </w:pPr>
      <w:r w:rsidRPr="004A6627">
        <w:rPr>
          <w:rStyle w:val="bold"/>
          <w:b/>
        </w:rPr>
        <w:t>Predmet:</w:t>
      </w:r>
      <w:r w:rsidRPr="004A6627">
        <w:rPr>
          <w:rStyle w:val="kurziv"/>
          <w:b/>
        </w:rPr>
        <w:t xml:space="preserve"> </w:t>
      </w:r>
      <w:r w:rsidRPr="00006A37">
        <w:rPr>
          <w:b/>
          <w:bCs/>
          <w:i/>
          <w:iCs/>
          <w:u w:val="single"/>
        </w:rPr>
        <w:t xml:space="preserve">Okvirni ugovor o zajmu između Republike Hrvatske i Razvojne banke Vijeća Europe </w:t>
      </w:r>
      <w:r w:rsidRPr="00006A37">
        <w:rPr>
          <w:b/>
          <w:i/>
          <w:u w:val="single"/>
        </w:rPr>
        <w:t>(LD 2056 (2020))</w:t>
      </w:r>
    </w:p>
    <w:p w14:paraId="6B55436F" w14:textId="77777777" w:rsidR="00192A93" w:rsidRPr="004A6627" w:rsidRDefault="00192A93" w:rsidP="00192A93">
      <w:pPr>
        <w:pStyle w:val="t-9-8-bez-uvl"/>
        <w:jc w:val="both"/>
        <w:rPr>
          <w:lang w:val="hr-HR"/>
        </w:rPr>
      </w:pPr>
      <w:r w:rsidRPr="004A6627">
        <w:rPr>
          <w:lang w:val="hr-HR"/>
        </w:rPr>
        <w:t>Poštovani/Poštovana,</w:t>
      </w:r>
    </w:p>
    <w:p w14:paraId="4108D6AF" w14:textId="61AE6F4F" w:rsidR="00192A93" w:rsidRPr="004A6627" w:rsidRDefault="00192A93" w:rsidP="00192A93">
      <w:pPr>
        <w:pStyle w:val="t-9-8-bez-uvl"/>
        <w:jc w:val="both"/>
        <w:rPr>
          <w:lang w:val="hr-HR"/>
        </w:rPr>
      </w:pPr>
      <w:r w:rsidRPr="004A6627">
        <w:rPr>
          <w:lang w:val="hr-HR"/>
        </w:rPr>
        <w:t>ja, [•], u svojstvu [FUNKCIJA, npr. ministra pravosuđa], postupajući kao pravni savjetnik vezano za pitanja [NADLEŽNOST] prava [</w:t>
      </w:r>
      <w:r w:rsidR="00006A37" w:rsidRPr="004A6627">
        <w:rPr>
          <w:lang w:val="hr-HR"/>
        </w:rPr>
        <w:t>•</w:t>
      </w:r>
      <w:r w:rsidRPr="004A6627">
        <w:rPr>
          <w:lang w:val="hr-HR"/>
        </w:rPr>
        <w:t>] (»Zajmoprimca«) vezano za Okvirni ugovor o zajmu između Razvoj</w:t>
      </w:r>
      <w:r w:rsidR="00F85162">
        <w:rPr>
          <w:lang w:val="hr-HR"/>
        </w:rPr>
        <w:t>ne banke Vijeća Europe (»CEB«) i</w:t>
      </w:r>
      <w:r w:rsidRPr="004A6627">
        <w:rPr>
          <w:lang w:val="hr-HR"/>
        </w:rPr>
        <w:t xml:space="preserve"> Zajmoprimca od [•] (datum) koji je na snazi od [•] (datum) (»Ugovor«) i dajem ovo mišljenje u skladu s člankom [</w:t>
      </w:r>
      <w:r w:rsidR="00006A37" w:rsidRPr="004A6627">
        <w:rPr>
          <w:lang w:val="hr-HR"/>
        </w:rPr>
        <w:t>•</w:t>
      </w:r>
      <w:r w:rsidRPr="004A6627">
        <w:rPr>
          <w:lang w:val="hr-HR"/>
        </w:rPr>
        <w:t>] Ugovora.</w:t>
      </w:r>
    </w:p>
    <w:p w14:paraId="0B20DE01" w14:textId="77777777" w:rsidR="00192A93" w:rsidRPr="004A6627" w:rsidRDefault="00192A93" w:rsidP="00192A93">
      <w:pPr>
        <w:pStyle w:val="t-9-8-bez-uvl"/>
        <w:jc w:val="both"/>
        <w:rPr>
          <w:lang w:val="hr-HR"/>
        </w:rPr>
      </w:pPr>
      <w:r w:rsidRPr="004A6627">
        <w:rPr>
          <w:lang w:val="hr-HR"/>
        </w:rPr>
        <w:t>U svrhu ovog mišljenja, proučili smo izvorni primjerak Ugovora i drugih takvih dokumenata, akata ili ugovora za koje smo smatrali da je potrebno ili poželjno izvršiti pregled u svrhu davanja ovog mišljenja.</w:t>
      </w:r>
    </w:p>
    <w:p w14:paraId="06F18B75" w14:textId="77777777" w:rsidR="00192A93" w:rsidRPr="004A6627" w:rsidRDefault="00192A93" w:rsidP="00192A93">
      <w:pPr>
        <w:pStyle w:val="t-9-8-bez-uvl"/>
        <w:jc w:val="both"/>
        <w:rPr>
          <w:lang w:val="hr-HR"/>
        </w:rPr>
      </w:pPr>
      <w:r w:rsidRPr="004A6627">
        <w:rPr>
          <w:lang w:val="hr-HR"/>
        </w:rPr>
        <w:t>Izrazi definirani u Ugovoru u daljnjem tekstu imaju isto značenje, osim ako nije utvrđeno drugačije.</w:t>
      </w:r>
    </w:p>
    <w:p w14:paraId="7B7FB8BA" w14:textId="77777777" w:rsidR="00192A93" w:rsidRPr="004A6627" w:rsidRDefault="00192A93" w:rsidP="00192A93">
      <w:pPr>
        <w:pStyle w:val="t-9-8-bez-uvl"/>
        <w:jc w:val="both"/>
        <w:rPr>
          <w:lang w:val="hr-HR"/>
        </w:rPr>
      </w:pPr>
      <w:r w:rsidRPr="004A6627">
        <w:rPr>
          <w:lang w:val="hr-HR"/>
        </w:rPr>
        <w:t>Na temelju gore navedenog, mišljenja sam da:</w:t>
      </w:r>
    </w:p>
    <w:p w14:paraId="6DDEC4BC" w14:textId="14175EC7" w:rsidR="00192A93" w:rsidRPr="004A6627" w:rsidRDefault="00192A93" w:rsidP="000B2927">
      <w:pPr>
        <w:pStyle w:val="t-9-8-bez-uvl"/>
        <w:spacing w:before="0" w:beforeAutospacing="0" w:after="0"/>
        <w:ind w:left="425" w:hanging="425"/>
        <w:jc w:val="both"/>
        <w:rPr>
          <w:lang w:val="hr-HR"/>
        </w:rPr>
      </w:pPr>
      <w:r w:rsidRPr="004A6627">
        <w:rPr>
          <w:lang w:val="hr-HR"/>
        </w:rPr>
        <w:t>1.</w:t>
      </w:r>
      <w:r w:rsidR="00006A37">
        <w:rPr>
          <w:lang w:val="hr-HR"/>
        </w:rPr>
        <w:tab/>
      </w:r>
      <w:r w:rsidRPr="004A6627">
        <w:rPr>
          <w:rStyle w:val="kurziv"/>
          <w:b/>
          <w:i/>
          <w:lang w:val="hr-HR"/>
        </w:rPr>
        <w:t>Sposobnost, ovlaštenje i ovlast</w:t>
      </w:r>
      <w:r w:rsidRPr="004A6627">
        <w:rPr>
          <w:rStyle w:val="kurziv"/>
          <w:lang w:val="hr-HR"/>
        </w:rPr>
        <w:t>.</w:t>
      </w:r>
      <w:r w:rsidRPr="004A6627">
        <w:rPr>
          <w:lang w:val="hr-HR"/>
        </w:rPr>
        <w:t xml:space="preserve"> Zajmoprimac ima pravnu sposobnost, ovlaštenje i ovlast sklopiti ovaj Ugovor i ispuniti svoje obveze prema Ugovoru.</w:t>
      </w:r>
    </w:p>
    <w:p w14:paraId="162E423B" w14:textId="6AFF6CF1" w:rsidR="00192A93" w:rsidRPr="004A6627" w:rsidRDefault="00192A93" w:rsidP="000B2927">
      <w:pPr>
        <w:pStyle w:val="t-9-8-bez-uvl"/>
        <w:spacing w:before="0" w:beforeAutospacing="0" w:after="0"/>
        <w:ind w:left="425" w:hanging="425"/>
        <w:jc w:val="both"/>
        <w:rPr>
          <w:lang w:val="hr-HR"/>
        </w:rPr>
      </w:pPr>
      <w:r w:rsidRPr="004A6627">
        <w:rPr>
          <w:lang w:val="hr-HR"/>
        </w:rPr>
        <w:t>2.</w:t>
      </w:r>
      <w:r w:rsidR="00006A37">
        <w:rPr>
          <w:lang w:val="hr-HR"/>
        </w:rPr>
        <w:tab/>
      </w:r>
      <w:r w:rsidRPr="004A6627">
        <w:rPr>
          <w:rStyle w:val="kurziv"/>
          <w:b/>
          <w:i/>
          <w:lang w:val="hr-HR"/>
        </w:rPr>
        <w:t>Unutarnja odobrenja</w:t>
      </w:r>
      <w:r w:rsidRPr="004A6627">
        <w:rPr>
          <w:rStyle w:val="kurziv"/>
          <w:lang w:val="hr-HR"/>
        </w:rPr>
        <w:t xml:space="preserve">. </w:t>
      </w:r>
      <w:r w:rsidRPr="004A6627">
        <w:rPr>
          <w:lang w:val="hr-HR"/>
        </w:rPr>
        <w:t>Svi postupci koji se od Zajmoprimca traže za potpisivanje, sklapanje i izvršavanje Ugovora, uključujući i svako potrebno odobrenje od njegovih nadležnih tijela propisno su i uspješno provedeni. Posebice od Zajmoprimca se ne traže nikakva daljnja postupanja, osim potpisivanja od strane propisno opunomoćenog predstavnika Zajmoprimca, u svrhu izdavanja Zahtjeva za isplatom prema ovom Ugovoru.</w:t>
      </w:r>
    </w:p>
    <w:p w14:paraId="07AF9480" w14:textId="33830903" w:rsidR="00192A93" w:rsidRPr="004A6627" w:rsidRDefault="00192A93" w:rsidP="000B2927">
      <w:pPr>
        <w:pStyle w:val="t-9-8-bez-uvl"/>
        <w:spacing w:before="0" w:beforeAutospacing="0" w:after="0"/>
        <w:ind w:left="425" w:hanging="425"/>
        <w:jc w:val="both"/>
        <w:rPr>
          <w:lang w:val="hr-HR"/>
        </w:rPr>
      </w:pPr>
      <w:r w:rsidRPr="004A6627">
        <w:rPr>
          <w:lang w:val="hr-HR"/>
        </w:rPr>
        <w:lastRenderedPageBreak/>
        <w:t>3.</w:t>
      </w:r>
      <w:r w:rsidR="00006A37">
        <w:rPr>
          <w:lang w:val="hr-HR"/>
        </w:rPr>
        <w:tab/>
      </w:r>
      <w:r w:rsidRPr="000B2927">
        <w:rPr>
          <w:rStyle w:val="kurziv"/>
          <w:b/>
          <w:i/>
          <w:spacing w:val="-2"/>
          <w:lang w:val="hr-HR"/>
        </w:rPr>
        <w:t>Propisno potpisivanje i valjanost</w:t>
      </w:r>
      <w:r w:rsidRPr="000B2927">
        <w:rPr>
          <w:rStyle w:val="kurziv"/>
          <w:spacing w:val="-2"/>
          <w:lang w:val="hr-HR"/>
        </w:rPr>
        <w:t>.</w:t>
      </w:r>
      <w:r w:rsidRPr="000B2927">
        <w:rPr>
          <w:spacing w:val="-2"/>
          <w:lang w:val="hr-HR"/>
        </w:rPr>
        <w:t xml:space="preserve"> Ugovor je propisno potpisan od strane</w:t>
      </w:r>
      <w:r w:rsidRPr="004A6627">
        <w:rPr>
          <w:lang w:val="hr-HR"/>
        </w:rPr>
        <w:t xml:space="preserve"> [UNESITE IME I PREZIME POTPISNIKA)] u svojstvu propisno opunomoćenog predstavnika Zajmoprimca te Zajmoprimca obvezuje na pravno važeće, obvezujuće i provedive obveze.</w:t>
      </w:r>
    </w:p>
    <w:p w14:paraId="75E0956A" w14:textId="07B6A99D" w:rsidR="00192A93" w:rsidRPr="004A6627" w:rsidRDefault="00192A93" w:rsidP="000B2927">
      <w:pPr>
        <w:pStyle w:val="NumbParagraphe"/>
        <w:numPr>
          <w:ilvl w:val="0"/>
          <w:numId w:val="0"/>
        </w:numPr>
        <w:ind w:left="425" w:hanging="425"/>
        <w:rPr>
          <w:rFonts w:ascii="Times New Roman" w:hAnsi="Times New Roman" w:cs="Times New Roman"/>
          <w:sz w:val="24"/>
          <w:szCs w:val="24"/>
        </w:rPr>
      </w:pPr>
      <w:r w:rsidRPr="004A6627">
        <w:rPr>
          <w:rFonts w:ascii="Times New Roman" w:hAnsi="Times New Roman" w:cs="Times New Roman"/>
          <w:sz w:val="24"/>
          <w:szCs w:val="24"/>
        </w:rPr>
        <w:t>4.</w:t>
      </w:r>
      <w:r w:rsidR="00006A37">
        <w:rPr>
          <w:rFonts w:ascii="Times New Roman" w:hAnsi="Times New Roman" w:cs="Times New Roman"/>
          <w:sz w:val="24"/>
          <w:szCs w:val="24"/>
        </w:rPr>
        <w:tab/>
      </w:r>
      <w:r w:rsidRPr="004A6627">
        <w:rPr>
          <w:rStyle w:val="kurziv"/>
          <w:rFonts w:ascii="Times New Roman" w:hAnsi="Times New Roman" w:cs="Times New Roman"/>
          <w:b/>
          <w:i/>
          <w:sz w:val="24"/>
          <w:szCs w:val="24"/>
          <w:lang w:val="hr-HR"/>
        </w:rPr>
        <w:t>Vanjska odobrenja, javne suglasnosti i izjave</w:t>
      </w:r>
      <w:r w:rsidRPr="004A6627">
        <w:rPr>
          <w:rStyle w:val="kurziv"/>
          <w:rFonts w:ascii="Times New Roman" w:hAnsi="Times New Roman" w:cs="Times New Roman"/>
          <w:sz w:val="24"/>
          <w:szCs w:val="24"/>
          <w:lang w:val="hr-HR"/>
        </w:rPr>
        <w:t>.</w:t>
      </w:r>
      <w:r w:rsidRPr="004A6627">
        <w:rPr>
          <w:rFonts w:ascii="Times New Roman" w:hAnsi="Times New Roman" w:cs="Times New Roman"/>
          <w:sz w:val="24"/>
          <w:szCs w:val="24"/>
        </w:rPr>
        <w:t xml:space="preserve"> Kako bi obveze Zajmoprimca postale pravno važeće, obvezujuće i provedive i kako bi Ugovor bio dopušten kao dokazno sredstvo u [UNESITE NADLEŽNOST], nisu potrebna nikakva odobrenja, pristanci, dozvole, izuzeća, izjave, bilježničke ovjere ili prijave u [UNESITE NADLEŽNOST] u vezi s potpisivanjem, sklapanjem i izvršavanjem ovog Ugovora.</w:t>
      </w:r>
    </w:p>
    <w:p w14:paraId="43D0F613" w14:textId="77955829" w:rsidR="00192A93" w:rsidRPr="004A6627" w:rsidRDefault="00192A93" w:rsidP="000B2927">
      <w:pPr>
        <w:pStyle w:val="t-9-8-bez-uvl"/>
        <w:spacing w:before="0" w:beforeAutospacing="0" w:after="0"/>
        <w:ind w:left="425" w:hanging="425"/>
        <w:jc w:val="both"/>
        <w:rPr>
          <w:lang w:val="hr-HR"/>
        </w:rPr>
      </w:pPr>
      <w:r w:rsidRPr="004A6627">
        <w:rPr>
          <w:lang w:val="hr-HR"/>
        </w:rPr>
        <w:t>5</w:t>
      </w:r>
      <w:r w:rsidRPr="00006A37">
        <w:rPr>
          <w:lang w:val="hr-HR"/>
        </w:rPr>
        <w:t>.</w:t>
      </w:r>
      <w:r w:rsidR="00006A37">
        <w:rPr>
          <w:b/>
          <w:i/>
          <w:lang w:val="hr-HR"/>
        </w:rPr>
        <w:tab/>
      </w:r>
      <w:r w:rsidRPr="004A6627">
        <w:rPr>
          <w:rStyle w:val="kurziv"/>
          <w:b/>
          <w:i/>
          <w:lang w:val="hr-HR"/>
        </w:rPr>
        <w:t>Porezi/Biljezi</w:t>
      </w:r>
      <w:r w:rsidRPr="004A6627">
        <w:rPr>
          <w:rStyle w:val="kurziv"/>
          <w:lang w:val="hr-HR"/>
        </w:rPr>
        <w:t>.</w:t>
      </w:r>
      <w:r w:rsidRPr="004A6627">
        <w:rPr>
          <w:lang w:val="hr-HR"/>
        </w:rPr>
        <w:t xml:space="preserve"> Potpisivanje Ugovora ne podliježe nikakvim porezima ili biljezima u [UNESITE NADLEŽNOST].</w:t>
      </w:r>
    </w:p>
    <w:p w14:paraId="427D0667" w14:textId="77777777" w:rsidR="00192A93" w:rsidRPr="004A6627" w:rsidRDefault="00192A93" w:rsidP="000B2927">
      <w:pPr>
        <w:pStyle w:val="t-9-8-bez-uvl"/>
        <w:spacing w:before="0" w:beforeAutospacing="0" w:after="0"/>
        <w:ind w:left="425" w:hanging="425"/>
        <w:jc w:val="both"/>
        <w:rPr>
          <w:lang w:val="hr-HR"/>
        </w:rPr>
      </w:pPr>
      <w:r w:rsidRPr="004A6627">
        <w:rPr>
          <w:lang w:val="hr-HR"/>
        </w:rPr>
        <w:t xml:space="preserve">6.   </w:t>
      </w:r>
      <w:r w:rsidRPr="004A6627">
        <w:rPr>
          <w:rStyle w:val="kurziv"/>
          <w:b/>
          <w:i/>
          <w:lang w:val="hr-HR"/>
        </w:rPr>
        <w:t>Izbor prava</w:t>
      </w:r>
      <w:r w:rsidRPr="004A6627">
        <w:rPr>
          <w:rStyle w:val="kurziv"/>
          <w:lang w:val="hr-HR"/>
        </w:rPr>
        <w:t>.</w:t>
      </w:r>
      <w:r w:rsidRPr="004A6627">
        <w:rPr>
          <w:lang w:val="hr-HR"/>
        </w:rPr>
        <w:t xml:space="preserve"> Podvrgavanje Zajmoprimca pravilima CEB-a kako je utvrđeno u članku 1. stavku 3. Trećeg protokola (od 6. ožujka 1959.) Općeg sporazuma o povlasticama i imunitetima Vijeća Europe (od 2. rujna 1949.) te sekundarno zakonima Francuske pravno je važeće i obvezujuće za Zajmoprimca prema zakonima [UNESITE NADLEŽNOST].</w:t>
      </w:r>
    </w:p>
    <w:p w14:paraId="516B6C8B" w14:textId="5B0507CA" w:rsidR="00192A93" w:rsidRPr="004A6627" w:rsidRDefault="00192A93" w:rsidP="000B2927">
      <w:pPr>
        <w:pStyle w:val="t-9-8-bez-uvl"/>
        <w:spacing w:before="0" w:beforeAutospacing="0" w:after="0"/>
        <w:ind w:left="425" w:hanging="425"/>
        <w:jc w:val="both"/>
        <w:rPr>
          <w:lang w:val="hr-HR"/>
        </w:rPr>
      </w:pPr>
      <w:r w:rsidRPr="004A6627">
        <w:rPr>
          <w:lang w:val="hr-HR"/>
        </w:rPr>
        <w:t>7.</w:t>
      </w:r>
      <w:r w:rsidR="00006A37">
        <w:rPr>
          <w:lang w:val="hr-HR"/>
        </w:rPr>
        <w:tab/>
      </w:r>
      <w:r w:rsidRPr="004A6627">
        <w:rPr>
          <w:rStyle w:val="kurziv"/>
          <w:b/>
          <w:i/>
          <w:lang w:val="hr-HR"/>
        </w:rPr>
        <w:t>Arbitraža</w:t>
      </w:r>
      <w:r w:rsidRPr="004A6627">
        <w:rPr>
          <w:rStyle w:val="kurziv"/>
          <w:lang w:val="hr-HR"/>
        </w:rPr>
        <w:t>.</w:t>
      </w:r>
      <w:r w:rsidRPr="004A6627">
        <w:rPr>
          <w:lang w:val="hr-HR"/>
        </w:rPr>
        <w:t xml:space="preserve"> Podvrgavanje Zajmoprimca Arbitražnom sudu kako je navedeno u poglavlju 4. CEB-ovih Pravila o zajmovima vezano za bilo koji spor koji može nastati iz Ugovora pravno je važeće i obvezujuće za Zajmoprimca. Svaka odluka takvog Arbitražnog suda je izvršna u [UNESITE NADLEŽNOST], u skladu s odredbama članka 3. Trećeg protokola (od 6. ožujka 1959.) </w:t>
      </w:r>
      <w:r w:rsidR="00F85162">
        <w:rPr>
          <w:lang w:val="hr-HR"/>
        </w:rPr>
        <w:t xml:space="preserve">Općeg sporazuma o </w:t>
      </w:r>
      <w:r w:rsidRPr="004A6627">
        <w:rPr>
          <w:lang w:val="hr-HR"/>
        </w:rPr>
        <w:t>povlasticama</w:t>
      </w:r>
      <w:r w:rsidR="00F85162">
        <w:rPr>
          <w:lang w:val="hr-HR"/>
        </w:rPr>
        <w:t xml:space="preserve"> i imunitetima</w:t>
      </w:r>
      <w:r w:rsidRPr="004A6627">
        <w:rPr>
          <w:lang w:val="hr-HR"/>
        </w:rPr>
        <w:t xml:space="preserve"> Vijeća Europe (od 2. rujna 1949.).</w:t>
      </w:r>
    </w:p>
    <w:p w14:paraId="3A925972" w14:textId="77777777" w:rsidR="00006A37" w:rsidRDefault="00006A37" w:rsidP="00192A93">
      <w:pPr>
        <w:pStyle w:val="t-9-8-bez-uvl"/>
        <w:rPr>
          <w:lang w:val="hr-HR"/>
        </w:rPr>
      </w:pPr>
    </w:p>
    <w:p w14:paraId="212FE325" w14:textId="123F3AEC" w:rsidR="00192A93" w:rsidRDefault="00192A93" w:rsidP="00192A93">
      <w:pPr>
        <w:pStyle w:val="t-9-8-bez-uvl"/>
        <w:rPr>
          <w:lang w:val="hr-HR"/>
        </w:rPr>
      </w:pPr>
      <w:r w:rsidRPr="004A6627">
        <w:rPr>
          <w:lang w:val="hr-HR"/>
        </w:rPr>
        <w:t>S poštovanjem</w:t>
      </w:r>
      <w:r w:rsidR="00006A37">
        <w:rPr>
          <w:lang w:val="hr-HR"/>
        </w:rPr>
        <w:t>,</w:t>
      </w:r>
    </w:p>
    <w:p w14:paraId="1EC436B2" w14:textId="77777777" w:rsidR="00006A37" w:rsidRPr="004A6627" w:rsidRDefault="00006A37" w:rsidP="00192A93">
      <w:pPr>
        <w:pStyle w:val="t-9-8-bez-uvl"/>
        <w:rPr>
          <w:lang w:val="hr-HR"/>
        </w:rPr>
      </w:pPr>
    </w:p>
    <w:p w14:paraId="5B73EBD0" w14:textId="77777777" w:rsidR="00192A93" w:rsidRPr="004A6627" w:rsidRDefault="00192A93" w:rsidP="00006A37">
      <w:pPr>
        <w:pStyle w:val="t-9-8-bez-uvl"/>
        <w:spacing w:before="0" w:beforeAutospacing="0" w:after="0"/>
        <w:rPr>
          <w:lang w:val="hr-HR"/>
        </w:rPr>
      </w:pPr>
      <w:bookmarkStart w:id="29" w:name="_Toc34130103"/>
      <w:r w:rsidRPr="004A6627">
        <w:rPr>
          <w:lang w:val="hr-HR"/>
        </w:rPr>
        <w:t>[•]</w:t>
      </w:r>
    </w:p>
    <w:p w14:paraId="092A757D" w14:textId="77777777" w:rsidR="00192A93" w:rsidRPr="004A6627" w:rsidRDefault="00192A93" w:rsidP="00006A37">
      <w:pPr>
        <w:pStyle w:val="t-9-8-bez-uvl"/>
        <w:spacing w:before="0" w:beforeAutospacing="0" w:after="0"/>
        <w:rPr>
          <w:lang w:val="hr-HR"/>
        </w:rPr>
      </w:pPr>
      <w:r w:rsidRPr="004A6627">
        <w:rPr>
          <w:lang w:val="hr-HR"/>
        </w:rPr>
        <w:t>[IME I PREZIME, TITULA]</w:t>
      </w:r>
    </w:p>
    <w:p w14:paraId="3CE9F79B" w14:textId="34F0BBA2" w:rsidR="00F43E1B" w:rsidRDefault="00F43E1B">
      <w:pPr>
        <w:spacing w:after="160" w:line="259" w:lineRule="auto"/>
        <w:rPr>
          <w:lang w:eastAsia="en-GB"/>
        </w:rPr>
      </w:pPr>
      <w:r>
        <w:br w:type="page"/>
      </w:r>
    </w:p>
    <w:p w14:paraId="3CC11BE9" w14:textId="77777777" w:rsidR="00192A93" w:rsidRPr="00440E66" w:rsidRDefault="00192A93" w:rsidP="000B2927">
      <w:pPr>
        <w:pStyle w:val="Heading1"/>
        <w:jc w:val="left"/>
        <w:rPr>
          <w:b w:val="0"/>
          <w:szCs w:val="24"/>
        </w:rPr>
      </w:pPr>
      <w:r w:rsidRPr="00440E66">
        <w:rPr>
          <w:b w:val="0"/>
          <w:szCs w:val="24"/>
        </w:rPr>
        <w:lastRenderedPageBreak/>
        <w:t>PRILOG 3</w:t>
      </w:r>
      <w:bookmarkEnd w:id="29"/>
    </w:p>
    <w:p w14:paraId="575885C5" w14:textId="77777777" w:rsidR="00192A93" w:rsidRPr="004A6627" w:rsidRDefault="00192A93" w:rsidP="00192A93"/>
    <w:p w14:paraId="7A10C562" w14:textId="77777777" w:rsidR="00192A93" w:rsidRPr="004A6627" w:rsidRDefault="00192A93" w:rsidP="00192A93">
      <w:pPr>
        <w:pBdr>
          <w:top w:val="single" w:sz="4" w:space="1" w:color="auto"/>
          <w:left w:val="single" w:sz="4" w:space="4" w:color="auto"/>
          <w:bottom w:val="single" w:sz="4" w:space="1" w:color="auto"/>
          <w:right w:val="single" w:sz="4" w:space="4" w:color="auto"/>
        </w:pBdr>
        <w:jc w:val="center"/>
        <w:rPr>
          <w:b/>
        </w:rPr>
      </w:pPr>
      <w:r w:rsidRPr="004A6627">
        <w:rPr>
          <w:b/>
        </w:rPr>
        <w:t>ZAHTJEV ZA ISPLATOM ZAJMA (PREDLOŽAK)</w:t>
      </w:r>
    </w:p>
    <w:p w14:paraId="7071333D" w14:textId="19A7069C" w:rsidR="00192A93" w:rsidRPr="004A6627" w:rsidRDefault="00192A93" w:rsidP="00192A93">
      <w:pPr>
        <w:jc w:val="right"/>
        <w:rPr>
          <w:b/>
        </w:rPr>
      </w:pPr>
      <w:r w:rsidRPr="004A6627">
        <w:rPr>
          <w:b/>
        </w:rPr>
        <w:t>LD 2056 – [</w:t>
      </w:r>
      <w:r w:rsidR="00945129" w:rsidRPr="004A6627">
        <w:t>●</w:t>
      </w:r>
      <w:r w:rsidRPr="004A6627">
        <w:rPr>
          <w:b/>
        </w:rPr>
        <w:t>] Tranša</w:t>
      </w:r>
    </w:p>
    <w:p w14:paraId="41C7A811" w14:textId="77777777" w:rsidR="00192A93" w:rsidRPr="004A6627" w:rsidRDefault="00192A93" w:rsidP="00192A93"/>
    <w:p w14:paraId="23876639" w14:textId="155225DA" w:rsidR="00192A93" w:rsidRPr="004A6627" w:rsidRDefault="00192A93" w:rsidP="00192A93">
      <w:pPr>
        <w:pStyle w:val="t-9-8-bez-uvl"/>
        <w:jc w:val="both"/>
        <w:rPr>
          <w:lang w:val="hr-HR"/>
        </w:rPr>
      </w:pPr>
      <w:r w:rsidRPr="004A6627">
        <w:rPr>
          <w:lang w:val="hr-HR"/>
        </w:rPr>
        <w:t>Vezano uz Okvirni ugovor o zajmu od [</w:t>
      </w:r>
      <w:r w:rsidR="00945129" w:rsidRPr="004A6627">
        <w:t>●</w:t>
      </w:r>
      <w:r w:rsidRPr="004A6627">
        <w:rPr>
          <w:lang w:val="hr-HR"/>
        </w:rPr>
        <w:t>] (datum) (u daljnjem tekstu „</w:t>
      </w:r>
      <w:r w:rsidRPr="004A6627">
        <w:rPr>
          <w:rStyle w:val="bold"/>
          <w:b/>
          <w:lang w:val="hr-HR"/>
        </w:rPr>
        <w:t>Ugovor</w:t>
      </w:r>
      <w:r w:rsidRPr="004A6627">
        <w:rPr>
          <w:lang w:val="hr-HR"/>
        </w:rPr>
        <w:t>“) između Republike Hrvatske (dalje u tekstu „</w:t>
      </w:r>
      <w:r w:rsidRPr="004A6627">
        <w:rPr>
          <w:rStyle w:val="bold"/>
          <w:b/>
          <w:lang w:val="hr-HR"/>
        </w:rPr>
        <w:t>Zajmoprimac</w:t>
      </w:r>
      <w:r w:rsidRPr="004A6627">
        <w:rPr>
          <w:lang w:val="hr-HR"/>
        </w:rPr>
        <w:t>“) i Razvojne banke Vijeća Europe (u daljnjem tekstu „</w:t>
      </w:r>
      <w:r w:rsidRPr="004A6627">
        <w:rPr>
          <w:b/>
          <w:lang w:val="hr-HR"/>
        </w:rPr>
        <w:t>CEB</w:t>
      </w:r>
      <w:r w:rsidRPr="004A6627">
        <w:rPr>
          <w:lang w:val="hr-HR"/>
        </w:rPr>
        <w:t>“), ovim putem Zajmoprimac upućuje zahtjev CEB-u, u skladu s podčlankom 4.3 (a) Ugovora, za isplatom tranše u skladu s niže navedenim posebnim odredbama i uvjetima.</w:t>
      </w:r>
    </w:p>
    <w:p w14:paraId="1C696E94" w14:textId="77777777" w:rsidR="00192A93" w:rsidRPr="004A6627" w:rsidRDefault="00192A93" w:rsidP="00192A93">
      <w:pPr>
        <w:pStyle w:val="t-9-8-bez-uvl"/>
        <w:jc w:val="both"/>
        <w:rPr>
          <w:lang w:val="hr-HR"/>
        </w:rPr>
      </w:pPr>
      <w:r w:rsidRPr="004A6627">
        <w:rPr>
          <w:lang w:val="hr-HR"/>
        </w:rPr>
        <w:t>Izrazi definirani u Ugovoru imaju isto značenje u daljnjem tekstu, osim ako nije utvrđeno drugačije.</w:t>
      </w:r>
    </w:p>
    <w:p w14:paraId="13C3DD63" w14:textId="77777777" w:rsidR="00192A93" w:rsidRPr="004A6627" w:rsidRDefault="00192A93" w:rsidP="00192A93"/>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1461"/>
        <w:gridCol w:w="1888"/>
        <w:gridCol w:w="3001"/>
      </w:tblGrid>
      <w:tr w:rsidR="00192A93" w:rsidRPr="004A6627" w14:paraId="17B49071" w14:textId="77777777" w:rsidTr="00192A93">
        <w:trPr>
          <w:jc w:val="center"/>
        </w:trPr>
        <w:tc>
          <w:tcPr>
            <w:tcW w:w="2758" w:type="dxa"/>
            <w:shd w:val="clear" w:color="auto" w:fill="auto"/>
          </w:tcPr>
          <w:p w14:paraId="5C10EC97" w14:textId="77777777" w:rsidR="00192A93" w:rsidRPr="004A6627" w:rsidRDefault="00192A93" w:rsidP="00192A93">
            <w:r w:rsidRPr="004A6627">
              <w:t>Valuta/Iznos</w:t>
            </w:r>
          </w:p>
        </w:tc>
        <w:tc>
          <w:tcPr>
            <w:tcW w:w="6384" w:type="dxa"/>
            <w:gridSpan w:val="3"/>
            <w:shd w:val="clear" w:color="auto" w:fill="auto"/>
          </w:tcPr>
          <w:p w14:paraId="10513D97" w14:textId="77777777" w:rsidR="00192A93" w:rsidRPr="004A6627" w:rsidRDefault="00192A93" w:rsidP="00192A93">
            <w:r w:rsidRPr="004A6627">
              <w:t>[●]</w:t>
            </w:r>
          </w:p>
        </w:tc>
      </w:tr>
      <w:tr w:rsidR="00192A93" w:rsidRPr="004A6627" w14:paraId="60B0F9F7" w14:textId="77777777" w:rsidTr="00192A93">
        <w:trPr>
          <w:jc w:val="center"/>
        </w:trPr>
        <w:tc>
          <w:tcPr>
            <w:tcW w:w="2758" w:type="dxa"/>
            <w:shd w:val="clear" w:color="auto" w:fill="auto"/>
          </w:tcPr>
          <w:p w14:paraId="0515F694" w14:textId="77777777" w:rsidR="00192A93" w:rsidRPr="004A6627" w:rsidRDefault="00192A93" w:rsidP="00192A93">
            <w:r w:rsidRPr="004A6627">
              <w:t>Datum isplate</w:t>
            </w:r>
          </w:p>
        </w:tc>
        <w:tc>
          <w:tcPr>
            <w:tcW w:w="6384" w:type="dxa"/>
            <w:gridSpan w:val="3"/>
            <w:shd w:val="clear" w:color="auto" w:fill="auto"/>
          </w:tcPr>
          <w:p w14:paraId="36A12FBB" w14:textId="77777777" w:rsidR="00192A93" w:rsidRPr="004A6627" w:rsidRDefault="00192A93" w:rsidP="00192A93">
            <w:r w:rsidRPr="004A6627">
              <w:t>[●]</w:t>
            </w:r>
          </w:p>
        </w:tc>
      </w:tr>
      <w:tr w:rsidR="00192A93" w:rsidRPr="004A6627" w14:paraId="151CBCF0" w14:textId="77777777" w:rsidTr="00192A93">
        <w:trPr>
          <w:jc w:val="center"/>
        </w:trPr>
        <w:tc>
          <w:tcPr>
            <w:tcW w:w="2758" w:type="dxa"/>
            <w:shd w:val="clear" w:color="auto" w:fill="auto"/>
          </w:tcPr>
          <w:p w14:paraId="00725B31" w14:textId="77777777" w:rsidR="00192A93" w:rsidRPr="004A6627" w:rsidRDefault="00192A93" w:rsidP="00192A93">
            <w:r w:rsidRPr="004A6627">
              <w:t>Razdoblje otplate glavnice</w:t>
            </w:r>
          </w:p>
        </w:tc>
        <w:tc>
          <w:tcPr>
            <w:tcW w:w="6384" w:type="dxa"/>
            <w:gridSpan w:val="3"/>
            <w:shd w:val="clear" w:color="auto" w:fill="auto"/>
          </w:tcPr>
          <w:p w14:paraId="3E210DD7" w14:textId="1A4F2AA7" w:rsidR="00192A93" w:rsidRPr="004A6627" w:rsidRDefault="00192A93" w:rsidP="00192A93">
            <w:r w:rsidRPr="004A6627">
              <w:t>[●]godine [uključujući i poček od [</w:t>
            </w:r>
            <w:r w:rsidR="00945129" w:rsidRPr="004A6627">
              <w:t>●</w:t>
            </w:r>
            <w:r w:rsidRPr="004A6627">
              <w:t>] godina]</w:t>
            </w:r>
          </w:p>
        </w:tc>
      </w:tr>
      <w:tr w:rsidR="00192A93" w:rsidRPr="004A6627" w14:paraId="5B16F5AE" w14:textId="77777777" w:rsidTr="00192A93">
        <w:trPr>
          <w:jc w:val="center"/>
        </w:trPr>
        <w:tc>
          <w:tcPr>
            <w:tcW w:w="2758" w:type="dxa"/>
            <w:shd w:val="clear" w:color="auto" w:fill="auto"/>
          </w:tcPr>
          <w:p w14:paraId="0A88FB3D" w14:textId="77777777" w:rsidR="00192A93" w:rsidRPr="004A6627" w:rsidRDefault="00192A93" w:rsidP="00192A93">
            <w:r w:rsidRPr="004A6627">
              <w:t>Datum(i) otplate glavnice</w:t>
            </w:r>
          </w:p>
        </w:tc>
        <w:tc>
          <w:tcPr>
            <w:tcW w:w="6384" w:type="dxa"/>
            <w:gridSpan w:val="3"/>
            <w:shd w:val="clear" w:color="auto" w:fill="auto"/>
          </w:tcPr>
          <w:p w14:paraId="441B018A" w14:textId="77777777" w:rsidR="00192A93" w:rsidRPr="004A6627" w:rsidRDefault="00192A93" w:rsidP="00192A93">
            <w:pPr>
              <w:rPr>
                <w:strike/>
              </w:rPr>
            </w:pPr>
            <w:r w:rsidRPr="004A6627">
              <w:t>[●]</w:t>
            </w:r>
          </w:p>
        </w:tc>
      </w:tr>
      <w:tr w:rsidR="00192A93" w:rsidRPr="004A6627" w14:paraId="453719AE" w14:textId="77777777" w:rsidTr="00192A93">
        <w:trPr>
          <w:jc w:val="center"/>
        </w:trPr>
        <w:tc>
          <w:tcPr>
            <w:tcW w:w="2758" w:type="dxa"/>
            <w:shd w:val="clear" w:color="auto" w:fill="auto"/>
          </w:tcPr>
          <w:p w14:paraId="1ADBF94B" w14:textId="77777777" w:rsidR="00192A93" w:rsidRPr="004A6627" w:rsidRDefault="00192A93" w:rsidP="00192A93">
            <w:r w:rsidRPr="004A6627">
              <w:t>Datum dospijeća</w:t>
            </w:r>
          </w:p>
        </w:tc>
        <w:tc>
          <w:tcPr>
            <w:tcW w:w="6384" w:type="dxa"/>
            <w:gridSpan w:val="3"/>
            <w:shd w:val="clear" w:color="auto" w:fill="auto"/>
          </w:tcPr>
          <w:p w14:paraId="03F76700" w14:textId="77777777" w:rsidR="00192A93" w:rsidRPr="004A6627" w:rsidRDefault="00192A93" w:rsidP="00192A93">
            <w:r w:rsidRPr="004A6627">
              <w:t>[●]</w:t>
            </w:r>
          </w:p>
        </w:tc>
      </w:tr>
      <w:tr w:rsidR="00192A93" w:rsidRPr="004A6627" w14:paraId="23A44EA2" w14:textId="77777777" w:rsidTr="00192A93">
        <w:trPr>
          <w:trHeight w:val="396"/>
          <w:jc w:val="center"/>
        </w:trPr>
        <w:tc>
          <w:tcPr>
            <w:tcW w:w="2758" w:type="dxa"/>
            <w:vMerge w:val="restart"/>
            <w:shd w:val="clear" w:color="auto" w:fill="auto"/>
          </w:tcPr>
          <w:p w14:paraId="6DE10844" w14:textId="77777777" w:rsidR="00192A93" w:rsidRPr="004A6627" w:rsidRDefault="00192A93" w:rsidP="00192A93">
            <w:r w:rsidRPr="004A6627">
              <w:t>Kamatna stopa</w:t>
            </w:r>
          </w:p>
        </w:tc>
        <w:tc>
          <w:tcPr>
            <w:tcW w:w="1461" w:type="dxa"/>
            <w:shd w:val="clear" w:color="auto" w:fill="auto"/>
          </w:tcPr>
          <w:p w14:paraId="6D0713A8" w14:textId="77777777" w:rsidR="00192A93" w:rsidRPr="004A6627" w:rsidRDefault="00192A93" w:rsidP="00192A93">
            <w:r w:rsidRPr="004A6627">
              <w:t xml:space="preserve">Fiksna </w:t>
            </w:r>
          </w:p>
        </w:tc>
        <w:tc>
          <w:tcPr>
            <w:tcW w:w="4923" w:type="dxa"/>
            <w:gridSpan w:val="2"/>
            <w:shd w:val="clear" w:color="auto" w:fill="auto"/>
          </w:tcPr>
          <w:p w14:paraId="438A1715" w14:textId="7A58BA45" w:rsidR="00192A93" w:rsidRPr="004A6627" w:rsidRDefault="00192A93" w:rsidP="00192A93">
            <w:r w:rsidRPr="004A6627">
              <w:t>Maksimum [●]</w:t>
            </w:r>
            <w:r w:rsidR="00945129">
              <w:t xml:space="preserve"> </w:t>
            </w:r>
            <w:r w:rsidRPr="004A6627">
              <w:rPr>
                <w:rStyle w:val="kurziv"/>
              </w:rPr>
              <w:t>godišnje</w:t>
            </w:r>
          </w:p>
        </w:tc>
      </w:tr>
      <w:tr w:rsidR="00192A93" w:rsidRPr="004A6627" w14:paraId="43AFD4A4" w14:textId="77777777" w:rsidTr="00192A93">
        <w:trPr>
          <w:trHeight w:val="785"/>
          <w:jc w:val="center"/>
        </w:trPr>
        <w:tc>
          <w:tcPr>
            <w:tcW w:w="2758" w:type="dxa"/>
            <w:vMerge/>
            <w:shd w:val="clear" w:color="auto" w:fill="auto"/>
          </w:tcPr>
          <w:p w14:paraId="716953B2" w14:textId="77777777" w:rsidR="00192A93" w:rsidRPr="004A6627" w:rsidRDefault="00192A93" w:rsidP="00192A93"/>
        </w:tc>
        <w:tc>
          <w:tcPr>
            <w:tcW w:w="1461" w:type="dxa"/>
            <w:vMerge w:val="restart"/>
            <w:shd w:val="clear" w:color="auto" w:fill="auto"/>
          </w:tcPr>
          <w:p w14:paraId="70BCD25D" w14:textId="77777777" w:rsidR="00192A93" w:rsidRPr="004A6627" w:rsidRDefault="00192A93" w:rsidP="00192A93">
            <w:r w:rsidRPr="004A6627">
              <w:t>Promjenjiva</w:t>
            </w:r>
          </w:p>
        </w:tc>
        <w:tc>
          <w:tcPr>
            <w:tcW w:w="1888" w:type="dxa"/>
            <w:shd w:val="clear" w:color="auto" w:fill="auto"/>
          </w:tcPr>
          <w:p w14:paraId="16DF3FFC" w14:textId="77777777" w:rsidR="00192A93" w:rsidRPr="004A6627" w:rsidRDefault="00192A93" w:rsidP="00192A93">
            <w:r w:rsidRPr="004A6627">
              <w:t xml:space="preserve">Referentna stopa: </w:t>
            </w:r>
          </w:p>
        </w:tc>
        <w:tc>
          <w:tcPr>
            <w:tcW w:w="3035" w:type="dxa"/>
            <w:shd w:val="clear" w:color="auto" w:fill="auto"/>
          </w:tcPr>
          <w:p w14:paraId="0DA66650" w14:textId="77777777" w:rsidR="00192A93" w:rsidRPr="004A6627" w:rsidRDefault="00192A93" w:rsidP="00192A93">
            <w:r w:rsidRPr="004A6627">
              <w:t xml:space="preserve">[[●]-mjesec EURIBOR </w:t>
            </w:r>
            <w:r w:rsidRPr="004A6627">
              <w:rPr>
                <w:rStyle w:val="kurziv"/>
              </w:rPr>
              <w:t>godišnje</w:t>
            </w:r>
          </w:p>
        </w:tc>
      </w:tr>
      <w:tr w:rsidR="00192A93" w:rsidRPr="004A6627" w14:paraId="109FCC2A" w14:textId="77777777" w:rsidTr="00192A93">
        <w:trPr>
          <w:trHeight w:val="322"/>
          <w:jc w:val="center"/>
        </w:trPr>
        <w:tc>
          <w:tcPr>
            <w:tcW w:w="2758" w:type="dxa"/>
            <w:vMerge/>
            <w:shd w:val="clear" w:color="auto" w:fill="auto"/>
          </w:tcPr>
          <w:p w14:paraId="4B7D7FA7" w14:textId="77777777" w:rsidR="00192A93" w:rsidRPr="004A6627" w:rsidRDefault="00192A93" w:rsidP="00192A93"/>
        </w:tc>
        <w:tc>
          <w:tcPr>
            <w:tcW w:w="1461" w:type="dxa"/>
            <w:vMerge/>
            <w:shd w:val="clear" w:color="auto" w:fill="auto"/>
          </w:tcPr>
          <w:p w14:paraId="28970EF9" w14:textId="77777777" w:rsidR="00192A93" w:rsidRPr="004A6627" w:rsidRDefault="00192A93" w:rsidP="00192A93"/>
        </w:tc>
        <w:tc>
          <w:tcPr>
            <w:tcW w:w="1888" w:type="dxa"/>
            <w:shd w:val="clear" w:color="auto" w:fill="auto"/>
          </w:tcPr>
          <w:p w14:paraId="4626301D" w14:textId="77777777" w:rsidR="00192A93" w:rsidRPr="004A6627" w:rsidRDefault="00192A93" w:rsidP="00192A93">
            <w:r w:rsidRPr="004A6627">
              <w:t>Raspon</w:t>
            </w:r>
          </w:p>
        </w:tc>
        <w:tc>
          <w:tcPr>
            <w:tcW w:w="3035" w:type="dxa"/>
            <w:shd w:val="clear" w:color="auto" w:fill="auto"/>
          </w:tcPr>
          <w:p w14:paraId="42109137" w14:textId="1F6854A9" w:rsidR="00192A93" w:rsidRPr="004A6627" w:rsidRDefault="00192A93" w:rsidP="00192A93">
            <w:r w:rsidRPr="004A6627">
              <w:t>Maksimum [●]</w:t>
            </w:r>
            <w:r w:rsidR="00945129">
              <w:t xml:space="preserve"> </w:t>
            </w:r>
            <w:r w:rsidRPr="004A6627">
              <w:t>bazni poeni</w:t>
            </w:r>
          </w:p>
        </w:tc>
      </w:tr>
      <w:tr w:rsidR="00192A93" w:rsidRPr="004A6627" w14:paraId="4F5CD792" w14:textId="77777777" w:rsidTr="00192A93">
        <w:trPr>
          <w:jc w:val="center"/>
        </w:trPr>
        <w:tc>
          <w:tcPr>
            <w:tcW w:w="2758" w:type="dxa"/>
            <w:shd w:val="clear" w:color="auto" w:fill="auto"/>
          </w:tcPr>
          <w:p w14:paraId="5D683149" w14:textId="77777777" w:rsidR="00192A93" w:rsidRPr="004A6627" w:rsidRDefault="00192A93" w:rsidP="00192A93">
            <w:r w:rsidRPr="004A6627">
              <w:t>Kamatno razdoblje</w:t>
            </w:r>
          </w:p>
        </w:tc>
        <w:tc>
          <w:tcPr>
            <w:tcW w:w="6384" w:type="dxa"/>
            <w:gridSpan w:val="3"/>
            <w:shd w:val="clear" w:color="auto" w:fill="auto"/>
          </w:tcPr>
          <w:p w14:paraId="0137A90C" w14:textId="18E934C1" w:rsidR="00192A93" w:rsidRPr="004A6627" w:rsidRDefault="00192A93" w:rsidP="00192A93">
            <w:r w:rsidRPr="004A6627">
              <w:t>[Kvartalno] [Polugodišnje] [Godišnje ]</w:t>
            </w:r>
            <w:r w:rsidR="00945129">
              <w:t xml:space="preserve"> </w:t>
            </w:r>
            <w:r w:rsidRPr="004A6627">
              <w:t>unazad</w:t>
            </w:r>
          </w:p>
        </w:tc>
      </w:tr>
      <w:tr w:rsidR="00192A93" w:rsidRPr="004A6627" w14:paraId="541B3C1A" w14:textId="77777777" w:rsidTr="00192A93">
        <w:trPr>
          <w:jc w:val="center"/>
        </w:trPr>
        <w:tc>
          <w:tcPr>
            <w:tcW w:w="2758" w:type="dxa"/>
            <w:shd w:val="clear" w:color="auto" w:fill="auto"/>
          </w:tcPr>
          <w:p w14:paraId="37C6EE4F" w14:textId="77777777" w:rsidR="00192A93" w:rsidRPr="004A6627" w:rsidRDefault="00192A93" w:rsidP="00192A93">
            <w:r w:rsidRPr="004A6627">
              <w:t>Datumi plaćanja kamate</w:t>
            </w:r>
          </w:p>
        </w:tc>
        <w:tc>
          <w:tcPr>
            <w:tcW w:w="6384" w:type="dxa"/>
            <w:gridSpan w:val="3"/>
            <w:shd w:val="clear" w:color="auto" w:fill="auto"/>
          </w:tcPr>
          <w:p w14:paraId="65B10BB6" w14:textId="2B4B7DE8" w:rsidR="00192A93" w:rsidRPr="004A6627" w:rsidRDefault="00192A93" w:rsidP="00192A93">
            <w:r w:rsidRPr="004A6627">
              <w:t>Plaćanje kamate izvršit će se na datum [</w:t>
            </w:r>
            <w:r w:rsidR="00945129" w:rsidRPr="004A6627">
              <w:t>●</w:t>
            </w:r>
            <w:r w:rsidRPr="004A6627">
              <w:t>] svake godine i po prvi puta na datum [</w:t>
            </w:r>
            <w:r w:rsidR="00945129" w:rsidRPr="004A6627">
              <w:t>●</w:t>
            </w:r>
            <w:r w:rsidRPr="004A6627">
              <w:t>]</w:t>
            </w:r>
          </w:p>
        </w:tc>
      </w:tr>
      <w:tr w:rsidR="00192A93" w:rsidRPr="004A6627" w14:paraId="2DC91D43" w14:textId="77777777" w:rsidTr="00192A93">
        <w:trPr>
          <w:trHeight w:val="224"/>
          <w:jc w:val="center"/>
        </w:trPr>
        <w:tc>
          <w:tcPr>
            <w:tcW w:w="2758" w:type="dxa"/>
            <w:shd w:val="clear" w:color="auto" w:fill="auto"/>
          </w:tcPr>
          <w:p w14:paraId="33DD9C5E" w14:textId="77777777" w:rsidR="00192A93" w:rsidRPr="004A6627" w:rsidRDefault="00192A93" w:rsidP="00192A93">
            <w:pPr>
              <w:ind w:left="3540" w:hanging="3540"/>
            </w:pPr>
            <w:r w:rsidRPr="004A6627">
              <w:t>Pravilo o broju dana</w:t>
            </w:r>
          </w:p>
        </w:tc>
        <w:tc>
          <w:tcPr>
            <w:tcW w:w="6384" w:type="dxa"/>
            <w:gridSpan w:val="3"/>
            <w:shd w:val="clear" w:color="auto" w:fill="auto"/>
          </w:tcPr>
          <w:p w14:paraId="57C4A3B4" w14:textId="77777777" w:rsidR="00192A93" w:rsidRPr="004A6627" w:rsidRDefault="00192A93" w:rsidP="00192A93">
            <w:r w:rsidRPr="004A6627">
              <w:t>Pravilo o izmijenjenom sljedećem radnom danu</w:t>
            </w:r>
          </w:p>
        </w:tc>
      </w:tr>
      <w:tr w:rsidR="00192A93" w:rsidRPr="004A6627" w14:paraId="43711A41" w14:textId="77777777" w:rsidTr="00192A93">
        <w:trPr>
          <w:jc w:val="center"/>
        </w:trPr>
        <w:tc>
          <w:tcPr>
            <w:tcW w:w="2758" w:type="dxa"/>
            <w:shd w:val="clear" w:color="auto" w:fill="auto"/>
          </w:tcPr>
          <w:p w14:paraId="17746A42" w14:textId="77777777" w:rsidR="00192A93" w:rsidRPr="004A6627" w:rsidRDefault="00192A93" w:rsidP="00192A93">
            <w:r w:rsidRPr="004A6627">
              <w:t>Radni dan</w:t>
            </w:r>
          </w:p>
        </w:tc>
        <w:tc>
          <w:tcPr>
            <w:tcW w:w="6384" w:type="dxa"/>
            <w:gridSpan w:val="3"/>
            <w:shd w:val="clear" w:color="auto" w:fill="auto"/>
          </w:tcPr>
          <w:p w14:paraId="681D346D" w14:textId="77777777" w:rsidR="00192A93" w:rsidRPr="004A6627" w:rsidRDefault="00192A93" w:rsidP="00192A93">
            <w:r w:rsidRPr="004A6627">
              <w:t>[●]</w:t>
            </w:r>
          </w:p>
        </w:tc>
      </w:tr>
      <w:tr w:rsidR="00192A93" w:rsidRPr="004A6627" w14:paraId="4D302DB1" w14:textId="77777777" w:rsidTr="00192A93">
        <w:trPr>
          <w:jc w:val="center"/>
        </w:trPr>
        <w:tc>
          <w:tcPr>
            <w:tcW w:w="2758" w:type="dxa"/>
            <w:shd w:val="clear" w:color="auto" w:fill="auto"/>
          </w:tcPr>
          <w:p w14:paraId="65091597" w14:textId="77777777" w:rsidR="00192A93" w:rsidRPr="004A6627" w:rsidRDefault="00192A93" w:rsidP="00192A93">
            <w:r w:rsidRPr="004A6627">
              <w:t>Račun Zajmoprimca</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189"/>
              <w:gridCol w:w="2887"/>
            </w:tblGrid>
            <w:tr w:rsidR="00192A93" w:rsidRPr="004A6627" w14:paraId="2FA3CBB7" w14:textId="77777777" w:rsidTr="00192A93">
              <w:tc>
                <w:tcPr>
                  <w:tcW w:w="2054" w:type="dxa"/>
                  <w:shd w:val="clear" w:color="auto" w:fill="auto"/>
                </w:tcPr>
                <w:p w14:paraId="288E23DD" w14:textId="77777777" w:rsidR="00192A93" w:rsidRPr="004A6627" w:rsidRDefault="00192A93" w:rsidP="00192A93">
                  <w:r w:rsidRPr="004A6627">
                    <w:t>Ime Korisnika</w:t>
                  </w:r>
                </w:p>
              </w:tc>
              <w:tc>
                <w:tcPr>
                  <w:tcW w:w="4070" w:type="dxa"/>
                  <w:gridSpan w:val="2"/>
                  <w:shd w:val="clear" w:color="auto" w:fill="auto"/>
                </w:tcPr>
                <w:p w14:paraId="70029F3D" w14:textId="77777777" w:rsidR="00192A93" w:rsidRPr="004A6627" w:rsidRDefault="00192A93" w:rsidP="00192A93">
                  <w:r w:rsidRPr="004A6627">
                    <w:t>[●]</w:t>
                  </w:r>
                </w:p>
              </w:tc>
            </w:tr>
            <w:tr w:rsidR="00192A93" w:rsidRPr="004A6627" w14:paraId="421CCDDF" w14:textId="77777777" w:rsidTr="00192A93">
              <w:tc>
                <w:tcPr>
                  <w:tcW w:w="2054" w:type="dxa"/>
                  <w:vMerge w:val="restart"/>
                  <w:shd w:val="clear" w:color="auto" w:fill="auto"/>
                </w:tcPr>
                <w:p w14:paraId="39CAFC54" w14:textId="77777777" w:rsidR="00192A93" w:rsidRPr="004A6627" w:rsidRDefault="00192A93" w:rsidP="00192A93">
                  <w:r w:rsidRPr="004A6627">
                    <w:t>Banka Korisnika</w:t>
                  </w:r>
                </w:p>
              </w:tc>
              <w:tc>
                <w:tcPr>
                  <w:tcW w:w="1126" w:type="dxa"/>
                  <w:shd w:val="clear" w:color="auto" w:fill="auto"/>
                </w:tcPr>
                <w:p w14:paraId="3B3EFBFB" w14:textId="77777777" w:rsidR="00192A93" w:rsidRPr="004A6627" w:rsidRDefault="00192A93" w:rsidP="00192A93">
                  <w:r w:rsidRPr="004A6627">
                    <w:t>Naziv</w:t>
                  </w:r>
                </w:p>
              </w:tc>
              <w:tc>
                <w:tcPr>
                  <w:tcW w:w="2944" w:type="dxa"/>
                  <w:shd w:val="clear" w:color="auto" w:fill="auto"/>
                </w:tcPr>
                <w:p w14:paraId="7A55A160" w14:textId="77777777" w:rsidR="00192A93" w:rsidRPr="004A6627" w:rsidRDefault="00192A93" w:rsidP="00192A93">
                  <w:r w:rsidRPr="004A6627">
                    <w:t>[●]</w:t>
                  </w:r>
                </w:p>
              </w:tc>
            </w:tr>
            <w:tr w:rsidR="00192A93" w:rsidRPr="004A6627" w14:paraId="59E2DC6F" w14:textId="77777777" w:rsidTr="00192A93">
              <w:tc>
                <w:tcPr>
                  <w:tcW w:w="2054" w:type="dxa"/>
                  <w:vMerge/>
                  <w:shd w:val="clear" w:color="auto" w:fill="auto"/>
                </w:tcPr>
                <w:p w14:paraId="6612B05D" w14:textId="77777777" w:rsidR="00192A93" w:rsidRPr="004A6627" w:rsidRDefault="00192A93" w:rsidP="00192A93"/>
              </w:tc>
              <w:tc>
                <w:tcPr>
                  <w:tcW w:w="1126" w:type="dxa"/>
                  <w:shd w:val="clear" w:color="auto" w:fill="auto"/>
                </w:tcPr>
                <w:p w14:paraId="7604BD25" w14:textId="77777777" w:rsidR="00192A93" w:rsidRPr="004A6627" w:rsidRDefault="00192A93" w:rsidP="00192A93">
                  <w:r w:rsidRPr="004A6627">
                    <w:t>Grad</w:t>
                  </w:r>
                </w:p>
              </w:tc>
              <w:tc>
                <w:tcPr>
                  <w:tcW w:w="2944" w:type="dxa"/>
                  <w:shd w:val="clear" w:color="auto" w:fill="auto"/>
                </w:tcPr>
                <w:p w14:paraId="2ED91AB8" w14:textId="77777777" w:rsidR="00192A93" w:rsidRPr="004A6627" w:rsidRDefault="00192A93" w:rsidP="00192A93">
                  <w:r w:rsidRPr="004A6627">
                    <w:t>[●]</w:t>
                  </w:r>
                </w:p>
              </w:tc>
            </w:tr>
            <w:tr w:rsidR="00192A93" w:rsidRPr="004A6627" w14:paraId="18AE275F" w14:textId="77777777" w:rsidTr="00192A93">
              <w:tc>
                <w:tcPr>
                  <w:tcW w:w="2054" w:type="dxa"/>
                  <w:vMerge/>
                  <w:shd w:val="clear" w:color="auto" w:fill="auto"/>
                </w:tcPr>
                <w:p w14:paraId="6F2F7520" w14:textId="77777777" w:rsidR="00192A93" w:rsidRPr="004A6627" w:rsidRDefault="00192A93" w:rsidP="00192A93"/>
              </w:tc>
              <w:tc>
                <w:tcPr>
                  <w:tcW w:w="1126" w:type="dxa"/>
                  <w:shd w:val="clear" w:color="auto" w:fill="auto"/>
                </w:tcPr>
                <w:p w14:paraId="0AAD2E8F" w14:textId="77777777" w:rsidR="00192A93" w:rsidRPr="004A6627" w:rsidRDefault="00192A93" w:rsidP="00192A93">
                  <w:r w:rsidRPr="004A6627">
                    <w:t>SWIFT</w:t>
                  </w:r>
                </w:p>
              </w:tc>
              <w:tc>
                <w:tcPr>
                  <w:tcW w:w="2944" w:type="dxa"/>
                  <w:shd w:val="clear" w:color="auto" w:fill="auto"/>
                </w:tcPr>
                <w:p w14:paraId="30DFE703" w14:textId="77777777" w:rsidR="00192A93" w:rsidRPr="004A6627" w:rsidRDefault="00192A93" w:rsidP="00192A93">
                  <w:r w:rsidRPr="004A6627">
                    <w:t>[●]</w:t>
                  </w:r>
                </w:p>
              </w:tc>
            </w:tr>
            <w:tr w:rsidR="00192A93" w:rsidRPr="004A6627" w14:paraId="6AF6CD74" w14:textId="77777777" w:rsidTr="00192A93">
              <w:tc>
                <w:tcPr>
                  <w:tcW w:w="2054" w:type="dxa"/>
                  <w:vMerge/>
                  <w:shd w:val="clear" w:color="auto" w:fill="auto"/>
                </w:tcPr>
                <w:p w14:paraId="6C2933B6" w14:textId="77777777" w:rsidR="00192A93" w:rsidRPr="004A6627" w:rsidRDefault="00192A93" w:rsidP="00192A93"/>
              </w:tc>
              <w:tc>
                <w:tcPr>
                  <w:tcW w:w="1126" w:type="dxa"/>
                  <w:shd w:val="clear" w:color="auto" w:fill="auto"/>
                </w:tcPr>
                <w:p w14:paraId="03B1C2E9" w14:textId="77777777" w:rsidR="00192A93" w:rsidRPr="004A6627" w:rsidRDefault="00192A93" w:rsidP="00192A93">
                  <w:r w:rsidRPr="004A6627">
                    <w:t>IBAN</w:t>
                  </w:r>
                </w:p>
              </w:tc>
              <w:tc>
                <w:tcPr>
                  <w:tcW w:w="2944" w:type="dxa"/>
                  <w:shd w:val="clear" w:color="auto" w:fill="auto"/>
                </w:tcPr>
                <w:p w14:paraId="558F0670" w14:textId="77777777" w:rsidR="00192A93" w:rsidRPr="004A6627" w:rsidRDefault="00192A93" w:rsidP="00192A93">
                  <w:r w:rsidRPr="004A6627">
                    <w:t>[●]</w:t>
                  </w:r>
                </w:p>
              </w:tc>
            </w:tr>
            <w:tr w:rsidR="00192A93" w:rsidRPr="004A6627" w14:paraId="1C9EC9AD" w14:textId="77777777" w:rsidTr="00192A93">
              <w:tc>
                <w:tcPr>
                  <w:tcW w:w="2054" w:type="dxa"/>
                  <w:vMerge/>
                  <w:shd w:val="clear" w:color="auto" w:fill="auto"/>
                </w:tcPr>
                <w:p w14:paraId="1934C205" w14:textId="77777777" w:rsidR="00192A93" w:rsidRPr="004A6627" w:rsidRDefault="00192A93" w:rsidP="00192A93"/>
              </w:tc>
              <w:tc>
                <w:tcPr>
                  <w:tcW w:w="1126" w:type="dxa"/>
                  <w:shd w:val="clear" w:color="auto" w:fill="auto"/>
                  <w:vAlign w:val="center"/>
                </w:tcPr>
                <w:p w14:paraId="1803FC6E" w14:textId="77777777" w:rsidR="00192A93" w:rsidRPr="004A6627" w:rsidRDefault="00192A93" w:rsidP="00192A93">
                  <w:r w:rsidRPr="004A6627">
                    <w:t>Referenca</w:t>
                  </w:r>
                </w:p>
              </w:tc>
              <w:tc>
                <w:tcPr>
                  <w:tcW w:w="2944" w:type="dxa"/>
                  <w:shd w:val="clear" w:color="auto" w:fill="auto"/>
                  <w:vAlign w:val="center"/>
                </w:tcPr>
                <w:p w14:paraId="6BF7CDCB" w14:textId="77777777" w:rsidR="00192A93" w:rsidRPr="004A6627" w:rsidRDefault="00192A93" w:rsidP="00192A93">
                  <w:r w:rsidRPr="004A6627">
                    <w:t>[●]</w:t>
                  </w:r>
                </w:p>
              </w:tc>
            </w:tr>
            <w:tr w:rsidR="00192A93" w:rsidRPr="004A6627" w14:paraId="62A513F9" w14:textId="77777777" w:rsidTr="00192A93">
              <w:tc>
                <w:tcPr>
                  <w:tcW w:w="2054" w:type="dxa"/>
                  <w:vMerge w:val="restart"/>
                  <w:shd w:val="clear" w:color="auto" w:fill="auto"/>
                </w:tcPr>
                <w:p w14:paraId="12ABBF1A" w14:textId="77777777" w:rsidR="00192A93" w:rsidRPr="004A6627" w:rsidRDefault="00192A93" w:rsidP="00192A93">
                  <w:r w:rsidRPr="004A6627">
                    <w:t>Korespondentna banka (ako je primjenjivo)</w:t>
                  </w:r>
                </w:p>
              </w:tc>
              <w:tc>
                <w:tcPr>
                  <w:tcW w:w="1126" w:type="dxa"/>
                  <w:shd w:val="clear" w:color="auto" w:fill="auto"/>
                  <w:vAlign w:val="center"/>
                </w:tcPr>
                <w:p w14:paraId="61CF0656" w14:textId="77777777" w:rsidR="00192A93" w:rsidRPr="004A6627" w:rsidRDefault="00192A93" w:rsidP="00192A93">
                  <w:r w:rsidRPr="004A6627">
                    <w:t>Naziv</w:t>
                  </w:r>
                </w:p>
              </w:tc>
              <w:tc>
                <w:tcPr>
                  <w:tcW w:w="2944" w:type="dxa"/>
                  <w:shd w:val="clear" w:color="auto" w:fill="auto"/>
                  <w:vAlign w:val="center"/>
                </w:tcPr>
                <w:p w14:paraId="5E32EC6E" w14:textId="77777777" w:rsidR="00192A93" w:rsidRPr="004A6627" w:rsidRDefault="00192A93" w:rsidP="00192A93">
                  <w:r w:rsidRPr="004A6627">
                    <w:t>[●]</w:t>
                  </w:r>
                </w:p>
              </w:tc>
            </w:tr>
            <w:tr w:rsidR="00192A93" w:rsidRPr="004A6627" w14:paraId="2B9F7794" w14:textId="77777777" w:rsidTr="00192A93">
              <w:tc>
                <w:tcPr>
                  <w:tcW w:w="2054" w:type="dxa"/>
                  <w:vMerge/>
                  <w:shd w:val="clear" w:color="auto" w:fill="auto"/>
                </w:tcPr>
                <w:p w14:paraId="71FC1364" w14:textId="77777777" w:rsidR="00192A93" w:rsidRPr="004A6627" w:rsidRDefault="00192A93" w:rsidP="00192A93"/>
              </w:tc>
              <w:tc>
                <w:tcPr>
                  <w:tcW w:w="1126" w:type="dxa"/>
                  <w:shd w:val="clear" w:color="auto" w:fill="auto"/>
                </w:tcPr>
                <w:p w14:paraId="6E80DEA8" w14:textId="77777777" w:rsidR="00192A93" w:rsidRPr="004A6627" w:rsidRDefault="00192A93" w:rsidP="00192A93">
                  <w:r w:rsidRPr="004A6627">
                    <w:t>Grad</w:t>
                  </w:r>
                </w:p>
              </w:tc>
              <w:tc>
                <w:tcPr>
                  <w:tcW w:w="2944" w:type="dxa"/>
                  <w:shd w:val="clear" w:color="auto" w:fill="auto"/>
                </w:tcPr>
                <w:p w14:paraId="60EAD2A2" w14:textId="77777777" w:rsidR="00192A93" w:rsidRPr="004A6627" w:rsidRDefault="00192A93" w:rsidP="00192A93">
                  <w:r w:rsidRPr="004A6627">
                    <w:t>[●]</w:t>
                  </w:r>
                </w:p>
              </w:tc>
            </w:tr>
            <w:tr w:rsidR="00192A93" w:rsidRPr="004A6627" w14:paraId="1C1853AC" w14:textId="77777777" w:rsidTr="00192A93">
              <w:tc>
                <w:tcPr>
                  <w:tcW w:w="2054" w:type="dxa"/>
                  <w:vMerge/>
                  <w:shd w:val="clear" w:color="auto" w:fill="auto"/>
                </w:tcPr>
                <w:p w14:paraId="1FBB43BB" w14:textId="77777777" w:rsidR="00192A93" w:rsidRPr="004A6627" w:rsidRDefault="00192A93" w:rsidP="00192A93"/>
              </w:tc>
              <w:tc>
                <w:tcPr>
                  <w:tcW w:w="1126" w:type="dxa"/>
                  <w:tcBorders>
                    <w:bottom w:val="single" w:sz="4" w:space="0" w:color="auto"/>
                  </w:tcBorders>
                  <w:shd w:val="clear" w:color="auto" w:fill="auto"/>
                </w:tcPr>
                <w:p w14:paraId="6E22240A" w14:textId="77777777" w:rsidR="00192A93" w:rsidRPr="004A6627" w:rsidRDefault="00192A93" w:rsidP="00192A93">
                  <w:r w:rsidRPr="004A6627">
                    <w:t>SWIFT</w:t>
                  </w:r>
                </w:p>
              </w:tc>
              <w:tc>
                <w:tcPr>
                  <w:tcW w:w="2944" w:type="dxa"/>
                  <w:tcBorders>
                    <w:bottom w:val="single" w:sz="4" w:space="0" w:color="auto"/>
                  </w:tcBorders>
                  <w:shd w:val="clear" w:color="auto" w:fill="auto"/>
                </w:tcPr>
                <w:p w14:paraId="2ECD7BEF" w14:textId="77777777" w:rsidR="00192A93" w:rsidRPr="004A6627" w:rsidRDefault="00192A93" w:rsidP="00192A93">
                  <w:r w:rsidRPr="004A6627">
                    <w:t>[●]</w:t>
                  </w:r>
                </w:p>
              </w:tc>
            </w:tr>
            <w:tr w:rsidR="00192A93" w:rsidRPr="004A6627" w14:paraId="44487AD7" w14:textId="77777777" w:rsidTr="00192A93">
              <w:tc>
                <w:tcPr>
                  <w:tcW w:w="2054" w:type="dxa"/>
                  <w:vMerge/>
                  <w:tcBorders>
                    <w:bottom w:val="nil"/>
                  </w:tcBorders>
                  <w:shd w:val="clear" w:color="auto" w:fill="auto"/>
                </w:tcPr>
                <w:p w14:paraId="6C4EAAC6" w14:textId="77777777" w:rsidR="00192A93" w:rsidRPr="004A6627" w:rsidRDefault="00192A93" w:rsidP="00192A93"/>
              </w:tc>
              <w:tc>
                <w:tcPr>
                  <w:tcW w:w="1126" w:type="dxa"/>
                  <w:tcBorders>
                    <w:bottom w:val="nil"/>
                  </w:tcBorders>
                  <w:shd w:val="clear" w:color="auto" w:fill="auto"/>
                </w:tcPr>
                <w:p w14:paraId="20FA5E19" w14:textId="77777777" w:rsidR="00192A93" w:rsidRPr="004A6627" w:rsidRDefault="00192A93" w:rsidP="00192A93">
                  <w:r w:rsidRPr="004A6627">
                    <w:t>IBAN</w:t>
                  </w:r>
                </w:p>
              </w:tc>
              <w:tc>
                <w:tcPr>
                  <w:tcW w:w="2944" w:type="dxa"/>
                  <w:tcBorders>
                    <w:bottom w:val="nil"/>
                  </w:tcBorders>
                  <w:shd w:val="clear" w:color="auto" w:fill="auto"/>
                </w:tcPr>
                <w:p w14:paraId="3FF8BBC6" w14:textId="77777777" w:rsidR="00192A93" w:rsidRPr="004A6627" w:rsidRDefault="00192A93" w:rsidP="00192A93">
                  <w:r w:rsidRPr="004A6627">
                    <w:t>[●]</w:t>
                  </w:r>
                </w:p>
              </w:tc>
            </w:tr>
          </w:tbl>
          <w:p w14:paraId="2B9D50C4" w14:textId="77777777" w:rsidR="00192A93" w:rsidRPr="004A6627" w:rsidRDefault="00192A93" w:rsidP="00192A93"/>
        </w:tc>
      </w:tr>
    </w:tbl>
    <w:p w14:paraId="4C55CBDF" w14:textId="77777777" w:rsidR="00192A93" w:rsidRPr="004A6627" w:rsidRDefault="00192A93" w:rsidP="00192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4A6627">
        <w:t>[•],na datum  [•].</w:t>
      </w:r>
    </w:p>
    <w:p w14:paraId="127B0B6C" w14:textId="77777777" w:rsidR="00192A93" w:rsidRPr="004A6627" w:rsidRDefault="00192A93" w:rsidP="00192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B04BFF" w14:textId="77777777" w:rsidR="00192A93" w:rsidRPr="00945129" w:rsidRDefault="00192A93" w:rsidP="000B2927">
      <w:pPr>
        <w:rPr>
          <w:u w:val="single"/>
          <w:lang w:eastAsia="en-GB"/>
        </w:rPr>
      </w:pPr>
      <w:r w:rsidRPr="00945129">
        <w:rPr>
          <w:u w:val="single"/>
          <w:lang w:eastAsia="en-GB"/>
        </w:rPr>
        <w:t>Za Zajmoprimca</w:t>
      </w:r>
    </w:p>
    <w:p w14:paraId="7F604355" w14:textId="77777777" w:rsidR="00192A93" w:rsidRPr="004A6627" w:rsidRDefault="00192A93" w:rsidP="000B2927">
      <w:pPr>
        <w:rPr>
          <w:lang w:eastAsia="en-GB"/>
        </w:rPr>
      </w:pPr>
      <w:r w:rsidRPr="004A6627">
        <w:rPr>
          <w:lang w:eastAsia="en-GB"/>
        </w:rPr>
        <w:t>[NAVESTI IME(NA) I PREZIME(NA)/TITULU (TITULE)]</w:t>
      </w:r>
    </w:p>
    <w:p w14:paraId="2B0421F2" w14:textId="77777777" w:rsidR="00192A93" w:rsidRPr="004A6627" w:rsidRDefault="00192A93" w:rsidP="00192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A6627">
        <w:br w:type="page"/>
      </w:r>
    </w:p>
    <w:p w14:paraId="58970360" w14:textId="77777777" w:rsidR="00192A93" w:rsidRPr="004A6627" w:rsidRDefault="00192A93" w:rsidP="00192A93">
      <w:pPr>
        <w:pBdr>
          <w:top w:val="single" w:sz="4" w:space="1" w:color="auto"/>
          <w:left w:val="single" w:sz="4" w:space="4" w:color="auto"/>
          <w:bottom w:val="single" w:sz="4" w:space="1" w:color="auto"/>
          <w:right w:val="single" w:sz="4" w:space="4" w:color="auto"/>
        </w:pBdr>
        <w:jc w:val="center"/>
        <w:rPr>
          <w:b/>
        </w:rPr>
      </w:pPr>
      <w:r w:rsidRPr="004A6627">
        <w:rPr>
          <w:b/>
        </w:rPr>
        <w:lastRenderedPageBreak/>
        <w:t>OBAVIJEST O ISPLATI (PREDLOŽAK)</w:t>
      </w:r>
    </w:p>
    <w:p w14:paraId="34695823" w14:textId="777437D0" w:rsidR="00192A93" w:rsidRPr="004A6627" w:rsidRDefault="00192A93" w:rsidP="00192A93">
      <w:pPr>
        <w:jc w:val="right"/>
        <w:rPr>
          <w:b/>
          <w:i/>
        </w:rPr>
      </w:pPr>
      <w:r w:rsidRPr="004A6627">
        <w:rPr>
          <w:b/>
          <w:i/>
        </w:rPr>
        <w:t>LD 2056 – [</w:t>
      </w:r>
      <w:r w:rsidR="007874A2" w:rsidRPr="004A6627">
        <w:t>●</w:t>
      </w:r>
      <w:r w:rsidRPr="004A6627">
        <w:rPr>
          <w:b/>
          <w:i/>
        </w:rPr>
        <w:t>] Tranša</w:t>
      </w:r>
    </w:p>
    <w:p w14:paraId="4866FD86" w14:textId="77777777" w:rsidR="00192A93" w:rsidRPr="004A6627" w:rsidRDefault="00192A93" w:rsidP="00192A93">
      <w:pPr>
        <w:jc w:val="center"/>
        <w:rPr>
          <w:b/>
        </w:rPr>
      </w:pPr>
    </w:p>
    <w:p w14:paraId="3218CA1C" w14:textId="240BAC42" w:rsidR="00192A93" w:rsidRPr="004A6627" w:rsidRDefault="00192A93" w:rsidP="00041CA1">
      <w:pPr>
        <w:spacing w:after="225"/>
        <w:jc w:val="both"/>
        <w:rPr>
          <w:lang w:eastAsia="en-GB"/>
        </w:rPr>
      </w:pPr>
      <w:r w:rsidRPr="004A6627">
        <w:rPr>
          <w:lang w:eastAsia="en-GB"/>
        </w:rPr>
        <w:t>U odgovoru na Vaš Zahtjev za isplatom zajma od [</w:t>
      </w:r>
      <w:r w:rsidR="007874A2" w:rsidRPr="004A6627">
        <w:t>●</w:t>
      </w:r>
      <w:r w:rsidRPr="004A6627">
        <w:rPr>
          <w:lang w:eastAsia="en-GB"/>
        </w:rPr>
        <w:t>] (datum) vezan uz Okvirni ugovor o zajmu od [</w:t>
      </w:r>
      <w:r w:rsidR="007874A2" w:rsidRPr="004A6627">
        <w:t>●</w:t>
      </w:r>
      <w:r w:rsidRPr="004A6627">
        <w:rPr>
          <w:lang w:eastAsia="en-GB"/>
        </w:rPr>
        <w:t>] (datum) (u daljnjem tekstu „</w:t>
      </w:r>
      <w:r w:rsidRPr="004A6627">
        <w:rPr>
          <w:b/>
          <w:lang w:eastAsia="en-GB"/>
        </w:rPr>
        <w:t>Ugovor</w:t>
      </w:r>
      <w:r w:rsidRPr="004A6627">
        <w:rPr>
          <w:lang w:eastAsia="en-GB"/>
        </w:rPr>
        <w:t>“) između Republike Hrvatske (u daljnjem tekstu „</w:t>
      </w:r>
      <w:r w:rsidRPr="004A6627">
        <w:rPr>
          <w:b/>
          <w:lang w:eastAsia="en-GB"/>
        </w:rPr>
        <w:t>Zajmoprimac</w:t>
      </w:r>
      <w:r w:rsidRPr="004A6627">
        <w:rPr>
          <w:lang w:eastAsia="en-GB"/>
        </w:rPr>
        <w:t>“) i Razvojne banke Vijeća Europe (u daljnjem tekstu: „</w:t>
      </w:r>
      <w:r w:rsidRPr="004A6627">
        <w:rPr>
          <w:b/>
          <w:lang w:eastAsia="en-GB"/>
        </w:rPr>
        <w:t>CEB</w:t>
      </w:r>
      <w:r w:rsidRPr="004A6627">
        <w:rPr>
          <w:lang w:eastAsia="en-GB"/>
        </w:rPr>
        <w:t>“), CEB ovim putem obavješćuje Zajmoprimca, u skladu s podčlankom 4.3 (b) Ugovora, o odredbama i uvjetima isplate relevantne tranše.</w:t>
      </w:r>
    </w:p>
    <w:p w14:paraId="7C0E5222" w14:textId="77777777" w:rsidR="00192A93" w:rsidRPr="004A6627" w:rsidRDefault="00192A93" w:rsidP="00041CA1">
      <w:pPr>
        <w:spacing w:before="100" w:beforeAutospacing="1" w:after="225"/>
        <w:jc w:val="both"/>
        <w:rPr>
          <w:lang w:eastAsia="en-GB"/>
        </w:rPr>
      </w:pPr>
      <w:r w:rsidRPr="004A6627">
        <w:rPr>
          <w:lang w:eastAsia="en-GB"/>
        </w:rPr>
        <w:t>Izrazi definirani u Ugovoru imaju isto značenje u daljnjem tekstu, osim ako nije utvrđeno drugačije.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1461"/>
        <w:gridCol w:w="1888"/>
        <w:gridCol w:w="3001"/>
      </w:tblGrid>
      <w:tr w:rsidR="00192A93" w:rsidRPr="004A6627" w14:paraId="0E01EDF9" w14:textId="77777777" w:rsidTr="007874A2">
        <w:trPr>
          <w:jc w:val="center"/>
        </w:trPr>
        <w:tc>
          <w:tcPr>
            <w:tcW w:w="2758" w:type="dxa"/>
            <w:shd w:val="clear" w:color="auto" w:fill="auto"/>
          </w:tcPr>
          <w:p w14:paraId="4C71EADF" w14:textId="77777777" w:rsidR="00192A93" w:rsidRPr="004A6627" w:rsidRDefault="00192A93" w:rsidP="00192A93">
            <w:r w:rsidRPr="004A6627">
              <w:t>Valuta/Iznos</w:t>
            </w:r>
          </w:p>
        </w:tc>
        <w:tc>
          <w:tcPr>
            <w:tcW w:w="6384" w:type="dxa"/>
            <w:gridSpan w:val="3"/>
            <w:shd w:val="clear" w:color="auto" w:fill="auto"/>
          </w:tcPr>
          <w:p w14:paraId="494C450D" w14:textId="77777777" w:rsidR="00192A93" w:rsidRPr="004A6627" w:rsidRDefault="00192A93" w:rsidP="00192A93">
            <w:r w:rsidRPr="004A6627">
              <w:t>[●]</w:t>
            </w:r>
          </w:p>
        </w:tc>
      </w:tr>
      <w:tr w:rsidR="00192A93" w:rsidRPr="004A6627" w14:paraId="4147ABD2" w14:textId="77777777" w:rsidTr="007874A2">
        <w:trPr>
          <w:jc w:val="center"/>
        </w:trPr>
        <w:tc>
          <w:tcPr>
            <w:tcW w:w="2758" w:type="dxa"/>
            <w:shd w:val="clear" w:color="auto" w:fill="auto"/>
          </w:tcPr>
          <w:p w14:paraId="7B1332A9" w14:textId="77777777" w:rsidR="00192A93" w:rsidRPr="004A6627" w:rsidRDefault="00192A93" w:rsidP="00192A93">
            <w:r w:rsidRPr="004A6627">
              <w:t>Datum isplate</w:t>
            </w:r>
          </w:p>
        </w:tc>
        <w:tc>
          <w:tcPr>
            <w:tcW w:w="6384" w:type="dxa"/>
            <w:gridSpan w:val="3"/>
            <w:shd w:val="clear" w:color="auto" w:fill="auto"/>
          </w:tcPr>
          <w:p w14:paraId="2A8B68FE" w14:textId="77777777" w:rsidR="00192A93" w:rsidRPr="004A6627" w:rsidRDefault="00192A93" w:rsidP="00192A93">
            <w:r w:rsidRPr="004A6627">
              <w:t>[●]</w:t>
            </w:r>
          </w:p>
        </w:tc>
      </w:tr>
      <w:tr w:rsidR="00192A93" w:rsidRPr="004A6627" w14:paraId="34970D36" w14:textId="77777777" w:rsidTr="007874A2">
        <w:trPr>
          <w:jc w:val="center"/>
        </w:trPr>
        <w:tc>
          <w:tcPr>
            <w:tcW w:w="2758" w:type="dxa"/>
            <w:shd w:val="clear" w:color="auto" w:fill="auto"/>
          </w:tcPr>
          <w:p w14:paraId="75975F11" w14:textId="77777777" w:rsidR="00192A93" w:rsidRPr="004A6627" w:rsidRDefault="00192A93" w:rsidP="00192A93">
            <w:r w:rsidRPr="004A6627">
              <w:t>Razdoblje otplate glavnice</w:t>
            </w:r>
          </w:p>
        </w:tc>
        <w:tc>
          <w:tcPr>
            <w:tcW w:w="6384" w:type="dxa"/>
            <w:gridSpan w:val="3"/>
            <w:shd w:val="clear" w:color="auto" w:fill="auto"/>
          </w:tcPr>
          <w:p w14:paraId="4B270FD4" w14:textId="1C684F00" w:rsidR="00192A93" w:rsidRPr="004A6627" w:rsidRDefault="00192A93" w:rsidP="00192A93">
            <w:r w:rsidRPr="004A6627">
              <w:t>[●]</w:t>
            </w:r>
            <w:r w:rsidR="007874A2">
              <w:t xml:space="preserve"> </w:t>
            </w:r>
            <w:r w:rsidRPr="004A6627">
              <w:t>godine [uključujući i poček od [</w:t>
            </w:r>
            <w:r w:rsidR="007874A2" w:rsidRPr="004A6627">
              <w:t>●</w:t>
            </w:r>
            <w:r w:rsidRPr="004A6627">
              <w:t>] godina]</w:t>
            </w:r>
          </w:p>
        </w:tc>
      </w:tr>
      <w:tr w:rsidR="00192A93" w:rsidRPr="004A6627" w14:paraId="1219404F" w14:textId="77777777" w:rsidTr="007874A2">
        <w:trPr>
          <w:jc w:val="center"/>
        </w:trPr>
        <w:tc>
          <w:tcPr>
            <w:tcW w:w="2758" w:type="dxa"/>
            <w:shd w:val="clear" w:color="auto" w:fill="auto"/>
          </w:tcPr>
          <w:p w14:paraId="21E29840" w14:textId="77777777" w:rsidR="00192A93" w:rsidRPr="004A6627" w:rsidRDefault="00192A93" w:rsidP="00192A93">
            <w:r w:rsidRPr="004A6627">
              <w:t>Datum(i) otplate glavnice</w:t>
            </w:r>
          </w:p>
        </w:tc>
        <w:tc>
          <w:tcPr>
            <w:tcW w:w="6384" w:type="dxa"/>
            <w:gridSpan w:val="3"/>
            <w:shd w:val="clear" w:color="auto" w:fill="auto"/>
          </w:tcPr>
          <w:p w14:paraId="0CF79B9B" w14:textId="77777777" w:rsidR="00192A93" w:rsidRPr="004A6627" w:rsidRDefault="00192A93" w:rsidP="00192A93">
            <w:pPr>
              <w:rPr>
                <w:strike/>
              </w:rPr>
            </w:pPr>
            <w:r w:rsidRPr="004A6627">
              <w:t>[●]</w:t>
            </w:r>
          </w:p>
        </w:tc>
      </w:tr>
      <w:tr w:rsidR="00192A93" w:rsidRPr="004A6627" w14:paraId="08D62D0F" w14:textId="77777777" w:rsidTr="007874A2">
        <w:trPr>
          <w:jc w:val="center"/>
        </w:trPr>
        <w:tc>
          <w:tcPr>
            <w:tcW w:w="2758" w:type="dxa"/>
            <w:shd w:val="clear" w:color="auto" w:fill="auto"/>
          </w:tcPr>
          <w:p w14:paraId="6DC4D69C" w14:textId="77777777" w:rsidR="00192A93" w:rsidRPr="004A6627" w:rsidRDefault="00192A93" w:rsidP="00192A93">
            <w:r w:rsidRPr="004A6627">
              <w:t>Datum dospijeća</w:t>
            </w:r>
          </w:p>
        </w:tc>
        <w:tc>
          <w:tcPr>
            <w:tcW w:w="6384" w:type="dxa"/>
            <w:gridSpan w:val="3"/>
            <w:shd w:val="clear" w:color="auto" w:fill="auto"/>
          </w:tcPr>
          <w:p w14:paraId="336A1C8D" w14:textId="77777777" w:rsidR="00192A93" w:rsidRPr="004A6627" w:rsidRDefault="00192A93" w:rsidP="00192A93">
            <w:r w:rsidRPr="004A6627">
              <w:t>[●]</w:t>
            </w:r>
          </w:p>
        </w:tc>
      </w:tr>
      <w:tr w:rsidR="00192A93" w:rsidRPr="004A6627" w14:paraId="7D24F047" w14:textId="77777777" w:rsidTr="007874A2">
        <w:trPr>
          <w:trHeight w:val="396"/>
          <w:jc w:val="center"/>
        </w:trPr>
        <w:tc>
          <w:tcPr>
            <w:tcW w:w="2758" w:type="dxa"/>
            <w:vMerge w:val="restart"/>
            <w:shd w:val="clear" w:color="auto" w:fill="auto"/>
          </w:tcPr>
          <w:p w14:paraId="1B8B5824" w14:textId="77777777" w:rsidR="00192A93" w:rsidRPr="004A6627" w:rsidRDefault="00192A93" w:rsidP="00192A93">
            <w:r w:rsidRPr="004A6627">
              <w:t>Kamatna stopa</w:t>
            </w:r>
          </w:p>
        </w:tc>
        <w:tc>
          <w:tcPr>
            <w:tcW w:w="1461" w:type="dxa"/>
            <w:shd w:val="clear" w:color="auto" w:fill="auto"/>
          </w:tcPr>
          <w:p w14:paraId="4BC11FB0" w14:textId="77777777" w:rsidR="00192A93" w:rsidRPr="004A6627" w:rsidRDefault="00192A93" w:rsidP="00192A93">
            <w:r w:rsidRPr="004A6627">
              <w:t>Fiksna</w:t>
            </w:r>
          </w:p>
        </w:tc>
        <w:tc>
          <w:tcPr>
            <w:tcW w:w="4923" w:type="dxa"/>
            <w:gridSpan w:val="2"/>
            <w:shd w:val="clear" w:color="auto" w:fill="auto"/>
          </w:tcPr>
          <w:p w14:paraId="4AE98F22" w14:textId="6D538077" w:rsidR="00192A93" w:rsidRPr="004A6627" w:rsidRDefault="00192A93" w:rsidP="00192A93">
            <w:r w:rsidRPr="004A6627">
              <w:t>[●]</w:t>
            </w:r>
            <w:r w:rsidR="007874A2">
              <w:t xml:space="preserve"> </w:t>
            </w:r>
            <w:r w:rsidRPr="004A6627">
              <w:rPr>
                <w:rStyle w:val="kurziv"/>
              </w:rPr>
              <w:t>godišnje</w:t>
            </w:r>
          </w:p>
        </w:tc>
      </w:tr>
      <w:tr w:rsidR="00192A93" w:rsidRPr="004A6627" w14:paraId="6AD96DED" w14:textId="77777777" w:rsidTr="007874A2">
        <w:trPr>
          <w:trHeight w:val="785"/>
          <w:jc w:val="center"/>
        </w:trPr>
        <w:tc>
          <w:tcPr>
            <w:tcW w:w="2758" w:type="dxa"/>
            <w:vMerge/>
            <w:shd w:val="clear" w:color="auto" w:fill="auto"/>
          </w:tcPr>
          <w:p w14:paraId="0D22C756" w14:textId="77777777" w:rsidR="00192A93" w:rsidRPr="004A6627" w:rsidRDefault="00192A93" w:rsidP="00192A93"/>
        </w:tc>
        <w:tc>
          <w:tcPr>
            <w:tcW w:w="1461" w:type="dxa"/>
            <w:vMerge w:val="restart"/>
            <w:shd w:val="clear" w:color="auto" w:fill="auto"/>
          </w:tcPr>
          <w:p w14:paraId="0A45E551" w14:textId="77777777" w:rsidR="00192A93" w:rsidRPr="004A6627" w:rsidRDefault="00192A93" w:rsidP="00192A93">
            <w:r w:rsidRPr="004A6627">
              <w:t>Promjenjiva</w:t>
            </w:r>
          </w:p>
        </w:tc>
        <w:tc>
          <w:tcPr>
            <w:tcW w:w="1888" w:type="dxa"/>
            <w:shd w:val="clear" w:color="auto" w:fill="auto"/>
          </w:tcPr>
          <w:p w14:paraId="367B1B4F" w14:textId="77777777" w:rsidR="00192A93" w:rsidRPr="004A6627" w:rsidRDefault="00192A93" w:rsidP="00192A93">
            <w:r w:rsidRPr="004A6627">
              <w:t xml:space="preserve">Referentna stopa: </w:t>
            </w:r>
          </w:p>
        </w:tc>
        <w:tc>
          <w:tcPr>
            <w:tcW w:w="3035" w:type="dxa"/>
            <w:shd w:val="clear" w:color="auto" w:fill="auto"/>
          </w:tcPr>
          <w:p w14:paraId="2BD37919" w14:textId="77777777" w:rsidR="00192A93" w:rsidRPr="004A6627" w:rsidRDefault="00192A93" w:rsidP="00192A93">
            <w:r w:rsidRPr="004A6627">
              <w:t xml:space="preserve">[[●]-mjesec EURIBOR </w:t>
            </w:r>
            <w:r w:rsidRPr="004A6627">
              <w:rPr>
                <w:rStyle w:val="kurziv"/>
              </w:rPr>
              <w:t>godišnje</w:t>
            </w:r>
          </w:p>
        </w:tc>
      </w:tr>
      <w:tr w:rsidR="00192A93" w:rsidRPr="004A6627" w14:paraId="30205FB8" w14:textId="77777777" w:rsidTr="007874A2">
        <w:trPr>
          <w:trHeight w:val="322"/>
          <w:jc w:val="center"/>
        </w:trPr>
        <w:tc>
          <w:tcPr>
            <w:tcW w:w="2758" w:type="dxa"/>
            <w:vMerge/>
            <w:shd w:val="clear" w:color="auto" w:fill="auto"/>
          </w:tcPr>
          <w:p w14:paraId="325AFFA1" w14:textId="77777777" w:rsidR="00192A93" w:rsidRPr="004A6627" w:rsidRDefault="00192A93" w:rsidP="00192A93"/>
        </w:tc>
        <w:tc>
          <w:tcPr>
            <w:tcW w:w="1461" w:type="dxa"/>
            <w:vMerge/>
            <w:shd w:val="clear" w:color="auto" w:fill="auto"/>
          </w:tcPr>
          <w:p w14:paraId="680D97EE" w14:textId="77777777" w:rsidR="00192A93" w:rsidRPr="004A6627" w:rsidRDefault="00192A93" w:rsidP="00192A93"/>
        </w:tc>
        <w:tc>
          <w:tcPr>
            <w:tcW w:w="1888" w:type="dxa"/>
            <w:shd w:val="clear" w:color="auto" w:fill="auto"/>
          </w:tcPr>
          <w:p w14:paraId="6C8A7A7F" w14:textId="77777777" w:rsidR="00192A93" w:rsidRPr="004A6627" w:rsidRDefault="00192A93" w:rsidP="00192A93">
            <w:r w:rsidRPr="004A6627">
              <w:t>Raspon</w:t>
            </w:r>
          </w:p>
        </w:tc>
        <w:tc>
          <w:tcPr>
            <w:tcW w:w="3035" w:type="dxa"/>
            <w:shd w:val="clear" w:color="auto" w:fill="auto"/>
          </w:tcPr>
          <w:p w14:paraId="178A4FB4" w14:textId="0CD0A341" w:rsidR="00192A93" w:rsidRPr="004A6627" w:rsidRDefault="00192A93" w:rsidP="00192A93">
            <w:r w:rsidRPr="004A6627">
              <w:t>[●]</w:t>
            </w:r>
            <w:r w:rsidR="007874A2">
              <w:t xml:space="preserve"> </w:t>
            </w:r>
            <w:r w:rsidRPr="004A6627">
              <w:t>bazni poeni</w:t>
            </w:r>
          </w:p>
        </w:tc>
      </w:tr>
      <w:tr w:rsidR="00192A93" w:rsidRPr="004A6627" w14:paraId="7715EA87" w14:textId="77777777" w:rsidTr="007874A2">
        <w:trPr>
          <w:jc w:val="center"/>
        </w:trPr>
        <w:tc>
          <w:tcPr>
            <w:tcW w:w="2758" w:type="dxa"/>
            <w:shd w:val="clear" w:color="auto" w:fill="auto"/>
          </w:tcPr>
          <w:p w14:paraId="6504D994" w14:textId="77777777" w:rsidR="00192A93" w:rsidRPr="004A6627" w:rsidRDefault="00192A93" w:rsidP="00192A93">
            <w:r w:rsidRPr="004A6627">
              <w:t>Kamatno razdoblje</w:t>
            </w:r>
          </w:p>
        </w:tc>
        <w:tc>
          <w:tcPr>
            <w:tcW w:w="6384" w:type="dxa"/>
            <w:gridSpan w:val="3"/>
            <w:shd w:val="clear" w:color="auto" w:fill="auto"/>
          </w:tcPr>
          <w:p w14:paraId="061BE467" w14:textId="58EC5516" w:rsidR="00192A93" w:rsidRPr="004A6627" w:rsidRDefault="00192A93" w:rsidP="007874A2">
            <w:r w:rsidRPr="004A6627">
              <w:t>[Kvartalno] [Polugodišnje] [Godišnje]</w:t>
            </w:r>
            <w:r w:rsidR="007874A2">
              <w:t xml:space="preserve"> </w:t>
            </w:r>
            <w:r w:rsidRPr="004A6627">
              <w:t>unazad</w:t>
            </w:r>
          </w:p>
        </w:tc>
      </w:tr>
      <w:tr w:rsidR="00192A93" w:rsidRPr="004A6627" w14:paraId="6D10247C" w14:textId="77777777" w:rsidTr="007874A2">
        <w:trPr>
          <w:jc w:val="center"/>
        </w:trPr>
        <w:tc>
          <w:tcPr>
            <w:tcW w:w="2758" w:type="dxa"/>
            <w:shd w:val="clear" w:color="auto" w:fill="auto"/>
          </w:tcPr>
          <w:p w14:paraId="1ED33634" w14:textId="77777777" w:rsidR="00192A93" w:rsidRPr="004A6627" w:rsidRDefault="00192A93" w:rsidP="00192A93">
            <w:r w:rsidRPr="004A6627">
              <w:t>Datumi plaćanja kamate</w:t>
            </w:r>
          </w:p>
        </w:tc>
        <w:tc>
          <w:tcPr>
            <w:tcW w:w="6384" w:type="dxa"/>
            <w:gridSpan w:val="3"/>
            <w:shd w:val="clear" w:color="auto" w:fill="auto"/>
          </w:tcPr>
          <w:p w14:paraId="27D337CB" w14:textId="042B31D3" w:rsidR="00192A93" w:rsidRPr="004A6627" w:rsidRDefault="00192A93" w:rsidP="00192A93">
            <w:r w:rsidRPr="004A6627">
              <w:t>Plaćanje kamate izvršit će se na datum [</w:t>
            </w:r>
            <w:r w:rsidR="007874A2" w:rsidRPr="004A6627">
              <w:t>●</w:t>
            </w:r>
            <w:r w:rsidRPr="004A6627">
              <w:t>] svake godine i po prvi puta na datum [</w:t>
            </w:r>
            <w:r w:rsidR="007874A2" w:rsidRPr="004A6627">
              <w:t>●</w:t>
            </w:r>
            <w:r w:rsidRPr="004A6627">
              <w:t>]</w:t>
            </w:r>
          </w:p>
        </w:tc>
      </w:tr>
      <w:tr w:rsidR="00192A93" w:rsidRPr="004A6627" w14:paraId="18CF125E" w14:textId="77777777" w:rsidTr="007874A2">
        <w:trPr>
          <w:trHeight w:val="224"/>
          <w:jc w:val="center"/>
        </w:trPr>
        <w:tc>
          <w:tcPr>
            <w:tcW w:w="2758" w:type="dxa"/>
            <w:shd w:val="clear" w:color="auto" w:fill="auto"/>
          </w:tcPr>
          <w:p w14:paraId="1F549CAA" w14:textId="77777777" w:rsidR="00192A93" w:rsidRPr="004A6627" w:rsidRDefault="00192A93" w:rsidP="00192A93">
            <w:pPr>
              <w:ind w:left="3540" w:hanging="3540"/>
            </w:pPr>
            <w:r w:rsidRPr="004A6627">
              <w:t>Pravilo o broju dana</w:t>
            </w:r>
          </w:p>
        </w:tc>
        <w:tc>
          <w:tcPr>
            <w:tcW w:w="6384" w:type="dxa"/>
            <w:gridSpan w:val="3"/>
            <w:shd w:val="clear" w:color="auto" w:fill="auto"/>
          </w:tcPr>
          <w:p w14:paraId="0C0AE3BA" w14:textId="77777777" w:rsidR="00192A93" w:rsidRPr="004A6627" w:rsidRDefault="00192A93" w:rsidP="00192A93">
            <w:r w:rsidRPr="004A6627">
              <w:t>Pravilo o izmijenjenom sljedećem radnom danu</w:t>
            </w:r>
          </w:p>
        </w:tc>
      </w:tr>
      <w:tr w:rsidR="00192A93" w:rsidRPr="004A6627" w14:paraId="580C9457" w14:textId="77777777" w:rsidTr="007874A2">
        <w:trPr>
          <w:jc w:val="center"/>
        </w:trPr>
        <w:tc>
          <w:tcPr>
            <w:tcW w:w="2758" w:type="dxa"/>
            <w:shd w:val="clear" w:color="auto" w:fill="auto"/>
          </w:tcPr>
          <w:p w14:paraId="5B0051AD" w14:textId="77777777" w:rsidR="00192A93" w:rsidRPr="004A6627" w:rsidRDefault="00192A93" w:rsidP="00192A93">
            <w:r w:rsidRPr="004A6627">
              <w:t>Radni dan</w:t>
            </w:r>
          </w:p>
        </w:tc>
        <w:tc>
          <w:tcPr>
            <w:tcW w:w="6384" w:type="dxa"/>
            <w:gridSpan w:val="3"/>
            <w:shd w:val="clear" w:color="auto" w:fill="auto"/>
          </w:tcPr>
          <w:p w14:paraId="364A3629" w14:textId="77777777" w:rsidR="00192A93" w:rsidRPr="004A6627" w:rsidRDefault="00192A93" w:rsidP="00192A93">
            <w:r w:rsidRPr="004A6627">
              <w:t>[●]</w:t>
            </w:r>
          </w:p>
        </w:tc>
      </w:tr>
      <w:tr w:rsidR="00192A93" w:rsidRPr="004A6627" w14:paraId="2EFE5DDB" w14:textId="77777777" w:rsidTr="007874A2">
        <w:trPr>
          <w:jc w:val="center"/>
        </w:trPr>
        <w:tc>
          <w:tcPr>
            <w:tcW w:w="2758" w:type="dxa"/>
            <w:shd w:val="clear" w:color="auto" w:fill="auto"/>
          </w:tcPr>
          <w:p w14:paraId="75A3B873" w14:textId="77777777" w:rsidR="00192A93" w:rsidRPr="004A6627" w:rsidRDefault="00192A93" w:rsidP="00192A93">
            <w:r w:rsidRPr="004A6627">
              <w:t>Račun Zajmoprimca</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189"/>
              <w:gridCol w:w="2889"/>
            </w:tblGrid>
            <w:tr w:rsidR="00192A93" w:rsidRPr="004A6627" w14:paraId="44D48EBA" w14:textId="77777777" w:rsidTr="00192A93">
              <w:tc>
                <w:tcPr>
                  <w:tcW w:w="2052" w:type="dxa"/>
                  <w:shd w:val="clear" w:color="auto" w:fill="auto"/>
                </w:tcPr>
                <w:p w14:paraId="24E814BB" w14:textId="77777777" w:rsidR="00192A93" w:rsidRPr="004A6627" w:rsidRDefault="00192A93" w:rsidP="00192A93">
                  <w:r w:rsidRPr="004A6627">
                    <w:t>Ime Korisnika</w:t>
                  </w:r>
                </w:p>
              </w:tc>
              <w:tc>
                <w:tcPr>
                  <w:tcW w:w="4072" w:type="dxa"/>
                  <w:gridSpan w:val="2"/>
                  <w:shd w:val="clear" w:color="auto" w:fill="auto"/>
                </w:tcPr>
                <w:p w14:paraId="767014A2" w14:textId="77777777" w:rsidR="00192A93" w:rsidRPr="004A6627" w:rsidRDefault="00192A93" w:rsidP="00192A93">
                  <w:r w:rsidRPr="004A6627">
                    <w:t>[●]</w:t>
                  </w:r>
                </w:p>
              </w:tc>
            </w:tr>
            <w:tr w:rsidR="00192A93" w:rsidRPr="004A6627" w14:paraId="5355B048" w14:textId="77777777" w:rsidTr="00192A93">
              <w:tc>
                <w:tcPr>
                  <w:tcW w:w="2052" w:type="dxa"/>
                  <w:vMerge w:val="restart"/>
                  <w:shd w:val="clear" w:color="auto" w:fill="auto"/>
                </w:tcPr>
                <w:p w14:paraId="2974436C" w14:textId="77777777" w:rsidR="00192A93" w:rsidRPr="004A6627" w:rsidRDefault="00192A93" w:rsidP="00192A93">
                  <w:r w:rsidRPr="004A6627">
                    <w:t>Banka Korisnika</w:t>
                  </w:r>
                </w:p>
              </w:tc>
              <w:tc>
                <w:tcPr>
                  <w:tcW w:w="1126" w:type="dxa"/>
                  <w:shd w:val="clear" w:color="auto" w:fill="auto"/>
                </w:tcPr>
                <w:p w14:paraId="6C4B5582" w14:textId="77777777" w:rsidR="00192A93" w:rsidRPr="004A6627" w:rsidRDefault="00192A93" w:rsidP="00192A93">
                  <w:r w:rsidRPr="004A6627">
                    <w:t>Naziv</w:t>
                  </w:r>
                </w:p>
              </w:tc>
              <w:tc>
                <w:tcPr>
                  <w:tcW w:w="2946" w:type="dxa"/>
                  <w:shd w:val="clear" w:color="auto" w:fill="auto"/>
                </w:tcPr>
                <w:p w14:paraId="211C3CD0" w14:textId="77777777" w:rsidR="00192A93" w:rsidRPr="004A6627" w:rsidRDefault="00192A93" w:rsidP="00192A93">
                  <w:r w:rsidRPr="004A6627">
                    <w:t>[●]</w:t>
                  </w:r>
                </w:p>
              </w:tc>
            </w:tr>
            <w:tr w:rsidR="00192A93" w:rsidRPr="004A6627" w14:paraId="4750DBD7" w14:textId="77777777" w:rsidTr="00192A93">
              <w:tc>
                <w:tcPr>
                  <w:tcW w:w="2052" w:type="dxa"/>
                  <w:vMerge/>
                  <w:shd w:val="clear" w:color="auto" w:fill="auto"/>
                </w:tcPr>
                <w:p w14:paraId="1958A741" w14:textId="77777777" w:rsidR="00192A93" w:rsidRPr="004A6627" w:rsidRDefault="00192A93" w:rsidP="00192A93"/>
              </w:tc>
              <w:tc>
                <w:tcPr>
                  <w:tcW w:w="1126" w:type="dxa"/>
                  <w:shd w:val="clear" w:color="auto" w:fill="auto"/>
                </w:tcPr>
                <w:p w14:paraId="79152E12" w14:textId="77777777" w:rsidR="00192A93" w:rsidRPr="004A6627" w:rsidRDefault="00192A93" w:rsidP="00192A93">
                  <w:r w:rsidRPr="004A6627">
                    <w:t>Grad</w:t>
                  </w:r>
                </w:p>
              </w:tc>
              <w:tc>
                <w:tcPr>
                  <w:tcW w:w="2946" w:type="dxa"/>
                  <w:shd w:val="clear" w:color="auto" w:fill="auto"/>
                </w:tcPr>
                <w:p w14:paraId="3C9550FD" w14:textId="77777777" w:rsidR="00192A93" w:rsidRPr="004A6627" w:rsidRDefault="00192A93" w:rsidP="00192A93">
                  <w:r w:rsidRPr="004A6627">
                    <w:t>[●]</w:t>
                  </w:r>
                </w:p>
              </w:tc>
            </w:tr>
            <w:tr w:rsidR="00192A93" w:rsidRPr="004A6627" w14:paraId="025E4A4E" w14:textId="77777777" w:rsidTr="00192A93">
              <w:tc>
                <w:tcPr>
                  <w:tcW w:w="2052" w:type="dxa"/>
                  <w:vMerge/>
                  <w:shd w:val="clear" w:color="auto" w:fill="auto"/>
                </w:tcPr>
                <w:p w14:paraId="040EB075" w14:textId="77777777" w:rsidR="00192A93" w:rsidRPr="004A6627" w:rsidRDefault="00192A93" w:rsidP="00192A93"/>
              </w:tc>
              <w:tc>
                <w:tcPr>
                  <w:tcW w:w="1126" w:type="dxa"/>
                  <w:shd w:val="clear" w:color="auto" w:fill="auto"/>
                </w:tcPr>
                <w:p w14:paraId="42943AD1" w14:textId="77777777" w:rsidR="00192A93" w:rsidRPr="004A6627" w:rsidRDefault="00192A93" w:rsidP="00192A93">
                  <w:r w:rsidRPr="004A6627">
                    <w:t>SWIFT</w:t>
                  </w:r>
                </w:p>
              </w:tc>
              <w:tc>
                <w:tcPr>
                  <w:tcW w:w="2946" w:type="dxa"/>
                  <w:shd w:val="clear" w:color="auto" w:fill="auto"/>
                </w:tcPr>
                <w:p w14:paraId="4BA13440" w14:textId="77777777" w:rsidR="00192A93" w:rsidRPr="004A6627" w:rsidRDefault="00192A93" w:rsidP="00192A93">
                  <w:r w:rsidRPr="004A6627">
                    <w:t>[●]</w:t>
                  </w:r>
                </w:p>
              </w:tc>
            </w:tr>
            <w:tr w:rsidR="00192A93" w:rsidRPr="004A6627" w14:paraId="22ED5AA4" w14:textId="77777777" w:rsidTr="00192A93">
              <w:tc>
                <w:tcPr>
                  <w:tcW w:w="2052" w:type="dxa"/>
                  <w:vMerge/>
                  <w:shd w:val="clear" w:color="auto" w:fill="auto"/>
                </w:tcPr>
                <w:p w14:paraId="765537A6" w14:textId="77777777" w:rsidR="00192A93" w:rsidRPr="004A6627" w:rsidRDefault="00192A93" w:rsidP="00192A93"/>
              </w:tc>
              <w:tc>
                <w:tcPr>
                  <w:tcW w:w="1126" w:type="dxa"/>
                  <w:shd w:val="clear" w:color="auto" w:fill="auto"/>
                </w:tcPr>
                <w:p w14:paraId="3E44C6AE" w14:textId="77777777" w:rsidR="00192A93" w:rsidRPr="004A6627" w:rsidRDefault="00192A93" w:rsidP="00192A93">
                  <w:r w:rsidRPr="004A6627">
                    <w:t>IBAN</w:t>
                  </w:r>
                </w:p>
              </w:tc>
              <w:tc>
                <w:tcPr>
                  <w:tcW w:w="2946" w:type="dxa"/>
                  <w:shd w:val="clear" w:color="auto" w:fill="auto"/>
                </w:tcPr>
                <w:p w14:paraId="6F86D6DA" w14:textId="77777777" w:rsidR="00192A93" w:rsidRPr="004A6627" w:rsidRDefault="00192A93" w:rsidP="00192A93">
                  <w:r w:rsidRPr="004A6627">
                    <w:t>[●]</w:t>
                  </w:r>
                </w:p>
              </w:tc>
            </w:tr>
            <w:tr w:rsidR="00192A93" w:rsidRPr="004A6627" w14:paraId="062249B0" w14:textId="77777777" w:rsidTr="00192A93">
              <w:tc>
                <w:tcPr>
                  <w:tcW w:w="2052" w:type="dxa"/>
                  <w:vMerge/>
                  <w:shd w:val="clear" w:color="auto" w:fill="auto"/>
                </w:tcPr>
                <w:p w14:paraId="06BAF95B" w14:textId="77777777" w:rsidR="00192A93" w:rsidRPr="004A6627" w:rsidRDefault="00192A93" w:rsidP="00192A93"/>
              </w:tc>
              <w:tc>
                <w:tcPr>
                  <w:tcW w:w="1126" w:type="dxa"/>
                  <w:shd w:val="clear" w:color="auto" w:fill="auto"/>
                </w:tcPr>
                <w:p w14:paraId="4DFCDF3D" w14:textId="77777777" w:rsidR="00192A93" w:rsidRPr="004A6627" w:rsidRDefault="00192A93" w:rsidP="00192A93">
                  <w:r w:rsidRPr="004A6627">
                    <w:t>Referenca</w:t>
                  </w:r>
                </w:p>
              </w:tc>
              <w:tc>
                <w:tcPr>
                  <w:tcW w:w="2946" w:type="dxa"/>
                  <w:shd w:val="clear" w:color="auto" w:fill="auto"/>
                </w:tcPr>
                <w:p w14:paraId="790D166D" w14:textId="77777777" w:rsidR="00192A93" w:rsidRPr="004A6627" w:rsidRDefault="00192A93" w:rsidP="00192A93">
                  <w:r w:rsidRPr="004A6627">
                    <w:t>[●]</w:t>
                  </w:r>
                </w:p>
              </w:tc>
            </w:tr>
            <w:tr w:rsidR="00192A93" w:rsidRPr="004A6627" w14:paraId="0B6660FE" w14:textId="77777777" w:rsidTr="00192A93">
              <w:tc>
                <w:tcPr>
                  <w:tcW w:w="2052" w:type="dxa"/>
                  <w:vMerge w:val="restart"/>
                  <w:shd w:val="clear" w:color="auto" w:fill="auto"/>
                </w:tcPr>
                <w:p w14:paraId="6C71A29A" w14:textId="77777777" w:rsidR="00192A93" w:rsidRPr="004A6627" w:rsidRDefault="00192A93" w:rsidP="00192A93">
                  <w:r w:rsidRPr="004A6627">
                    <w:t>Korespondentna banka (ako je primjenjivo)</w:t>
                  </w:r>
                </w:p>
              </w:tc>
              <w:tc>
                <w:tcPr>
                  <w:tcW w:w="1126" w:type="dxa"/>
                  <w:shd w:val="clear" w:color="auto" w:fill="auto"/>
                  <w:vAlign w:val="center"/>
                </w:tcPr>
                <w:p w14:paraId="5E77DA97" w14:textId="77777777" w:rsidR="00192A93" w:rsidRPr="004A6627" w:rsidRDefault="00192A93" w:rsidP="00192A93">
                  <w:r w:rsidRPr="004A6627">
                    <w:t>Naziv</w:t>
                  </w:r>
                </w:p>
              </w:tc>
              <w:tc>
                <w:tcPr>
                  <w:tcW w:w="2946" w:type="dxa"/>
                  <w:shd w:val="clear" w:color="auto" w:fill="auto"/>
                  <w:vAlign w:val="center"/>
                </w:tcPr>
                <w:p w14:paraId="3709BB62" w14:textId="77777777" w:rsidR="00192A93" w:rsidRPr="004A6627" w:rsidRDefault="00192A93" w:rsidP="00192A93">
                  <w:r w:rsidRPr="004A6627">
                    <w:t>[●]</w:t>
                  </w:r>
                </w:p>
              </w:tc>
            </w:tr>
            <w:tr w:rsidR="00192A93" w:rsidRPr="004A6627" w14:paraId="6D6AC774" w14:textId="77777777" w:rsidTr="00192A93">
              <w:tc>
                <w:tcPr>
                  <w:tcW w:w="2052" w:type="dxa"/>
                  <w:vMerge/>
                  <w:shd w:val="clear" w:color="auto" w:fill="auto"/>
                </w:tcPr>
                <w:p w14:paraId="71A3A133" w14:textId="77777777" w:rsidR="00192A93" w:rsidRPr="004A6627" w:rsidRDefault="00192A93" w:rsidP="00192A93"/>
              </w:tc>
              <w:tc>
                <w:tcPr>
                  <w:tcW w:w="1126" w:type="dxa"/>
                  <w:shd w:val="clear" w:color="auto" w:fill="auto"/>
                </w:tcPr>
                <w:p w14:paraId="2D6C12D2" w14:textId="77777777" w:rsidR="00192A93" w:rsidRPr="004A6627" w:rsidRDefault="00192A93" w:rsidP="00192A93">
                  <w:r w:rsidRPr="004A6627">
                    <w:t>Grad</w:t>
                  </w:r>
                </w:p>
              </w:tc>
              <w:tc>
                <w:tcPr>
                  <w:tcW w:w="2946" w:type="dxa"/>
                  <w:shd w:val="clear" w:color="auto" w:fill="auto"/>
                </w:tcPr>
                <w:p w14:paraId="261ACE58" w14:textId="77777777" w:rsidR="00192A93" w:rsidRPr="004A6627" w:rsidRDefault="00192A93" w:rsidP="00192A93">
                  <w:r w:rsidRPr="004A6627">
                    <w:t>[●]</w:t>
                  </w:r>
                </w:p>
              </w:tc>
            </w:tr>
            <w:tr w:rsidR="00192A93" w:rsidRPr="004A6627" w14:paraId="42164EA9" w14:textId="77777777" w:rsidTr="00192A93">
              <w:tc>
                <w:tcPr>
                  <w:tcW w:w="2052" w:type="dxa"/>
                  <w:vMerge/>
                  <w:shd w:val="clear" w:color="auto" w:fill="auto"/>
                </w:tcPr>
                <w:p w14:paraId="3472A3E7" w14:textId="77777777" w:rsidR="00192A93" w:rsidRPr="004A6627" w:rsidRDefault="00192A93" w:rsidP="00192A93"/>
              </w:tc>
              <w:tc>
                <w:tcPr>
                  <w:tcW w:w="1126" w:type="dxa"/>
                  <w:tcBorders>
                    <w:bottom w:val="single" w:sz="4" w:space="0" w:color="auto"/>
                  </w:tcBorders>
                  <w:shd w:val="clear" w:color="auto" w:fill="auto"/>
                </w:tcPr>
                <w:p w14:paraId="2D06AB03" w14:textId="77777777" w:rsidR="00192A93" w:rsidRPr="004A6627" w:rsidRDefault="00192A93" w:rsidP="00192A93">
                  <w:r w:rsidRPr="004A6627">
                    <w:t>SWIFT</w:t>
                  </w:r>
                </w:p>
              </w:tc>
              <w:tc>
                <w:tcPr>
                  <w:tcW w:w="2946" w:type="dxa"/>
                  <w:tcBorders>
                    <w:bottom w:val="single" w:sz="4" w:space="0" w:color="auto"/>
                  </w:tcBorders>
                  <w:shd w:val="clear" w:color="auto" w:fill="auto"/>
                </w:tcPr>
                <w:p w14:paraId="73DB609D" w14:textId="77777777" w:rsidR="00192A93" w:rsidRPr="004A6627" w:rsidRDefault="00192A93" w:rsidP="00192A93">
                  <w:r w:rsidRPr="004A6627">
                    <w:t>[●]</w:t>
                  </w:r>
                </w:p>
              </w:tc>
            </w:tr>
            <w:tr w:rsidR="00192A93" w:rsidRPr="004A6627" w14:paraId="5B864169" w14:textId="77777777" w:rsidTr="00192A93">
              <w:tc>
                <w:tcPr>
                  <w:tcW w:w="2052" w:type="dxa"/>
                  <w:vMerge/>
                  <w:tcBorders>
                    <w:bottom w:val="nil"/>
                  </w:tcBorders>
                  <w:shd w:val="clear" w:color="auto" w:fill="auto"/>
                </w:tcPr>
                <w:p w14:paraId="6CD48B53" w14:textId="77777777" w:rsidR="00192A93" w:rsidRPr="004A6627" w:rsidRDefault="00192A93" w:rsidP="00192A93"/>
              </w:tc>
              <w:tc>
                <w:tcPr>
                  <w:tcW w:w="1126" w:type="dxa"/>
                  <w:tcBorders>
                    <w:bottom w:val="nil"/>
                  </w:tcBorders>
                  <w:shd w:val="clear" w:color="auto" w:fill="auto"/>
                </w:tcPr>
                <w:p w14:paraId="30F1D881" w14:textId="77777777" w:rsidR="00192A93" w:rsidRPr="004A6627" w:rsidRDefault="00192A93" w:rsidP="00192A93">
                  <w:r w:rsidRPr="004A6627">
                    <w:t>IBAN</w:t>
                  </w:r>
                </w:p>
              </w:tc>
              <w:tc>
                <w:tcPr>
                  <w:tcW w:w="2946" w:type="dxa"/>
                  <w:tcBorders>
                    <w:bottom w:val="nil"/>
                  </w:tcBorders>
                  <w:shd w:val="clear" w:color="auto" w:fill="auto"/>
                </w:tcPr>
                <w:p w14:paraId="490B8F53" w14:textId="77777777" w:rsidR="00192A93" w:rsidRPr="004A6627" w:rsidRDefault="00192A93" w:rsidP="00192A93">
                  <w:r w:rsidRPr="004A6627">
                    <w:t>[●]</w:t>
                  </w:r>
                </w:p>
              </w:tc>
            </w:tr>
          </w:tbl>
          <w:p w14:paraId="48884651" w14:textId="77777777" w:rsidR="00192A93" w:rsidRPr="004A6627" w:rsidRDefault="00192A93" w:rsidP="00192A93"/>
        </w:tc>
      </w:tr>
      <w:tr w:rsidR="00192A93" w:rsidRPr="004A6627" w14:paraId="466414F7" w14:textId="77777777" w:rsidTr="007874A2">
        <w:trPr>
          <w:jc w:val="center"/>
        </w:trPr>
        <w:tc>
          <w:tcPr>
            <w:tcW w:w="2758" w:type="dxa"/>
            <w:shd w:val="clear" w:color="auto" w:fill="auto"/>
          </w:tcPr>
          <w:p w14:paraId="6F635886" w14:textId="77777777" w:rsidR="00192A93" w:rsidRPr="004A6627" w:rsidRDefault="00192A93" w:rsidP="00192A93">
            <w:r w:rsidRPr="004A6627">
              <w:t>Račun CEB-a</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192A93" w:rsidRPr="004A6627" w14:paraId="234165E8" w14:textId="77777777" w:rsidTr="00192A93">
              <w:tc>
                <w:tcPr>
                  <w:tcW w:w="2083" w:type="dxa"/>
                  <w:shd w:val="clear" w:color="auto" w:fill="auto"/>
                </w:tcPr>
                <w:p w14:paraId="5147EED6" w14:textId="77777777" w:rsidR="00192A93" w:rsidRPr="004A6627" w:rsidRDefault="00192A93" w:rsidP="00192A93">
                  <w:r w:rsidRPr="004A6627">
                    <w:t>Ime Korisnika</w:t>
                  </w:r>
                </w:p>
              </w:tc>
              <w:tc>
                <w:tcPr>
                  <w:tcW w:w="4027" w:type="dxa"/>
                  <w:gridSpan w:val="2"/>
                  <w:shd w:val="clear" w:color="auto" w:fill="auto"/>
                  <w:vAlign w:val="center"/>
                </w:tcPr>
                <w:p w14:paraId="4FA25FC8" w14:textId="77777777" w:rsidR="00192A93" w:rsidRPr="004A6627" w:rsidRDefault="00192A93" w:rsidP="00192A93">
                  <w:r w:rsidRPr="004A6627">
                    <w:t>Razvojna banka Vijeća Europe</w:t>
                  </w:r>
                </w:p>
              </w:tc>
            </w:tr>
            <w:tr w:rsidR="00192A93" w:rsidRPr="004A6627" w14:paraId="4F34BB7C" w14:textId="77777777" w:rsidTr="00192A93">
              <w:tc>
                <w:tcPr>
                  <w:tcW w:w="2083" w:type="dxa"/>
                  <w:shd w:val="clear" w:color="auto" w:fill="auto"/>
                </w:tcPr>
                <w:p w14:paraId="1EEF3E7D" w14:textId="77777777" w:rsidR="00192A93" w:rsidRPr="004A6627" w:rsidRDefault="00192A93" w:rsidP="00192A93">
                  <w:r w:rsidRPr="004A6627">
                    <w:t>SWIFT Korisnika</w:t>
                  </w:r>
                </w:p>
              </w:tc>
              <w:tc>
                <w:tcPr>
                  <w:tcW w:w="4027" w:type="dxa"/>
                  <w:gridSpan w:val="2"/>
                  <w:shd w:val="clear" w:color="auto" w:fill="auto"/>
                  <w:vAlign w:val="center"/>
                </w:tcPr>
                <w:p w14:paraId="5B3D06A4" w14:textId="77777777" w:rsidR="00192A93" w:rsidRPr="004A6627" w:rsidRDefault="00192A93" w:rsidP="00192A93">
                  <w:r w:rsidRPr="004A6627">
                    <w:t>CEFPFRPP</w:t>
                  </w:r>
                </w:p>
              </w:tc>
            </w:tr>
            <w:tr w:rsidR="00192A93" w:rsidRPr="004A6627" w14:paraId="34974FFC" w14:textId="77777777" w:rsidTr="00192A93">
              <w:tc>
                <w:tcPr>
                  <w:tcW w:w="2083" w:type="dxa"/>
                  <w:vMerge w:val="restart"/>
                  <w:shd w:val="clear" w:color="auto" w:fill="auto"/>
                </w:tcPr>
                <w:p w14:paraId="35097231" w14:textId="77777777" w:rsidR="00192A93" w:rsidRPr="004A6627" w:rsidRDefault="00192A93" w:rsidP="00192A93">
                  <w:r w:rsidRPr="004A6627">
                    <w:t>Banka Korisnika</w:t>
                  </w:r>
                </w:p>
              </w:tc>
              <w:tc>
                <w:tcPr>
                  <w:tcW w:w="940" w:type="dxa"/>
                  <w:shd w:val="clear" w:color="auto" w:fill="auto"/>
                </w:tcPr>
                <w:p w14:paraId="466E9C17" w14:textId="77777777" w:rsidR="00192A93" w:rsidRPr="004A6627" w:rsidRDefault="00192A93" w:rsidP="00192A93">
                  <w:r w:rsidRPr="004A6627">
                    <w:t>Naziv</w:t>
                  </w:r>
                </w:p>
              </w:tc>
              <w:tc>
                <w:tcPr>
                  <w:tcW w:w="3087" w:type="dxa"/>
                  <w:shd w:val="clear" w:color="auto" w:fill="auto"/>
                </w:tcPr>
                <w:p w14:paraId="1C66F37A" w14:textId="77777777" w:rsidR="00192A93" w:rsidRPr="004A6627" w:rsidRDefault="00192A93" w:rsidP="00192A93">
                  <w:r w:rsidRPr="004A6627">
                    <w:t>Deutsche Bank</w:t>
                  </w:r>
                </w:p>
              </w:tc>
            </w:tr>
            <w:tr w:rsidR="00192A93" w:rsidRPr="004A6627" w14:paraId="59C5FC30" w14:textId="77777777" w:rsidTr="00192A93">
              <w:tc>
                <w:tcPr>
                  <w:tcW w:w="2083" w:type="dxa"/>
                  <w:vMerge/>
                  <w:shd w:val="clear" w:color="auto" w:fill="auto"/>
                </w:tcPr>
                <w:p w14:paraId="2BE44705" w14:textId="77777777" w:rsidR="00192A93" w:rsidRPr="004A6627" w:rsidRDefault="00192A93" w:rsidP="00192A93"/>
              </w:tc>
              <w:tc>
                <w:tcPr>
                  <w:tcW w:w="940" w:type="dxa"/>
                  <w:shd w:val="clear" w:color="auto" w:fill="auto"/>
                </w:tcPr>
                <w:p w14:paraId="6F8567CD" w14:textId="77777777" w:rsidR="00192A93" w:rsidRPr="004A6627" w:rsidRDefault="00192A93" w:rsidP="00192A93">
                  <w:r w:rsidRPr="004A6627">
                    <w:t>Grad</w:t>
                  </w:r>
                </w:p>
              </w:tc>
              <w:tc>
                <w:tcPr>
                  <w:tcW w:w="3087" w:type="dxa"/>
                  <w:shd w:val="clear" w:color="auto" w:fill="auto"/>
                </w:tcPr>
                <w:p w14:paraId="6BEC0D45" w14:textId="77777777" w:rsidR="00192A93" w:rsidRPr="004A6627" w:rsidRDefault="00192A93" w:rsidP="00192A93">
                  <w:r w:rsidRPr="004A6627">
                    <w:t>Frankfurt (Njemačka)</w:t>
                  </w:r>
                </w:p>
              </w:tc>
            </w:tr>
            <w:tr w:rsidR="00192A93" w:rsidRPr="004A6627" w14:paraId="519E3357" w14:textId="77777777" w:rsidTr="00192A93">
              <w:tc>
                <w:tcPr>
                  <w:tcW w:w="2083" w:type="dxa"/>
                  <w:vMerge/>
                  <w:shd w:val="clear" w:color="auto" w:fill="auto"/>
                </w:tcPr>
                <w:p w14:paraId="1B689B7A" w14:textId="77777777" w:rsidR="00192A93" w:rsidRPr="004A6627" w:rsidRDefault="00192A93" w:rsidP="00192A93"/>
              </w:tc>
              <w:tc>
                <w:tcPr>
                  <w:tcW w:w="940" w:type="dxa"/>
                  <w:tcBorders>
                    <w:bottom w:val="single" w:sz="4" w:space="0" w:color="auto"/>
                  </w:tcBorders>
                  <w:shd w:val="clear" w:color="auto" w:fill="auto"/>
                </w:tcPr>
                <w:p w14:paraId="1721493A" w14:textId="77777777" w:rsidR="00192A93" w:rsidRPr="004A6627" w:rsidRDefault="00192A93" w:rsidP="00192A93">
                  <w:r w:rsidRPr="004A6627">
                    <w:t>SWIFT</w:t>
                  </w:r>
                </w:p>
              </w:tc>
              <w:tc>
                <w:tcPr>
                  <w:tcW w:w="3087" w:type="dxa"/>
                  <w:tcBorders>
                    <w:bottom w:val="single" w:sz="4" w:space="0" w:color="auto"/>
                  </w:tcBorders>
                  <w:shd w:val="clear" w:color="auto" w:fill="auto"/>
                </w:tcPr>
                <w:p w14:paraId="7302E87F" w14:textId="77777777" w:rsidR="00192A93" w:rsidRPr="004A6627" w:rsidRDefault="00192A93" w:rsidP="00192A93">
                  <w:r w:rsidRPr="004A6627">
                    <w:t>DEUTDEFF</w:t>
                  </w:r>
                </w:p>
              </w:tc>
            </w:tr>
            <w:tr w:rsidR="00192A93" w:rsidRPr="004A6627" w14:paraId="4E2152EC" w14:textId="77777777" w:rsidTr="00192A93">
              <w:tc>
                <w:tcPr>
                  <w:tcW w:w="2083" w:type="dxa"/>
                  <w:vMerge/>
                  <w:tcBorders>
                    <w:bottom w:val="nil"/>
                  </w:tcBorders>
                  <w:shd w:val="clear" w:color="auto" w:fill="auto"/>
                </w:tcPr>
                <w:p w14:paraId="3D247D54" w14:textId="77777777" w:rsidR="00192A93" w:rsidRPr="004A6627" w:rsidRDefault="00192A93" w:rsidP="00192A93"/>
              </w:tc>
              <w:tc>
                <w:tcPr>
                  <w:tcW w:w="940" w:type="dxa"/>
                  <w:tcBorders>
                    <w:bottom w:val="nil"/>
                  </w:tcBorders>
                  <w:shd w:val="clear" w:color="auto" w:fill="auto"/>
                </w:tcPr>
                <w:p w14:paraId="3BE8C87F" w14:textId="77777777" w:rsidR="00192A93" w:rsidRPr="004A6627" w:rsidRDefault="00192A93" w:rsidP="00192A93">
                  <w:r w:rsidRPr="004A6627">
                    <w:t>IBAN</w:t>
                  </w:r>
                </w:p>
              </w:tc>
              <w:tc>
                <w:tcPr>
                  <w:tcW w:w="3087" w:type="dxa"/>
                  <w:tcBorders>
                    <w:bottom w:val="nil"/>
                  </w:tcBorders>
                  <w:shd w:val="clear" w:color="auto" w:fill="auto"/>
                </w:tcPr>
                <w:p w14:paraId="6C6086D4" w14:textId="77777777" w:rsidR="00192A93" w:rsidRPr="00041CA1" w:rsidRDefault="00192A93" w:rsidP="00192A93">
                  <w:pPr>
                    <w:rPr>
                      <w:spacing w:val="-6"/>
                    </w:rPr>
                  </w:pPr>
                  <w:r w:rsidRPr="00041CA1">
                    <w:rPr>
                      <w:spacing w:val="-6"/>
                    </w:rPr>
                    <w:t>DE44 5007 0010 0928 7384 00</w:t>
                  </w:r>
                </w:p>
              </w:tc>
            </w:tr>
          </w:tbl>
          <w:p w14:paraId="6F7714C1" w14:textId="77777777" w:rsidR="00192A93" w:rsidRPr="004A6627" w:rsidRDefault="00192A93" w:rsidP="00192A93"/>
        </w:tc>
      </w:tr>
    </w:tbl>
    <w:p w14:paraId="08853475" w14:textId="77777777" w:rsidR="00192A93" w:rsidRPr="004A6627" w:rsidRDefault="00192A93" w:rsidP="00041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4A6627">
        <w:t xml:space="preserve">                                                                                                                                                Pariz, na datum [•]</w:t>
      </w:r>
    </w:p>
    <w:p w14:paraId="793A0F1E" w14:textId="77777777" w:rsidR="00192A93" w:rsidRPr="004A6627" w:rsidRDefault="00192A93" w:rsidP="00041CA1">
      <w:pPr>
        <w:rPr>
          <w:u w:val="single"/>
          <w:lang w:val="en-GB" w:eastAsia="en-GB"/>
        </w:rPr>
      </w:pPr>
      <w:bookmarkStart w:id="30" w:name="_Toc34130104"/>
      <w:r w:rsidRPr="004A6627">
        <w:rPr>
          <w:u w:val="single"/>
          <w:lang w:val="en-GB" w:eastAsia="en-GB"/>
        </w:rPr>
        <w:t>Za CEB</w:t>
      </w:r>
    </w:p>
    <w:p w14:paraId="4362EEF4" w14:textId="77777777" w:rsidR="00192A93" w:rsidRPr="004A6627" w:rsidRDefault="00192A93" w:rsidP="00041CA1">
      <w:pPr>
        <w:rPr>
          <w:lang w:val="en-GB" w:eastAsia="en-GB"/>
        </w:rPr>
      </w:pPr>
      <w:r w:rsidRPr="004A6627">
        <w:rPr>
          <w:lang w:val="en-GB" w:eastAsia="en-GB"/>
        </w:rPr>
        <w:t>[IME(NA) I PREZIME(NA)/TITULA (TITULE)]</w:t>
      </w:r>
    </w:p>
    <w:bookmarkEnd w:id="30"/>
    <w:p w14:paraId="1DF5707C" w14:textId="6334DC10" w:rsidR="00F43E1B" w:rsidRDefault="00F43E1B">
      <w:pPr>
        <w:spacing w:after="160" w:line="259" w:lineRule="auto"/>
      </w:pPr>
      <w:r>
        <w:br w:type="page"/>
      </w:r>
    </w:p>
    <w:p w14:paraId="571D55C0" w14:textId="1271161C" w:rsidR="00192A93" w:rsidRDefault="00192A93" w:rsidP="00192A93">
      <w:r w:rsidRPr="00440E66">
        <w:lastRenderedPageBreak/>
        <w:t>PRILOG 4</w:t>
      </w:r>
    </w:p>
    <w:p w14:paraId="1769F8B1" w14:textId="77777777" w:rsidR="002C32AA" w:rsidRPr="00440E66" w:rsidRDefault="002C32AA" w:rsidP="00192A93"/>
    <w:p w14:paraId="3BB28934" w14:textId="1B9FBA05" w:rsidR="00192A93" w:rsidRPr="004A6627" w:rsidRDefault="00192A93" w:rsidP="00041CA1">
      <w:pPr>
        <w:jc w:val="center"/>
        <w:rPr>
          <w:b/>
        </w:rPr>
      </w:pPr>
      <w:r w:rsidRPr="004A6627">
        <w:rPr>
          <w:b/>
        </w:rPr>
        <w:t xml:space="preserve">Izvješće o napretku </w:t>
      </w:r>
    </w:p>
    <w:p w14:paraId="6866F030" w14:textId="77777777" w:rsidR="00192A93" w:rsidRPr="007860C1" w:rsidRDefault="00192A93" w:rsidP="00192A93">
      <w:pPr>
        <w:jc w:val="center"/>
        <w:rPr>
          <w:rFonts w:ascii="Calibri" w:hAnsi="Calibri"/>
          <w:b/>
        </w:rPr>
      </w:pPr>
    </w:p>
    <w:p w14:paraId="50195533" w14:textId="77777777" w:rsidR="00192A93" w:rsidRPr="007860C1" w:rsidRDefault="00192A93" w:rsidP="00192A93">
      <w:pPr>
        <w:rPr>
          <w:rFonts w:ascii="Calibri" w:hAnsi="Calibri"/>
        </w:rPr>
      </w:pPr>
    </w:p>
    <w:p w14:paraId="76E677B7" w14:textId="77777777" w:rsidR="00192A93" w:rsidRPr="007860C1" w:rsidRDefault="00192A93" w:rsidP="00192A93">
      <w:pPr>
        <w:rPr>
          <w:rFonts w:ascii="Calibri" w:hAnsi="Calibri"/>
        </w:rPr>
      </w:pPr>
    </w:p>
    <w:p w14:paraId="028BA0CB" w14:textId="77777777" w:rsidR="00192A93" w:rsidRPr="007860C1" w:rsidRDefault="00192A93" w:rsidP="00192A93">
      <w:pPr>
        <w:rPr>
          <w:rFonts w:ascii="Calibri" w:hAnsi="Calibri"/>
        </w:rPr>
      </w:pPr>
    </w:p>
    <w:p w14:paraId="48D0D225" w14:textId="75C18A2E" w:rsidR="00C700DC" w:rsidRDefault="00C700DC" w:rsidP="00C700DC">
      <w:pPr>
        <w:rPr>
          <w:highlight w:val="yellow"/>
          <w:lang w:val="en-GB" w:eastAsia="en-GB"/>
        </w:rPr>
      </w:pPr>
    </w:p>
    <w:p w14:paraId="7E332B3B" w14:textId="4A80B7C8" w:rsidR="00C700DC" w:rsidRDefault="00C700DC" w:rsidP="00C700DC">
      <w:pPr>
        <w:rPr>
          <w:highlight w:val="yellow"/>
          <w:lang w:val="en-GB" w:eastAsia="en-GB"/>
        </w:rPr>
      </w:pPr>
    </w:p>
    <w:p w14:paraId="715C3827" w14:textId="08F891CC" w:rsidR="00C700DC" w:rsidRDefault="00C700DC" w:rsidP="00C700DC">
      <w:pPr>
        <w:rPr>
          <w:highlight w:val="yellow"/>
          <w:lang w:val="en-GB" w:eastAsia="en-GB"/>
        </w:rPr>
      </w:pPr>
    </w:p>
    <w:p w14:paraId="0EF01DA5" w14:textId="1CC93A68" w:rsidR="00C700DC" w:rsidRDefault="00041CA1" w:rsidP="00C700DC">
      <w:pPr>
        <w:rPr>
          <w:highlight w:val="yellow"/>
          <w:lang w:val="en-GB" w:eastAsia="en-GB"/>
        </w:rPr>
      </w:pPr>
      <w:r w:rsidRPr="00041CA1">
        <w:rPr>
          <w:noProof/>
        </w:rPr>
        <w:drawing>
          <wp:anchor distT="0" distB="0" distL="114300" distR="114300" simplePos="0" relativeHeight="251658240" behindDoc="1" locked="0" layoutInCell="1" allowOverlap="1" wp14:anchorId="3E8CC9D9" wp14:editId="6ED264FF">
            <wp:simplePos x="0" y="0"/>
            <wp:positionH relativeFrom="margin">
              <wp:align>right</wp:align>
            </wp:positionH>
            <wp:positionV relativeFrom="paragraph">
              <wp:posOffset>313669</wp:posOffset>
            </wp:positionV>
            <wp:extent cx="7995339" cy="5255877"/>
            <wp:effectExtent l="0" t="1587" r="4127" b="4128"/>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95339" cy="5255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0A7AE" w14:textId="6DC16A28" w:rsidR="00C700DC" w:rsidRDefault="00C700DC" w:rsidP="00C700DC">
      <w:pPr>
        <w:rPr>
          <w:highlight w:val="yellow"/>
          <w:lang w:val="en-GB" w:eastAsia="en-GB"/>
        </w:rPr>
      </w:pPr>
    </w:p>
    <w:p w14:paraId="11231E59" w14:textId="2B5CA8EC" w:rsidR="008A65E6" w:rsidRDefault="00982CAA" w:rsidP="00386BF2">
      <w:pPr>
        <w:pStyle w:val="Title"/>
        <w:rPr>
          <w:b w:val="0"/>
          <w:sz w:val="22"/>
        </w:rPr>
      </w:pPr>
      <w:r>
        <w:tab/>
      </w:r>
      <w:r>
        <w:tab/>
      </w:r>
      <w:r>
        <w:tab/>
      </w:r>
      <w:r>
        <w:tab/>
      </w:r>
      <w:r>
        <w:tab/>
      </w:r>
      <w:r>
        <w:tab/>
      </w:r>
    </w:p>
    <w:p w14:paraId="14B1FEB5" w14:textId="16814079" w:rsidR="00F22776" w:rsidRDefault="00F22776" w:rsidP="001918F5">
      <w:pPr>
        <w:suppressAutoHyphens/>
        <w:jc w:val="right"/>
        <w:rPr>
          <w:b/>
          <w:sz w:val="22"/>
        </w:rPr>
      </w:pPr>
    </w:p>
    <w:p w14:paraId="0E1CC77A" w14:textId="77777777" w:rsidR="00F22776" w:rsidRDefault="00F22776" w:rsidP="001918F5">
      <w:pPr>
        <w:suppressAutoHyphens/>
        <w:jc w:val="right"/>
        <w:rPr>
          <w:b/>
          <w:sz w:val="22"/>
        </w:rPr>
      </w:pPr>
    </w:p>
    <w:p w14:paraId="5C48A53C" w14:textId="77777777" w:rsidR="00F22776" w:rsidRDefault="00F22776" w:rsidP="001918F5">
      <w:pPr>
        <w:suppressAutoHyphens/>
        <w:jc w:val="right"/>
        <w:rPr>
          <w:b/>
          <w:sz w:val="22"/>
        </w:rPr>
      </w:pPr>
    </w:p>
    <w:p w14:paraId="651D6CB7" w14:textId="77777777" w:rsidR="00F22776" w:rsidRDefault="00F22776" w:rsidP="001918F5">
      <w:pPr>
        <w:suppressAutoHyphens/>
        <w:jc w:val="right"/>
        <w:rPr>
          <w:b/>
          <w:sz w:val="22"/>
        </w:rPr>
      </w:pPr>
    </w:p>
    <w:p w14:paraId="26F0F310" w14:textId="77777777" w:rsidR="00F22776" w:rsidRDefault="00F22776" w:rsidP="001918F5">
      <w:pPr>
        <w:suppressAutoHyphens/>
        <w:jc w:val="right"/>
        <w:rPr>
          <w:b/>
          <w:sz w:val="22"/>
        </w:rPr>
      </w:pPr>
    </w:p>
    <w:p w14:paraId="73412D22" w14:textId="77777777" w:rsidR="00F22776" w:rsidRDefault="00F22776" w:rsidP="001918F5">
      <w:pPr>
        <w:suppressAutoHyphens/>
        <w:jc w:val="right"/>
        <w:rPr>
          <w:b/>
          <w:sz w:val="22"/>
        </w:rPr>
      </w:pPr>
    </w:p>
    <w:p w14:paraId="479DFB0A" w14:textId="77777777" w:rsidR="008A65E6" w:rsidRPr="004327C2" w:rsidRDefault="008A65E6" w:rsidP="001918F5">
      <w:pPr>
        <w:suppressAutoHyphens/>
        <w:rPr>
          <w:b/>
          <w:sz w:val="22"/>
          <w:szCs w:val="22"/>
        </w:rPr>
      </w:pPr>
    </w:p>
    <w:p w14:paraId="12B4980F" w14:textId="77777777" w:rsidR="008A65E6" w:rsidRPr="004327C2" w:rsidRDefault="008A65E6" w:rsidP="001918F5">
      <w:pPr>
        <w:suppressAutoHyphens/>
        <w:rPr>
          <w:b/>
          <w:sz w:val="22"/>
          <w:szCs w:val="22"/>
        </w:rPr>
      </w:pPr>
    </w:p>
    <w:p w14:paraId="353A40BB" w14:textId="77777777" w:rsidR="008A65E6" w:rsidRDefault="008A65E6" w:rsidP="001918F5">
      <w:pPr>
        <w:suppressAutoHyphens/>
        <w:jc w:val="center"/>
        <w:rPr>
          <w:b/>
          <w:sz w:val="22"/>
          <w:szCs w:val="22"/>
        </w:rPr>
        <w:sectPr w:rsidR="008A65E6" w:rsidSect="00F43E1B">
          <w:headerReference w:type="default" r:id="rId11"/>
          <w:headerReference w:type="first" r:id="rId12"/>
          <w:type w:val="continuous"/>
          <w:pgSz w:w="11906" w:h="16838" w:code="9"/>
          <w:pgMar w:top="1417" w:right="1417" w:bottom="1417" w:left="1417" w:header="720" w:footer="720" w:gutter="0"/>
          <w:pgNumType w:start="1"/>
          <w:cols w:space="720"/>
          <w:titlePg/>
          <w:docGrid w:linePitch="326"/>
        </w:sectPr>
      </w:pPr>
    </w:p>
    <w:p w14:paraId="21D679EB" w14:textId="77777777" w:rsidR="002C32AA" w:rsidRDefault="002C32AA" w:rsidP="00041CA1">
      <w:pPr>
        <w:jc w:val="center"/>
        <w:rPr>
          <w:b/>
        </w:rPr>
      </w:pPr>
    </w:p>
    <w:p w14:paraId="187973D7" w14:textId="0DA22E4A" w:rsidR="00041CA1" w:rsidRPr="004A6627" w:rsidRDefault="00041CA1" w:rsidP="00041CA1">
      <w:pPr>
        <w:jc w:val="center"/>
        <w:rPr>
          <w:b/>
        </w:rPr>
      </w:pPr>
      <w:r w:rsidRPr="004A6627">
        <w:rPr>
          <w:b/>
        </w:rPr>
        <w:t xml:space="preserve">Indikatori </w:t>
      </w:r>
    </w:p>
    <w:p w14:paraId="644CA55F" w14:textId="77777777" w:rsidR="00033562" w:rsidRDefault="00033562" w:rsidP="009A12EC">
      <w:pPr>
        <w:jc w:val="center"/>
        <w:rPr>
          <w:b/>
        </w:rPr>
      </w:pPr>
    </w:p>
    <w:p w14:paraId="19F626CF" w14:textId="77777777" w:rsidR="00033562" w:rsidRDefault="00033562" w:rsidP="009A12EC">
      <w:pPr>
        <w:jc w:val="center"/>
        <w:rPr>
          <w:b/>
        </w:rPr>
      </w:pPr>
    </w:p>
    <w:p w14:paraId="4E7341C5" w14:textId="77777777" w:rsidR="00033562" w:rsidRDefault="00033562" w:rsidP="009A12EC">
      <w:pPr>
        <w:jc w:val="center"/>
        <w:rPr>
          <w:b/>
        </w:rPr>
      </w:pPr>
    </w:p>
    <w:p w14:paraId="43B982A9" w14:textId="77777777" w:rsidR="00033562" w:rsidRDefault="00033562" w:rsidP="009A12EC">
      <w:pPr>
        <w:jc w:val="center"/>
        <w:rPr>
          <w:b/>
        </w:rPr>
      </w:pPr>
    </w:p>
    <w:p w14:paraId="66E9EA1C" w14:textId="77777777" w:rsidR="00033562" w:rsidRDefault="00033562" w:rsidP="009A12EC">
      <w:pPr>
        <w:jc w:val="center"/>
        <w:rPr>
          <w:b/>
        </w:rPr>
      </w:pPr>
    </w:p>
    <w:p w14:paraId="2322CABE" w14:textId="091E899C" w:rsidR="00033562" w:rsidRDefault="006E20EC" w:rsidP="009A12EC">
      <w:pPr>
        <w:jc w:val="center"/>
        <w:rPr>
          <w:b/>
        </w:rPr>
      </w:pPr>
      <w:r w:rsidRPr="006E20EC">
        <w:rPr>
          <w:noProof/>
        </w:rPr>
        <w:drawing>
          <wp:inline distT="0" distB="0" distL="0" distR="0" wp14:anchorId="3457E3A6" wp14:editId="7F5D43D8">
            <wp:extent cx="5760720" cy="465550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655501"/>
                    </a:xfrm>
                    <a:prstGeom prst="rect">
                      <a:avLst/>
                    </a:prstGeom>
                    <a:noFill/>
                    <a:ln>
                      <a:noFill/>
                    </a:ln>
                  </pic:spPr>
                </pic:pic>
              </a:graphicData>
            </a:graphic>
          </wp:inline>
        </w:drawing>
      </w:r>
    </w:p>
    <w:p w14:paraId="750A3F69" w14:textId="77777777" w:rsidR="00033562" w:rsidRDefault="00033562" w:rsidP="009A12EC">
      <w:pPr>
        <w:jc w:val="center"/>
        <w:rPr>
          <w:b/>
        </w:rPr>
      </w:pPr>
    </w:p>
    <w:p w14:paraId="0BACB54E" w14:textId="77777777" w:rsidR="00033562" w:rsidRDefault="00033562" w:rsidP="009A12EC">
      <w:pPr>
        <w:jc w:val="center"/>
        <w:rPr>
          <w:b/>
        </w:rPr>
      </w:pPr>
    </w:p>
    <w:p w14:paraId="2F7316DB" w14:textId="3F82152C" w:rsidR="00F43E1B" w:rsidRDefault="00F43E1B">
      <w:pPr>
        <w:spacing w:after="160" w:line="259" w:lineRule="auto"/>
        <w:rPr>
          <w:b/>
        </w:rPr>
      </w:pPr>
      <w:r>
        <w:rPr>
          <w:b/>
        </w:rPr>
        <w:br w:type="page"/>
      </w:r>
    </w:p>
    <w:p w14:paraId="2F7EDBDD" w14:textId="77777777" w:rsidR="00356E2B" w:rsidRPr="006C1691" w:rsidRDefault="00356E2B" w:rsidP="00356E2B">
      <w:pPr>
        <w:tabs>
          <w:tab w:val="left" w:pos="6237"/>
          <w:tab w:val="left" w:pos="6480"/>
          <w:tab w:val="left" w:pos="7200"/>
          <w:tab w:val="left" w:pos="7920"/>
          <w:tab w:val="left" w:pos="8640"/>
        </w:tabs>
        <w:jc w:val="right"/>
        <w:rPr>
          <w:lang w:val="en-GB"/>
        </w:rPr>
      </w:pPr>
      <w:r>
        <w:rPr>
          <w:lang w:val="en-GB"/>
        </w:rPr>
        <w:lastRenderedPageBreak/>
        <w:t>LD 2056 (2020)</w:t>
      </w:r>
    </w:p>
    <w:p w14:paraId="30C57644" w14:textId="77777777" w:rsidR="00356E2B" w:rsidRPr="00A41979" w:rsidRDefault="00356E2B" w:rsidP="00356E2B">
      <w:pPr>
        <w:rPr>
          <w:sz w:val="32"/>
          <w:lang w:val="en-GB"/>
        </w:rPr>
      </w:pPr>
    </w:p>
    <w:p w14:paraId="2256E566" w14:textId="4F6E8B83" w:rsidR="00356E2B" w:rsidRDefault="00356E2B" w:rsidP="00356E2B">
      <w:pPr>
        <w:rPr>
          <w:sz w:val="32"/>
          <w:lang w:val="en-GB"/>
        </w:rPr>
      </w:pPr>
    </w:p>
    <w:p w14:paraId="5EEAFF13" w14:textId="026AF9B3" w:rsidR="00B70E2C" w:rsidRDefault="00B70E2C" w:rsidP="00356E2B">
      <w:pPr>
        <w:rPr>
          <w:sz w:val="32"/>
          <w:lang w:val="en-GB"/>
        </w:rPr>
      </w:pPr>
    </w:p>
    <w:p w14:paraId="5CFA0A43" w14:textId="2F27EF45" w:rsidR="00B70E2C" w:rsidRDefault="00B70E2C" w:rsidP="00356E2B">
      <w:pPr>
        <w:rPr>
          <w:sz w:val="32"/>
          <w:lang w:val="en-GB"/>
        </w:rPr>
      </w:pPr>
    </w:p>
    <w:p w14:paraId="2A12F5F8" w14:textId="351ECBB9" w:rsidR="00B70E2C" w:rsidRDefault="00B70E2C" w:rsidP="00356E2B">
      <w:pPr>
        <w:rPr>
          <w:sz w:val="32"/>
          <w:lang w:val="en-GB"/>
        </w:rPr>
      </w:pPr>
    </w:p>
    <w:p w14:paraId="797A4A7A" w14:textId="77777777" w:rsidR="00B70E2C" w:rsidRPr="00A41979" w:rsidRDefault="00B70E2C" w:rsidP="00356E2B">
      <w:pPr>
        <w:rPr>
          <w:sz w:val="32"/>
          <w:lang w:val="en-GB"/>
        </w:rPr>
      </w:pPr>
    </w:p>
    <w:p w14:paraId="7AAB3399" w14:textId="77777777" w:rsidR="00356E2B" w:rsidRPr="00A41979" w:rsidRDefault="00356E2B" w:rsidP="00356E2B">
      <w:pPr>
        <w:rPr>
          <w:sz w:val="32"/>
          <w:lang w:val="en-GB"/>
        </w:rPr>
      </w:pPr>
    </w:p>
    <w:p w14:paraId="14E7619B" w14:textId="77777777" w:rsidR="00356E2B" w:rsidRDefault="00356E2B" w:rsidP="00356E2B">
      <w:pPr>
        <w:jc w:val="center"/>
        <w:rPr>
          <w:b/>
          <w:sz w:val="32"/>
          <w:szCs w:val="32"/>
          <w:lang w:val="en-US"/>
        </w:rPr>
      </w:pPr>
    </w:p>
    <w:p w14:paraId="0B9835E1" w14:textId="77777777" w:rsidR="00356E2B" w:rsidRPr="00356E2B" w:rsidRDefault="00356E2B" w:rsidP="00356E2B">
      <w:pPr>
        <w:jc w:val="center"/>
        <w:rPr>
          <w:b/>
          <w:lang w:val="en-US"/>
        </w:rPr>
      </w:pPr>
      <w:r w:rsidRPr="00356E2B">
        <w:rPr>
          <w:b/>
          <w:lang w:val="en-US"/>
        </w:rPr>
        <w:t>FRAMEWORK LOAN AGREEMENT</w:t>
      </w:r>
    </w:p>
    <w:p w14:paraId="69579F8D" w14:textId="77777777" w:rsidR="00356E2B" w:rsidRP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p>
    <w:p w14:paraId="6190C182" w14:textId="77777777" w:rsidR="00356E2B" w:rsidRP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p>
    <w:p w14:paraId="095C778A" w14:textId="77777777" w:rsidR="00356E2B" w:rsidRP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r w:rsidRPr="00356E2B">
        <w:rPr>
          <w:i/>
          <w:lang w:val="en-GB"/>
        </w:rPr>
        <w:t>between</w:t>
      </w:r>
    </w:p>
    <w:p w14:paraId="3B629E68" w14:textId="77777777" w:rsidR="00356E2B" w:rsidRP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p>
    <w:p w14:paraId="5163DB3D" w14:textId="77777777" w:rsidR="00356E2B" w:rsidRP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p>
    <w:p w14:paraId="7EDE9CBB" w14:textId="77777777" w:rsidR="00356E2B" w:rsidRPr="00356E2B" w:rsidRDefault="00356E2B" w:rsidP="00356E2B">
      <w:pPr>
        <w:jc w:val="center"/>
        <w:rPr>
          <w:rFonts w:eastAsia="Calibri"/>
          <w:b/>
          <w:lang w:val="en-GB"/>
        </w:rPr>
      </w:pPr>
      <w:r w:rsidRPr="00356E2B">
        <w:rPr>
          <w:rFonts w:eastAsia="Calibri"/>
          <w:b/>
          <w:lang w:val="en-GB"/>
        </w:rPr>
        <w:t>REPUBLIC OF CROATIA</w:t>
      </w:r>
    </w:p>
    <w:p w14:paraId="3D2FAF84" w14:textId="77777777" w:rsidR="00356E2B" w:rsidRPr="00356E2B" w:rsidRDefault="00356E2B" w:rsidP="00356E2B">
      <w:pPr>
        <w:jc w:val="center"/>
        <w:rPr>
          <w:rFonts w:eastAsia="Calibri"/>
          <w:b/>
          <w:lang w:val="en-GB"/>
        </w:rPr>
      </w:pPr>
    </w:p>
    <w:p w14:paraId="696D1EE9" w14:textId="77777777" w:rsidR="00356E2B" w:rsidRPr="00356E2B" w:rsidRDefault="00356E2B" w:rsidP="00356E2B">
      <w:pPr>
        <w:jc w:val="center"/>
        <w:rPr>
          <w:b/>
          <w:lang w:val="en-US"/>
        </w:rPr>
      </w:pPr>
    </w:p>
    <w:p w14:paraId="1A47C72F" w14:textId="77777777" w:rsidR="00356E2B" w:rsidRPr="00356E2B" w:rsidRDefault="00356E2B" w:rsidP="00356E2B">
      <w:pPr>
        <w:jc w:val="center"/>
        <w:rPr>
          <w:i/>
          <w:lang w:val="en-GB"/>
        </w:rPr>
      </w:pPr>
      <w:r w:rsidRPr="00356E2B">
        <w:rPr>
          <w:i/>
          <w:lang w:val="en-GB"/>
        </w:rPr>
        <w:t>and</w:t>
      </w:r>
    </w:p>
    <w:p w14:paraId="4EB11730" w14:textId="77777777" w:rsidR="00356E2B" w:rsidRPr="00356E2B" w:rsidRDefault="00356E2B" w:rsidP="00356E2B">
      <w:pPr>
        <w:jc w:val="center"/>
        <w:rPr>
          <w:b/>
          <w:lang w:val="en-US"/>
        </w:rPr>
      </w:pPr>
    </w:p>
    <w:p w14:paraId="7AD3605B" w14:textId="77777777" w:rsidR="00356E2B" w:rsidRPr="00356E2B" w:rsidRDefault="00356E2B" w:rsidP="00356E2B">
      <w:pPr>
        <w:jc w:val="center"/>
        <w:rPr>
          <w:b/>
          <w:lang w:val="en-US"/>
        </w:rPr>
      </w:pPr>
    </w:p>
    <w:p w14:paraId="1A246DAF" w14:textId="77777777" w:rsidR="00356E2B" w:rsidRPr="00356E2B" w:rsidRDefault="00356E2B" w:rsidP="00356E2B">
      <w:pPr>
        <w:jc w:val="center"/>
        <w:rPr>
          <w:b/>
          <w:lang w:val="en-US"/>
        </w:rPr>
      </w:pPr>
      <w:r w:rsidRPr="00356E2B">
        <w:rPr>
          <w:b/>
          <w:lang w:val="en-US"/>
        </w:rPr>
        <w:t>COUNCIL OF EUROPE DEVELOPMENT BANK</w:t>
      </w:r>
    </w:p>
    <w:p w14:paraId="02909856" w14:textId="77777777" w:rsidR="00356E2B" w:rsidRPr="00660442"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en-GB"/>
        </w:rPr>
      </w:pPr>
    </w:p>
    <w:p w14:paraId="0030D2D8" w14:textId="77777777" w:rsidR="00356E2B" w:rsidRPr="00660442"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en-GB"/>
        </w:rPr>
      </w:pPr>
    </w:p>
    <w:p w14:paraId="6C155367" w14:textId="77777777" w:rsidR="00356E2B" w:rsidRPr="00660442"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2"/>
          <w:szCs w:val="32"/>
          <w:lang w:val="en-GB"/>
        </w:rPr>
      </w:pPr>
    </w:p>
    <w:p w14:paraId="012E9AAB" w14:textId="77777777" w:rsidR="00356E2B" w:rsidRPr="00951C3D" w:rsidRDefault="00356E2B" w:rsidP="00356E2B">
      <w:pPr>
        <w:jc w:val="center"/>
        <w:rPr>
          <w:rFonts w:ascii="Calibri" w:eastAsia="Calibri" w:hAnsi="Calibri"/>
          <w:b/>
          <w:sz w:val="32"/>
          <w:szCs w:val="32"/>
          <w:lang w:val="en-GB"/>
        </w:rPr>
      </w:pPr>
    </w:p>
    <w:p w14:paraId="73F04CF0" w14:textId="77777777" w:rsidR="00356E2B" w:rsidRDefault="00356E2B" w:rsidP="00356E2B">
      <w:pPr>
        <w:jc w:val="center"/>
        <w:rPr>
          <w:b/>
          <w:sz w:val="32"/>
          <w:szCs w:val="32"/>
          <w:lang w:val="en-US"/>
        </w:rPr>
      </w:pPr>
    </w:p>
    <w:p w14:paraId="64C48394" w14:textId="77777777" w:rsidR="00356E2B" w:rsidRDefault="00356E2B" w:rsidP="00356E2B">
      <w:pPr>
        <w:jc w:val="center"/>
        <w:rPr>
          <w:b/>
          <w:sz w:val="32"/>
          <w:szCs w:val="32"/>
          <w:lang w:val="en-US"/>
        </w:rPr>
      </w:pPr>
    </w:p>
    <w:p w14:paraId="61F8BBD3" w14:textId="77777777" w:rsid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1E4A7F8C" w14:textId="77777777" w:rsid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2B0BD4EF" w14:textId="2D7EEF96" w:rsidR="00356E2B"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9BA0769" w14:textId="70BB30A4"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5845FA30" w14:textId="0F9BF1F6"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6C9E1AC5" w14:textId="0875DE72"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42F5BBB6" w14:textId="682F1493"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13534F9" w14:textId="213E320A"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6A126D97" w14:textId="60033064"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56453CD" w14:textId="24EFD9C2"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68A601F5" w14:textId="43A60FC9"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54B86E8E" w14:textId="427623F0"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6682A97" w14:textId="1536C850"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1AF5670" w14:textId="77777777" w:rsidR="00A122E4" w:rsidRDefault="00A122E4"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7FF49BB4" w14:textId="77777777" w:rsidR="00356E2B" w:rsidRPr="0087099C" w:rsidRDefault="00356E2B" w:rsidP="0035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lang w:val="en-GB"/>
        </w:rPr>
      </w:pPr>
    </w:p>
    <w:p w14:paraId="66064226" w14:textId="77777777" w:rsidR="00356E2B" w:rsidRPr="00A122E4" w:rsidRDefault="00356E2B" w:rsidP="00356E2B">
      <w:pPr>
        <w:jc w:val="center"/>
        <w:rPr>
          <w:rFonts w:eastAsia="Calibri"/>
          <w:i/>
          <w:lang w:val="en-GB"/>
        </w:rPr>
      </w:pPr>
      <w:r w:rsidRPr="00A122E4">
        <w:rPr>
          <w:rFonts w:eastAsia="Calibri"/>
          <w:i/>
          <w:lang w:val="en-GB"/>
        </w:rPr>
        <w:t>- Supporting measures in the Republic of Croatia, related to COVID-19 pandemic -</w:t>
      </w:r>
    </w:p>
    <w:p w14:paraId="2D186996" w14:textId="7EBFD437" w:rsidR="00B11F60" w:rsidRDefault="00356E2B" w:rsidP="00B11F60">
      <w:pPr>
        <w:ind w:firstLine="708"/>
        <w:jc w:val="center"/>
        <w:rPr>
          <w:lang w:val="en-GB"/>
        </w:rPr>
      </w:pPr>
      <w:r w:rsidRPr="00A122E4">
        <w:rPr>
          <w:lang w:val="en-GB"/>
        </w:rPr>
        <w:t>Public Sector Financing Facility</w:t>
      </w:r>
      <w:r w:rsidR="00B11F60">
        <w:rPr>
          <w:lang w:val="en-GB"/>
        </w:rPr>
        <w:br w:type="page"/>
      </w:r>
    </w:p>
    <w:p w14:paraId="273FD60B" w14:textId="77777777" w:rsidR="0042228C" w:rsidRPr="00A122E4" w:rsidRDefault="0042228C" w:rsidP="00356E2B">
      <w:pPr>
        <w:ind w:firstLine="708"/>
        <w:jc w:val="center"/>
        <w:rPr>
          <w:b/>
        </w:rPr>
      </w:pPr>
    </w:p>
    <w:p w14:paraId="6EC7CB4D" w14:textId="77777777" w:rsidR="0099174E" w:rsidRPr="0099174E" w:rsidRDefault="0099174E" w:rsidP="0099174E">
      <w:pPr>
        <w:jc w:val="both"/>
        <w:rPr>
          <w:b/>
          <w:lang w:val="en-GB"/>
        </w:rPr>
      </w:pPr>
      <w:r w:rsidRPr="0099174E">
        <w:rPr>
          <w:b/>
          <w:caps/>
          <w:lang w:val="en-GB"/>
        </w:rPr>
        <w:t xml:space="preserve">THE REPUBLIC OF CROATIA </w:t>
      </w:r>
      <w:r w:rsidRPr="0099174E">
        <w:rPr>
          <w:lang w:val="en-GB"/>
        </w:rPr>
        <w:t>(hereinafter, the “</w:t>
      </w:r>
      <w:r w:rsidRPr="0099174E">
        <w:rPr>
          <w:b/>
          <w:lang w:val="en-GB"/>
        </w:rPr>
        <w:t>Borrower</w:t>
      </w:r>
      <w:r w:rsidRPr="0099174E">
        <w:rPr>
          <w:lang w:val="en-GB"/>
        </w:rPr>
        <w:t xml:space="preserve">”), represented by the Ministry of Finance, on the one hand </w:t>
      </w:r>
    </w:p>
    <w:p w14:paraId="01CF3061" w14:textId="77777777" w:rsidR="0099174E" w:rsidRPr="0099174E" w:rsidRDefault="0099174E" w:rsidP="0099174E">
      <w:pPr>
        <w:jc w:val="both"/>
        <w:rPr>
          <w:b/>
          <w:lang w:val="en-GB"/>
        </w:rPr>
      </w:pPr>
    </w:p>
    <w:p w14:paraId="047F9FD5" w14:textId="77777777" w:rsidR="0099174E" w:rsidRPr="0099174E" w:rsidRDefault="0099174E" w:rsidP="0099174E">
      <w:pPr>
        <w:jc w:val="both"/>
        <w:rPr>
          <w:lang w:val="en-GB"/>
        </w:rPr>
      </w:pPr>
      <w:r w:rsidRPr="0099174E">
        <w:rPr>
          <w:lang w:val="en-GB"/>
        </w:rPr>
        <w:t>and</w:t>
      </w:r>
    </w:p>
    <w:p w14:paraId="2F235066" w14:textId="77777777" w:rsidR="0099174E" w:rsidRPr="0099174E" w:rsidRDefault="0099174E" w:rsidP="0099174E">
      <w:pPr>
        <w:jc w:val="both"/>
        <w:rPr>
          <w:b/>
          <w:lang w:val="en-GB"/>
        </w:rPr>
      </w:pPr>
    </w:p>
    <w:p w14:paraId="78D0355B" w14:textId="77777777" w:rsidR="0099174E" w:rsidRPr="0099174E" w:rsidRDefault="0099174E" w:rsidP="0099174E">
      <w:pPr>
        <w:jc w:val="both"/>
        <w:rPr>
          <w:lang w:val="en-GB"/>
        </w:rPr>
      </w:pPr>
      <w:r w:rsidRPr="0099174E">
        <w:rPr>
          <w:b/>
          <w:lang w:val="en-GB"/>
        </w:rPr>
        <w:t>COUNCIL OF EUROPE DEVELOPMENT BANK</w:t>
      </w:r>
      <w:r w:rsidRPr="0099174E">
        <w:rPr>
          <w:lang w:val="en-GB"/>
        </w:rPr>
        <w:t xml:space="preserve">, international organisation with its headquarters at 55, Avenue Kléber, 75116 Paris, France (hereinafter, the </w:t>
      </w:r>
      <w:r w:rsidRPr="0099174E">
        <w:rPr>
          <w:b/>
          <w:lang w:val="en-GB"/>
        </w:rPr>
        <w:t>“CEB”</w:t>
      </w:r>
      <w:r w:rsidRPr="0099174E">
        <w:rPr>
          <w:lang w:val="en-GB"/>
        </w:rPr>
        <w:t xml:space="preserve"> or the </w:t>
      </w:r>
      <w:r w:rsidRPr="0099174E">
        <w:rPr>
          <w:b/>
          <w:lang w:val="en-GB"/>
        </w:rPr>
        <w:t xml:space="preserve">“Bank” </w:t>
      </w:r>
      <w:r w:rsidRPr="0099174E">
        <w:rPr>
          <w:lang w:val="en-GB"/>
        </w:rPr>
        <w:t>and together with the Borrower, the “</w:t>
      </w:r>
      <w:r w:rsidRPr="0099174E">
        <w:rPr>
          <w:b/>
          <w:lang w:val="en-GB"/>
        </w:rPr>
        <w:t>Parties</w:t>
      </w:r>
      <w:r w:rsidRPr="0099174E">
        <w:rPr>
          <w:lang w:val="en-GB"/>
        </w:rPr>
        <w:t>” and each a “</w:t>
      </w:r>
      <w:r w:rsidRPr="0099174E">
        <w:rPr>
          <w:b/>
          <w:lang w:val="en-GB"/>
        </w:rPr>
        <w:t>Party</w:t>
      </w:r>
      <w:r w:rsidRPr="0099174E">
        <w:rPr>
          <w:lang w:val="en-GB"/>
        </w:rPr>
        <w:t xml:space="preserve">”), on the other hand,  </w:t>
      </w:r>
    </w:p>
    <w:p w14:paraId="669BCC9E" w14:textId="562CDFE3" w:rsidR="0099174E" w:rsidRDefault="0099174E" w:rsidP="0099174E">
      <w:pPr>
        <w:jc w:val="both"/>
        <w:rPr>
          <w:lang w:val="en-GB"/>
        </w:rPr>
      </w:pPr>
    </w:p>
    <w:p w14:paraId="1295EA60" w14:textId="70100D9E" w:rsidR="00B70E2C" w:rsidRDefault="00B70E2C" w:rsidP="0099174E">
      <w:pPr>
        <w:jc w:val="both"/>
        <w:rPr>
          <w:lang w:val="en-GB"/>
        </w:rPr>
      </w:pPr>
    </w:p>
    <w:p w14:paraId="32E7555E" w14:textId="5A71BFDD" w:rsidR="00B70E2C" w:rsidRDefault="00B70E2C" w:rsidP="0099174E">
      <w:pPr>
        <w:jc w:val="both"/>
        <w:rPr>
          <w:lang w:val="en-GB"/>
        </w:rPr>
      </w:pPr>
    </w:p>
    <w:p w14:paraId="58DA7400" w14:textId="77777777" w:rsidR="00B70E2C" w:rsidRPr="0099174E" w:rsidRDefault="00B70E2C" w:rsidP="0099174E">
      <w:pPr>
        <w:jc w:val="both"/>
        <w:rPr>
          <w:lang w:val="en-GB"/>
        </w:rPr>
      </w:pPr>
    </w:p>
    <w:p w14:paraId="0205C8DB" w14:textId="207CEE92" w:rsidR="0099174E" w:rsidRDefault="0099174E" w:rsidP="0099174E">
      <w:pPr>
        <w:jc w:val="both"/>
        <w:rPr>
          <w:b/>
          <w:lang w:val="en-GB"/>
        </w:rPr>
      </w:pPr>
      <w:r w:rsidRPr="0099174E">
        <w:rPr>
          <w:b/>
          <w:lang w:val="en-GB"/>
        </w:rPr>
        <w:t>WHEREAS</w:t>
      </w:r>
    </w:p>
    <w:p w14:paraId="73D91C6B" w14:textId="77777777" w:rsidR="00B70E2C" w:rsidRPr="0099174E" w:rsidRDefault="00B70E2C" w:rsidP="0099174E">
      <w:pPr>
        <w:jc w:val="both"/>
        <w:rPr>
          <w:b/>
          <w:lang w:val="en-GB"/>
        </w:rPr>
      </w:pPr>
    </w:p>
    <w:p w14:paraId="32F72BE9" w14:textId="77777777" w:rsidR="0099174E" w:rsidRPr="0099174E" w:rsidRDefault="0099174E" w:rsidP="0099174E">
      <w:pPr>
        <w:ind w:left="709" w:hanging="709"/>
        <w:jc w:val="both"/>
        <w:rPr>
          <w:lang w:val="en-GB"/>
        </w:rPr>
      </w:pPr>
      <w:r w:rsidRPr="0099174E">
        <w:rPr>
          <w:lang w:val="en-GB"/>
        </w:rPr>
        <w:t>(A)</w:t>
      </w:r>
      <w:r w:rsidRPr="0099174E">
        <w:rPr>
          <w:lang w:val="en-GB"/>
        </w:rPr>
        <w:tab/>
        <w:t xml:space="preserve">Having regard to the loan application submitted by the Republic of Croatia on 27 April 2020, approved by the CEB’s Administrative Council written procedure on </w:t>
      </w:r>
      <w:r w:rsidRPr="0099174E">
        <w:rPr>
          <w:caps/>
          <w:lang w:val="en-GB"/>
        </w:rPr>
        <w:t xml:space="preserve">12 </w:t>
      </w:r>
      <w:r w:rsidRPr="0099174E">
        <w:rPr>
          <w:lang w:val="en-US"/>
        </w:rPr>
        <w:t>May</w:t>
      </w:r>
      <w:r w:rsidRPr="0099174E">
        <w:rPr>
          <w:lang w:val="en-GB"/>
        </w:rPr>
        <w:t xml:space="preserve"> 2020,</w:t>
      </w:r>
    </w:p>
    <w:p w14:paraId="4F5C65E2" w14:textId="77777777" w:rsidR="0099174E" w:rsidRPr="0099174E" w:rsidRDefault="0099174E" w:rsidP="0099174E">
      <w:pPr>
        <w:ind w:left="709" w:hanging="709"/>
        <w:jc w:val="both"/>
        <w:rPr>
          <w:lang w:val="en-GB"/>
        </w:rPr>
      </w:pPr>
      <w:r w:rsidRPr="0099174E">
        <w:rPr>
          <w:lang w:val="en-GB"/>
        </w:rPr>
        <w:t>(B)</w:t>
      </w:r>
      <w:r w:rsidRPr="0099174E">
        <w:rPr>
          <w:lang w:val="en-GB"/>
        </w:rPr>
        <w:tab/>
        <w:t>Having regard to the Third Protocol to the General Agreement on Privileges and Immunities of the Council of Europe dated 6 March 1959,</w:t>
      </w:r>
    </w:p>
    <w:p w14:paraId="26BD7096" w14:textId="77777777" w:rsidR="0099174E" w:rsidRPr="0099174E" w:rsidRDefault="0099174E" w:rsidP="0099174E">
      <w:pPr>
        <w:ind w:left="709" w:hanging="709"/>
        <w:jc w:val="both"/>
        <w:rPr>
          <w:lang w:val="en-GB"/>
        </w:rPr>
      </w:pPr>
      <w:r w:rsidRPr="0099174E">
        <w:rPr>
          <w:lang w:val="en-GB"/>
        </w:rPr>
        <w:t>(C)</w:t>
      </w:r>
      <w:r w:rsidRPr="0099174E">
        <w:rPr>
          <w:lang w:val="en-GB"/>
        </w:rPr>
        <w:tab/>
        <w:t xml:space="preserve">Having regard to the CEB’s Loan Regulations, as adopted by the CEB’s Administrative Council Resolution 1587 (2016) (hereinafter, the </w:t>
      </w:r>
      <w:r w:rsidRPr="0099174E">
        <w:rPr>
          <w:b/>
          <w:lang w:val="en-GB"/>
        </w:rPr>
        <w:t>“Loan Regulations”</w:t>
      </w:r>
      <w:r w:rsidRPr="0099174E">
        <w:rPr>
          <w:lang w:val="en-GB"/>
        </w:rPr>
        <w:t>),</w:t>
      </w:r>
    </w:p>
    <w:p w14:paraId="4C94EA08" w14:textId="77777777" w:rsidR="0099174E" w:rsidRPr="0099174E" w:rsidRDefault="0099174E" w:rsidP="0099174E">
      <w:pPr>
        <w:ind w:left="709" w:hanging="709"/>
        <w:jc w:val="both"/>
        <w:rPr>
          <w:lang w:val="en-GB"/>
        </w:rPr>
      </w:pPr>
      <w:r w:rsidRPr="0099174E">
        <w:rPr>
          <w:lang w:val="en-GB"/>
        </w:rPr>
        <w:t>(D)</w:t>
      </w:r>
      <w:r w:rsidRPr="0099174E">
        <w:rPr>
          <w:lang w:val="en-GB"/>
        </w:rPr>
        <w:tab/>
        <w:t xml:space="preserve">Having regard to the CEB’s Loan and Project Financing Policy, as adopted by the CEB’s Administrative Council Resolution 1611 (2019) (hereinafter, the </w:t>
      </w:r>
      <w:r w:rsidRPr="0099174E">
        <w:rPr>
          <w:b/>
          <w:lang w:val="en-GB"/>
        </w:rPr>
        <w:t>“Loan Policy”</w:t>
      </w:r>
      <w:r w:rsidRPr="0099174E">
        <w:rPr>
          <w:lang w:val="en-GB"/>
        </w:rPr>
        <w:t>),</w:t>
      </w:r>
    </w:p>
    <w:p w14:paraId="07E30FF3" w14:textId="77777777" w:rsidR="0099174E" w:rsidRPr="0099174E" w:rsidRDefault="0099174E" w:rsidP="0099174E">
      <w:pPr>
        <w:ind w:left="709" w:hanging="709"/>
        <w:jc w:val="both"/>
        <w:rPr>
          <w:lang w:val="en-GB"/>
        </w:rPr>
      </w:pPr>
      <w:r w:rsidRPr="0099174E">
        <w:rPr>
          <w:lang w:val="en-GB"/>
        </w:rPr>
        <w:t>(E)</w:t>
      </w:r>
      <w:r w:rsidRPr="0099174E">
        <w:rPr>
          <w:lang w:val="en-GB"/>
        </w:rPr>
        <w:tab/>
        <w:t xml:space="preserve">Having regard to the CEB’s Environmental and Social Safeguards Policy, as adopted by the CEB’s Administrative Council Resolution 1588 (2016) (hereinafter, the </w:t>
      </w:r>
      <w:r w:rsidRPr="0099174E">
        <w:rPr>
          <w:b/>
          <w:lang w:val="en-GB"/>
        </w:rPr>
        <w:t>“Environmental and Social Safeguards Policy”</w:t>
      </w:r>
      <w:r w:rsidRPr="0099174E">
        <w:rPr>
          <w:lang w:val="en-GB"/>
        </w:rPr>
        <w:t>),</w:t>
      </w:r>
    </w:p>
    <w:p w14:paraId="2CE784FE" w14:textId="77777777" w:rsidR="0099174E" w:rsidRPr="0099174E" w:rsidRDefault="0099174E" w:rsidP="0099174E">
      <w:pPr>
        <w:ind w:left="709" w:hanging="709"/>
        <w:jc w:val="both"/>
        <w:rPr>
          <w:lang w:val="en-GB"/>
        </w:rPr>
      </w:pPr>
      <w:r w:rsidRPr="0099174E">
        <w:rPr>
          <w:lang w:val="en-GB"/>
        </w:rPr>
        <w:t>(F)</w:t>
      </w:r>
      <w:r w:rsidRPr="0099174E">
        <w:rPr>
          <w:lang w:val="en-GB"/>
        </w:rPr>
        <w:tab/>
        <w:t xml:space="preserve">Having regard to the CEB’s Procurement Guidelines, as adopted by the CEB’s Administrative Council in September 2011 (hereinafter, the </w:t>
      </w:r>
      <w:r w:rsidRPr="0099174E">
        <w:rPr>
          <w:b/>
          <w:lang w:val="en-GB"/>
        </w:rPr>
        <w:t>“Procurement Guidelines”</w:t>
      </w:r>
      <w:r w:rsidRPr="0099174E">
        <w:rPr>
          <w:lang w:val="en-GB"/>
        </w:rPr>
        <w:t>),</w:t>
      </w:r>
    </w:p>
    <w:p w14:paraId="48E5C217" w14:textId="1BE11E74" w:rsidR="0099174E" w:rsidRDefault="0099174E" w:rsidP="0099174E">
      <w:pPr>
        <w:jc w:val="both"/>
        <w:rPr>
          <w:lang w:val="en-GB"/>
        </w:rPr>
      </w:pPr>
    </w:p>
    <w:p w14:paraId="265A1ACA" w14:textId="77777777" w:rsidR="00B70E2C" w:rsidRPr="0099174E" w:rsidRDefault="00B70E2C" w:rsidP="0099174E">
      <w:pPr>
        <w:jc w:val="both"/>
        <w:rPr>
          <w:lang w:val="en-GB"/>
        </w:rPr>
      </w:pPr>
    </w:p>
    <w:p w14:paraId="3153C093" w14:textId="77777777" w:rsidR="0099174E" w:rsidRPr="0099174E" w:rsidRDefault="0099174E" w:rsidP="0099174E">
      <w:pPr>
        <w:jc w:val="both"/>
        <w:rPr>
          <w:b/>
          <w:lang w:val="en-GB"/>
        </w:rPr>
      </w:pPr>
      <w:r w:rsidRPr="0099174E">
        <w:rPr>
          <w:b/>
          <w:lang w:val="en-GB"/>
        </w:rPr>
        <w:t>HEREBY AGREE AS FOLLOWS:</w:t>
      </w:r>
    </w:p>
    <w:p w14:paraId="750FA788" w14:textId="77777777" w:rsidR="0099174E" w:rsidRPr="0099174E" w:rsidRDefault="0099174E" w:rsidP="0099174E">
      <w:pPr>
        <w:jc w:val="both"/>
        <w:rPr>
          <w:b/>
          <w:lang w:val="en-GB"/>
        </w:rPr>
        <w:sectPr w:rsidR="0099174E" w:rsidRPr="0099174E" w:rsidSect="00F43E1B">
          <w:pgSz w:w="11906" w:h="16838"/>
          <w:pgMar w:top="1417" w:right="1417" w:bottom="1417" w:left="1417" w:header="708" w:footer="708" w:gutter="0"/>
          <w:cols w:space="708"/>
          <w:docGrid w:linePitch="360"/>
        </w:sectPr>
      </w:pPr>
    </w:p>
    <w:p w14:paraId="749B0E54"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31" w:name="_Toc43991791"/>
      <w:r w:rsidRPr="0099174E">
        <w:rPr>
          <w:szCs w:val="24"/>
        </w:rPr>
        <w:lastRenderedPageBreak/>
        <w:t>INTERPRETATION</w:t>
      </w:r>
      <w:bookmarkEnd w:id="31"/>
    </w:p>
    <w:p w14:paraId="7B81AB8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32" w:name="_Toc43991792"/>
      <w:r w:rsidRPr="0099174E">
        <w:rPr>
          <w:szCs w:val="24"/>
        </w:rPr>
        <w:t>Definitions</w:t>
      </w:r>
      <w:bookmarkEnd w:id="32"/>
    </w:p>
    <w:p w14:paraId="389DE2A9" w14:textId="77777777" w:rsidR="0099174E" w:rsidRPr="0099174E" w:rsidRDefault="0099174E" w:rsidP="0099174E">
      <w:pPr>
        <w:spacing w:after="120"/>
        <w:jc w:val="both"/>
        <w:rPr>
          <w:rFonts w:eastAsia="Calibri"/>
          <w:lang w:val="en-GB"/>
        </w:rPr>
      </w:pPr>
      <w:r w:rsidRPr="0099174E">
        <w:rPr>
          <w:rFonts w:eastAsia="Calibri"/>
          <w:lang w:val="en-GB"/>
        </w:rPr>
        <w:t xml:space="preserve">The following terms shall have the meaning indicated below, except as the context requires otherwise: </w:t>
      </w:r>
    </w:p>
    <w:p w14:paraId="1C0D430A" w14:textId="77777777" w:rsidR="0099174E" w:rsidRPr="0099174E" w:rsidRDefault="0099174E" w:rsidP="0099174E">
      <w:pPr>
        <w:spacing w:after="120"/>
        <w:jc w:val="both"/>
        <w:rPr>
          <w:rFonts w:eastAsia="Calibri"/>
          <w:lang w:val="en-GB"/>
        </w:rPr>
      </w:pPr>
      <w:r w:rsidRPr="0099174E">
        <w:rPr>
          <w:rFonts w:eastAsia="Calibri"/>
          <w:b/>
          <w:lang w:val="en-GB"/>
        </w:rPr>
        <w:t>“Agreement”</w:t>
      </w:r>
      <w:r w:rsidRPr="0099174E">
        <w:rPr>
          <w:rFonts w:eastAsia="Calibri"/>
          <w:lang w:val="en-GB"/>
        </w:rPr>
        <w:t xml:space="preserve"> means this Framework loan agreement, including its appendices. </w:t>
      </w:r>
    </w:p>
    <w:p w14:paraId="43D1A1B6" w14:textId="77777777" w:rsidR="0099174E" w:rsidRPr="0099174E" w:rsidRDefault="0099174E" w:rsidP="0099174E">
      <w:pPr>
        <w:spacing w:after="120"/>
        <w:jc w:val="both"/>
        <w:rPr>
          <w:rFonts w:eastAsia="Calibri"/>
          <w:lang w:val="en-GB"/>
        </w:rPr>
      </w:pPr>
      <w:r w:rsidRPr="0099174E">
        <w:rPr>
          <w:rFonts w:eastAsia="Calibri"/>
          <w:b/>
          <w:lang w:val="en-GB"/>
        </w:rPr>
        <w:t>“Allocation”</w:t>
      </w:r>
      <w:r w:rsidRPr="0099174E">
        <w:rPr>
          <w:rFonts w:eastAsia="Calibri"/>
          <w:lang w:val="en-GB"/>
        </w:rPr>
        <w:t xml:space="preserve"> means the commitment of a Tranche by the Borrower to the eligible Sub-Project even if such Tranche has not yet been paid out under the Project.</w:t>
      </w:r>
    </w:p>
    <w:p w14:paraId="5C359D1B" w14:textId="6445825C" w:rsidR="0099174E" w:rsidRPr="0099174E" w:rsidRDefault="0099174E" w:rsidP="0099174E">
      <w:pPr>
        <w:spacing w:after="120"/>
        <w:jc w:val="both"/>
        <w:rPr>
          <w:rFonts w:eastAsia="Calibri"/>
          <w:lang w:val="en-GB"/>
        </w:rPr>
      </w:pPr>
      <w:r w:rsidRPr="0099174E">
        <w:rPr>
          <w:rFonts w:eastAsia="Calibri"/>
          <w:b/>
          <w:lang w:val="en-GB"/>
        </w:rPr>
        <w:t>“Allocation Period”</w:t>
      </w:r>
      <w:r w:rsidRPr="0099174E">
        <w:rPr>
          <w:rFonts w:eastAsia="Calibri"/>
          <w:lang w:val="en-GB"/>
        </w:rPr>
        <w:t xml:space="preserve"> has the meaning specified under Sub-clause </w:t>
      </w:r>
      <w:r w:rsidRPr="0099174E">
        <w:rPr>
          <w:rFonts w:eastAsia="Calibri"/>
          <w:lang w:val="en-GB"/>
        </w:rPr>
        <w:fldChar w:fldCharType="begin"/>
      </w:r>
      <w:r w:rsidRPr="0099174E">
        <w:rPr>
          <w:rFonts w:eastAsia="Calibri"/>
          <w:lang w:val="en-GB"/>
        </w:rPr>
        <w:instrText xml:space="preserve"> REF _Ref474421776 \r \h  \* MERGEFORMAT </w:instrText>
      </w:r>
      <w:r w:rsidRPr="0099174E">
        <w:rPr>
          <w:rFonts w:eastAsia="Calibri"/>
          <w:lang w:val="en-GB"/>
        </w:rPr>
      </w:r>
      <w:r w:rsidRPr="0099174E">
        <w:rPr>
          <w:rFonts w:eastAsia="Calibri"/>
          <w:lang w:val="en-GB"/>
        </w:rPr>
        <w:fldChar w:fldCharType="separate"/>
      </w:r>
      <w:r w:rsidR="00A13370">
        <w:rPr>
          <w:rFonts w:eastAsia="Calibri"/>
          <w:lang w:val="en-GB"/>
        </w:rPr>
        <w:t>5.2</w:t>
      </w:r>
      <w:r w:rsidRPr="0099174E">
        <w:rPr>
          <w:rFonts w:eastAsia="Calibri"/>
          <w:lang w:val="en-GB"/>
        </w:rPr>
        <w:fldChar w:fldCharType="end"/>
      </w:r>
      <w:r w:rsidRPr="0099174E">
        <w:rPr>
          <w:rFonts w:eastAsia="Calibri"/>
          <w:lang w:val="en-GB"/>
        </w:rPr>
        <w:t>.</w:t>
      </w:r>
    </w:p>
    <w:p w14:paraId="0FD8F46C" w14:textId="77777777" w:rsidR="0099174E" w:rsidRPr="0099174E" w:rsidRDefault="0099174E" w:rsidP="0099174E">
      <w:pPr>
        <w:spacing w:after="120"/>
        <w:jc w:val="both"/>
        <w:rPr>
          <w:lang w:val="en-US"/>
        </w:rPr>
      </w:pPr>
      <w:r w:rsidRPr="0099174E">
        <w:rPr>
          <w:rFonts w:eastAsia="Calibri"/>
          <w:b/>
          <w:lang w:val="en-GB"/>
        </w:rPr>
        <w:t>“Business Day”</w:t>
      </w:r>
      <w:r w:rsidRPr="0099174E">
        <w:rPr>
          <w:rFonts w:eastAsia="Calibri"/>
          <w:lang w:val="en-GB"/>
        </w:rPr>
        <w:t xml:space="preserve"> means </w:t>
      </w:r>
      <w:r w:rsidRPr="0099174E">
        <w:rPr>
          <w:lang w:val="en-US"/>
        </w:rPr>
        <w:t>in relation to payments in Euro, any day on which TARGET 2 (the Trans European Automated Real-time Gross Settlement Express Transfer system) is operating.</w:t>
      </w:r>
    </w:p>
    <w:p w14:paraId="11257E06" w14:textId="77777777" w:rsidR="0099174E" w:rsidRPr="0099174E" w:rsidRDefault="0099174E" w:rsidP="0099174E">
      <w:pPr>
        <w:spacing w:after="120"/>
        <w:jc w:val="both"/>
        <w:rPr>
          <w:rFonts w:eastAsia="Calibri"/>
          <w:lang w:val="en-US"/>
        </w:rPr>
      </w:pPr>
      <w:r w:rsidRPr="0099174E">
        <w:rPr>
          <w:rFonts w:eastAsia="Calibri"/>
          <w:b/>
          <w:lang w:val="en-US"/>
        </w:rPr>
        <w:t>“Closing Date”</w:t>
      </w:r>
      <w:r w:rsidRPr="0099174E">
        <w:rPr>
          <w:rFonts w:eastAsia="Calibri"/>
          <w:lang w:val="en-US"/>
        </w:rPr>
        <w:t xml:space="preserve"> means the date specified under Appendix 1 hereto from which no further disbursements may be requested by the Borrower.</w:t>
      </w:r>
    </w:p>
    <w:p w14:paraId="666054CA" w14:textId="7429867D" w:rsidR="0099174E" w:rsidRPr="0099174E" w:rsidRDefault="0099174E" w:rsidP="0099174E">
      <w:pPr>
        <w:spacing w:after="120"/>
        <w:jc w:val="both"/>
        <w:rPr>
          <w:rFonts w:eastAsia="Calibri"/>
          <w:lang w:val="en-GB"/>
        </w:rPr>
      </w:pPr>
      <w:r w:rsidRPr="0099174E">
        <w:rPr>
          <w:rFonts w:eastAsia="Calibri"/>
          <w:b/>
          <w:lang w:val="en-GB"/>
        </w:rPr>
        <w:t xml:space="preserve">“Completion Report” </w:t>
      </w:r>
      <w:r w:rsidRPr="0099174E">
        <w:rPr>
          <w:rFonts w:eastAsia="Calibri"/>
          <w:lang w:val="en-GB"/>
        </w:rPr>
        <w:t xml:space="preserve">has the meaning specified under Sub-clause </w:t>
      </w:r>
      <w:r w:rsidRPr="0099174E">
        <w:rPr>
          <w:rFonts w:eastAsia="Calibri"/>
          <w:lang w:val="en-GB"/>
        </w:rPr>
        <w:fldChar w:fldCharType="begin"/>
      </w:r>
      <w:r w:rsidRPr="0099174E">
        <w:rPr>
          <w:rFonts w:eastAsia="Calibri"/>
          <w:lang w:val="en-GB"/>
        </w:rPr>
        <w:instrText xml:space="preserve"> REF _Ref474421838 \r \h  \* MERGEFORMAT </w:instrText>
      </w:r>
      <w:r w:rsidRPr="0099174E">
        <w:rPr>
          <w:rFonts w:eastAsia="Calibri"/>
          <w:lang w:val="en-GB"/>
        </w:rPr>
      </w:r>
      <w:r w:rsidRPr="0099174E">
        <w:rPr>
          <w:rFonts w:eastAsia="Calibri"/>
          <w:lang w:val="en-GB"/>
        </w:rPr>
        <w:fldChar w:fldCharType="separate"/>
      </w:r>
      <w:r w:rsidR="00A13370">
        <w:rPr>
          <w:rFonts w:eastAsia="Calibri"/>
          <w:lang w:val="en-GB"/>
        </w:rPr>
        <w:t>6.1</w:t>
      </w:r>
      <w:r w:rsidRPr="0099174E">
        <w:rPr>
          <w:rFonts w:eastAsia="Calibri"/>
          <w:lang w:val="en-GB"/>
        </w:rPr>
        <w:fldChar w:fldCharType="end"/>
      </w:r>
      <w:r w:rsidRPr="0099174E">
        <w:rPr>
          <w:rFonts w:eastAsia="Calibri"/>
          <w:lang w:val="en-GB"/>
        </w:rPr>
        <w:t>(b).</w:t>
      </w:r>
    </w:p>
    <w:p w14:paraId="18A1B475" w14:textId="77777777" w:rsidR="0099174E" w:rsidRPr="0099174E" w:rsidRDefault="0099174E" w:rsidP="0099174E">
      <w:pPr>
        <w:spacing w:after="120"/>
        <w:jc w:val="both"/>
        <w:rPr>
          <w:rFonts w:eastAsia="Calibri"/>
          <w:lang w:val="en-GB"/>
        </w:rPr>
      </w:pPr>
      <w:r w:rsidRPr="0099174E">
        <w:rPr>
          <w:rFonts w:eastAsia="Calibri"/>
          <w:b/>
          <w:lang w:val="en-GB"/>
        </w:rPr>
        <w:t xml:space="preserve">“Components” </w:t>
      </w:r>
      <w:r w:rsidRPr="0099174E">
        <w:rPr>
          <w:rFonts w:eastAsia="Calibri"/>
          <w:lang w:val="en-GB"/>
        </w:rPr>
        <w:t>means the eligible sectors of action defined under Appendix 1 hereto.</w:t>
      </w:r>
    </w:p>
    <w:p w14:paraId="0E94B5A3" w14:textId="77777777" w:rsidR="0099174E" w:rsidRPr="0099174E" w:rsidRDefault="0099174E" w:rsidP="0099174E">
      <w:pPr>
        <w:spacing w:after="120"/>
        <w:jc w:val="both"/>
        <w:rPr>
          <w:rFonts w:eastAsia="Calibri"/>
          <w:b/>
          <w:lang w:val="en-GB"/>
        </w:rPr>
      </w:pPr>
      <w:r w:rsidRPr="0099174E">
        <w:rPr>
          <w:rFonts w:eastAsia="Calibri"/>
          <w:b/>
          <w:lang w:val="en-GB"/>
        </w:rPr>
        <w:t xml:space="preserve">“Currency” </w:t>
      </w:r>
      <w:r w:rsidRPr="0099174E">
        <w:rPr>
          <w:rFonts w:eastAsia="Calibri"/>
          <w:lang w:val="en-GB"/>
        </w:rPr>
        <w:t>means, for the purposes of the Agreement, Euro.</w:t>
      </w:r>
    </w:p>
    <w:p w14:paraId="7A08EC7A" w14:textId="77777777" w:rsidR="0099174E" w:rsidRPr="0099174E" w:rsidRDefault="0099174E" w:rsidP="0099174E">
      <w:pPr>
        <w:spacing w:after="120"/>
        <w:jc w:val="both"/>
        <w:rPr>
          <w:rFonts w:eastAsia="Calibri"/>
          <w:lang w:val="en-GB"/>
        </w:rPr>
      </w:pPr>
      <w:r w:rsidRPr="0099174E">
        <w:rPr>
          <w:rFonts w:eastAsia="Calibri"/>
          <w:b/>
          <w:lang w:val="en-GB"/>
        </w:rPr>
        <w:t>“Day Count Convention”</w:t>
      </w:r>
      <w:r w:rsidRPr="0099174E">
        <w:rPr>
          <w:rFonts w:eastAsia="Calibri"/>
          <w:lang w:val="en-GB"/>
        </w:rPr>
        <w:t xml:space="preserve"> means the convention for determining the number of days between two dates and the number of days in a year specified in the relevant Disbursement Notice.</w:t>
      </w:r>
    </w:p>
    <w:p w14:paraId="4365025A" w14:textId="77777777" w:rsidR="0099174E" w:rsidRPr="0099174E" w:rsidRDefault="0099174E" w:rsidP="0099174E">
      <w:pPr>
        <w:spacing w:after="120"/>
        <w:jc w:val="both"/>
        <w:rPr>
          <w:lang w:val="en-US"/>
        </w:rPr>
      </w:pPr>
      <w:r w:rsidRPr="0099174E">
        <w:rPr>
          <w:rFonts w:eastAsia="Calibri"/>
          <w:b/>
          <w:lang w:val="en-GB"/>
        </w:rPr>
        <w:t>“Debt Instrument”</w:t>
      </w:r>
      <w:r w:rsidRPr="0099174E">
        <w:rPr>
          <w:rFonts w:eastAsia="Calibri"/>
          <w:lang w:val="en-GB"/>
        </w:rPr>
        <w:t xml:space="preserve"> </w:t>
      </w:r>
      <w:r w:rsidRPr="0099174E">
        <w:rPr>
          <w:lang w:val="en-US"/>
        </w:rPr>
        <w:t>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14:paraId="1517FE41" w14:textId="7FDED5D5" w:rsidR="0099174E" w:rsidRPr="0099174E" w:rsidRDefault="0099174E" w:rsidP="0099174E">
      <w:pPr>
        <w:spacing w:after="120"/>
        <w:jc w:val="both"/>
        <w:rPr>
          <w:rFonts w:eastAsia="Calibri"/>
          <w:lang w:val="en-GB"/>
        </w:rPr>
      </w:pPr>
      <w:r w:rsidRPr="0099174E">
        <w:rPr>
          <w:rFonts w:eastAsia="Calibri"/>
          <w:b/>
          <w:lang w:val="en-GB"/>
        </w:rPr>
        <w:t>“Default Interest Rate”</w:t>
      </w:r>
      <w:r w:rsidRPr="0099174E">
        <w:rPr>
          <w:rFonts w:eastAsia="Calibri"/>
          <w:lang w:val="en-GB"/>
        </w:rPr>
        <w:t xml:space="preserve"> has the meaning specified under Sub-clause </w:t>
      </w:r>
      <w:r w:rsidRPr="0099174E">
        <w:rPr>
          <w:rFonts w:eastAsia="Calibri"/>
          <w:lang w:val="en-GB"/>
        </w:rPr>
        <w:fldChar w:fldCharType="begin"/>
      </w:r>
      <w:r w:rsidRPr="0099174E">
        <w:rPr>
          <w:rFonts w:eastAsia="Calibri"/>
          <w:lang w:val="en-GB"/>
        </w:rPr>
        <w:instrText xml:space="preserve"> REF _Ref474421871 \r \h  \* MERGEFORMAT </w:instrText>
      </w:r>
      <w:r w:rsidRPr="0099174E">
        <w:rPr>
          <w:rFonts w:eastAsia="Calibri"/>
          <w:lang w:val="en-GB"/>
        </w:rPr>
      </w:r>
      <w:r w:rsidRPr="0099174E">
        <w:rPr>
          <w:rFonts w:eastAsia="Calibri"/>
          <w:lang w:val="en-GB"/>
        </w:rPr>
        <w:fldChar w:fldCharType="separate"/>
      </w:r>
      <w:r w:rsidR="00A13370">
        <w:rPr>
          <w:rFonts w:eastAsia="Calibri"/>
          <w:lang w:val="en-GB"/>
        </w:rPr>
        <w:t>4.9</w:t>
      </w:r>
      <w:r w:rsidRPr="0099174E">
        <w:rPr>
          <w:rFonts w:eastAsia="Calibri"/>
          <w:lang w:val="en-GB"/>
        </w:rPr>
        <w:fldChar w:fldCharType="end"/>
      </w:r>
      <w:r w:rsidRPr="0099174E">
        <w:rPr>
          <w:rFonts w:eastAsia="Calibri"/>
          <w:lang w:val="en-GB"/>
        </w:rPr>
        <w:t>.</w:t>
      </w:r>
    </w:p>
    <w:p w14:paraId="5481C8FF" w14:textId="77777777" w:rsidR="0099174E" w:rsidRPr="0099174E" w:rsidRDefault="0099174E" w:rsidP="0099174E">
      <w:pPr>
        <w:spacing w:after="120"/>
        <w:jc w:val="both"/>
        <w:rPr>
          <w:rFonts w:eastAsia="Calibri"/>
          <w:lang w:val="en-GB"/>
        </w:rPr>
      </w:pPr>
      <w:r w:rsidRPr="0099174E">
        <w:rPr>
          <w:rFonts w:eastAsia="Calibri"/>
          <w:b/>
          <w:lang w:val="en-GB"/>
        </w:rPr>
        <w:t>“Disbursement Date”</w:t>
      </w:r>
      <w:r w:rsidRPr="0099174E">
        <w:rPr>
          <w:rFonts w:eastAsia="Calibri"/>
          <w:lang w:val="en-GB"/>
        </w:rPr>
        <w:t xml:space="preserve"> means the date on which a Tranche is scheduled to be disbursed pursuant to the applicable Disbursement Notice.</w:t>
      </w:r>
    </w:p>
    <w:p w14:paraId="1208C01F" w14:textId="77777777" w:rsidR="0099174E" w:rsidRPr="0099174E" w:rsidRDefault="0099174E" w:rsidP="0099174E">
      <w:pPr>
        <w:spacing w:after="120"/>
        <w:jc w:val="both"/>
        <w:rPr>
          <w:rFonts w:eastAsia="Calibri"/>
          <w:lang w:val="en-GB"/>
        </w:rPr>
      </w:pPr>
      <w:r w:rsidRPr="0099174E">
        <w:rPr>
          <w:rFonts w:eastAsia="Calibri"/>
          <w:b/>
          <w:lang w:val="en-GB"/>
        </w:rPr>
        <w:t xml:space="preserve">“Disbursement Notice” </w:t>
      </w:r>
      <w:r w:rsidRPr="0099174E">
        <w:rPr>
          <w:rFonts w:eastAsia="Calibri"/>
          <w:lang w:val="en-GB"/>
        </w:rPr>
        <w:t>has the meaning specified under Sub-clause 4.3(b).</w:t>
      </w:r>
    </w:p>
    <w:p w14:paraId="74BF24CC" w14:textId="77777777" w:rsidR="0099174E" w:rsidRPr="0099174E" w:rsidRDefault="0099174E" w:rsidP="0099174E">
      <w:pPr>
        <w:spacing w:after="120"/>
        <w:jc w:val="both"/>
        <w:rPr>
          <w:rFonts w:eastAsia="Calibri"/>
          <w:lang w:val="en-GB"/>
        </w:rPr>
      </w:pPr>
      <w:r w:rsidRPr="0099174E">
        <w:rPr>
          <w:rFonts w:eastAsia="Calibri"/>
          <w:b/>
          <w:lang w:val="en-GB"/>
        </w:rPr>
        <w:t>“Disbursement Request”</w:t>
      </w:r>
      <w:r w:rsidRPr="0099174E">
        <w:rPr>
          <w:rFonts w:eastAsia="Calibri"/>
          <w:lang w:val="en-GB"/>
        </w:rPr>
        <w:t xml:space="preserve"> has the meaning specified under Sub-clause 4.3(a).</w:t>
      </w:r>
    </w:p>
    <w:p w14:paraId="63F3A782" w14:textId="7A6CF7C9" w:rsidR="0099174E" w:rsidRPr="0099174E" w:rsidRDefault="0099174E" w:rsidP="0099174E">
      <w:pPr>
        <w:spacing w:after="120"/>
        <w:jc w:val="both"/>
        <w:rPr>
          <w:rFonts w:eastAsia="Calibri"/>
          <w:lang w:val="en-GB"/>
        </w:rPr>
      </w:pPr>
      <w:r w:rsidRPr="0099174E">
        <w:rPr>
          <w:rFonts w:eastAsia="Calibri"/>
          <w:b/>
          <w:lang w:val="en-GB"/>
        </w:rPr>
        <w:t xml:space="preserve">“Early Reimbursement Confirmation” </w:t>
      </w:r>
      <w:r w:rsidRPr="0099174E">
        <w:rPr>
          <w:rFonts w:eastAsia="Calibri"/>
          <w:lang w:val="en-GB"/>
        </w:rPr>
        <w:t xml:space="preserve">has the meaning specified under Sub-clause </w:t>
      </w:r>
      <w:r w:rsidRPr="0099174E">
        <w:rPr>
          <w:rFonts w:eastAsia="Calibri"/>
          <w:lang w:val="en-GB"/>
        </w:rPr>
        <w:fldChar w:fldCharType="begin"/>
      </w:r>
      <w:r w:rsidRPr="0099174E">
        <w:rPr>
          <w:rFonts w:eastAsia="Calibri"/>
          <w:lang w:val="en-GB"/>
        </w:rPr>
        <w:instrText xml:space="preserve"> REF _Ref474421939 \r \h  \* MERGEFORMAT </w:instrText>
      </w:r>
      <w:r w:rsidRPr="0099174E">
        <w:rPr>
          <w:rFonts w:eastAsia="Calibri"/>
          <w:lang w:val="en-GB"/>
        </w:rPr>
      </w:r>
      <w:r w:rsidRPr="0099174E">
        <w:rPr>
          <w:rFonts w:eastAsia="Calibri"/>
          <w:lang w:val="en-GB"/>
        </w:rPr>
        <w:fldChar w:fldCharType="separate"/>
      </w:r>
      <w:r w:rsidR="00A13370">
        <w:rPr>
          <w:rFonts w:eastAsia="Calibri"/>
          <w:lang w:val="en-GB"/>
        </w:rPr>
        <w:t>4.7</w:t>
      </w:r>
      <w:r w:rsidRPr="0099174E">
        <w:rPr>
          <w:rFonts w:eastAsia="Calibri"/>
          <w:lang w:val="en-GB"/>
        </w:rPr>
        <w:fldChar w:fldCharType="end"/>
      </w:r>
      <w:r w:rsidRPr="0099174E">
        <w:rPr>
          <w:rFonts w:eastAsia="Calibri"/>
          <w:lang w:val="en-GB"/>
        </w:rPr>
        <w:t xml:space="preserve">. </w:t>
      </w:r>
    </w:p>
    <w:p w14:paraId="156E1ABE" w14:textId="3A0EFC38" w:rsidR="0099174E" w:rsidRPr="0099174E" w:rsidRDefault="0099174E" w:rsidP="0099174E">
      <w:pPr>
        <w:spacing w:after="120"/>
        <w:jc w:val="both"/>
        <w:rPr>
          <w:rFonts w:eastAsia="Calibri"/>
          <w:lang w:val="en-GB"/>
        </w:rPr>
      </w:pPr>
      <w:r w:rsidRPr="0099174E">
        <w:rPr>
          <w:rFonts w:eastAsia="Calibri"/>
          <w:b/>
          <w:lang w:val="en-GB"/>
        </w:rPr>
        <w:t>“Early Reimbursement Costs”</w:t>
      </w:r>
      <w:r w:rsidRPr="0099174E">
        <w:rPr>
          <w:rFonts w:eastAsia="Calibri"/>
          <w:lang w:val="en-GB"/>
        </w:rPr>
        <w:t xml:space="preserve"> has the meaning specified under Sub-clause </w:t>
      </w:r>
      <w:r w:rsidRPr="0099174E">
        <w:rPr>
          <w:rFonts w:eastAsia="Calibri"/>
          <w:lang w:val="en-GB"/>
        </w:rPr>
        <w:fldChar w:fldCharType="begin"/>
      </w:r>
      <w:r w:rsidRPr="0099174E">
        <w:rPr>
          <w:rFonts w:eastAsia="Calibri"/>
          <w:lang w:val="en-GB"/>
        </w:rPr>
        <w:instrText xml:space="preserve"> REF _Ref474421978 \r \h  \* MERGEFORMAT </w:instrText>
      </w:r>
      <w:r w:rsidRPr="0099174E">
        <w:rPr>
          <w:rFonts w:eastAsia="Calibri"/>
          <w:lang w:val="en-GB"/>
        </w:rPr>
      </w:r>
      <w:r w:rsidRPr="0099174E">
        <w:rPr>
          <w:rFonts w:eastAsia="Calibri"/>
          <w:lang w:val="en-GB"/>
        </w:rPr>
        <w:fldChar w:fldCharType="separate"/>
      </w:r>
      <w:r w:rsidR="00A13370">
        <w:rPr>
          <w:rFonts w:eastAsia="Calibri"/>
          <w:lang w:val="en-GB"/>
        </w:rPr>
        <w:t>4.7</w:t>
      </w:r>
      <w:r w:rsidRPr="0099174E">
        <w:rPr>
          <w:rFonts w:eastAsia="Calibri"/>
          <w:lang w:val="en-GB"/>
        </w:rPr>
        <w:fldChar w:fldCharType="end"/>
      </w:r>
      <w:r w:rsidRPr="0099174E">
        <w:rPr>
          <w:rFonts w:eastAsia="Calibri"/>
          <w:lang w:val="en-GB"/>
        </w:rPr>
        <w:t xml:space="preserve">. </w:t>
      </w:r>
    </w:p>
    <w:p w14:paraId="3C04AFCF" w14:textId="3FD58105" w:rsidR="0099174E" w:rsidRPr="0099174E" w:rsidRDefault="0099174E" w:rsidP="0099174E">
      <w:pPr>
        <w:spacing w:after="120"/>
        <w:jc w:val="both"/>
        <w:rPr>
          <w:rFonts w:eastAsia="Calibri"/>
          <w:lang w:val="en-GB"/>
        </w:rPr>
      </w:pPr>
      <w:r w:rsidRPr="0099174E">
        <w:rPr>
          <w:rFonts w:eastAsia="Calibri"/>
          <w:b/>
          <w:lang w:val="en-GB"/>
        </w:rPr>
        <w:t xml:space="preserve">“Early Reimbursement Date” </w:t>
      </w:r>
      <w:r w:rsidRPr="0099174E">
        <w:rPr>
          <w:rFonts w:eastAsia="Calibri"/>
          <w:lang w:val="en-GB"/>
        </w:rPr>
        <w:t xml:space="preserve">has the meaning specified under Sub-clause </w:t>
      </w:r>
      <w:r w:rsidRPr="0099174E">
        <w:rPr>
          <w:rFonts w:eastAsia="Calibri"/>
          <w:lang w:val="en-GB"/>
        </w:rPr>
        <w:fldChar w:fldCharType="begin"/>
      </w:r>
      <w:r w:rsidRPr="0099174E">
        <w:rPr>
          <w:rFonts w:eastAsia="Calibri"/>
          <w:lang w:val="en-GB"/>
        </w:rPr>
        <w:instrText xml:space="preserve"> REF _Ref474421986 \r \h  \* MERGEFORMAT </w:instrText>
      </w:r>
      <w:r w:rsidRPr="0099174E">
        <w:rPr>
          <w:rFonts w:eastAsia="Calibri"/>
          <w:lang w:val="en-GB"/>
        </w:rPr>
      </w:r>
      <w:r w:rsidRPr="0099174E">
        <w:rPr>
          <w:rFonts w:eastAsia="Calibri"/>
          <w:lang w:val="en-GB"/>
        </w:rPr>
        <w:fldChar w:fldCharType="separate"/>
      </w:r>
      <w:r w:rsidR="00A13370">
        <w:rPr>
          <w:rFonts w:eastAsia="Calibri"/>
          <w:lang w:val="en-GB"/>
        </w:rPr>
        <w:t>4.7</w:t>
      </w:r>
      <w:r w:rsidRPr="0099174E">
        <w:rPr>
          <w:rFonts w:eastAsia="Calibri"/>
          <w:lang w:val="en-GB"/>
        </w:rPr>
        <w:fldChar w:fldCharType="end"/>
      </w:r>
      <w:r w:rsidRPr="0099174E">
        <w:rPr>
          <w:rFonts w:eastAsia="Calibri"/>
          <w:lang w:val="en-GB"/>
        </w:rPr>
        <w:t xml:space="preserve">. </w:t>
      </w:r>
    </w:p>
    <w:p w14:paraId="1AD9684D" w14:textId="6E8CC0A7" w:rsidR="0099174E" w:rsidRPr="0099174E" w:rsidRDefault="0099174E" w:rsidP="0099174E">
      <w:pPr>
        <w:spacing w:after="120"/>
        <w:jc w:val="both"/>
        <w:rPr>
          <w:rFonts w:eastAsia="Calibri"/>
          <w:lang w:val="en-GB"/>
        </w:rPr>
      </w:pPr>
      <w:r w:rsidRPr="0099174E">
        <w:rPr>
          <w:rFonts w:eastAsia="Calibri"/>
          <w:b/>
          <w:lang w:val="en-GB"/>
        </w:rPr>
        <w:t xml:space="preserve">“Early Reimbursement Notice” </w:t>
      </w:r>
      <w:r w:rsidRPr="0099174E">
        <w:rPr>
          <w:rFonts w:eastAsia="Calibri"/>
          <w:lang w:val="en-GB"/>
        </w:rPr>
        <w:t xml:space="preserve">has the meaning specified under Sub-clause </w:t>
      </w:r>
      <w:r w:rsidRPr="0099174E">
        <w:rPr>
          <w:rFonts w:eastAsia="Calibri"/>
          <w:lang w:val="en-GB"/>
        </w:rPr>
        <w:fldChar w:fldCharType="begin"/>
      </w:r>
      <w:r w:rsidRPr="0099174E">
        <w:rPr>
          <w:rFonts w:eastAsia="Calibri"/>
          <w:lang w:val="en-GB"/>
        </w:rPr>
        <w:instrText xml:space="preserve"> REF _Ref474421994 \r \h  \* MERGEFORMAT </w:instrText>
      </w:r>
      <w:r w:rsidRPr="0099174E">
        <w:rPr>
          <w:rFonts w:eastAsia="Calibri"/>
          <w:lang w:val="en-GB"/>
        </w:rPr>
      </w:r>
      <w:r w:rsidRPr="0099174E">
        <w:rPr>
          <w:rFonts w:eastAsia="Calibri"/>
          <w:lang w:val="en-GB"/>
        </w:rPr>
        <w:fldChar w:fldCharType="separate"/>
      </w:r>
      <w:r w:rsidR="00A13370">
        <w:rPr>
          <w:rFonts w:eastAsia="Calibri"/>
          <w:lang w:val="en-GB"/>
        </w:rPr>
        <w:t>4.7</w:t>
      </w:r>
      <w:r w:rsidRPr="0099174E">
        <w:rPr>
          <w:rFonts w:eastAsia="Calibri"/>
          <w:lang w:val="en-GB"/>
        </w:rPr>
        <w:fldChar w:fldCharType="end"/>
      </w:r>
      <w:r w:rsidRPr="0099174E">
        <w:rPr>
          <w:rFonts w:eastAsia="Calibri"/>
          <w:lang w:val="en-GB"/>
        </w:rPr>
        <w:t xml:space="preserve">. </w:t>
      </w:r>
    </w:p>
    <w:p w14:paraId="21830C1F" w14:textId="124AB497" w:rsidR="0099174E" w:rsidRPr="0099174E" w:rsidRDefault="0099174E" w:rsidP="0099174E">
      <w:pPr>
        <w:spacing w:after="120"/>
        <w:jc w:val="both"/>
        <w:rPr>
          <w:rFonts w:eastAsia="Calibri"/>
          <w:lang w:val="en-GB"/>
        </w:rPr>
      </w:pPr>
      <w:r w:rsidRPr="00357CA0">
        <w:rPr>
          <w:rFonts w:eastAsia="Calibri"/>
          <w:b/>
          <w:spacing w:val="-2"/>
          <w:lang w:val="en-GB"/>
        </w:rPr>
        <w:lastRenderedPageBreak/>
        <w:t xml:space="preserve">“Effective Date” </w:t>
      </w:r>
      <w:r w:rsidRPr="00357CA0">
        <w:rPr>
          <w:rFonts w:eastAsia="Calibri"/>
          <w:spacing w:val="-2"/>
          <w:lang w:val="en-GB"/>
        </w:rPr>
        <w:t xml:space="preserve">means the date of entry into force of the Agreement resulting from Clause </w:t>
      </w:r>
      <w:r w:rsidRPr="00357CA0">
        <w:rPr>
          <w:rFonts w:eastAsia="Calibri"/>
          <w:spacing w:val="-2"/>
          <w:lang w:val="en-GB"/>
        </w:rPr>
        <w:fldChar w:fldCharType="begin"/>
      </w:r>
      <w:r w:rsidRPr="00357CA0">
        <w:rPr>
          <w:rFonts w:eastAsia="Calibri"/>
          <w:spacing w:val="-2"/>
          <w:lang w:val="en-GB"/>
        </w:rPr>
        <w:instrText xml:space="preserve"> REF _Ref474422008 \r \h  \* MERGEFORMAT </w:instrText>
      </w:r>
      <w:r w:rsidRPr="00357CA0">
        <w:rPr>
          <w:rFonts w:eastAsia="Calibri"/>
          <w:spacing w:val="-2"/>
          <w:lang w:val="en-GB"/>
        </w:rPr>
      </w:r>
      <w:r w:rsidRPr="00357CA0">
        <w:rPr>
          <w:rFonts w:eastAsia="Calibri"/>
          <w:spacing w:val="-2"/>
          <w:lang w:val="en-GB"/>
        </w:rPr>
        <w:fldChar w:fldCharType="separate"/>
      </w:r>
      <w:r w:rsidR="00A13370">
        <w:rPr>
          <w:rFonts w:eastAsia="Calibri"/>
          <w:spacing w:val="-2"/>
          <w:lang w:val="en-GB"/>
        </w:rPr>
        <w:t>18</w:t>
      </w:r>
      <w:r w:rsidRPr="00357CA0">
        <w:rPr>
          <w:rFonts w:eastAsia="Calibri"/>
          <w:spacing w:val="-2"/>
          <w:lang w:val="en-GB"/>
        </w:rPr>
        <w:fldChar w:fldCharType="end"/>
      </w:r>
      <w:r w:rsidRPr="0099174E">
        <w:rPr>
          <w:rFonts w:eastAsia="Calibri"/>
          <w:lang w:val="en-GB"/>
        </w:rPr>
        <w:t>.</w:t>
      </w:r>
    </w:p>
    <w:p w14:paraId="3B74B2F1" w14:textId="77777777" w:rsidR="0099174E" w:rsidRPr="0099174E" w:rsidRDefault="0099174E" w:rsidP="0099174E">
      <w:pPr>
        <w:spacing w:after="120"/>
        <w:jc w:val="both"/>
        <w:rPr>
          <w:rFonts w:eastAsia="Calibri"/>
          <w:lang w:val="en-GB"/>
        </w:rPr>
      </w:pPr>
      <w:r w:rsidRPr="0099174E">
        <w:rPr>
          <w:rFonts w:eastAsia="Calibri"/>
          <w:b/>
          <w:lang w:val="en-GB"/>
        </w:rPr>
        <w:t>“EU”</w:t>
      </w:r>
      <w:r w:rsidRPr="0099174E">
        <w:rPr>
          <w:rFonts w:eastAsia="Calibri"/>
          <w:lang w:val="en-GB"/>
        </w:rPr>
        <w:t xml:space="preserve"> means the European Union.</w:t>
      </w:r>
    </w:p>
    <w:p w14:paraId="07018B71" w14:textId="77777777" w:rsidR="0099174E" w:rsidRPr="0099174E" w:rsidRDefault="0099174E" w:rsidP="0099174E">
      <w:pPr>
        <w:spacing w:after="120"/>
        <w:jc w:val="both"/>
        <w:rPr>
          <w:rFonts w:eastAsia="Calibri"/>
          <w:lang w:val="en-GB"/>
        </w:rPr>
      </w:pPr>
      <w:r w:rsidRPr="0099174E">
        <w:rPr>
          <w:rFonts w:eastAsia="Calibri"/>
          <w:b/>
          <w:lang w:val="en-GB"/>
        </w:rPr>
        <w:t>“EURIBOR”</w:t>
      </w:r>
      <w:r w:rsidRPr="0099174E">
        <w:rPr>
          <w:rFonts w:eastAsia="Calibri"/>
          <w:lang w:val="en-GB"/>
        </w:rPr>
        <w:t xml:space="preserve"> means the percentage rate </w:t>
      </w:r>
      <w:r w:rsidRPr="0099174E">
        <w:rPr>
          <w:rFonts w:eastAsia="Calibri"/>
          <w:i/>
          <w:lang w:val="en-GB"/>
        </w:rPr>
        <w:t>per annum</w:t>
      </w:r>
      <w:r w:rsidRPr="0099174E">
        <w:rPr>
          <w:rFonts w:eastAsia="Calibri"/>
          <w:lang w:val="en-GB"/>
        </w:rPr>
        <w:t xml:space="preserve"> quoted on the page EURIBOR01 of the Thomson Reuters screen (or on a successor page which replaces the Thomson Reuters’ page EURIBOR01) at or about 11 a.m. Brussels time on the Interest Determination Date as the Euro interbank offered rate administrated by the European Money Market Institute (or any other entity which takes over the administration of that rate) for the same period as the relevant Interest Period. </w:t>
      </w:r>
    </w:p>
    <w:p w14:paraId="614F10E4" w14:textId="77777777" w:rsidR="0099174E" w:rsidRPr="0099174E" w:rsidRDefault="0099174E" w:rsidP="0099174E">
      <w:pPr>
        <w:spacing w:after="120"/>
        <w:jc w:val="both"/>
        <w:rPr>
          <w:rFonts w:eastAsia="Calibri"/>
          <w:lang w:val="en-GB"/>
        </w:rPr>
      </w:pPr>
      <w:r w:rsidRPr="0099174E">
        <w:rPr>
          <w:rFonts w:eastAsia="Calibri"/>
          <w:lang w:val="en-GB"/>
        </w:rPr>
        <w:t xml:space="preserve">If the relevant Interest Period is not the same as a period quoted by Thomson Reuters, the applicable EURIBOR shall be the percentage rate </w:t>
      </w:r>
      <w:r w:rsidRPr="0099174E">
        <w:rPr>
          <w:rFonts w:eastAsia="Calibri"/>
          <w:i/>
          <w:lang w:val="en-GB"/>
        </w:rPr>
        <w:t>per annum</w:t>
      </w:r>
      <w:r w:rsidRPr="0099174E">
        <w:rPr>
          <w:rFonts w:eastAsia="Calibri"/>
          <w:lang w:val="en-GB"/>
        </w:rPr>
        <w:t xml:space="preserve"> resulting from a linear interpolation by reference to two (2) EURIBOR rates for Euro term deposits, one of which is applicable for a period of whole months next shorter and the other for a period of whole months next longer than the length of the relevant Interest Period.</w:t>
      </w:r>
    </w:p>
    <w:p w14:paraId="3147E66D" w14:textId="77777777" w:rsidR="0099174E" w:rsidRPr="0099174E" w:rsidRDefault="0099174E" w:rsidP="0099174E">
      <w:pPr>
        <w:spacing w:after="120"/>
        <w:jc w:val="both"/>
        <w:rPr>
          <w:rFonts w:eastAsia="Calibri"/>
          <w:lang w:val="en-GB"/>
        </w:rPr>
      </w:pPr>
      <w:r w:rsidRPr="0099174E">
        <w:rPr>
          <w:rFonts w:eastAsia="Calibri"/>
          <w:b/>
          <w:lang w:val="en-GB"/>
        </w:rPr>
        <w:t>“Euro”</w:t>
      </w:r>
      <w:r w:rsidRPr="0099174E">
        <w:rPr>
          <w:rFonts w:eastAsia="Calibri"/>
          <w:lang w:val="en-GB"/>
        </w:rPr>
        <w:t xml:space="preserve"> and the sign </w:t>
      </w:r>
      <w:r w:rsidRPr="0099174E">
        <w:rPr>
          <w:rFonts w:eastAsia="Calibri"/>
          <w:b/>
          <w:lang w:val="en-GB"/>
        </w:rPr>
        <w:t>“EUR”</w:t>
      </w:r>
      <w:r w:rsidRPr="0099174E">
        <w:rPr>
          <w:rFonts w:eastAsia="Calibri"/>
          <w:lang w:val="en-GB"/>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14:paraId="2E5FB725" w14:textId="77777777" w:rsidR="0099174E" w:rsidRPr="0099174E" w:rsidRDefault="0099174E" w:rsidP="0099174E">
      <w:pPr>
        <w:spacing w:after="120"/>
        <w:jc w:val="both"/>
        <w:rPr>
          <w:rFonts w:eastAsia="Calibri"/>
          <w:lang w:val="en-GB"/>
        </w:rPr>
      </w:pPr>
      <w:r w:rsidRPr="0099174E">
        <w:rPr>
          <w:rFonts w:eastAsia="Calibri"/>
          <w:b/>
          <w:lang w:val="en-GB"/>
        </w:rPr>
        <w:t>“European Convention on Human Rights”</w:t>
      </w:r>
      <w:r w:rsidRPr="0099174E">
        <w:rPr>
          <w:rFonts w:eastAsia="Calibri"/>
          <w:lang w:val="en-GB"/>
        </w:rPr>
        <w:t xml:space="preserve"> means the Convention for the Protection of Human Rights and Fundamental Freedoms dated 4 November 1950, CETS No. 5, as amended from time to time.</w:t>
      </w:r>
    </w:p>
    <w:p w14:paraId="2901CE39" w14:textId="77777777" w:rsidR="0099174E" w:rsidRPr="0099174E" w:rsidRDefault="0099174E" w:rsidP="0099174E">
      <w:pPr>
        <w:spacing w:after="120"/>
        <w:jc w:val="both"/>
        <w:rPr>
          <w:rFonts w:eastAsia="Calibri"/>
          <w:lang w:val="en-GB"/>
        </w:rPr>
      </w:pPr>
      <w:r w:rsidRPr="0099174E">
        <w:rPr>
          <w:rFonts w:eastAsia="Calibri"/>
          <w:b/>
          <w:lang w:val="en-GB"/>
        </w:rPr>
        <w:t>“European Social Charter”</w:t>
      </w:r>
      <w:r w:rsidRPr="0099174E">
        <w:rPr>
          <w:rFonts w:eastAsia="Calibri"/>
          <w:lang w:val="en-GB"/>
        </w:rPr>
        <w:t xml:space="preserve"> means the European Social Charter dated 3 May 1996, CETS No. 163, as amended from time to time.</w:t>
      </w:r>
    </w:p>
    <w:p w14:paraId="45513AFF" w14:textId="77777777" w:rsidR="0099174E" w:rsidRPr="0099174E" w:rsidRDefault="0099174E" w:rsidP="0099174E">
      <w:pPr>
        <w:spacing w:after="120"/>
        <w:jc w:val="both"/>
        <w:rPr>
          <w:rFonts w:eastAsia="Calibri"/>
          <w:lang w:val="en-GB"/>
        </w:rPr>
      </w:pPr>
      <w:r w:rsidRPr="0099174E">
        <w:rPr>
          <w:rFonts w:eastAsia="Calibri"/>
          <w:b/>
          <w:lang w:val="en-GB"/>
        </w:rPr>
        <w:t>“Final Beneficiaries”</w:t>
      </w:r>
      <w:r w:rsidRPr="0099174E">
        <w:rPr>
          <w:rFonts w:eastAsia="Calibri"/>
          <w:lang w:val="en-GB"/>
        </w:rPr>
        <w:t xml:space="preserve"> are specified under Appendix 1 hereto as the group benefitting from the social effects of the Project.</w:t>
      </w:r>
    </w:p>
    <w:p w14:paraId="58511DC1" w14:textId="77777777" w:rsidR="0099174E" w:rsidRPr="0099174E" w:rsidRDefault="0099174E" w:rsidP="0099174E">
      <w:pPr>
        <w:spacing w:after="120"/>
        <w:jc w:val="both"/>
        <w:rPr>
          <w:rFonts w:eastAsia="Calibri"/>
          <w:lang w:val="en-GB"/>
        </w:rPr>
      </w:pPr>
      <w:r w:rsidRPr="0099174E">
        <w:rPr>
          <w:rFonts w:eastAsia="Calibri"/>
          <w:b/>
          <w:lang w:val="en-GB"/>
        </w:rPr>
        <w:t>“Fixed Interest Rate”</w:t>
      </w:r>
      <w:r w:rsidRPr="0099174E">
        <w:rPr>
          <w:rFonts w:eastAsia="Calibri"/>
          <w:lang w:val="en-GB"/>
        </w:rPr>
        <w:t xml:space="preserve"> means the interest rate </w:t>
      </w:r>
      <w:r w:rsidRPr="0099174E">
        <w:rPr>
          <w:rFonts w:eastAsia="Calibri"/>
          <w:i/>
          <w:lang w:val="en-GB"/>
        </w:rPr>
        <w:t>per annum</w:t>
      </w:r>
      <w:r w:rsidRPr="0099174E">
        <w:rPr>
          <w:rFonts w:eastAsia="Calibri"/>
          <w:lang w:val="en-GB"/>
        </w:rPr>
        <w:t xml:space="preserve"> specified in the applicable Disbursement Notice.</w:t>
      </w:r>
    </w:p>
    <w:p w14:paraId="3AEF5C24" w14:textId="77777777" w:rsidR="0099174E" w:rsidRPr="0099174E" w:rsidRDefault="0099174E" w:rsidP="0099174E">
      <w:pPr>
        <w:spacing w:after="120"/>
        <w:jc w:val="both"/>
        <w:rPr>
          <w:rFonts w:eastAsia="Calibri"/>
          <w:lang w:val="en-GB"/>
        </w:rPr>
      </w:pPr>
      <w:r w:rsidRPr="0099174E">
        <w:rPr>
          <w:rFonts w:eastAsia="Calibri"/>
          <w:b/>
          <w:lang w:val="en-GB"/>
        </w:rPr>
        <w:t>“Floating Interest Rate”</w:t>
      </w:r>
      <w:r w:rsidRPr="0099174E">
        <w:rPr>
          <w:rFonts w:eastAsia="Calibri"/>
          <w:lang w:val="en-GB"/>
        </w:rPr>
        <w:t xml:space="preserve"> means the interest rate </w:t>
      </w:r>
      <w:r w:rsidRPr="0099174E">
        <w:rPr>
          <w:rFonts w:eastAsia="Calibri"/>
          <w:i/>
          <w:lang w:val="en-GB"/>
        </w:rPr>
        <w:t>per annum</w:t>
      </w:r>
      <w:r w:rsidRPr="0099174E">
        <w:rPr>
          <w:rFonts w:eastAsia="Calibri"/>
          <w:lang w:val="en-GB"/>
        </w:rPr>
        <w:t xml:space="preserve"> determined by adding or subtracting the Spread specified in the applicable Disbursement Notice to or from, as the case may be, the Reference Rate. </w:t>
      </w:r>
    </w:p>
    <w:p w14:paraId="0BAEA18E" w14:textId="77777777" w:rsidR="0099174E" w:rsidRPr="0099174E" w:rsidRDefault="0099174E" w:rsidP="0099174E">
      <w:pPr>
        <w:spacing w:after="120"/>
        <w:jc w:val="both"/>
        <w:rPr>
          <w:rFonts w:eastAsia="Calibri"/>
          <w:lang w:val="en-GB"/>
        </w:rPr>
      </w:pPr>
      <w:r w:rsidRPr="0099174E">
        <w:rPr>
          <w:rFonts w:eastAsia="Calibri"/>
          <w:lang w:val="en-GB"/>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14:paraId="45787B35" w14:textId="77777777" w:rsidR="0099174E" w:rsidRPr="0099174E" w:rsidRDefault="0099174E" w:rsidP="0099174E">
      <w:pPr>
        <w:spacing w:after="120"/>
        <w:jc w:val="both"/>
        <w:rPr>
          <w:rFonts w:eastAsia="Calibri"/>
          <w:lang w:val="en-GB"/>
        </w:rPr>
      </w:pPr>
      <w:r w:rsidRPr="0099174E">
        <w:rPr>
          <w:rFonts w:eastAsia="Calibri"/>
          <w:b/>
          <w:lang w:val="en-GB"/>
        </w:rPr>
        <w:t>“Interest Determination Date”</w:t>
      </w:r>
      <w:r w:rsidRPr="0099174E">
        <w:rPr>
          <w:rFonts w:eastAsia="Calibri"/>
          <w:lang w:val="en-GB"/>
        </w:rPr>
        <w:t xml:space="preserve"> means, for the purposes of determination of a Floating Interest Rate, the day falling two (2) Business Days prior to the first day of the Interest Period, unless otherwise specified in the relevant Disbursement Notice.</w:t>
      </w:r>
    </w:p>
    <w:p w14:paraId="3A1B8A0E" w14:textId="77777777" w:rsidR="0099174E" w:rsidRPr="0099174E" w:rsidRDefault="0099174E" w:rsidP="0099174E">
      <w:pPr>
        <w:spacing w:after="120"/>
        <w:jc w:val="both"/>
        <w:rPr>
          <w:rFonts w:eastAsia="Calibri"/>
          <w:lang w:val="en-GB"/>
        </w:rPr>
      </w:pPr>
      <w:r w:rsidRPr="0099174E">
        <w:rPr>
          <w:rFonts w:eastAsia="Calibri"/>
          <w:b/>
          <w:lang w:val="en-GB"/>
        </w:rPr>
        <w:t>“Interest Payment Dates”</w:t>
      </w:r>
      <w:r w:rsidRPr="0099174E">
        <w:rPr>
          <w:rFonts w:eastAsia="Calibri"/>
          <w:lang w:val="en-GB"/>
        </w:rPr>
        <w:t xml:space="preserve"> means the dates for the payment of interest corresponding to the relevant Interest Period specified in the applicable Disbursement Notice.</w:t>
      </w:r>
    </w:p>
    <w:p w14:paraId="4D8C00D8" w14:textId="77777777" w:rsidR="0099174E" w:rsidRPr="0099174E" w:rsidRDefault="0099174E" w:rsidP="0099174E">
      <w:pPr>
        <w:spacing w:after="120"/>
        <w:jc w:val="both"/>
        <w:rPr>
          <w:rFonts w:eastAsia="Calibri"/>
          <w:lang w:val="en-GB"/>
        </w:rPr>
      </w:pPr>
      <w:r w:rsidRPr="0099174E">
        <w:rPr>
          <w:rFonts w:eastAsia="Calibri"/>
          <w:b/>
          <w:lang w:val="en-GB"/>
        </w:rPr>
        <w:lastRenderedPageBreak/>
        <w:t>“Interest Period”</w:t>
      </w:r>
      <w:r w:rsidRPr="0099174E">
        <w:rPr>
          <w:rFonts w:eastAsia="Calibri"/>
          <w:lang w:val="en-GB"/>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14:paraId="0F093C6F" w14:textId="77777777" w:rsidR="0099174E" w:rsidRPr="0099174E" w:rsidRDefault="0099174E" w:rsidP="0099174E">
      <w:pPr>
        <w:spacing w:after="120"/>
        <w:jc w:val="both"/>
        <w:rPr>
          <w:rFonts w:eastAsia="Calibri"/>
          <w:lang w:val="en-GB"/>
        </w:rPr>
      </w:pPr>
      <w:r w:rsidRPr="0099174E">
        <w:rPr>
          <w:rFonts w:eastAsia="Calibri"/>
          <w:b/>
          <w:lang w:val="en-GB"/>
        </w:rPr>
        <w:t>“Loan”</w:t>
      </w:r>
      <w:r w:rsidRPr="0099174E">
        <w:rPr>
          <w:rFonts w:eastAsia="Calibri"/>
          <w:lang w:val="en-GB"/>
        </w:rPr>
        <w:t xml:space="preserve"> means the loan granted to the Borrower by the CEB by means of the Agreement.</w:t>
      </w:r>
    </w:p>
    <w:p w14:paraId="70601941" w14:textId="06DDF071" w:rsidR="0099174E" w:rsidRPr="0099174E" w:rsidRDefault="0099174E" w:rsidP="0099174E">
      <w:pPr>
        <w:spacing w:after="120"/>
        <w:jc w:val="both"/>
        <w:rPr>
          <w:rFonts w:eastAsia="Calibri"/>
          <w:lang w:val="en-GB"/>
        </w:rPr>
      </w:pPr>
      <w:r w:rsidRPr="0099174E">
        <w:rPr>
          <w:rFonts w:eastAsia="Calibri"/>
          <w:b/>
          <w:lang w:val="en-GB"/>
        </w:rPr>
        <w:t>“Loan Amount”</w:t>
      </w:r>
      <w:r w:rsidRPr="0099174E">
        <w:rPr>
          <w:rFonts w:eastAsia="Calibri"/>
          <w:lang w:val="en-GB"/>
        </w:rPr>
        <w:t xml:space="preserve"> means the amount specified under Sub-clause </w:t>
      </w:r>
      <w:r w:rsidRPr="0099174E">
        <w:rPr>
          <w:rFonts w:eastAsia="Calibri"/>
          <w:lang w:val="en-GB"/>
        </w:rPr>
        <w:fldChar w:fldCharType="begin"/>
      </w:r>
      <w:r w:rsidRPr="0099174E">
        <w:rPr>
          <w:rFonts w:eastAsia="Calibri"/>
          <w:lang w:val="en-GB"/>
        </w:rPr>
        <w:instrText xml:space="preserve"> REF _Ref474422064 \r \h  \* MERGEFORMAT </w:instrText>
      </w:r>
      <w:r w:rsidRPr="0099174E">
        <w:rPr>
          <w:rFonts w:eastAsia="Calibri"/>
          <w:lang w:val="en-GB"/>
        </w:rPr>
      </w:r>
      <w:r w:rsidRPr="0099174E">
        <w:rPr>
          <w:rFonts w:eastAsia="Calibri"/>
          <w:lang w:val="en-GB"/>
        </w:rPr>
        <w:fldChar w:fldCharType="separate"/>
      </w:r>
      <w:r w:rsidR="00A13370">
        <w:rPr>
          <w:rFonts w:eastAsia="Calibri"/>
          <w:lang w:val="en-GB"/>
        </w:rPr>
        <w:t>4.1</w:t>
      </w:r>
      <w:r w:rsidRPr="0099174E">
        <w:rPr>
          <w:rFonts w:eastAsia="Calibri"/>
          <w:lang w:val="en-GB"/>
        </w:rPr>
        <w:fldChar w:fldCharType="end"/>
      </w:r>
      <w:r w:rsidRPr="0099174E">
        <w:rPr>
          <w:rFonts w:eastAsia="Calibri"/>
          <w:lang w:val="en-GB"/>
        </w:rPr>
        <w:t xml:space="preserve">. </w:t>
      </w:r>
    </w:p>
    <w:p w14:paraId="31B5D5E4" w14:textId="2731CFEF" w:rsidR="0099174E" w:rsidRPr="0099174E" w:rsidRDefault="0099174E" w:rsidP="0099174E">
      <w:pPr>
        <w:spacing w:after="120"/>
        <w:jc w:val="both"/>
        <w:rPr>
          <w:rFonts w:eastAsia="Calibri"/>
          <w:lang w:val="en-GB"/>
        </w:rPr>
      </w:pPr>
      <w:r w:rsidRPr="0099174E">
        <w:rPr>
          <w:rFonts w:eastAsia="Calibri"/>
          <w:b/>
          <w:lang w:val="en-GB"/>
        </w:rPr>
        <w:t>“Market Disruption Event”</w:t>
      </w:r>
      <w:r w:rsidRPr="0099174E">
        <w:rPr>
          <w:rFonts w:eastAsia="Calibri"/>
          <w:lang w:val="en-GB"/>
        </w:rPr>
        <w:t xml:space="preserve"> has the meaning specified under Sub-clause </w:t>
      </w:r>
      <w:r w:rsidRPr="0099174E">
        <w:rPr>
          <w:rFonts w:eastAsia="Calibri"/>
          <w:lang w:val="en-GB"/>
        </w:rPr>
        <w:fldChar w:fldCharType="begin"/>
      </w:r>
      <w:r w:rsidRPr="0099174E">
        <w:rPr>
          <w:rFonts w:eastAsia="Calibri"/>
          <w:lang w:val="en-GB"/>
        </w:rPr>
        <w:instrText xml:space="preserve"> REF _Ref474422085 \r \h  \* MERGEFORMAT </w:instrText>
      </w:r>
      <w:r w:rsidRPr="0099174E">
        <w:rPr>
          <w:rFonts w:eastAsia="Calibri"/>
          <w:lang w:val="en-GB"/>
        </w:rPr>
      </w:r>
      <w:r w:rsidRPr="0099174E">
        <w:rPr>
          <w:rFonts w:eastAsia="Calibri"/>
          <w:lang w:val="en-GB"/>
        </w:rPr>
        <w:fldChar w:fldCharType="separate"/>
      </w:r>
      <w:r w:rsidR="00A13370">
        <w:rPr>
          <w:rFonts w:eastAsia="Calibri"/>
          <w:lang w:val="en-GB"/>
        </w:rPr>
        <w:t>4.10</w:t>
      </w:r>
      <w:r w:rsidRPr="0099174E">
        <w:rPr>
          <w:rFonts w:eastAsia="Calibri"/>
          <w:lang w:val="en-GB"/>
        </w:rPr>
        <w:fldChar w:fldCharType="end"/>
      </w:r>
      <w:r w:rsidRPr="0099174E">
        <w:rPr>
          <w:rFonts w:eastAsia="Calibri"/>
          <w:lang w:val="en-GB"/>
        </w:rPr>
        <w:t>.</w:t>
      </w:r>
    </w:p>
    <w:p w14:paraId="27DB484C" w14:textId="77777777" w:rsidR="0099174E" w:rsidRPr="0099174E" w:rsidRDefault="0099174E" w:rsidP="0099174E">
      <w:pPr>
        <w:spacing w:after="120"/>
        <w:jc w:val="both"/>
        <w:rPr>
          <w:rFonts w:eastAsia="Calibri"/>
          <w:lang w:val="en-GB"/>
        </w:rPr>
      </w:pPr>
      <w:r w:rsidRPr="0099174E">
        <w:rPr>
          <w:b/>
          <w:bCs/>
          <w:color w:val="000000"/>
          <w:lang w:val="en-US"/>
        </w:rPr>
        <w:t>“Material Adverse Change”</w:t>
      </w:r>
      <w:r w:rsidRPr="0099174E">
        <w:rPr>
          <w:color w:val="000000"/>
          <w:lang w:val="en-US"/>
        </w:rPr>
        <w:t xml:space="preserve"> means any event which, in CEB’s opinion, (i) materially impairs the Borrower’s ability to perform its financial obligations under the Agreement; or (ii) adversely affects any Security provided by the Borrower or a third-party to secure the due performance of the Borrower’s financial obligations under the Agreement.</w:t>
      </w:r>
    </w:p>
    <w:p w14:paraId="2271557E" w14:textId="77777777" w:rsidR="0099174E" w:rsidRPr="0099174E" w:rsidRDefault="0099174E" w:rsidP="0099174E">
      <w:pPr>
        <w:spacing w:after="120"/>
        <w:jc w:val="both"/>
        <w:rPr>
          <w:rFonts w:eastAsia="Calibri"/>
          <w:lang w:val="en-GB"/>
        </w:rPr>
      </w:pPr>
      <w:r w:rsidRPr="0099174E">
        <w:rPr>
          <w:rFonts w:eastAsia="Calibri"/>
          <w:b/>
          <w:lang w:val="en-GB"/>
        </w:rPr>
        <w:t>“Maturity Date”</w:t>
      </w:r>
      <w:r w:rsidRPr="0099174E">
        <w:rPr>
          <w:rFonts w:eastAsia="Calibri"/>
          <w:lang w:val="en-GB"/>
        </w:rPr>
        <w:t xml:space="preserve"> means the last Principal Repayment Date for each Tranche specified in the applicable Disbursement Notice.</w:t>
      </w:r>
    </w:p>
    <w:p w14:paraId="70E979FE" w14:textId="77777777" w:rsidR="0099174E" w:rsidRPr="0099174E" w:rsidRDefault="0099174E" w:rsidP="0099174E">
      <w:pPr>
        <w:spacing w:after="120"/>
        <w:jc w:val="both"/>
        <w:rPr>
          <w:rFonts w:eastAsia="Calibri"/>
          <w:lang w:val="en-GB"/>
        </w:rPr>
      </w:pPr>
      <w:r w:rsidRPr="0099174E">
        <w:rPr>
          <w:rFonts w:eastAsia="Calibri"/>
          <w:b/>
          <w:lang w:val="en-GB"/>
        </w:rPr>
        <w:t>“Modified Following Business Day Convention”</w:t>
      </w:r>
      <w:r w:rsidRPr="0099174E">
        <w:rPr>
          <w:rFonts w:eastAsia="Calibri"/>
          <w:lang w:val="en-GB"/>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w:t>
      </w:r>
    </w:p>
    <w:p w14:paraId="47FA0075" w14:textId="77777777" w:rsidR="0099174E" w:rsidRPr="0099174E" w:rsidRDefault="0099174E" w:rsidP="0099174E">
      <w:pPr>
        <w:spacing w:after="120"/>
        <w:jc w:val="both"/>
        <w:rPr>
          <w:rFonts w:eastAsia="Calibri"/>
          <w:lang w:val="en-GB"/>
        </w:rPr>
      </w:pPr>
      <w:r w:rsidRPr="0099174E">
        <w:rPr>
          <w:rFonts w:eastAsia="Calibri"/>
          <w:b/>
          <w:lang w:val="en-GB"/>
        </w:rPr>
        <w:t>“Principal Repayment Date(s)”</w:t>
      </w:r>
      <w:r w:rsidRPr="0099174E">
        <w:rPr>
          <w:rFonts w:eastAsia="Calibri"/>
          <w:lang w:val="en-GB"/>
        </w:rPr>
        <w:t xml:space="preserve"> means the date(s) for the repayment(s) of principal under each Tranche specified in the applicable Disbursement Notice.</w:t>
      </w:r>
    </w:p>
    <w:p w14:paraId="5CF053A8" w14:textId="77777777" w:rsidR="0099174E" w:rsidRPr="0099174E" w:rsidRDefault="0099174E" w:rsidP="0099174E">
      <w:pPr>
        <w:spacing w:after="120"/>
        <w:jc w:val="both"/>
        <w:rPr>
          <w:rFonts w:eastAsia="Calibri"/>
          <w:lang w:val="en-GB"/>
        </w:rPr>
      </w:pPr>
      <w:r w:rsidRPr="0099174E">
        <w:rPr>
          <w:rFonts w:eastAsia="Calibri"/>
          <w:b/>
          <w:lang w:val="en-GB"/>
        </w:rPr>
        <w:t>“Principal Repayment Period”</w:t>
      </w:r>
      <w:r w:rsidRPr="0099174E">
        <w:rPr>
          <w:rFonts w:eastAsia="Calibri"/>
          <w:lang w:val="en-GB"/>
        </w:rPr>
        <w:t xml:space="preserve"> means with respect of each Tranche the period running from its Disbursement Date to its Maturity Date.</w:t>
      </w:r>
    </w:p>
    <w:p w14:paraId="0AC634FE" w14:textId="319FB8B3" w:rsidR="0099174E" w:rsidRPr="0099174E" w:rsidRDefault="0099174E" w:rsidP="0099174E">
      <w:pPr>
        <w:spacing w:after="120"/>
        <w:jc w:val="both"/>
        <w:rPr>
          <w:rFonts w:eastAsia="Calibri"/>
          <w:lang w:val="en-GB"/>
        </w:rPr>
      </w:pPr>
      <w:r w:rsidRPr="0099174E">
        <w:rPr>
          <w:rFonts w:eastAsia="Calibri"/>
          <w:b/>
          <w:lang w:val="en-GB"/>
        </w:rPr>
        <w:t>“Progress Report”</w:t>
      </w:r>
      <w:r w:rsidRPr="0099174E">
        <w:rPr>
          <w:rFonts w:eastAsia="Calibri"/>
          <w:lang w:val="en-GB"/>
        </w:rPr>
        <w:t xml:space="preserve"> has the meaning specified under Sub-clause </w:t>
      </w:r>
      <w:r w:rsidRPr="0099174E">
        <w:rPr>
          <w:rFonts w:eastAsia="Calibri"/>
          <w:lang w:val="en-GB"/>
        </w:rPr>
        <w:fldChar w:fldCharType="begin"/>
      </w:r>
      <w:r w:rsidRPr="0099174E">
        <w:rPr>
          <w:rFonts w:eastAsia="Calibri"/>
          <w:lang w:val="en-GB"/>
        </w:rPr>
        <w:instrText xml:space="preserve"> REF _Ref474422100 \r \h  \* MERGEFORMAT </w:instrText>
      </w:r>
      <w:r w:rsidRPr="0099174E">
        <w:rPr>
          <w:rFonts w:eastAsia="Calibri"/>
          <w:lang w:val="en-GB"/>
        </w:rPr>
      </w:r>
      <w:r w:rsidRPr="0099174E">
        <w:rPr>
          <w:rFonts w:eastAsia="Calibri"/>
          <w:lang w:val="en-GB"/>
        </w:rPr>
        <w:fldChar w:fldCharType="separate"/>
      </w:r>
      <w:r w:rsidR="00A13370">
        <w:rPr>
          <w:rFonts w:eastAsia="Calibri"/>
          <w:lang w:val="en-GB"/>
        </w:rPr>
        <w:t>6.1</w:t>
      </w:r>
      <w:r w:rsidRPr="0099174E">
        <w:rPr>
          <w:rFonts w:eastAsia="Calibri"/>
          <w:lang w:val="en-GB"/>
        </w:rPr>
        <w:fldChar w:fldCharType="end"/>
      </w:r>
      <w:r w:rsidRPr="0099174E">
        <w:rPr>
          <w:rFonts w:eastAsia="Calibri"/>
          <w:lang w:val="en-GB"/>
        </w:rPr>
        <w:t>(a).</w:t>
      </w:r>
    </w:p>
    <w:p w14:paraId="70EBA965" w14:textId="02B0093C" w:rsidR="0099174E" w:rsidRPr="0099174E" w:rsidRDefault="0099174E" w:rsidP="0099174E">
      <w:pPr>
        <w:spacing w:after="120"/>
        <w:jc w:val="both"/>
        <w:rPr>
          <w:rFonts w:eastAsia="Calibri"/>
          <w:lang w:val="en-GB"/>
        </w:rPr>
      </w:pPr>
      <w:r w:rsidRPr="0099174E">
        <w:rPr>
          <w:rFonts w:eastAsia="Calibri"/>
          <w:b/>
          <w:lang w:val="en-GB"/>
        </w:rPr>
        <w:t xml:space="preserve">“Prohibited Practices” </w:t>
      </w:r>
      <w:r w:rsidRPr="0099174E">
        <w:rPr>
          <w:rFonts w:eastAsia="Calibri"/>
          <w:lang w:val="en-GB"/>
        </w:rPr>
        <w:t xml:space="preserve">has the meaning specified under Sub-clause </w:t>
      </w:r>
      <w:r w:rsidRPr="0099174E">
        <w:rPr>
          <w:rFonts w:eastAsia="Calibri"/>
          <w:lang w:val="en-GB"/>
        </w:rPr>
        <w:fldChar w:fldCharType="begin"/>
      </w:r>
      <w:r w:rsidRPr="0099174E">
        <w:rPr>
          <w:rFonts w:eastAsia="Calibri"/>
          <w:lang w:val="en-GB"/>
        </w:rPr>
        <w:instrText xml:space="preserve"> REF _Ref474422110 \r \h  \* MERGEFORMAT </w:instrText>
      </w:r>
      <w:r w:rsidRPr="0099174E">
        <w:rPr>
          <w:rFonts w:eastAsia="Calibri"/>
          <w:lang w:val="en-GB"/>
        </w:rPr>
      </w:r>
      <w:r w:rsidRPr="0099174E">
        <w:rPr>
          <w:rFonts w:eastAsia="Calibri"/>
          <w:lang w:val="en-GB"/>
        </w:rPr>
        <w:fldChar w:fldCharType="separate"/>
      </w:r>
      <w:r w:rsidR="00A13370">
        <w:rPr>
          <w:rFonts w:eastAsia="Calibri"/>
          <w:lang w:val="en-GB"/>
        </w:rPr>
        <w:t>5.8</w:t>
      </w:r>
      <w:r w:rsidRPr="0099174E">
        <w:rPr>
          <w:rFonts w:eastAsia="Calibri"/>
          <w:lang w:val="en-GB"/>
        </w:rPr>
        <w:fldChar w:fldCharType="end"/>
      </w:r>
      <w:r w:rsidRPr="0099174E">
        <w:rPr>
          <w:rFonts w:eastAsia="Calibri"/>
          <w:lang w:val="en-GB"/>
        </w:rPr>
        <w:t>.</w:t>
      </w:r>
    </w:p>
    <w:p w14:paraId="1BCE7F94" w14:textId="77777777" w:rsidR="0099174E" w:rsidRPr="0099174E" w:rsidRDefault="0099174E" w:rsidP="0099174E">
      <w:pPr>
        <w:spacing w:after="120"/>
        <w:jc w:val="both"/>
        <w:rPr>
          <w:rFonts w:eastAsia="Calibri"/>
          <w:lang w:val="en-GB"/>
        </w:rPr>
      </w:pPr>
      <w:r w:rsidRPr="0099174E">
        <w:rPr>
          <w:rFonts w:eastAsia="Calibri"/>
          <w:b/>
          <w:lang w:val="en-GB"/>
        </w:rPr>
        <w:t>“Project”</w:t>
      </w:r>
      <w:r w:rsidRPr="0099174E">
        <w:rPr>
          <w:rFonts w:eastAsia="Calibri"/>
          <w:lang w:val="en-GB"/>
        </w:rPr>
        <w:t xml:space="preserve"> means the programme of eligible Sub-projects set forth under Appendix 1 hereto to be partially financed with the Loan approved by the CEB’s Administrative Council with ref. LD 2056 (2020).</w:t>
      </w:r>
    </w:p>
    <w:p w14:paraId="5C011C38" w14:textId="77777777" w:rsidR="0099174E" w:rsidRPr="0099174E" w:rsidRDefault="0099174E" w:rsidP="0099174E">
      <w:pPr>
        <w:spacing w:after="120" w:line="276" w:lineRule="auto"/>
        <w:jc w:val="both"/>
        <w:rPr>
          <w:lang w:val="en-US"/>
        </w:rPr>
      </w:pPr>
      <w:r w:rsidRPr="0099174E">
        <w:rPr>
          <w:rFonts w:eastAsia="Calibri"/>
          <w:b/>
          <w:lang w:val="en-GB"/>
        </w:rPr>
        <w:t>“Reference Rate”</w:t>
      </w:r>
      <w:r w:rsidRPr="0099174E">
        <w:rPr>
          <w:rFonts w:eastAsia="Calibri"/>
          <w:lang w:val="en-GB"/>
        </w:rPr>
        <w:t xml:space="preserve"> </w:t>
      </w:r>
      <w:r w:rsidRPr="0099174E">
        <w:rPr>
          <w:lang w:val="en-US"/>
        </w:rPr>
        <w:t>means EURIBOR for a Floating Interest Rate Tranche denominated in Euro.</w:t>
      </w:r>
    </w:p>
    <w:p w14:paraId="31A466D0" w14:textId="77777777" w:rsidR="0099174E" w:rsidRPr="0099174E" w:rsidRDefault="0099174E" w:rsidP="0099174E">
      <w:pPr>
        <w:spacing w:after="120"/>
        <w:jc w:val="both"/>
        <w:rPr>
          <w:rFonts w:eastAsia="Calibri"/>
          <w:lang w:val="en-GB"/>
        </w:rPr>
      </w:pPr>
      <w:r w:rsidRPr="0099174E">
        <w:rPr>
          <w:rFonts w:eastAsia="Calibri"/>
          <w:b/>
          <w:lang w:val="en-GB"/>
        </w:rPr>
        <w:t>“Security”</w:t>
      </w:r>
      <w:r w:rsidRPr="0099174E">
        <w:rPr>
          <w:rFonts w:eastAsia="Calibri"/>
          <w:lang w:val="en-GB"/>
        </w:rPr>
        <w:t xml:space="preserve"> means any agreement or arrangement creating a preferential rank, a preferential right of payment, a collateral or guarantee of any nature whatsoever which might confer enhanced rights upon third parties. </w:t>
      </w:r>
    </w:p>
    <w:p w14:paraId="0B090492" w14:textId="77777777" w:rsidR="0099174E" w:rsidRPr="0099174E" w:rsidRDefault="0099174E" w:rsidP="0099174E">
      <w:pPr>
        <w:spacing w:after="120"/>
        <w:jc w:val="both"/>
        <w:rPr>
          <w:rFonts w:eastAsia="Calibri"/>
          <w:lang w:val="en-GB"/>
        </w:rPr>
      </w:pPr>
      <w:r w:rsidRPr="0099174E">
        <w:rPr>
          <w:rFonts w:eastAsia="Calibri"/>
          <w:b/>
          <w:lang w:val="en-GB"/>
        </w:rPr>
        <w:t>“Spread”</w:t>
      </w:r>
      <w:r w:rsidRPr="0099174E">
        <w:rPr>
          <w:rFonts w:eastAsia="Calibri"/>
          <w:lang w:val="en-GB"/>
        </w:rPr>
        <w:t xml:space="preserve"> means, in connection with a Floating Interest Rate Tranche, the fixed-spread to the Reference Rate (being either plus or minus) specified in basis points in the applicable Disbursement Notice.</w:t>
      </w:r>
    </w:p>
    <w:p w14:paraId="740101B2" w14:textId="77777777" w:rsidR="0099174E" w:rsidRPr="0099174E" w:rsidRDefault="0099174E" w:rsidP="0099174E">
      <w:pPr>
        <w:spacing w:after="120"/>
        <w:jc w:val="both"/>
        <w:rPr>
          <w:rFonts w:eastAsia="Calibri"/>
          <w:lang w:val="en-GB"/>
        </w:rPr>
      </w:pPr>
      <w:r w:rsidRPr="0099174E">
        <w:rPr>
          <w:rFonts w:eastAsia="Calibri"/>
          <w:b/>
          <w:lang w:val="en-GB"/>
        </w:rPr>
        <w:lastRenderedPageBreak/>
        <w:t xml:space="preserve">“Sub-project” </w:t>
      </w:r>
      <w:r w:rsidRPr="0099174E">
        <w:rPr>
          <w:rFonts w:eastAsia="Calibri"/>
          <w:lang w:val="en-GB"/>
        </w:rPr>
        <w:t xml:space="preserve">means an eligible investment scheme to be financed under the Project.  </w:t>
      </w:r>
    </w:p>
    <w:p w14:paraId="65AAED64" w14:textId="77777777" w:rsidR="0099174E" w:rsidRPr="0099174E" w:rsidRDefault="0099174E" w:rsidP="0099174E">
      <w:pPr>
        <w:spacing w:after="120"/>
        <w:jc w:val="both"/>
        <w:rPr>
          <w:lang w:val="en-GB"/>
        </w:rPr>
      </w:pPr>
      <w:r w:rsidRPr="0099174E">
        <w:rPr>
          <w:rFonts w:eastAsia="Calibri"/>
          <w:b/>
          <w:lang w:val="en-GB"/>
        </w:rPr>
        <w:t>“Tranche”</w:t>
      </w:r>
      <w:r w:rsidRPr="0099174E">
        <w:rPr>
          <w:rFonts w:eastAsia="Calibri"/>
          <w:lang w:val="en-GB"/>
        </w:rPr>
        <w:t xml:space="preserve"> means an amount disbursed or to be disbursed under the Loan</w:t>
      </w:r>
      <w:r w:rsidRPr="0099174E">
        <w:rPr>
          <w:lang w:val="en-GB"/>
        </w:rPr>
        <w:t>.</w:t>
      </w:r>
    </w:p>
    <w:p w14:paraId="69620C89"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33" w:name="_Toc43991793"/>
      <w:r w:rsidRPr="0099174E">
        <w:rPr>
          <w:szCs w:val="24"/>
        </w:rPr>
        <w:t>Construction</w:t>
      </w:r>
      <w:bookmarkEnd w:id="33"/>
    </w:p>
    <w:p w14:paraId="7187E398" w14:textId="77777777" w:rsidR="0099174E" w:rsidRPr="0099174E" w:rsidRDefault="0099174E" w:rsidP="0099174E">
      <w:pPr>
        <w:jc w:val="both"/>
        <w:rPr>
          <w:lang w:val="en-GB"/>
        </w:rPr>
      </w:pPr>
      <w:r w:rsidRPr="0099174E">
        <w:rPr>
          <w:lang w:val="en-GB"/>
        </w:rPr>
        <w:t>Unless the context otherwise requires, references to:</w:t>
      </w:r>
    </w:p>
    <w:p w14:paraId="053339C8" w14:textId="77777777" w:rsidR="0099174E" w:rsidRPr="0099174E" w:rsidRDefault="0099174E" w:rsidP="00436B0A">
      <w:pPr>
        <w:pStyle w:val="ListParagraph"/>
        <w:numPr>
          <w:ilvl w:val="0"/>
          <w:numId w:val="33"/>
        </w:numPr>
        <w:autoSpaceDE w:val="0"/>
        <w:autoSpaceDN w:val="0"/>
        <w:adjustRightInd w:val="0"/>
        <w:snapToGrid w:val="0"/>
        <w:spacing w:line="240" w:lineRule="auto"/>
        <w:ind w:right="49"/>
        <w:jc w:val="both"/>
        <w:rPr>
          <w:sz w:val="24"/>
          <w:szCs w:val="24"/>
        </w:rPr>
      </w:pPr>
      <w:r w:rsidRPr="0099174E">
        <w:rPr>
          <w:sz w:val="24"/>
          <w:szCs w:val="24"/>
        </w:rPr>
        <w:t xml:space="preserve">this Agreement shall be construed as references to this Agreement as supplemented, amended or restated from time to time;  </w:t>
      </w:r>
    </w:p>
    <w:p w14:paraId="193C4F01" w14:textId="77777777" w:rsidR="0099174E" w:rsidRPr="0099174E" w:rsidRDefault="0099174E" w:rsidP="00436B0A">
      <w:pPr>
        <w:pStyle w:val="ListParagraph"/>
        <w:numPr>
          <w:ilvl w:val="0"/>
          <w:numId w:val="33"/>
        </w:numPr>
        <w:autoSpaceDE w:val="0"/>
        <w:autoSpaceDN w:val="0"/>
        <w:adjustRightInd w:val="0"/>
        <w:snapToGrid w:val="0"/>
        <w:spacing w:line="240" w:lineRule="auto"/>
        <w:ind w:right="49"/>
        <w:jc w:val="both"/>
        <w:rPr>
          <w:sz w:val="24"/>
          <w:szCs w:val="24"/>
        </w:rPr>
      </w:pPr>
      <w:r w:rsidRPr="0099174E">
        <w:rPr>
          <w:sz w:val="24"/>
          <w:szCs w:val="24"/>
        </w:rPr>
        <w:t>“Clauses”, “Sub-clauses” and “Recitals” shall be construed as references to clauses, sub</w:t>
      </w:r>
      <w:r w:rsidRPr="0099174E">
        <w:rPr>
          <w:sz w:val="24"/>
          <w:szCs w:val="24"/>
        </w:rPr>
        <w:noBreakHyphen/>
        <w:t>clauses and recitals respectively of this Agreement; and</w:t>
      </w:r>
    </w:p>
    <w:p w14:paraId="39AF8652" w14:textId="77777777" w:rsidR="0099174E" w:rsidRPr="0099174E" w:rsidRDefault="0099174E" w:rsidP="00436B0A">
      <w:pPr>
        <w:pStyle w:val="ListParagraph"/>
        <w:numPr>
          <w:ilvl w:val="0"/>
          <w:numId w:val="33"/>
        </w:numPr>
        <w:autoSpaceDE w:val="0"/>
        <w:autoSpaceDN w:val="0"/>
        <w:adjustRightInd w:val="0"/>
        <w:snapToGrid w:val="0"/>
        <w:spacing w:line="240" w:lineRule="auto"/>
        <w:ind w:right="49"/>
        <w:jc w:val="both"/>
        <w:rPr>
          <w:sz w:val="24"/>
          <w:szCs w:val="24"/>
        </w:rPr>
      </w:pPr>
      <w:r w:rsidRPr="0099174E">
        <w:rPr>
          <w:sz w:val="24"/>
          <w:szCs w:val="24"/>
        </w:rPr>
        <w:t>words importing the singular shall include the plural and vice-versa.</w:t>
      </w:r>
    </w:p>
    <w:p w14:paraId="1DC0D108"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34" w:name="_Toc43991794"/>
      <w:r w:rsidRPr="0099174E">
        <w:rPr>
          <w:szCs w:val="24"/>
        </w:rPr>
        <w:t>Headings</w:t>
      </w:r>
      <w:bookmarkEnd w:id="34"/>
      <w:r w:rsidRPr="0099174E">
        <w:rPr>
          <w:szCs w:val="24"/>
        </w:rPr>
        <w:t xml:space="preserve"> </w:t>
      </w:r>
    </w:p>
    <w:p w14:paraId="091FE033" w14:textId="77777777" w:rsidR="0099174E" w:rsidRPr="0099174E" w:rsidRDefault="0099174E" w:rsidP="0099174E">
      <w:pPr>
        <w:jc w:val="both"/>
        <w:rPr>
          <w:lang w:val="en-GB"/>
        </w:rPr>
      </w:pPr>
      <w:r w:rsidRPr="0099174E">
        <w:rPr>
          <w:lang w:val="en-GB"/>
        </w:rPr>
        <w:t>Headings in this Agreement have no legal significance and do not affect its interpretation.</w:t>
      </w:r>
    </w:p>
    <w:p w14:paraId="26E8B229"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35" w:name="_Toc43991795"/>
      <w:r w:rsidRPr="0099174E">
        <w:rPr>
          <w:szCs w:val="24"/>
        </w:rPr>
        <w:t>Rounding</w:t>
      </w:r>
      <w:bookmarkEnd w:id="35"/>
    </w:p>
    <w:p w14:paraId="48079A1F" w14:textId="77777777" w:rsidR="0099174E" w:rsidRPr="0099174E" w:rsidRDefault="0099174E" w:rsidP="0099174E">
      <w:pPr>
        <w:jc w:val="both"/>
        <w:rPr>
          <w:lang w:val="en-GB"/>
        </w:rPr>
      </w:pPr>
      <w:r w:rsidRPr="0099174E">
        <w:rPr>
          <w:lang w:val="en-GB"/>
        </w:rPr>
        <w:t xml:space="preserve">For the purposes of any calculations referred to in this Agreement: </w:t>
      </w:r>
    </w:p>
    <w:p w14:paraId="66B07F2F" w14:textId="77777777" w:rsidR="0099174E" w:rsidRPr="0099174E" w:rsidRDefault="0099174E" w:rsidP="00436B0A">
      <w:pPr>
        <w:pStyle w:val="ListParagraph"/>
        <w:numPr>
          <w:ilvl w:val="0"/>
          <w:numId w:val="34"/>
        </w:numPr>
        <w:autoSpaceDE w:val="0"/>
        <w:autoSpaceDN w:val="0"/>
        <w:adjustRightInd w:val="0"/>
        <w:snapToGrid w:val="0"/>
        <w:spacing w:line="240" w:lineRule="auto"/>
        <w:ind w:right="49"/>
        <w:jc w:val="both"/>
        <w:rPr>
          <w:sz w:val="24"/>
          <w:szCs w:val="24"/>
        </w:rPr>
      </w:pPr>
      <w:r w:rsidRPr="0099174E">
        <w:rPr>
          <w:sz w:val="24"/>
          <w:szCs w:val="24"/>
        </w:rPr>
        <w:t>all percentages resulting from such calculations other than those determined through the use of interpolation will be rounded, if necessary, to the nearest one hundred-thousandth of a percentage point (</w:t>
      </w:r>
      <w:r w:rsidRPr="0099174E">
        <w:rPr>
          <w:i/>
          <w:sz w:val="24"/>
          <w:szCs w:val="24"/>
        </w:rPr>
        <w:t>e.g.</w:t>
      </w:r>
      <w:r w:rsidRPr="0099174E">
        <w:rPr>
          <w:sz w:val="24"/>
          <w:szCs w:val="24"/>
        </w:rPr>
        <w:t xml:space="preserve">, 9.876541% (or .09876541) being rounded down to 9.87654% (or .0987654) and 9.876545% (or .09876545) being rounded up to 9.87655% (or .0987655)); </w:t>
      </w:r>
    </w:p>
    <w:p w14:paraId="1C0C2BCE" w14:textId="77777777" w:rsidR="0099174E" w:rsidRPr="0099174E" w:rsidRDefault="0099174E" w:rsidP="00436B0A">
      <w:pPr>
        <w:pStyle w:val="ListParagraph"/>
        <w:numPr>
          <w:ilvl w:val="0"/>
          <w:numId w:val="34"/>
        </w:numPr>
        <w:autoSpaceDE w:val="0"/>
        <w:autoSpaceDN w:val="0"/>
        <w:adjustRightInd w:val="0"/>
        <w:snapToGrid w:val="0"/>
        <w:spacing w:line="240" w:lineRule="auto"/>
        <w:ind w:right="49"/>
        <w:jc w:val="both"/>
        <w:rPr>
          <w:sz w:val="24"/>
          <w:szCs w:val="24"/>
        </w:rPr>
      </w:pPr>
      <w:r w:rsidRPr="0099174E">
        <w:rPr>
          <w:sz w:val="24"/>
          <w:szCs w:val="24"/>
        </w:rPr>
        <w:t xml:space="preserve">all percentages determined through the use of linear interpolation by reference to two (2) relevant Reference Rates will be rounded, if necessary, in accordance with the method set forth in subsection (a) above, but to the same degree of accuracy as the two (2) rates used to make the determination (except that such percentages will not be rounded to a lower degree of accuracy than the nearest one thousandth of a percentage point (0.001%)); and </w:t>
      </w:r>
    </w:p>
    <w:p w14:paraId="19F94FBC" w14:textId="77777777" w:rsidR="0099174E" w:rsidRPr="0099174E" w:rsidRDefault="0099174E" w:rsidP="00436B0A">
      <w:pPr>
        <w:pStyle w:val="ListParagraph"/>
        <w:numPr>
          <w:ilvl w:val="0"/>
          <w:numId w:val="34"/>
        </w:numPr>
        <w:autoSpaceDE w:val="0"/>
        <w:autoSpaceDN w:val="0"/>
        <w:adjustRightInd w:val="0"/>
        <w:snapToGrid w:val="0"/>
        <w:spacing w:line="240" w:lineRule="auto"/>
        <w:ind w:right="49"/>
        <w:jc w:val="both"/>
        <w:rPr>
          <w:sz w:val="24"/>
          <w:szCs w:val="24"/>
        </w:rPr>
      </w:pPr>
      <w:r w:rsidRPr="0099174E">
        <w:rPr>
          <w:sz w:val="24"/>
          <w:szCs w:val="24"/>
        </w:rPr>
        <w:t>all currency amounts used in or resulting from the above calculations will be rounded, unless otherwise specified in the relevant Currency definition, to the nearest two decimal places in the relevant currency (with .005 being rounded upwards (</w:t>
      </w:r>
      <w:r w:rsidRPr="0099174E">
        <w:rPr>
          <w:i/>
          <w:sz w:val="24"/>
          <w:szCs w:val="24"/>
        </w:rPr>
        <w:t>e.g.</w:t>
      </w:r>
      <w:r w:rsidRPr="0099174E">
        <w:rPr>
          <w:sz w:val="24"/>
          <w:szCs w:val="24"/>
        </w:rPr>
        <w:t>, .674 being rounded down to .67 and .675 being rounded up to .68).</w:t>
      </w:r>
    </w:p>
    <w:p w14:paraId="0C74A73B" w14:textId="77777777" w:rsidR="0099174E" w:rsidRPr="0099174E" w:rsidRDefault="0099174E" w:rsidP="0099174E">
      <w:pPr>
        <w:jc w:val="both"/>
        <w:rPr>
          <w:lang w:val="en-GB"/>
        </w:rPr>
      </w:pPr>
    </w:p>
    <w:p w14:paraId="7240444B"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36" w:name="_Toc43991796"/>
      <w:r w:rsidRPr="0099174E">
        <w:rPr>
          <w:szCs w:val="24"/>
        </w:rPr>
        <w:t>CONDITIONS</w:t>
      </w:r>
      <w:bookmarkEnd w:id="36"/>
    </w:p>
    <w:p w14:paraId="2688E47D" w14:textId="77777777" w:rsidR="0099174E" w:rsidRPr="0099174E" w:rsidRDefault="0099174E" w:rsidP="0099174E">
      <w:pPr>
        <w:jc w:val="both"/>
        <w:rPr>
          <w:lang w:val="en-GB"/>
        </w:rPr>
      </w:pPr>
      <w:r w:rsidRPr="0099174E">
        <w:rPr>
          <w:lang w:val="en-GB"/>
        </w:rPr>
        <w:t>The Loan is granted under the general conditions of the Loan Regulations and under the special conditions of the Agreement.</w:t>
      </w:r>
    </w:p>
    <w:p w14:paraId="6CB250F8" w14:textId="77777777" w:rsidR="0099174E" w:rsidRPr="0099174E" w:rsidRDefault="0099174E" w:rsidP="0099174E">
      <w:pPr>
        <w:jc w:val="both"/>
        <w:rPr>
          <w:lang w:val="en-GB"/>
        </w:rPr>
      </w:pPr>
    </w:p>
    <w:p w14:paraId="0FD937D4"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37" w:name="_Toc43991797"/>
      <w:r w:rsidRPr="0099174E">
        <w:rPr>
          <w:szCs w:val="24"/>
        </w:rPr>
        <w:t>PURPOSE</w:t>
      </w:r>
      <w:bookmarkEnd w:id="37"/>
    </w:p>
    <w:p w14:paraId="1B3F6BB4" w14:textId="77777777" w:rsidR="0099174E" w:rsidRPr="0099174E" w:rsidRDefault="0099174E" w:rsidP="00357CA0">
      <w:pPr>
        <w:spacing w:after="120"/>
        <w:jc w:val="both"/>
        <w:rPr>
          <w:lang w:val="en-GB"/>
        </w:rPr>
      </w:pPr>
      <w:r w:rsidRPr="0099174E">
        <w:rPr>
          <w:lang w:val="en-GB"/>
        </w:rPr>
        <w:t>The CEB grants the Loan to the Borrower, who accepts it, solely for the purpose of financing the Project as described under Appendix 1 hereto.</w:t>
      </w:r>
    </w:p>
    <w:p w14:paraId="6B1387E5" w14:textId="77777777" w:rsidR="0099174E" w:rsidRPr="0099174E" w:rsidRDefault="0099174E" w:rsidP="0099174E">
      <w:pPr>
        <w:jc w:val="both"/>
        <w:rPr>
          <w:lang w:val="en-GB"/>
        </w:rPr>
      </w:pPr>
      <w:r w:rsidRPr="0099174E">
        <w:rPr>
          <w:lang w:val="en-GB"/>
        </w:rPr>
        <w:lastRenderedPageBreak/>
        <w:t>Any change to the way the Loan is applied that has not received the CEB’s approval would constitute an event in the terms of Article 3.3 (h) of the Loan Regulations and may give rise to the early reimbursement, suspension or cancellation of the Loan under the terms of Articles 3.3 (</w:t>
      </w:r>
      <w:r w:rsidRPr="0099174E">
        <w:rPr>
          <w:i/>
          <w:lang w:val="en-GB"/>
        </w:rPr>
        <w:t>Early reimbursement of disbursed loans</w:t>
      </w:r>
      <w:r w:rsidRPr="0099174E">
        <w:rPr>
          <w:lang w:val="en-GB"/>
        </w:rPr>
        <w:t>), 3.5 (</w:t>
      </w:r>
      <w:r w:rsidRPr="0099174E">
        <w:rPr>
          <w:i/>
          <w:lang w:val="en-GB"/>
        </w:rPr>
        <w:t>Suspension by the Bank of undisbursed loans</w:t>
      </w:r>
      <w:r w:rsidRPr="0099174E">
        <w:rPr>
          <w:lang w:val="en-GB"/>
        </w:rPr>
        <w:t>) and 3.6 (</w:t>
      </w:r>
      <w:r w:rsidRPr="0099174E">
        <w:rPr>
          <w:i/>
          <w:lang w:val="en-GB"/>
        </w:rPr>
        <w:t>Cancellation by the Bank of undisbursed loans</w:t>
      </w:r>
      <w:r w:rsidRPr="0099174E">
        <w:rPr>
          <w:lang w:val="en-GB"/>
        </w:rPr>
        <w:t>) of the Loan Regulations.</w:t>
      </w:r>
    </w:p>
    <w:p w14:paraId="67513C2C" w14:textId="77777777" w:rsidR="0099174E" w:rsidRPr="0099174E" w:rsidRDefault="0099174E" w:rsidP="0099174E">
      <w:pPr>
        <w:jc w:val="both"/>
        <w:rPr>
          <w:lang w:val="en-GB"/>
        </w:rPr>
      </w:pPr>
    </w:p>
    <w:p w14:paraId="327E580D"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38" w:name="_Toc43991798"/>
      <w:r w:rsidRPr="0099174E">
        <w:rPr>
          <w:szCs w:val="24"/>
        </w:rPr>
        <w:t>FINANCIAL CONDITIONS</w:t>
      </w:r>
      <w:bookmarkEnd w:id="38"/>
    </w:p>
    <w:p w14:paraId="3404AC10"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39" w:name="_Ref474422064"/>
      <w:bookmarkStart w:id="40" w:name="_Toc43991799"/>
      <w:r w:rsidRPr="0099174E">
        <w:rPr>
          <w:szCs w:val="24"/>
        </w:rPr>
        <w:t>Loan Amount</w:t>
      </w:r>
      <w:bookmarkEnd w:id="39"/>
      <w:bookmarkEnd w:id="40"/>
      <w:r w:rsidRPr="0099174E">
        <w:rPr>
          <w:szCs w:val="24"/>
        </w:rPr>
        <w:t xml:space="preserve"> </w:t>
      </w:r>
    </w:p>
    <w:p w14:paraId="3249A446" w14:textId="77777777" w:rsidR="0099174E" w:rsidRPr="0099174E" w:rsidRDefault="0099174E" w:rsidP="0099174E">
      <w:pPr>
        <w:jc w:val="both"/>
        <w:rPr>
          <w:lang w:val="en-GB"/>
        </w:rPr>
      </w:pPr>
      <w:r w:rsidRPr="0099174E">
        <w:rPr>
          <w:lang w:val="en-GB"/>
        </w:rPr>
        <w:t>The Loan Amount is:</w:t>
      </w:r>
    </w:p>
    <w:p w14:paraId="4E2FEFB0" w14:textId="77777777" w:rsidR="0099174E" w:rsidRPr="0099174E" w:rsidRDefault="0099174E" w:rsidP="00805D02">
      <w:pPr>
        <w:jc w:val="center"/>
        <w:rPr>
          <w:i/>
          <w:lang w:val="en-GB"/>
        </w:rPr>
      </w:pPr>
      <w:r w:rsidRPr="0099174E">
        <w:rPr>
          <w:i/>
          <w:lang w:val="en-GB"/>
        </w:rPr>
        <w:t>Two hundred million Euros</w:t>
      </w:r>
    </w:p>
    <w:p w14:paraId="200B201C" w14:textId="77777777" w:rsidR="0099174E" w:rsidRPr="0099174E" w:rsidRDefault="0099174E" w:rsidP="00805D02">
      <w:pPr>
        <w:jc w:val="center"/>
        <w:rPr>
          <w:lang w:val="en-GB"/>
        </w:rPr>
      </w:pPr>
      <w:r w:rsidRPr="0099174E">
        <w:rPr>
          <w:lang w:val="en-GB"/>
        </w:rPr>
        <w:t>EUR 200,000,000</w:t>
      </w:r>
    </w:p>
    <w:p w14:paraId="65DB9E99"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1" w:name="_Ref474422138"/>
      <w:bookmarkStart w:id="42" w:name="_Toc43991800"/>
      <w:r w:rsidRPr="0099174E">
        <w:rPr>
          <w:szCs w:val="24"/>
        </w:rPr>
        <w:t>Disbursement Amount</w:t>
      </w:r>
      <w:bookmarkEnd w:id="41"/>
      <w:bookmarkEnd w:id="42"/>
      <w:r w:rsidRPr="0099174E">
        <w:rPr>
          <w:szCs w:val="24"/>
        </w:rPr>
        <w:t xml:space="preserve"> </w:t>
      </w:r>
    </w:p>
    <w:p w14:paraId="356037E9" w14:textId="77777777" w:rsidR="0099174E" w:rsidRPr="0099174E" w:rsidRDefault="0099174E" w:rsidP="00357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99174E">
        <w:rPr>
          <w:lang w:val="en-GB"/>
        </w:rPr>
        <w:t>The Loan shall be disbursed in a minimum of two (2) Tranches.</w:t>
      </w:r>
    </w:p>
    <w:p w14:paraId="474DC7CD"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r w:rsidRPr="0099174E">
        <w:rPr>
          <w:lang w:val="en-GB"/>
        </w:rPr>
        <w:t>The amount of each Tranche shall be determined according to the absorption capacity of the Project. The amount of the first Tranche shall not exceed seventy five per cent (75%) of the Loan Amount.</w:t>
      </w:r>
    </w:p>
    <w:p w14:paraId="0DF6DB5E"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3" w:name="_Toc43991801"/>
      <w:r w:rsidRPr="0099174E">
        <w:rPr>
          <w:szCs w:val="24"/>
        </w:rPr>
        <w:t>Disbursement Procedure</w:t>
      </w:r>
      <w:bookmarkEnd w:id="43"/>
    </w:p>
    <w:p w14:paraId="524A5B19" w14:textId="77777777" w:rsidR="0099174E" w:rsidRPr="0099174E" w:rsidRDefault="0099174E" w:rsidP="00357CA0">
      <w:pPr>
        <w:spacing w:after="120"/>
        <w:jc w:val="both"/>
        <w:rPr>
          <w:lang w:val="en-GB"/>
        </w:rPr>
      </w:pPr>
      <w:r w:rsidRPr="0099174E">
        <w:rPr>
          <w:lang w:val="en-GB"/>
        </w:rPr>
        <w:t xml:space="preserve">The disbursement of each Tranche is determined through the following procedure: </w:t>
      </w:r>
    </w:p>
    <w:p w14:paraId="09959F88" w14:textId="77777777" w:rsidR="0099174E" w:rsidRPr="0099174E" w:rsidRDefault="0099174E" w:rsidP="00436B0A">
      <w:pPr>
        <w:pStyle w:val="ListParagraph"/>
        <w:numPr>
          <w:ilvl w:val="0"/>
          <w:numId w:val="20"/>
        </w:numPr>
        <w:autoSpaceDE w:val="0"/>
        <w:autoSpaceDN w:val="0"/>
        <w:adjustRightInd w:val="0"/>
        <w:snapToGrid w:val="0"/>
        <w:spacing w:after="120" w:line="240" w:lineRule="auto"/>
        <w:ind w:left="714" w:right="51" w:hanging="357"/>
        <w:jc w:val="both"/>
        <w:rPr>
          <w:sz w:val="24"/>
          <w:szCs w:val="24"/>
        </w:rPr>
      </w:pPr>
      <w:r w:rsidRPr="0099174E">
        <w:rPr>
          <w:sz w:val="24"/>
          <w:szCs w:val="24"/>
        </w:rPr>
        <w:t xml:space="preserve">Disbursement Request </w:t>
      </w:r>
    </w:p>
    <w:p w14:paraId="4C15E8E4" w14:textId="77777777" w:rsidR="0099174E" w:rsidRPr="0099174E" w:rsidRDefault="0099174E" w:rsidP="00805D02">
      <w:pPr>
        <w:spacing w:after="120"/>
        <w:jc w:val="both"/>
        <w:rPr>
          <w:lang w:val="en-GB"/>
        </w:rPr>
      </w:pPr>
      <w:r w:rsidRPr="0099174E">
        <w:rPr>
          <w:lang w:val="en-GB"/>
        </w:rPr>
        <w:t xml:space="preserve">Prior to each disbursement, the Borrower shall submit to the CEB a disbursement request substantially in the form set out under Appendix 3 hereto (hereinafter, a </w:t>
      </w:r>
      <w:r w:rsidRPr="0099174E">
        <w:rPr>
          <w:b/>
          <w:lang w:val="en-GB"/>
        </w:rPr>
        <w:t>“Disbursement Request”</w:t>
      </w:r>
      <w:r w:rsidRPr="0099174E">
        <w:rPr>
          <w:lang w:val="en-GB"/>
        </w:rPr>
        <w:t>).</w:t>
      </w:r>
    </w:p>
    <w:p w14:paraId="7F944D6A" w14:textId="77777777" w:rsidR="0099174E" w:rsidRPr="0099174E" w:rsidRDefault="0099174E" w:rsidP="00805D02">
      <w:pPr>
        <w:spacing w:after="120"/>
        <w:jc w:val="both"/>
        <w:rPr>
          <w:lang w:val="en-US"/>
        </w:rPr>
      </w:pPr>
      <w:r w:rsidRPr="0099174E">
        <w:rPr>
          <w:lang w:val="en-US"/>
        </w:rPr>
        <w:t xml:space="preserve">A Disbursement Request shall specify </w:t>
      </w:r>
      <w:r w:rsidRPr="0099174E">
        <w:rPr>
          <w:lang w:val="en-GB"/>
        </w:rPr>
        <w:t>the</w:t>
      </w:r>
      <w:r w:rsidRPr="0099174E">
        <w:rPr>
          <w:lang w:val="en-US"/>
        </w:rPr>
        <w:t>:</w:t>
      </w:r>
    </w:p>
    <w:p w14:paraId="776ACC7F"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Currency(ies) and amount(s) for the Tranche;</w:t>
      </w:r>
    </w:p>
    <w:p w14:paraId="5734210B"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Disbursement Date; such Disbursement Date shall be a Business Day falling at least five (5) Business Days but not later than twenty (20) Business Days after the date of the Disbursement Request;</w:t>
      </w:r>
    </w:p>
    <w:p w14:paraId="05E4750C"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 xml:space="preserve">Principal Repayment Date(s), including the Maturity Date, taking into account that the Principal Repayment Period for each Tranche shall not exceed twelve (12) years, including a grace period not greater than three (3) years; </w:t>
      </w:r>
    </w:p>
    <w:p w14:paraId="286AFCDE"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maximum Fixed Interest Rate or maximum Spread to the Reference Rate;</w:t>
      </w:r>
    </w:p>
    <w:p w14:paraId="2B738A45"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 xml:space="preserve">Interest Period and Interest Payment Dates; </w:t>
      </w:r>
    </w:p>
    <w:p w14:paraId="0A8C46B2" w14:textId="77777777" w:rsidR="0099174E" w:rsidRPr="0099174E" w:rsidRDefault="0099174E" w:rsidP="00436B0A">
      <w:pPr>
        <w:pStyle w:val="ListParagraph"/>
        <w:numPr>
          <w:ilvl w:val="0"/>
          <w:numId w:val="19"/>
        </w:numPr>
        <w:autoSpaceDE w:val="0"/>
        <w:autoSpaceDN w:val="0"/>
        <w:adjustRightInd w:val="0"/>
        <w:snapToGrid w:val="0"/>
        <w:spacing w:line="240" w:lineRule="auto"/>
        <w:ind w:left="1276" w:right="49" w:hanging="567"/>
        <w:jc w:val="both"/>
        <w:rPr>
          <w:sz w:val="24"/>
          <w:szCs w:val="24"/>
        </w:rPr>
      </w:pPr>
      <w:r w:rsidRPr="0099174E">
        <w:rPr>
          <w:sz w:val="24"/>
          <w:szCs w:val="24"/>
        </w:rPr>
        <w:t>Day Count Convention and Business Days; and</w:t>
      </w:r>
    </w:p>
    <w:p w14:paraId="4280D509" w14:textId="77777777" w:rsidR="0099174E" w:rsidRPr="0099174E" w:rsidRDefault="0099174E" w:rsidP="00436B0A">
      <w:pPr>
        <w:pStyle w:val="ListParagraph"/>
        <w:numPr>
          <w:ilvl w:val="0"/>
          <w:numId w:val="19"/>
        </w:numPr>
        <w:autoSpaceDE w:val="0"/>
        <w:autoSpaceDN w:val="0"/>
        <w:adjustRightInd w:val="0"/>
        <w:snapToGrid w:val="0"/>
        <w:spacing w:after="120" w:line="240" w:lineRule="auto"/>
        <w:ind w:left="1276" w:right="51" w:hanging="567"/>
        <w:jc w:val="both"/>
        <w:rPr>
          <w:sz w:val="24"/>
          <w:szCs w:val="24"/>
        </w:rPr>
      </w:pPr>
      <w:r w:rsidRPr="0099174E">
        <w:rPr>
          <w:sz w:val="24"/>
          <w:szCs w:val="24"/>
        </w:rPr>
        <w:t>Borrower’s account for payments.</w:t>
      </w:r>
    </w:p>
    <w:p w14:paraId="637980DA" w14:textId="77777777" w:rsidR="0099174E" w:rsidRPr="0099174E" w:rsidRDefault="0099174E" w:rsidP="00805D02">
      <w:pPr>
        <w:spacing w:after="120"/>
        <w:jc w:val="both"/>
        <w:rPr>
          <w:lang w:val="en-GB"/>
        </w:rPr>
      </w:pPr>
      <w:r w:rsidRPr="0099174E">
        <w:rPr>
          <w:lang w:val="en-GB"/>
        </w:rPr>
        <w:t>Each Disbursement Request delivered to the CEB shall be irrevocable, unless otherwise agreed in writing by the CEB.</w:t>
      </w:r>
    </w:p>
    <w:p w14:paraId="47510915" w14:textId="77777777" w:rsidR="0099174E" w:rsidRPr="0099174E" w:rsidRDefault="0099174E" w:rsidP="00436B0A">
      <w:pPr>
        <w:pStyle w:val="ListParagraph"/>
        <w:numPr>
          <w:ilvl w:val="0"/>
          <w:numId w:val="20"/>
        </w:numPr>
        <w:autoSpaceDE w:val="0"/>
        <w:autoSpaceDN w:val="0"/>
        <w:adjustRightInd w:val="0"/>
        <w:snapToGrid w:val="0"/>
        <w:spacing w:after="120" w:line="240" w:lineRule="auto"/>
        <w:ind w:left="714" w:right="51" w:hanging="357"/>
        <w:jc w:val="both"/>
        <w:rPr>
          <w:sz w:val="24"/>
          <w:szCs w:val="24"/>
        </w:rPr>
      </w:pPr>
      <w:r w:rsidRPr="0099174E">
        <w:rPr>
          <w:sz w:val="24"/>
          <w:szCs w:val="24"/>
        </w:rPr>
        <w:t>Disbursement Notice</w:t>
      </w:r>
    </w:p>
    <w:p w14:paraId="0AD634F6" w14:textId="72296379" w:rsidR="0099174E" w:rsidRPr="0099174E" w:rsidRDefault="0099174E" w:rsidP="00805D02">
      <w:pPr>
        <w:spacing w:after="120"/>
        <w:jc w:val="both"/>
        <w:rPr>
          <w:lang w:val="en-GB"/>
        </w:rPr>
      </w:pPr>
      <w:r w:rsidRPr="0099174E">
        <w:rPr>
          <w:lang w:val="en-GB"/>
        </w:rPr>
        <w:lastRenderedPageBreak/>
        <w:t xml:space="preserve">If the CEB receives a Disbursement Request that complies with the Disbursement Request requirements set out in Sub-clause 4.3(a) above, and if all other relevant Disbursement Conditions as defined in Sub-clause </w:t>
      </w:r>
      <w:r w:rsidRPr="0099174E">
        <w:rPr>
          <w:lang w:val="en-GB"/>
        </w:rPr>
        <w:fldChar w:fldCharType="begin"/>
      </w:r>
      <w:r w:rsidRPr="0099174E">
        <w:rPr>
          <w:lang w:val="en-GB"/>
        </w:rPr>
        <w:instrText xml:space="preserve"> REF _Ref466472172 \r \h  \* MERGEFORMAT </w:instrText>
      </w:r>
      <w:r w:rsidRPr="0099174E">
        <w:rPr>
          <w:lang w:val="en-GB"/>
        </w:rPr>
      </w:r>
      <w:r w:rsidRPr="0099174E">
        <w:rPr>
          <w:lang w:val="en-GB"/>
        </w:rPr>
        <w:fldChar w:fldCharType="separate"/>
      </w:r>
      <w:r w:rsidR="00A13370">
        <w:rPr>
          <w:lang w:val="en-GB"/>
        </w:rPr>
        <w:t>4.5</w:t>
      </w:r>
      <w:r w:rsidRPr="0099174E">
        <w:rPr>
          <w:lang w:val="en-GB"/>
        </w:rPr>
        <w:fldChar w:fldCharType="end"/>
      </w:r>
      <w:r w:rsidRPr="0099174E">
        <w:rPr>
          <w:lang w:val="en-GB"/>
        </w:rPr>
        <w:t xml:space="preserve"> (</w:t>
      </w:r>
      <w:r w:rsidRPr="0099174E">
        <w:rPr>
          <w:i/>
          <w:lang w:val="en-GB"/>
        </w:rPr>
        <w:t>Disbursement Conditions</w:t>
      </w:r>
      <w:r w:rsidRPr="0099174E">
        <w:rPr>
          <w:lang w:val="en-GB"/>
        </w:rPr>
        <w:t xml:space="preserve">) below have been fulfilled by the Borrower, the CEB shall deliver to the Borrower a disbursement notice substantially in the form set out under Appendix 3 hereto (hereinafter, a </w:t>
      </w:r>
      <w:r w:rsidRPr="0099174E">
        <w:rPr>
          <w:b/>
          <w:lang w:val="en-GB"/>
        </w:rPr>
        <w:t>“Disbursement Notice”</w:t>
      </w:r>
      <w:r w:rsidRPr="0099174E">
        <w:rPr>
          <w:lang w:val="en-GB"/>
        </w:rPr>
        <w:t xml:space="preserve">). Each Disbursement Notice shall be delivered at least two (2) Business Days before the proposed Disbursement Date. </w:t>
      </w:r>
    </w:p>
    <w:p w14:paraId="56BA7C09" w14:textId="77777777" w:rsidR="0099174E" w:rsidRPr="0099174E" w:rsidRDefault="0099174E" w:rsidP="00805D02">
      <w:pPr>
        <w:spacing w:after="120"/>
        <w:jc w:val="both"/>
        <w:rPr>
          <w:lang w:val="en-US"/>
        </w:rPr>
      </w:pPr>
      <w:r w:rsidRPr="0099174E">
        <w:rPr>
          <w:lang w:val="en-US"/>
        </w:rPr>
        <w:t>A Disbursement Notice shall specify:</w:t>
      </w:r>
    </w:p>
    <w:p w14:paraId="4B3547BA"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Currency(ies) and amount(s) for the Tranche;</w:t>
      </w:r>
    </w:p>
    <w:p w14:paraId="560D77F8"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Disbursement Date;</w:t>
      </w:r>
    </w:p>
    <w:p w14:paraId="5DC05748"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 xml:space="preserve">Principal Repayment Period and Principal Repayment Date(s), including the Maturity Date; </w:t>
      </w:r>
    </w:p>
    <w:p w14:paraId="36E15E77"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Fixed Interest Rate or Spread to the Reference Rate;</w:t>
      </w:r>
    </w:p>
    <w:p w14:paraId="7EF1D7FD"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 xml:space="preserve">Interest Period and Interest Payment Dates; </w:t>
      </w:r>
    </w:p>
    <w:p w14:paraId="1EF8002B" w14:textId="77777777" w:rsidR="0099174E" w:rsidRPr="0099174E" w:rsidRDefault="0099174E" w:rsidP="00436B0A">
      <w:pPr>
        <w:pStyle w:val="ListParagraph"/>
        <w:numPr>
          <w:ilvl w:val="0"/>
          <w:numId w:val="21"/>
        </w:numPr>
        <w:autoSpaceDE w:val="0"/>
        <w:autoSpaceDN w:val="0"/>
        <w:adjustRightInd w:val="0"/>
        <w:snapToGrid w:val="0"/>
        <w:spacing w:line="240" w:lineRule="auto"/>
        <w:ind w:left="1276" w:right="49" w:hanging="567"/>
        <w:jc w:val="both"/>
        <w:rPr>
          <w:sz w:val="24"/>
          <w:szCs w:val="24"/>
        </w:rPr>
      </w:pPr>
      <w:r w:rsidRPr="0099174E">
        <w:rPr>
          <w:sz w:val="24"/>
          <w:szCs w:val="24"/>
        </w:rPr>
        <w:t>Day Count Convention and Business Days; and</w:t>
      </w:r>
    </w:p>
    <w:p w14:paraId="2B2B43D2" w14:textId="77777777" w:rsidR="0099174E" w:rsidRPr="0099174E" w:rsidRDefault="0099174E" w:rsidP="00436B0A">
      <w:pPr>
        <w:pStyle w:val="ListParagraph"/>
        <w:numPr>
          <w:ilvl w:val="0"/>
          <w:numId w:val="21"/>
        </w:numPr>
        <w:autoSpaceDE w:val="0"/>
        <w:autoSpaceDN w:val="0"/>
        <w:adjustRightInd w:val="0"/>
        <w:snapToGrid w:val="0"/>
        <w:spacing w:after="120" w:line="240" w:lineRule="auto"/>
        <w:ind w:left="1276" w:right="51" w:hanging="567"/>
        <w:jc w:val="both"/>
        <w:rPr>
          <w:sz w:val="24"/>
          <w:szCs w:val="24"/>
        </w:rPr>
      </w:pPr>
      <w:r w:rsidRPr="0099174E">
        <w:rPr>
          <w:sz w:val="24"/>
          <w:szCs w:val="24"/>
        </w:rPr>
        <w:t>Borrower’s and CEB’s accounts for payments.</w:t>
      </w:r>
    </w:p>
    <w:p w14:paraId="35D58CBB" w14:textId="77777777" w:rsidR="0099174E" w:rsidRPr="0099174E" w:rsidRDefault="0099174E" w:rsidP="00805D02">
      <w:pPr>
        <w:spacing w:after="120"/>
        <w:jc w:val="both"/>
        <w:rPr>
          <w:lang w:val="en-GB"/>
        </w:rPr>
      </w:pPr>
      <w:r w:rsidRPr="0099174E">
        <w:rPr>
          <w:lang w:val="en-GB"/>
        </w:rPr>
        <w:t>If the Borrower has submitted to the CEB a Disbursement Request in which the Borrower has not proposed a Fixed Interest Rate or a Floating Interest Rate, the Borrower shall be deemed to agree in advance to the one subsequently specified by the CEB in the Disbursement Notice.</w:t>
      </w:r>
    </w:p>
    <w:p w14:paraId="5C84B9AC" w14:textId="77777777" w:rsidR="0099174E" w:rsidRPr="0099174E" w:rsidRDefault="0099174E" w:rsidP="00805D02">
      <w:pPr>
        <w:spacing w:after="120"/>
        <w:jc w:val="both"/>
        <w:rPr>
          <w:lang w:val="en-GB"/>
        </w:rPr>
      </w:pPr>
      <w:r w:rsidRPr="0099174E">
        <w:rPr>
          <w:lang w:val="en-GB"/>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14:paraId="6AD3F038" w14:textId="77777777" w:rsidR="0099174E" w:rsidRPr="0099174E" w:rsidRDefault="0099174E" w:rsidP="0099174E">
      <w:pPr>
        <w:jc w:val="both"/>
        <w:rPr>
          <w:lang w:val="en-GB"/>
        </w:rPr>
      </w:pPr>
      <w:r w:rsidRPr="0099174E">
        <w:rPr>
          <w:lang w:val="en-GB"/>
        </w:rPr>
        <w:t>Notwithstanding the above, if the CEB has not delivered a Disbursement Notice within ten (10) Business Days following the receipt of a Disbursement Request, the relevant Disbursement Request shall be deemed as cancelled.</w:t>
      </w:r>
    </w:p>
    <w:p w14:paraId="5FB39465"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4" w:name="_Toc43991802"/>
      <w:r w:rsidRPr="0099174E">
        <w:rPr>
          <w:szCs w:val="24"/>
        </w:rPr>
        <w:t>Disbursement Period</w:t>
      </w:r>
      <w:bookmarkEnd w:id="44"/>
    </w:p>
    <w:p w14:paraId="0750D0DE" w14:textId="77777777" w:rsidR="0099174E" w:rsidRPr="0099174E" w:rsidRDefault="0099174E" w:rsidP="00357CA0">
      <w:pPr>
        <w:spacing w:after="120"/>
        <w:jc w:val="both"/>
        <w:rPr>
          <w:lang w:val="en-GB"/>
        </w:rPr>
      </w:pPr>
      <w:r w:rsidRPr="0099174E">
        <w:rPr>
          <w:lang w:val="en-GB"/>
        </w:rPr>
        <w:t>Unless otherwise agreed in writing by the CEB, the Borrower shall not be entitled to:</w:t>
      </w:r>
    </w:p>
    <w:p w14:paraId="426996E3" w14:textId="77777777" w:rsidR="0099174E" w:rsidRPr="0099174E" w:rsidRDefault="0099174E" w:rsidP="00436B0A">
      <w:pPr>
        <w:pStyle w:val="ListParagraph"/>
        <w:numPr>
          <w:ilvl w:val="0"/>
          <w:numId w:val="22"/>
        </w:numPr>
        <w:autoSpaceDE w:val="0"/>
        <w:autoSpaceDN w:val="0"/>
        <w:adjustRightInd w:val="0"/>
        <w:snapToGrid w:val="0"/>
        <w:spacing w:line="240" w:lineRule="auto"/>
        <w:ind w:left="1276" w:right="49" w:hanging="567"/>
        <w:jc w:val="both"/>
        <w:rPr>
          <w:sz w:val="24"/>
          <w:szCs w:val="24"/>
        </w:rPr>
      </w:pPr>
      <w:r w:rsidRPr="0099174E">
        <w:rPr>
          <w:sz w:val="24"/>
          <w:szCs w:val="24"/>
        </w:rPr>
        <w:t>the issue of a Disbursement Request for the first Tranche beyond twelve (12) months after the Effective Date;</w:t>
      </w:r>
    </w:p>
    <w:p w14:paraId="67CE4BD1" w14:textId="77777777" w:rsidR="0099174E" w:rsidRPr="0099174E" w:rsidRDefault="0099174E" w:rsidP="00436B0A">
      <w:pPr>
        <w:pStyle w:val="ListParagraph"/>
        <w:numPr>
          <w:ilvl w:val="0"/>
          <w:numId w:val="22"/>
        </w:numPr>
        <w:autoSpaceDE w:val="0"/>
        <w:autoSpaceDN w:val="0"/>
        <w:adjustRightInd w:val="0"/>
        <w:snapToGrid w:val="0"/>
        <w:spacing w:line="240" w:lineRule="auto"/>
        <w:ind w:left="1276" w:right="49" w:hanging="567"/>
        <w:jc w:val="both"/>
        <w:rPr>
          <w:sz w:val="24"/>
          <w:szCs w:val="24"/>
        </w:rPr>
      </w:pPr>
      <w:r w:rsidRPr="0099174E">
        <w:rPr>
          <w:sz w:val="24"/>
          <w:szCs w:val="24"/>
        </w:rPr>
        <w:t>the issue of any further Disbursement Request beyond eighteen (18) months after the last disbursement; or</w:t>
      </w:r>
    </w:p>
    <w:p w14:paraId="703F8A75" w14:textId="77777777" w:rsidR="0099174E" w:rsidRPr="0099174E" w:rsidRDefault="0099174E" w:rsidP="00436B0A">
      <w:pPr>
        <w:pStyle w:val="ListParagraph"/>
        <w:numPr>
          <w:ilvl w:val="0"/>
          <w:numId w:val="22"/>
        </w:numPr>
        <w:autoSpaceDE w:val="0"/>
        <w:autoSpaceDN w:val="0"/>
        <w:adjustRightInd w:val="0"/>
        <w:snapToGrid w:val="0"/>
        <w:spacing w:line="240" w:lineRule="auto"/>
        <w:ind w:left="1276" w:right="49" w:hanging="567"/>
        <w:jc w:val="both"/>
        <w:rPr>
          <w:sz w:val="24"/>
          <w:szCs w:val="24"/>
        </w:rPr>
      </w:pPr>
      <w:r w:rsidRPr="0099174E">
        <w:rPr>
          <w:sz w:val="24"/>
          <w:szCs w:val="24"/>
        </w:rPr>
        <w:t>the issue of any further Disbursement Request beyond the Closing Date specified under Appendix 1 hereto.</w:t>
      </w:r>
    </w:p>
    <w:p w14:paraId="50AF9C2B"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5" w:name="_Ref466472172"/>
      <w:bookmarkStart w:id="46" w:name="_Ref466472176"/>
      <w:bookmarkStart w:id="47" w:name="_Toc43991803"/>
      <w:r w:rsidRPr="0099174E">
        <w:rPr>
          <w:szCs w:val="24"/>
        </w:rPr>
        <w:t>Disbursement Conditions</w:t>
      </w:r>
      <w:bookmarkEnd w:id="45"/>
      <w:bookmarkEnd w:id="46"/>
      <w:bookmarkEnd w:id="47"/>
      <w:r w:rsidRPr="0099174E">
        <w:rPr>
          <w:szCs w:val="24"/>
        </w:rPr>
        <w:t xml:space="preserve"> </w:t>
      </w:r>
    </w:p>
    <w:p w14:paraId="7C070C96" w14:textId="77777777" w:rsidR="0099174E" w:rsidRPr="0099174E" w:rsidRDefault="0099174E" w:rsidP="00436B0A">
      <w:pPr>
        <w:pStyle w:val="ListParagraph"/>
        <w:numPr>
          <w:ilvl w:val="0"/>
          <w:numId w:val="23"/>
        </w:numPr>
        <w:autoSpaceDE w:val="0"/>
        <w:autoSpaceDN w:val="0"/>
        <w:adjustRightInd w:val="0"/>
        <w:snapToGrid w:val="0"/>
        <w:spacing w:line="240" w:lineRule="auto"/>
        <w:ind w:right="49"/>
        <w:jc w:val="both"/>
        <w:rPr>
          <w:sz w:val="24"/>
          <w:szCs w:val="24"/>
        </w:rPr>
      </w:pPr>
      <w:r w:rsidRPr="0099174E">
        <w:rPr>
          <w:sz w:val="24"/>
          <w:szCs w:val="24"/>
        </w:rPr>
        <w:t>Conditions precedent to the Disbursement Request for the first Tranche:</w:t>
      </w:r>
    </w:p>
    <w:p w14:paraId="357AD712" w14:textId="77777777" w:rsidR="0099174E" w:rsidRPr="0099174E" w:rsidRDefault="0099174E" w:rsidP="0099174E">
      <w:pPr>
        <w:ind w:left="720"/>
        <w:jc w:val="both"/>
        <w:rPr>
          <w:lang w:val="en-GB"/>
        </w:rPr>
      </w:pPr>
    </w:p>
    <w:p w14:paraId="44999BB0" w14:textId="77777777" w:rsidR="0099174E" w:rsidRPr="0099174E" w:rsidRDefault="0099174E" w:rsidP="00436B0A">
      <w:pPr>
        <w:pStyle w:val="ListParagraph"/>
        <w:numPr>
          <w:ilvl w:val="0"/>
          <w:numId w:val="24"/>
        </w:numPr>
        <w:autoSpaceDE w:val="0"/>
        <w:autoSpaceDN w:val="0"/>
        <w:adjustRightInd w:val="0"/>
        <w:snapToGrid w:val="0"/>
        <w:spacing w:line="240" w:lineRule="auto"/>
        <w:ind w:left="1276" w:right="49" w:hanging="567"/>
        <w:jc w:val="both"/>
        <w:rPr>
          <w:sz w:val="24"/>
          <w:szCs w:val="24"/>
        </w:rPr>
      </w:pPr>
      <w:r w:rsidRPr="0099174E">
        <w:rPr>
          <w:sz w:val="24"/>
          <w:szCs w:val="24"/>
        </w:rPr>
        <w:t xml:space="preserve">Legal opinion in English issued by the Minister of Justice confirming to the CEB’s satisfaction, substantially in the form set out under Appendix 2 hereto, that the Agreement has been duly executed by authorised representatives of the Borrower and that the Agreement is valid, </w:t>
      </w:r>
      <w:r w:rsidRPr="0099174E">
        <w:rPr>
          <w:sz w:val="24"/>
          <w:szCs w:val="24"/>
        </w:rPr>
        <w:lastRenderedPageBreak/>
        <w:t>binding and enforceable in accordance with its terms in the Borrower’s jurisdiction.</w:t>
      </w:r>
    </w:p>
    <w:p w14:paraId="53F69A16" w14:textId="77777777" w:rsidR="0099174E" w:rsidRPr="0099174E" w:rsidRDefault="0099174E" w:rsidP="00436B0A">
      <w:pPr>
        <w:pStyle w:val="ListParagraph"/>
        <w:numPr>
          <w:ilvl w:val="0"/>
          <w:numId w:val="24"/>
        </w:numPr>
        <w:autoSpaceDE w:val="0"/>
        <w:autoSpaceDN w:val="0"/>
        <w:adjustRightInd w:val="0"/>
        <w:snapToGrid w:val="0"/>
        <w:spacing w:after="120" w:line="240" w:lineRule="auto"/>
        <w:ind w:left="1276" w:right="51" w:hanging="567"/>
        <w:jc w:val="both"/>
        <w:rPr>
          <w:sz w:val="24"/>
          <w:szCs w:val="24"/>
        </w:rPr>
      </w:pPr>
      <w:r w:rsidRPr="0099174E" w:rsidDel="00532EEB">
        <w:rPr>
          <w:sz w:val="24"/>
          <w:szCs w:val="24"/>
        </w:rPr>
        <w:t>Evidence in English (</w:t>
      </w:r>
      <w:r w:rsidRPr="0099174E" w:rsidDel="00532EEB">
        <w:rPr>
          <w:i/>
          <w:sz w:val="24"/>
          <w:szCs w:val="24"/>
        </w:rPr>
        <w:t>e.g.</w:t>
      </w:r>
      <w:r w:rsidRPr="0099174E" w:rsidDel="00532EEB">
        <w:rPr>
          <w:sz w:val="24"/>
          <w:szCs w:val="24"/>
        </w:rPr>
        <w:t>, Statute, By-laws, Board Resolution, Power of Attorney, etc.) to the CEB’s satisfaction of the person(s) authorised to execute the Agreement and the Disbursement Requests on behalf of the Borrower, together with the authenticated specimen of the signature(s) of such person(s).</w:t>
      </w:r>
    </w:p>
    <w:p w14:paraId="36820E17" w14:textId="77777777" w:rsidR="0099174E" w:rsidRPr="0099174E" w:rsidRDefault="0099174E" w:rsidP="00805D02">
      <w:pPr>
        <w:spacing w:line="120" w:lineRule="auto"/>
        <w:ind w:left="720"/>
        <w:jc w:val="both"/>
        <w:rPr>
          <w:lang w:val="en-US"/>
        </w:rPr>
      </w:pPr>
    </w:p>
    <w:p w14:paraId="366368DD" w14:textId="621589FF" w:rsidR="0099174E" w:rsidRDefault="0099174E" w:rsidP="00436B0A">
      <w:pPr>
        <w:pStyle w:val="ListParagraph"/>
        <w:numPr>
          <w:ilvl w:val="0"/>
          <w:numId w:val="23"/>
        </w:numPr>
        <w:autoSpaceDE w:val="0"/>
        <w:autoSpaceDN w:val="0"/>
        <w:adjustRightInd w:val="0"/>
        <w:snapToGrid w:val="0"/>
        <w:spacing w:after="120" w:line="240" w:lineRule="auto"/>
        <w:ind w:left="714" w:right="51" w:hanging="357"/>
        <w:jc w:val="both"/>
        <w:rPr>
          <w:sz w:val="24"/>
          <w:szCs w:val="24"/>
        </w:rPr>
      </w:pPr>
      <w:r w:rsidRPr="0099174E">
        <w:rPr>
          <w:sz w:val="24"/>
          <w:szCs w:val="24"/>
        </w:rPr>
        <w:t>Conditions precedent to any further Disbursement Request:</w:t>
      </w:r>
    </w:p>
    <w:p w14:paraId="6F5BDB3E" w14:textId="77777777" w:rsidR="00805D02" w:rsidRPr="0099174E" w:rsidRDefault="00805D02" w:rsidP="00805D02">
      <w:pPr>
        <w:pStyle w:val="ListParagraph"/>
        <w:autoSpaceDE w:val="0"/>
        <w:autoSpaceDN w:val="0"/>
        <w:adjustRightInd w:val="0"/>
        <w:snapToGrid w:val="0"/>
        <w:spacing w:after="120" w:line="120" w:lineRule="auto"/>
        <w:ind w:left="714" w:right="51"/>
        <w:jc w:val="both"/>
        <w:rPr>
          <w:sz w:val="24"/>
          <w:szCs w:val="24"/>
        </w:rPr>
      </w:pPr>
    </w:p>
    <w:p w14:paraId="7D246066" w14:textId="77777777" w:rsidR="0099174E" w:rsidRPr="0099174E" w:rsidRDefault="0099174E" w:rsidP="00436B0A">
      <w:pPr>
        <w:pStyle w:val="ListParagraph"/>
        <w:numPr>
          <w:ilvl w:val="0"/>
          <w:numId w:val="25"/>
        </w:numPr>
        <w:autoSpaceDE w:val="0"/>
        <w:autoSpaceDN w:val="0"/>
        <w:adjustRightInd w:val="0"/>
        <w:snapToGrid w:val="0"/>
        <w:spacing w:before="120" w:line="240" w:lineRule="auto"/>
        <w:ind w:left="1066" w:right="51" w:hanging="357"/>
        <w:jc w:val="both"/>
        <w:rPr>
          <w:sz w:val="24"/>
          <w:szCs w:val="24"/>
        </w:rPr>
      </w:pPr>
      <w:r w:rsidRPr="0099174E">
        <w:rPr>
          <w:sz w:val="24"/>
          <w:szCs w:val="24"/>
        </w:rPr>
        <w:t>In the event there has been a change regarding the person(s) authorised to execute Disbursement Requests on behalf of the Borrower, the Borrower shall provide CEB with updated evidence of the person(s) authorised to execute the corresponding Disbursement Requests on behalf of the Borrower, together with the authenticated specimen of the signature(s) of such person(s).</w:t>
      </w:r>
    </w:p>
    <w:p w14:paraId="7793189F" w14:textId="77777777" w:rsidR="0099174E" w:rsidRPr="0099174E" w:rsidRDefault="0099174E" w:rsidP="00436B0A">
      <w:pPr>
        <w:pStyle w:val="ListParagraph"/>
        <w:numPr>
          <w:ilvl w:val="0"/>
          <w:numId w:val="25"/>
        </w:numPr>
        <w:autoSpaceDE w:val="0"/>
        <w:autoSpaceDN w:val="0"/>
        <w:adjustRightInd w:val="0"/>
        <w:snapToGrid w:val="0"/>
        <w:spacing w:line="240" w:lineRule="auto"/>
        <w:ind w:right="49"/>
        <w:jc w:val="both"/>
        <w:rPr>
          <w:sz w:val="24"/>
          <w:szCs w:val="24"/>
        </w:rPr>
      </w:pPr>
      <w:r w:rsidRPr="0099174E">
        <w:rPr>
          <w:sz w:val="24"/>
          <w:szCs w:val="24"/>
        </w:rPr>
        <w:t>Progress Report confirming to the CEB’s satisfaction the full Allocation of the previous Tranche.</w:t>
      </w:r>
    </w:p>
    <w:p w14:paraId="6124776F"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8" w:name="_Toc43991804"/>
      <w:r w:rsidRPr="0099174E">
        <w:rPr>
          <w:szCs w:val="24"/>
        </w:rPr>
        <w:t>Repayment</w:t>
      </w:r>
      <w:bookmarkEnd w:id="48"/>
    </w:p>
    <w:p w14:paraId="4F06B7E9" w14:textId="77777777" w:rsidR="0099174E" w:rsidRPr="0099174E" w:rsidRDefault="0099174E" w:rsidP="0099174E">
      <w:pPr>
        <w:jc w:val="both"/>
        <w:rPr>
          <w:lang w:val="en-GB"/>
        </w:rPr>
      </w:pPr>
      <w:r w:rsidRPr="0099174E">
        <w:rPr>
          <w:lang w:val="en-GB"/>
        </w:rPr>
        <w:t>On any Principal Repayment Date, the Borrower shall repay the principal of each Tranche due on that Principal Repayment Date in accordance with the terms set forth in the applicable Disbursement Notice.</w:t>
      </w:r>
    </w:p>
    <w:p w14:paraId="4FCA56A3"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49" w:name="_Ref474421939"/>
      <w:bookmarkStart w:id="50" w:name="_Ref474421978"/>
      <w:bookmarkStart w:id="51" w:name="_Ref474421986"/>
      <w:bookmarkStart w:id="52" w:name="_Ref474421994"/>
      <w:bookmarkStart w:id="53" w:name="_Ref474422267"/>
      <w:bookmarkStart w:id="54" w:name="_Ref474422282"/>
      <w:bookmarkStart w:id="55" w:name="_Ref474422421"/>
      <w:bookmarkStart w:id="56" w:name="_Ref474422459"/>
      <w:bookmarkStart w:id="57" w:name="_Ref474422470"/>
      <w:bookmarkStart w:id="58" w:name="_Ref474422519"/>
      <w:bookmarkStart w:id="59" w:name="_Ref474422595"/>
      <w:bookmarkStart w:id="60" w:name="_Toc43991805"/>
      <w:r w:rsidRPr="0099174E">
        <w:rPr>
          <w:szCs w:val="24"/>
        </w:rPr>
        <w:t>Early Reimbursement</w:t>
      </w:r>
      <w:bookmarkEnd w:id="49"/>
      <w:bookmarkEnd w:id="50"/>
      <w:bookmarkEnd w:id="51"/>
      <w:bookmarkEnd w:id="52"/>
      <w:bookmarkEnd w:id="53"/>
      <w:bookmarkEnd w:id="54"/>
      <w:bookmarkEnd w:id="55"/>
      <w:bookmarkEnd w:id="56"/>
      <w:bookmarkEnd w:id="57"/>
      <w:bookmarkEnd w:id="58"/>
      <w:bookmarkEnd w:id="59"/>
      <w:bookmarkEnd w:id="60"/>
    </w:p>
    <w:p w14:paraId="206A81C2" w14:textId="77777777" w:rsidR="0099174E" w:rsidRPr="0099174E" w:rsidRDefault="0099174E" w:rsidP="00436B0A">
      <w:pPr>
        <w:pStyle w:val="ListParagraph"/>
        <w:numPr>
          <w:ilvl w:val="0"/>
          <w:numId w:val="26"/>
        </w:numPr>
        <w:autoSpaceDE w:val="0"/>
        <w:autoSpaceDN w:val="0"/>
        <w:adjustRightInd w:val="0"/>
        <w:snapToGrid w:val="0"/>
        <w:spacing w:after="120" w:line="240" w:lineRule="auto"/>
        <w:ind w:left="714" w:right="51" w:hanging="357"/>
        <w:jc w:val="both"/>
        <w:rPr>
          <w:sz w:val="24"/>
          <w:szCs w:val="24"/>
        </w:rPr>
      </w:pPr>
      <w:r w:rsidRPr="0099174E">
        <w:rPr>
          <w:sz w:val="24"/>
          <w:szCs w:val="24"/>
        </w:rPr>
        <w:t>Mechanics</w:t>
      </w:r>
    </w:p>
    <w:p w14:paraId="3100C173" w14:textId="77777777" w:rsidR="0099174E" w:rsidRPr="0099174E" w:rsidRDefault="0099174E" w:rsidP="00805D02">
      <w:pPr>
        <w:spacing w:after="120"/>
        <w:jc w:val="both"/>
        <w:rPr>
          <w:lang w:val="en-US"/>
        </w:rPr>
      </w:pPr>
      <w:r w:rsidRPr="0099174E">
        <w:rPr>
          <w:lang w:val="en-US"/>
        </w:rPr>
        <w:t xml:space="preserve">If in any event specified in this Agreement referring to this Sub-clause the Borrower ought to reimburse prior to maturity all or part of a Tranche, the Borrower shall give at least a one (1) month prior written notice to the CEB (hereinafter, the </w:t>
      </w:r>
      <w:r w:rsidRPr="0099174E">
        <w:rPr>
          <w:b/>
          <w:lang w:val="en-US"/>
        </w:rPr>
        <w:t>“Early Reimbursement Notice”</w:t>
      </w:r>
      <w:r w:rsidRPr="0099174E">
        <w:rPr>
          <w:lang w:val="en-US"/>
        </w:rPr>
        <w:t xml:space="preserve">) specifying the amounts to be reimbursed, the date on which the reimbursement will take place (hereinafter, the </w:t>
      </w:r>
      <w:r w:rsidRPr="0099174E">
        <w:rPr>
          <w:b/>
          <w:lang w:val="en-US"/>
        </w:rPr>
        <w:t>“Early Reimbursement Date”</w:t>
      </w:r>
      <w:r w:rsidRPr="0099174E">
        <w:rPr>
          <w:lang w:val="en-US"/>
        </w:rPr>
        <w:t>) and, upon prior consultation with the CEB, the maximum Early Reimbursement Costs. The Early Reimbursement Date shall fall on an Interest Payment Date, unless otherwise agreed in writing by the CEB.</w:t>
      </w:r>
    </w:p>
    <w:p w14:paraId="050A27AE" w14:textId="23010043" w:rsidR="0099174E" w:rsidRPr="0099174E" w:rsidRDefault="0099174E" w:rsidP="00805D02">
      <w:pPr>
        <w:spacing w:after="120"/>
        <w:jc w:val="both"/>
        <w:rPr>
          <w:lang w:val="en-US"/>
        </w:rPr>
      </w:pPr>
      <w:r w:rsidRPr="0099174E">
        <w:rPr>
          <w:lang w:val="en-US"/>
        </w:rPr>
        <w:t xml:space="preserve">Upon receipt of the Early Reimbursement Notice, the CEB shall send a written notice to the Borrower (hereinafter, the </w:t>
      </w:r>
      <w:r w:rsidRPr="0099174E">
        <w:rPr>
          <w:b/>
          <w:lang w:val="en-US"/>
        </w:rPr>
        <w:t>“Early Reimbursement Confirmation”</w:t>
      </w:r>
      <w:r w:rsidRPr="0099174E">
        <w:rPr>
          <w:lang w:val="en-US"/>
        </w:rPr>
        <w:t xml:space="preserve">), not later than five (5) Business Days prior to the Early Reimbursement Date, indicating the accrued interest due thereon and the Early Reimbursement Costs in accordance with Sub-clause </w:t>
      </w:r>
      <w:r w:rsidRPr="0099174E">
        <w:fldChar w:fldCharType="begin"/>
      </w:r>
      <w:r w:rsidRPr="0099174E">
        <w:rPr>
          <w:lang w:val="en-US"/>
        </w:rPr>
        <w:instrText xml:space="preserve"> REF _Ref474422267 \r \h  \* MERGEFORMAT </w:instrText>
      </w:r>
      <w:r w:rsidRPr="0099174E">
        <w:fldChar w:fldCharType="separate"/>
      </w:r>
      <w:r w:rsidR="00A13370">
        <w:rPr>
          <w:lang w:val="en-US"/>
        </w:rPr>
        <w:t>4.7</w:t>
      </w:r>
      <w:r w:rsidRPr="0099174E">
        <w:fldChar w:fldCharType="end"/>
      </w:r>
      <w:r w:rsidRPr="0099174E">
        <w:rPr>
          <w:lang w:val="en-US"/>
        </w:rPr>
        <w:t>(b).</w:t>
      </w:r>
    </w:p>
    <w:p w14:paraId="71A0FBF3" w14:textId="77777777" w:rsidR="0099174E" w:rsidRPr="0099174E" w:rsidRDefault="0099174E" w:rsidP="00805D02">
      <w:pPr>
        <w:spacing w:after="120"/>
        <w:jc w:val="both"/>
        <w:rPr>
          <w:lang w:val="en-US"/>
        </w:rPr>
      </w:pPr>
      <w:r w:rsidRPr="0099174E">
        <w:rPr>
          <w:lang w:val="en-US"/>
        </w:rPr>
        <w:t xml:space="preserve">An Early Reimbursement Confirmation matching the elements included in an Early Reimbursement Notice shall constitute an irrevocable and unconditional commitment on the part of the Borrower to reimburse the relevant amounts to the CEB under the terms and conditions specified in the Early Reimbursement Confirmation. </w:t>
      </w:r>
    </w:p>
    <w:p w14:paraId="47EE8CE4" w14:textId="77777777" w:rsidR="0099174E" w:rsidRPr="0099174E" w:rsidRDefault="0099174E" w:rsidP="00805D02">
      <w:pPr>
        <w:spacing w:after="120"/>
        <w:jc w:val="both"/>
        <w:rPr>
          <w:lang w:val="en-US"/>
        </w:rPr>
      </w:pPr>
      <w:r w:rsidRPr="0099174E">
        <w:rPr>
          <w:lang w:val="en-US"/>
        </w:rPr>
        <w:t xml:space="preserve">If the Borrower partially reimburses a Tranche, the reimbursed amount shall be applied pro rata to each outstanding principal repayment. In such an event, the Early </w:t>
      </w:r>
      <w:r w:rsidRPr="0099174E">
        <w:rPr>
          <w:lang w:val="en-US"/>
        </w:rPr>
        <w:lastRenderedPageBreak/>
        <w:t>Reimbursement Confirmation shall accordingly include an adjusted repayment schedule which shall be binding on the Borrower.</w:t>
      </w:r>
    </w:p>
    <w:p w14:paraId="259FEB29" w14:textId="77777777" w:rsidR="0099174E" w:rsidRPr="0099174E" w:rsidRDefault="0099174E" w:rsidP="00436B0A">
      <w:pPr>
        <w:pStyle w:val="ListParagraph"/>
        <w:numPr>
          <w:ilvl w:val="0"/>
          <w:numId w:val="26"/>
        </w:numPr>
        <w:autoSpaceDE w:val="0"/>
        <w:autoSpaceDN w:val="0"/>
        <w:adjustRightInd w:val="0"/>
        <w:snapToGrid w:val="0"/>
        <w:spacing w:after="120" w:line="240" w:lineRule="auto"/>
        <w:ind w:left="714" w:right="51" w:hanging="357"/>
        <w:jc w:val="both"/>
        <w:rPr>
          <w:sz w:val="24"/>
          <w:szCs w:val="24"/>
        </w:rPr>
      </w:pPr>
      <w:r w:rsidRPr="0099174E">
        <w:rPr>
          <w:sz w:val="24"/>
          <w:szCs w:val="24"/>
        </w:rPr>
        <w:t>Early Reimbursement Costs</w:t>
      </w:r>
    </w:p>
    <w:p w14:paraId="030D3FB1" w14:textId="0F64BD23" w:rsidR="0099174E" w:rsidRPr="0099174E" w:rsidRDefault="0099174E" w:rsidP="0099174E">
      <w:pPr>
        <w:jc w:val="both"/>
        <w:rPr>
          <w:rFonts w:eastAsia="SimSun"/>
          <w:lang w:val="en-US"/>
        </w:rPr>
      </w:pPr>
      <w:r w:rsidRPr="0099174E">
        <w:rPr>
          <w:lang w:val="en-US"/>
        </w:rPr>
        <w:t xml:space="preserve">The Early Reimbursement Costs resulting from early reimbursement in accordance with Sub-clause </w:t>
      </w:r>
      <w:r w:rsidRPr="0099174E">
        <w:fldChar w:fldCharType="begin"/>
      </w:r>
      <w:r w:rsidRPr="0099174E">
        <w:rPr>
          <w:lang w:val="en-US"/>
        </w:rPr>
        <w:instrText xml:space="preserve"> REF _Ref474422282 \r \h  \* MERGEFORMAT </w:instrText>
      </w:r>
      <w:r w:rsidRPr="0099174E">
        <w:fldChar w:fldCharType="separate"/>
      </w:r>
      <w:r w:rsidR="00A13370">
        <w:rPr>
          <w:lang w:val="en-US"/>
        </w:rPr>
        <w:t>4.7</w:t>
      </w:r>
      <w:r w:rsidRPr="0099174E">
        <w:fldChar w:fldCharType="end"/>
      </w:r>
      <w:r w:rsidRPr="0099174E">
        <w:rPr>
          <w:lang w:val="en-US"/>
        </w:rPr>
        <w:t>(a) shall be determined by the CEB on the basis of the costs to it of redeploying the amount to be reimbursed from the Early Reimbursement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Early Reimbursement Notice</w:t>
      </w:r>
      <w:r w:rsidRPr="0099174E">
        <w:rPr>
          <w:lang w:val="en-GB"/>
        </w:rPr>
        <w:t>.</w:t>
      </w:r>
    </w:p>
    <w:p w14:paraId="2E511AD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1" w:name="_Toc43991806"/>
      <w:r w:rsidRPr="0099174E">
        <w:rPr>
          <w:szCs w:val="24"/>
        </w:rPr>
        <w:t>Interest Determination</w:t>
      </w:r>
      <w:bookmarkEnd w:id="61"/>
    </w:p>
    <w:p w14:paraId="787F1354" w14:textId="77777777" w:rsidR="0099174E" w:rsidRPr="0099174E" w:rsidRDefault="0099174E" w:rsidP="00805D02">
      <w:pPr>
        <w:spacing w:after="120"/>
        <w:jc w:val="both"/>
        <w:rPr>
          <w:lang w:val="en-GB"/>
        </w:rPr>
      </w:pPr>
      <w:r w:rsidRPr="0099174E">
        <w:rPr>
          <w:lang w:val="en-GB"/>
        </w:rPr>
        <w:t>The Borrower shall pay interest on the principal of each Tranche from time to time outstanding during each Interest Period at the Fixed Interest Rate/Floating Interest Rate specified in the applicable Disbursement Notice.</w:t>
      </w:r>
    </w:p>
    <w:p w14:paraId="3E1565F7" w14:textId="77777777" w:rsidR="0099174E" w:rsidRPr="0099174E" w:rsidRDefault="0099174E" w:rsidP="00805D02">
      <w:pPr>
        <w:spacing w:after="120"/>
        <w:jc w:val="both"/>
        <w:rPr>
          <w:lang w:val="en-GB"/>
        </w:rPr>
      </w:pPr>
      <w:r w:rsidRPr="0099174E">
        <w:rPr>
          <w:lang w:val="en-GB"/>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14:paraId="55F596A9" w14:textId="77777777" w:rsidR="0099174E" w:rsidRPr="0099174E" w:rsidRDefault="0099174E" w:rsidP="0099174E">
      <w:pPr>
        <w:jc w:val="both"/>
        <w:rPr>
          <w:lang w:val="en-GB"/>
        </w:rPr>
      </w:pPr>
      <w:r w:rsidRPr="0099174E">
        <w:rPr>
          <w:lang w:val="en-GB"/>
        </w:rPr>
        <w:t>In the case of Floating Interest Rate Tranches, the CEB shall determine on each Interest Determination Date the interest rate applicable during the relevant Interest Period in 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14:paraId="49A1BABE"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2" w:name="_Toc43991807"/>
      <w:r w:rsidRPr="0099174E">
        <w:rPr>
          <w:szCs w:val="24"/>
        </w:rPr>
        <w:t>Default Interest Rate</w:t>
      </w:r>
      <w:bookmarkEnd w:id="62"/>
    </w:p>
    <w:p w14:paraId="5C85F3B2" w14:textId="77777777" w:rsidR="0099174E" w:rsidRPr="0099174E" w:rsidRDefault="0099174E" w:rsidP="00357CA0">
      <w:pPr>
        <w:spacing w:after="120"/>
        <w:jc w:val="both"/>
        <w:rPr>
          <w:lang w:val="en-GB"/>
        </w:rPr>
      </w:pPr>
      <w:r w:rsidRPr="0099174E">
        <w:rPr>
          <w:lang w:val="en-GB"/>
        </w:rPr>
        <w:t>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per annum equal to the one-month EURIBOR quoted on the due date plus two hundred and fifty basis points (250 bps) (hereinafter, the “Default Interest Rate”).</w:t>
      </w:r>
    </w:p>
    <w:p w14:paraId="19E2EA5A" w14:textId="77777777" w:rsidR="0099174E" w:rsidRPr="0099174E" w:rsidRDefault="0099174E" w:rsidP="0099174E">
      <w:pPr>
        <w:jc w:val="both"/>
        <w:rPr>
          <w:lang w:val="en-GB"/>
        </w:rPr>
      </w:pPr>
      <w:r w:rsidRPr="0099174E">
        <w:rPr>
          <w:lang w:val="en-GB"/>
        </w:rPr>
        <w:t>The applicable Default Interest Rate shall be updated every thirty (30) calendar days.</w:t>
      </w:r>
    </w:p>
    <w:p w14:paraId="31454DBF"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3" w:name="_Ref474422085"/>
      <w:bookmarkStart w:id="64" w:name="_Toc43991808"/>
      <w:r w:rsidRPr="0099174E">
        <w:rPr>
          <w:szCs w:val="24"/>
        </w:rPr>
        <w:t>Market Disruption Event</w:t>
      </w:r>
      <w:bookmarkEnd w:id="63"/>
      <w:bookmarkEnd w:id="64"/>
    </w:p>
    <w:p w14:paraId="4AC46410" w14:textId="77777777" w:rsidR="0099174E" w:rsidRPr="0099174E" w:rsidRDefault="0099174E" w:rsidP="00805D02">
      <w:pPr>
        <w:spacing w:after="120"/>
        <w:jc w:val="both"/>
        <w:rPr>
          <w:lang w:val="en-GB"/>
        </w:rPr>
      </w:pPr>
      <w:r w:rsidRPr="0099174E">
        <w:rPr>
          <w:lang w:val="en-GB"/>
        </w:rPr>
        <w:t>The CEB shall promptly, upon becoming aware of it, notify to the Borrower that a Market Disruption Event has occurred.</w:t>
      </w:r>
    </w:p>
    <w:p w14:paraId="6B3FA52F" w14:textId="77777777" w:rsidR="0099174E" w:rsidRPr="0099174E" w:rsidRDefault="0099174E" w:rsidP="00805D02">
      <w:pPr>
        <w:spacing w:after="120"/>
        <w:jc w:val="both"/>
        <w:rPr>
          <w:lang w:val="en-GB"/>
        </w:rPr>
      </w:pPr>
      <w:r w:rsidRPr="0099174E">
        <w:rPr>
          <w:lang w:val="en-GB"/>
        </w:rPr>
        <w:t xml:space="preserve">For the purposes of the Agreement, </w:t>
      </w:r>
      <w:r w:rsidRPr="0099174E">
        <w:rPr>
          <w:b/>
          <w:lang w:val="en-GB"/>
        </w:rPr>
        <w:t>“Market Disruption Event”</w:t>
      </w:r>
      <w:r w:rsidRPr="0099174E">
        <w:rPr>
          <w:lang w:val="en-GB"/>
        </w:rPr>
        <w:t xml:space="preserve"> refers to the following circumstances:</w:t>
      </w:r>
    </w:p>
    <w:p w14:paraId="03B0E115" w14:textId="77777777" w:rsidR="0099174E" w:rsidRPr="0099174E" w:rsidRDefault="0099174E" w:rsidP="00436B0A">
      <w:pPr>
        <w:numPr>
          <w:ilvl w:val="0"/>
          <w:numId w:val="27"/>
        </w:numPr>
        <w:autoSpaceDE w:val="0"/>
        <w:autoSpaceDN w:val="0"/>
        <w:adjustRightInd w:val="0"/>
        <w:snapToGrid w:val="0"/>
        <w:spacing w:after="120"/>
        <w:ind w:left="714" w:hanging="357"/>
        <w:jc w:val="both"/>
        <w:rPr>
          <w:lang w:val="en-GB"/>
        </w:rPr>
      </w:pPr>
      <w:r w:rsidRPr="0099174E">
        <w:rPr>
          <w:lang w:val="en-GB"/>
        </w:rPr>
        <w:lastRenderedPageBreak/>
        <w:t>The Reuters page referred to under the EURIBOR definition does not indicate the required details or is not accessible.</w:t>
      </w:r>
    </w:p>
    <w:p w14:paraId="33B79069" w14:textId="77777777" w:rsidR="0099174E" w:rsidRPr="0099174E" w:rsidRDefault="0099174E" w:rsidP="0099174E">
      <w:pPr>
        <w:ind w:left="720"/>
        <w:jc w:val="both"/>
        <w:rPr>
          <w:lang w:val="en-GB"/>
        </w:rPr>
      </w:pPr>
      <w:r w:rsidRPr="0099174E">
        <w:rPr>
          <w:lang w:val="en-GB"/>
        </w:rPr>
        <w:t xml:space="preserve">Under such a Market Disruption Event, the applicable EURIBOR shall be the percentage rate </w:t>
      </w:r>
      <w:r w:rsidRPr="0099174E">
        <w:rPr>
          <w:i/>
          <w:lang w:val="en-GB"/>
        </w:rPr>
        <w:t>per annum</w:t>
      </w:r>
      <w:r w:rsidRPr="0099174E">
        <w:rPr>
          <w:lang w:val="en-GB"/>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14:paraId="242BE550" w14:textId="77777777" w:rsidR="0099174E" w:rsidRPr="0099174E" w:rsidRDefault="0099174E" w:rsidP="00805D02">
      <w:pPr>
        <w:spacing w:after="120"/>
        <w:ind w:left="720"/>
        <w:jc w:val="both"/>
        <w:rPr>
          <w:lang w:val="en-GB"/>
        </w:rPr>
      </w:pPr>
      <w:r w:rsidRPr="0099174E">
        <w:rPr>
          <w:lang w:val="en-GB"/>
        </w:rPr>
        <w:t xml:space="preserve">If only one (1) or no quotation is provided, the applicable EURIBOR shall be the percentage rate </w:t>
      </w:r>
      <w:r w:rsidRPr="0099174E">
        <w:rPr>
          <w:i/>
          <w:lang w:val="en-GB"/>
        </w:rPr>
        <w:t>per annum</w:t>
      </w:r>
      <w:r w:rsidRPr="0099174E">
        <w:rPr>
          <w:lang w:val="en-GB"/>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14:paraId="4308E762" w14:textId="77777777" w:rsidR="0099174E" w:rsidRPr="0099174E" w:rsidRDefault="0099174E" w:rsidP="00436B0A">
      <w:pPr>
        <w:numPr>
          <w:ilvl w:val="0"/>
          <w:numId w:val="27"/>
        </w:numPr>
        <w:autoSpaceDE w:val="0"/>
        <w:autoSpaceDN w:val="0"/>
        <w:adjustRightInd w:val="0"/>
        <w:snapToGrid w:val="0"/>
        <w:spacing w:after="120"/>
        <w:ind w:left="714" w:hanging="357"/>
        <w:jc w:val="both"/>
        <w:rPr>
          <w:lang w:val="en-GB"/>
        </w:rPr>
      </w:pPr>
      <w:r w:rsidRPr="0099174E">
        <w:rPr>
          <w:lang w:val="en-GB"/>
        </w:rPr>
        <w:t>The CEB determines that it is not possible to determine the applicable Reference Rate in accordance with paragraph (a) above.</w:t>
      </w:r>
    </w:p>
    <w:p w14:paraId="47A172B8" w14:textId="77777777" w:rsidR="0099174E" w:rsidRPr="0099174E" w:rsidRDefault="0099174E" w:rsidP="00805D02">
      <w:pPr>
        <w:spacing w:after="120"/>
        <w:ind w:left="720"/>
        <w:jc w:val="both"/>
        <w:rPr>
          <w:lang w:val="en-GB"/>
        </w:rPr>
      </w:pPr>
      <w:r w:rsidRPr="0099174E">
        <w:rPr>
          <w:lang w:val="en-GB"/>
        </w:rPr>
        <w:t xml:space="preserve">Under such a Market Disruption Event, the applicable Floating Interest Rate shall be replaced by the rate that expresses as a percentage rate </w:t>
      </w:r>
      <w:r w:rsidRPr="0099174E">
        <w:rPr>
          <w:i/>
          <w:lang w:val="en-GB"/>
        </w:rPr>
        <w:t>per annum</w:t>
      </w:r>
      <w:r w:rsidRPr="0099174E">
        <w:rPr>
          <w:lang w:val="en-GB"/>
        </w:rPr>
        <w:t xml:space="preserve"> the cost to the CEB of funding the Loan from whatever source the CEB may reasonably select.</w:t>
      </w:r>
    </w:p>
    <w:p w14:paraId="17BAC7B3" w14:textId="77777777" w:rsidR="0099174E" w:rsidRPr="0099174E" w:rsidRDefault="0099174E" w:rsidP="00436B0A">
      <w:pPr>
        <w:numPr>
          <w:ilvl w:val="0"/>
          <w:numId w:val="27"/>
        </w:numPr>
        <w:autoSpaceDE w:val="0"/>
        <w:autoSpaceDN w:val="0"/>
        <w:adjustRightInd w:val="0"/>
        <w:snapToGrid w:val="0"/>
        <w:spacing w:after="120"/>
        <w:ind w:left="714" w:hanging="357"/>
        <w:jc w:val="both"/>
        <w:rPr>
          <w:lang w:val="en-GB"/>
        </w:rPr>
      </w:pPr>
      <w:r w:rsidRPr="0099174E">
        <w:rPr>
          <w:lang w:val="en-GB"/>
        </w:rPr>
        <w:t>At any time between the delivery of a Disbursement Notice and the Disbursement Date the CEB reasonably determines that there are exceptional and unexpected circumstances of an economic, financial, political or other external nature adversely affecting the CEB’s access to its sources of funding.</w:t>
      </w:r>
    </w:p>
    <w:p w14:paraId="738BE31C" w14:textId="77777777" w:rsidR="0099174E" w:rsidRPr="0099174E" w:rsidRDefault="0099174E" w:rsidP="00805D02">
      <w:pPr>
        <w:spacing w:after="120"/>
        <w:ind w:left="720"/>
        <w:jc w:val="both"/>
        <w:rPr>
          <w:lang w:val="en-GB"/>
        </w:rPr>
      </w:pPr>
      <w:r w:rsidRPr="0099174E">
        <w:rPr>
          <w:lang w:val="en-GB"/>
        </w:rPr>
        <w:t>Under such a Market Disruption Event, the CEB shall be entitled to cancel at no cost the scheduled disbursement.</w:t>
      </w:r>
    </w:p>
    <w:p w14:paraId="58949524" w14:textId="77777777" w:rsidR="0099174E" w:rsidRPr="0099174E" w:rsidRDefault="0099174E" w:rsidP="00805D02">
      <w:pPr>
        <w:spacing w:after="120"/>
        <w:jc w:val="both"/>
        <w:rPr>
          <w:lang w:val="en-GB"/>
        </w:rPr>
      </w:pPr>
      <w:r w:rsidRPr="0099174E">
        <w:rPr>
          <w:lang w:val="en-GB"/>
        </w:rPr>
        <w:t>In the case of the Market Disruption Events set forth under items (a) and (b) above:</w:t>
      </w:r>
    </w:p>
    <w:p w14:paraId="572A7C8A" w14:textId="166812F9" w:rsidR="0099174E" w:rsidRPr="0099174E" w:rsidRDefault="0099174E" w:rsidP="00436B0A">
      <w:pPr>
        <w:numPr>
          <w:ilvl w:val="0"/>
          <w:numId w:val="28"/>
        </w:numPr>
        <w:autoSpaceDE w:val="0"/>
        <w:autoSpaceDN w:val="0"/>
        <w:adjustRightInd w:val="0"/>
        <w:snapToGrid w:val="0"/>
        <w:spacing w:after="120"/>
        <w:ind w:left="1066" w:hanging="357"/>
        <w:jc w:val="both"/>
        <w:rPr>
          <w:lang w:val="en-GB"/>
        </w:rPr>
      </w:pPr>
      <w:r w:rsidRPr="0099174E">
        <w:rPr>
          <w:lang w:val="en-GB"/>
        </w:rPr>
        <w:t xml:space="preserve">If the Borrower so requires, the Parties, acting in good faith, shall enter into negotiations for a period of not more than thirty (30) calendar days in order to agree on an alternative to the applicable EURIBOR. If no agreement is reached, the Borrower may proceed with early reimbursement on the next Interest Payment Date in the terms provided under Sub-clause </w:t>
      </w:r>
      <w:r w:rsidRPr="0099174E">
        <w:rPr>
          <w:lang w:val="en-GB"/>
        </w:rPr>
        <w:fldChar w:fldCharType="begin"/>
      </w:r>
      <w:r w:rsidRPr="0099174E">
        <w:rPr>
          <w:lang w:val="en-GB"/>
        </w:rPr>
        <w:instrText xml:space="preserve"> REF _Ref474422421 \r \h  \* MERGEFORMAT </w:instrText>
      </w:r>
      <w:r w:rsidRPr="0099174E">
        <w:rPr>
          <w:lang w:val="en-GB"/>
        </w:rPr>
      </w:r>
      <w:r w:rsidRPr="0099174E">
        <w:rPr>
          <w:lang w:val="en-GB"/>
        </w:rPr>
        <w:fldChar w:fldCharType="separate"/>
      </w:r>
      <w:r w:rsidR="00A13370">
        <w:rPr>
          <w:lang w:val="en-GB"/>
        </w:rPr>
        <w:t>4.7</w:t>
      </w:r>
      <w:r w:rsidRPr="0099174E">
        <w:rPr>
          <w:lang w:val="en-GB"/>
        </w:rPr>
        <w:fldChar w:fldCharType="end"/>
      </w:r>
      <w:r w:rsidRPr="0099174E">
        <w:rPr>
          <w:lang w:val="en-GB"/>
        </w:rPr>
        <w:t>.</w:t>
      </w:r>
    </w:p>
    <w:p w14:paraId="13F89AA5" w14:textId="77777777" w:rsidR="0099174E" w:rsidRPr="0099174E" w:rsidRDefault="0099174E" w:rsidP="00436B0A">
      <w:pPr>
        <w:numPr>
          <w:ilvl w:val="0"/>
          <w:numId w:val="28"/>
        </w:numPr>
        <w:autoSpaceDE w:val="0"/>
        <w:autoSpaceDN w:val="0"/>
        <w:adjustRightInd w:val="0"/>
        <w:snapToGrid w:val="0"/>
        <w:spacing w:after="120"/>
        <w:ind w:left="1066" w:hanging="357"/>
        <w:jc w:val="both"/>
        <w:rPr>
          <w:lang w:val="en-GB"/>
        </w:rPr>
      </w:pPr>
      <w:r w:rsidRPr="0099174E">
        <w:rPr>
          <w:lang w:val="en-GB"/>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14:paraId="43515D9E" w14:textId="77777777" w:rsidR="0099174E" w:rsidRPr="0099174E" w:rsidRDefault="0099174E" w:rsidP="0099174E">
      <w:pPr>
        <w:jc w:val="both"/>
        <w:rPr>
          <w:lang w:val="en-GB"/>
        </w:rPr>
      </w:pPr>
      <w:r w:rsidRPr="0099174E">
        <w:rPr>
          <w:lang w:val="en-GB"/>
        </w:rPr>
        <w:lastRenderedPageBreak/>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14:paraId="238160A6"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5" w:name="_Toc43991809"/>
      <w:r w:rsidRPr="0099174E">
        <w:rPr>
          <w:szCs w:val="24"/>
        </w:rPr>
        <w:t>Payments</w:t>
      </w:r>
      <w:bookmarkEnd w:id="65"/>
    </w:p>
    <w:p w14:paraId="35658983" w14:textId="77777777" w:rsidR="0099174E" w:rsidRPr="0099174E" w:rsidRDefault="0099174E" w:rsidP="00805D02">
      <w:pPr>
        <w:spacing w:after="120"/>
        <w:jc w:val="both"/>
        <w:rPr>
          <w:lang w:val="en-US"/>
        </w:rPr>
      </w:pPr>
      <w:r w:rsidRPr="0099174E">
        <w:rPr>
          <w:lang w:val="en-US"/>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Following Business Day Convention. Any payment shall be deemed paid when the CEB has received the amount on its account. </w:t>
      </w:r>
    </w:p>
    <w:p w14:paraId="13592BD4" w14:textId="77777777" w:rsidR="0099174E" w:rsidRPr="0099174E" w:rsidRDefault="0099174E" w:rsidP="0099174E">
      <w:pPr>
        <w:jc w:val="both"/>
        <w:rPr>
          <w:lang w:val="en-US"/>
        </w:rPr>
      </w:pPr>
      <w:r w:rsidRPr="0099174E">
        <w:rPr>
          <w:lang w:val="en-US"/>
        </w:rPr>
        <w:t>The Borrower or the bank instructed by the Borrower, as the case may be, shall send a written payment notice to the CEB at least five (5) Business Days before payment of any amounts due under this Agreement.</w:t>
      </w:r>
    </w:p>
    <w:p w14:paraId="5EF31132" w14:textId="77777777" w:rsidR="0099174E" w:rsidRPr="0099174E" w:rsidRDefault="0099174E" w:rsidP="0099174E">
      <w:pPr>
        <w:jc w:val="both"/>
        <w:rPr>
          <w:lang w:val="en-US"/>
        </w:rPr>
      </w:pPr>
    </w:p>
    <w:p w14:paraId="2DE7994F"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66" w:name="_Ref474422442"/>
      <w:bookmarkStart w:id="67" w:name="_Toc43991810"/>
      <w:r w:rsidRPr="0099174E">
        <w:rPr>
          <w:szCs w:val="24"/>
        </w:rPr>
        <w:t>PROJECT IMPLEMENTATION</w:t>
      </w:r>
      <w:bookmarkEnd w:id="66"/>
      <w:bookmarkEnd w:id="67"/>
      <w:r w:rsidRPr="0099174E">
        <w:rPr>
          <w:szCs w:val="24"/>
        </w:rPr>
        <w:t xml:space="preserve"> </w:t>
      </w:r>
    </w:p>
    <w:p w14:paraId="28F145FD" w14:textId="77777777" w:rsidR="0099174E" w:rsidRPr="0099174E" w:rsidRDefault="0099174E" w:rsidP="0099174E">
      <w:pPr>
        <w:jc w:val="both"/>
        <w:rPr>
          <w:lang w:val="en-GB"/>
        </w:rPr>
      </w:pPr>
      <w:r w:rsidRPr="0099174E">
        <w:rPr>
          <w:lang w:val="en-GB"/>
        </w:rPr>
        <w:t>The Borrower shall implement the Project in accordance with the Agreement.</w:t>
      </w:r>
    </w:p>
    <w:p w14:paraId="4B16D007" w14:textId="42DC665C" w:rsidR="0099174E" w:rsidRPr="0099174E" w:rsidRDefault="0099174E" w:rsidP="0099174E">
      <w:pPr>
        <w:jc w:val="both"/>
        <w:rPr>
          <w:lang w:val="en-GB"/>
        </w:rPr>
      </w:pPr>
      <w:r w:rsidRPr="0099174E">
        <w:rPr>
          <w:lang w:val="en-GB"/>
        </w:rPr>
        <w:t>Failure to comply with the Project Implementation undertakings set forth hereby under Clause </w:t>
      </w:r>
      <w:r w:rsidRPr="0099174E">
        <w:rPr>
          <w:lang w:val="en-GB"/>
        </w:rPr>
        <w:fldChar w:fldCharType="begin"/>
      </w:r>
      <w:r w:rsidRPr="0099174E">
        <w:rPr>
          <w:lang w:val="en-GB"/>
        </w:rPr>
        <w:instrText xml:space="preserve"> REF _Ref474422442 \r \h  \* MERGEFORMAT </w:instrText>
      </w:r>
      <w:r w:rsidRPr="0099174E">
        <w:rPr>
          <w:lang w:val="en-GB"/>
        </w:rPr>
      </w:r>
      <w:r w:rsidRPr="0099174E">
        <w:rPr>
          <w:lang w:val="en-GB"/>
        </w:rPr>
        <w:fldChar w:fldCharType="separate"/>
      </w:r>
      <w:r w:rsidR="00A13370">
        <w:rPr>
          <w:lang w:val="en-GB"/>
        </w:rPr>
        <w:t>5</w:t>
      </w:r>
      <w:r w:rsidRPr="0099174E">
        <w:rPr>
          <w:lang w:val="en-GB"/>
        </w:rPr>
        <w:fldChar w:fldCharType="end"/>
      </w:r>
      <w:r w:rsidRPr="0099174E">
        <w:rPr>
          <w:lang w:val="en-GB"/>
        </w:rPr>
        <w:t xml:space="preserve"> would constitute, irrespective of any other applicable provision of the Loan Regulations, an event in the terms of Article 3.3 (h) of the Loan Regulations and may give rise to (i) the relevant Sub</w:t>
      </w:r>
      <w:r w:rsidRPr="0099174E">
        <w:rPr>
          <w:lang w:val="en-GB"/>
        </w:rPr>
        <w:noBreakHyphen/>
        <w:t>project being declared ineligible for Allocation under the Project; and/or (ii) the early reimbursement, suspension or cancellation of the Loan, in whole or in part, under the terms of Articles 3.3 (</w:t>
      </w:r>
      <w:r w:rsidRPr="0099174E">
        <w:rPr>
          <w:i/>
          <w:lang w:val="en-GB"/>
        </w:rPr>
        <w:t>Early reimbursement of disbursed loans</w:t>
      </w:r>
      <w:r w:rsidRPr="0099174E">
        <w:rPr>
          <w:lang w:val="en-GB"/>
        </w:rPr>
        <w:t>), 3.5 (</w:t>
      </w:r>
      <w:r w:rsidRPr="0099174E">
        <w:rPr>
          <w:i/>
          <w:lang w:val="en-GB"/>
        </w:rPr>
        <w:t>Suspension by the Bank of undisbursed loans</w:t>
      </w:r>
      <w:r w:rsidRPr="0099174E">
        <w:rPr>
          <w:lang w:val="en-GB"/>
        </w:rPr>
        <w:t>) and 3.6 (</w:t>
      </w:r>
      <w:r w:rsidRPr="0099174E">
        <w:rPr>
          <w:i/>
          <w:lang w:val="en-GB"/>
        </w:rPr>
        <w:t>Cancellation by the Bank of undisbursed loans</w:t>
      </w:r>
      <w:r w:rsidRPr="0099174E">
        <w:rPr>
          <w:lang w:val="en-GB"/>
        </w:rPr>
        <w:t>) of the Loan Regulations.</w:t>
      </w:r>
    </w:p>
    <w:p w14:paraId="45378392"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8" w:name="_Toc43991811"/>
      <w:r w:rsidRPr="0099174E">
        <w:rPr>
          <w:szCs w:val="24"/>
        </w:rPr>
        <w:t>Duty of Care</w:t>
      </w:r>
      <w:bookmarkEnd w:id="68"/>
    </w:p>
    <w:p w14:paraId="7DBF4882" w14:textId="77777777" w:rsidR="0099174E" w:rsidRPr="0099174E" w:rsidRDefault="0099174E" w:rsidP="0099174E">
      <w:pPr>
        <w:jc w:val="both"/>
        <w:rPr>
          <w:lang w:val="en-GB"/>
        </w:rPr>
      </w:pPr>
      <w:r w:rsidRPr="0099174E">
        <w:rPr>
          <w:lang w:val="en-GB"/>
        </w:rPr>
        <w:t>The Borrower shall apply all care and diligence, and shall exercise all typically used means (including, but not limited to, legal, financial, managerial and technical) required for the proper implementation of the Project.</w:t>
      </w:r>
    </w:p>
    <w:p w14:paraId="2E4DA69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69" w:name="_Ref474421776"/>
      <w:bookmarkStart w:id="70" w:name="_Toc43991812"/>
      <w:r w:rsidRPr="0099174E">
        <w:rPr>
          <w:szCs w:val="24"/>
        </w:rPr>
        <w:t>Allocation Period</w:t>
      </w:r>
      <w:bookmarkEnd w:id="69"/>
      <w:bookmarkEnd w:id="70"/>
    </w:p>
    <w:p w14:paraId="73FC3F46" w14:textId="77777777" w:rsidR="0099174E" w:rsidRPr="0099174E" w:rsidRDefault="0099174E" w:rsidP="00077D6D">
      <w:pPr>
        <w:spacing w:after="120"/>
        <w:jc w:val="both"/>
        <w:rPr>
          <w:lang w:val="en-US"/>
        </w:rPr>
      </w:pPr>
      <w:r w:rsidRPr="0099174E">
        <w:rPr>
          <w:lang w:val="en-US"/>
        </w:rPr>
        <w:t xml:space="preserve">The Borrower shall allocate each Tranche to the Project within twelve (12) months after the relevant Disbursement Date (the </w:t>
      </w:r>
      <w:r w:rsidRPr="0099174E">
        <w:rPr>
          <w:b/>
          <w:lang w:val="en-US"/>
        </w:rPr>
        <w:t>“Allocation Period”</w:t>
      </w:r>
      <w:r w:rsidRPr="0099174E">
        <w:rPr>
          <w:lang w:val="en-US"/>
        </w:rPr>
        <w:t>).</w:t>
      </w:r>
    </w:p>
    <w:p w14:paraId="2F145385" w14:textId="3861683D" w:rsidR="0099174E" w:rsidRPr="0099174E" w:rsidRDefault="0099174E" w:rsidP="0099174E">
      <w:pPr>
        <w:jc w:val="both"/>
        <w:rPr>
          <w:lang w:val="en-US"/>
        </w:rPr>
      </w:pPr>
      <w:r w:rsidRPr="0099174E">
        <w:rPr>
          <w:lang w:val="en-US"/>
        </w:rPr>
        <w:t xml:space="preserve">If a Tranche disbursed by the CEB is not allocated to the Project or is only partially allocated to it within the Allocation Period, the Borrower shall reimburse the unallocated amounts to the CEB in accordance with Sub-clause </w:t>
      </w:r>
      <w:r w:rsidRPr="0099174E">
        <w:fldChar w:fldCharType="begin"/>
      </w:r>
      <w:r w:rsidRPr="0099174E">
        <w:rPr>
          <w:lang w:val="en-US"/>
        </w:rPr>
        <w:instrText xml:space="preserve"> REF _Ref474422459 \r \h  \* MERGEFORMAT </w:instrText>
      </w:r>
      <w:r w:rsidRPr="0099174E">
        <w:fldChar w:fldCharType="separate"/>
      </w:r>
      <w:r w:rsidR="00A13370">
        <w:rPr>
          <w:lang w:val="en-US"/>
        </w:rPr>
        <w:t>4.7</w:t>
      </w:r>
      <w:r w:rsidRPr="0099174E">
        <w:fldChar w:fldCharType="end"/>
      </w:r>
      <w:r w:rsidRPr="0099174E">
        <w:rPr>
          <w:lang w:val="en-US"/>
        </w:rPr>
        <w:t>.</w:t>
      </w:r>
    </w:p>
    <w:p w14:paraId="39D4EF28"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1" w:name="_Toc43991813"/>
      <w:r w:rsidRPr="0099174E">
        <w:rPr>
          <w:szCs w:val="24"/>
        </w:rPr>
        <w:t>Project Costs</w:t>
      </w:r>
      <w:bookmarkEnd w:id="71"/>
    </w:p>
    <w:p w14:paraId="38E7A334" w14:textId="783AEB1F" w:rsidR="0099174E" w:rsidRPr="0099174E" w:rsidRDefault="0099174E" w:rsidP="00077D6D">
      <w:pPr>
        <w:spacing w:after="120"/>
        <w:jc w:val="both"/>
        <w:rPr>
          <w:lang w:val="en-US"/>
        </w:rPr>
      </w:pPr>
      <w:r w:rsidRPr="0099174E">
        <w:rPr>
          <w:lang w:val="en-US"/>
        </w:rPr>
        <w:t xml:space="preserve">The Tranches disbursed under the Loan shall not exceed ninety per cent (90%) of the total incurred eligible costs of the Project. If the Tranches disbursed under the Loan exceed the above ninety per cent (90%) (by reduction of the total eligible costs or </w:t>
      </w:r>
      <w:r w:rsidRPr="0099174E">
        <w:rPr>
          <w:lang w:val="en-US"/>
        </w:rPr>
        <w:lastRenderedPageBreak/>
        <w:t xml:space="preserve">otherwise), the Borrower shall reimburse the surplus to the CEB in accordance with Sub-clause </w:t>
      </w:r>
      <w:r w:rsidRPr="0099174E">
        <w:fldChar w:fldCharType="begin"/>
      </w:r>
      <w:r w:rsidRPr="0099174E">
        <w:rPr>
          <w:lang w:val="en-US"/>
        </w:rPr>
        <w:instrText xml:space="preserve"> REF _Ref474422470 \r \h  \* MERGEFORMAT </w:instrText>
      </w:r>
      <w:r w:rsidRPr="0099174E">
        <w:fldChar w:fldCharType="separate"/>
      </w:r>
      <w:r w:rsidR="00A13370">
        <w:rPr>
          <w:lang w:val="en-US"/>
        </w:rPr>
        <w:t>4.7</w:t>
      </w:r>
      <w:r w:rsidRPr="0099174E">
        <w:fldChar w:fldCharType="end"/>
      </w:r>
      <w:r w:rsidRPr="0099174E">
        <w:rPr>
          <w:lang w:val="en-US"/>
        </w:rPr>
        <w:t xml:space="preserve">. </w:t>
      </w:r>
    </w:p>
    <w:p w14:paraId="296CDB48" w14:textId="77777777" w:rsidR="0099174E" w:rsidRPr="0099174E" w:rsidRDefault="0099174E" w:rsidP="0099174E">
      <w:pPr>
        <w:jc w:val="both"/>
        <w:rPr>
          <w:lang w:val="en-GB"/>
        </w:rPr>
      </w:pPr>
      <w:r w:rsidRPr="0099174E">
        <w:rPr>
          <w:lang w:val="en-US"/>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r w:rsidRPr="0099174E">
        <w:rPr>
          <w:lang w:val="en-GB"/>
        </w:rPr>
        <w:t>.</w:t>
      </w:r>
    </w:p>
    <w:p w14:paraId="50252761"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2" w:name="_Toc43991814"/>
      <w:r w:rsidRPr="0099174E">
        <w:rPr>
          <w:szCs w:val="24"/>
        </w:rPr>
        <w:t>Project Specific Undertakings</w:t>
      </w:r>
      <w:bookmarkEnd w:id="72"/>
      <w:r w:rsidRPr="0099174E">
        <w:rPr>
          <w:szCs w:val="24"/>
        </w:rPr>
        <w:t xml:space="preserve"> </w:t>
      </w:r>
    </w:p>
    <w:p w14:paraId="3C64A65B" w14:textId="77777777" w:rsidR="0099174E" w:rsidRPr="0099174E" w:rsidRDefault="0099174E" w:rsidP="00EB415B">
      <w:pPr>
        <w:spacing w:after="120"/>
        <w:jc w:val="both"/>
        <w:rPr>
          <w:lang w:val="en-GB"/>
        </w:rPr>
      </w:pPr>
      <w:r w:rsidRPr="0099174E">
        <w:rPr>
          <w:lang w:val="en-GB"/>
        </w:rPr>
        <w:t xml:space="preserve">The Borrower shall ensure that: </w:t>
      </w:r>
    </w:p>
    <w:p w14:paraId="7C4EBD08" w14:textId="77777777" w:rsidR="0099174E" w:rsidRPr="0099174E" w:rsidRDefault="0099174E" w:rsidP="00436B0A">
      <w:pPr>
        <w:pStyle w:val="ListParagraph"/>
        <w:numPr>
          <w:ilvl w:val="0"/>
          <w:numId w:val="29"/>
        </w:numPr>
        <w:autoSpaceDE w:val="0"/>
        <w:autoSpaceDN w:val="0"/>
        <w:adjustRightInd w:val="0"/>
        <w:snapToGrid w:val="0"/>
        <w:spacing w:line="240" w:lineRule="auto"/>
        <w:ind w:right="49"/>
        <w:jc w:val="both"/>
        <w:rPr>
          <w:sz w:val="24"/>
          <w:szCs w:val="24"/>
        </w:rPr>
      </w:pPr>
      <w:r w:rsidRPr="0099174E">
        <w:rPr>
          <w:sz w:val="24"/>
          <w:szCs w:val="24"/>
        </w:rPr>
        <w:t xml:space="preserve">all the land, real property rights and permits required for the implementation of the Project are timely available; and </w:t>
      </w:r>
    </w:p>
    <w:p w14:paraId="73B6E326" w14:textId="77777777" w:rsidR="0099174E" w:rsidRPr="0099174E" w:rsidRDefault="0099174E" w:rsidP="00436B0A">
      <w:pPr>
        <w:pStyle w:val="ListParagraph"/>
        <w:numPr>
          <w:ilvl w:val="0"/>
          <w:numId w:val="29"/>
        </w:numPr>
        <w:autoSpaceDE w:val="0"/>
        <w:autoSpaceDN w:val="0"/>
        <w:adjustRightInd w:val="0"/>
        <w:snapToGrid w:val="0"/>
        <w:spacing w:line="240" w:lineRule="auto"/>
        <w:ind w:right="49"/>
        <w:jc w:val="both"/>
        <w:rPr>
          <w:sz w:val="24"/>
          <w:szCs w:val="24"/>
        </w:rPr>
      </w:pPr>
      <w:r w:rsidRPr="0099174E">
        <w:rPr>
          <w:sz w:val="24"/>
          <w:szCs w:val="24"/>
        </w:rPr>
        <w:t>all assets and plants under the Project are permanently insured and maintained in accordance with international best practices.</w:t>
      </w:r>
    </w:p>
    <w:p w14:paraId="4A3523C3"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3" w:name="_Ref474422024"/>
      <w:bookmarkStart w:id="74" w:name="_Toc43991815"/>
      <w:r w:rsidRPr="0099174E">
        <w:rPr>
          <w:szCs w:val="24"/>
        </w:rPr>
        <w:t>Procurement</w:t>
      </w:r>
      <w:bookmarkEnd w:id="73"/>
      <w:bookmarkEnd w:id="74"/>
    </w:p>
    <w:p w14:paraId="73A9CC86" w14:textId="77777777" w:rsidR="0099174E" w:rsidRPr="0099174E" w:rsidRDefault="0099174E" w:rsidP="0099174E">
      <w:pPr>
        <w:jc w:val="both"/>
        <w:rPr>
          <w:lang w:val="en-GB"/>
        </w:rPr>
      </w:pPr>
      <w:r w:rsidRPr="0099174E">
        <w:rPr>
          <w:lang w:val="en-GB"/>
        </w:rPr>
        <w:t>Procurement of supplies, works and services to be financed under the Project shall comply with the Procurement Guidelines.</w:t>
      </w:r>
    </w:p>
    <w:p w14:paraId="541824F8"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5" w:name="_Toc43991816"/>
      <w:r w:rsidRPr="0099174E">
        <w:rPr>
          <w:szCs w:val="24"/>
        </w:rPr>
        <w:t>Environmental and Social Safeguards</w:t>
      </w:r>
      <w:bookmarkEnd w:id="75"/>
    </w:p>
    <w:p w14:paraId="3D4F1456" w14:textId="77777777" w:rsidR="0099174E" w:rsidRPr="0099174E" w:rsidRDefault="0099174E" w:rsidP="0099174E">
      <w:pPr>
        <w:jc w:val="both"/>
        <w:rPr>
          <w:lang w:val="en-US"/>
        </w:rPr>
      </w:pPr>
      <w:r w:rsidRPr="0099174E">
        <w:rPr>
          <w:lang w:val="en-US"/>
        </w:rPr>
        <w:t xml:space="preserve">The Borrower shall implement the </w:t>
      </w:r>
      <w:r w:rsidRPr="0099174E">
        <w:rPr>
          <w:color w:val="000000" w:themeColor="text1"/>
          <w:lang w:val="en-US"/>
        </w:rPr>
        <w:t xml:space="preserve">Project in conformity with the requirements set forth in the Environmental and Social Safeguards </w:t>
      </w:r>
      <w:r w:rsidRPr="0099174E">
        <w:rPr>
          <w:lang w:val="en-US"/>
        </w:rPr>
        <w:t xml:space="preserve">Policy. In particular, should the project require an Environmental Impact Assessment (EIA) in accordance with the Environmental and Social Safeguards Policy, the Borrower shall notify CEB and ensure that the appropriate Environmental and Social Impact assessment(s) are undertaken in accordance with the requirements of the </w:t>
      </w:r>
      <w:r w:rsidRPr="0099174E">
        <w:rPr>
          <w:color w:val="000000" w:themeColor="text1"/>
          <w:lang w:val="en-US"/>
        </w:rPr>
        <w:t xml:space="preserve">Environmental and Social Safeguards </w:t>
      </w:r>
      <w:r w:rsidRPr="0099174E">
        <w:rPr>
          <w:lang w:val="en-US"/>
        </w:rPr>
        <w:t>Policy. The Borrower shall ensure that relevant environmental and social assessment documentation is made available for the CEB’s review when requested.</w:t>
      </w:r>
    </w:p>
    <w:p w14:paraId="1DCC03B5"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6" w:name="_Toc43991817"/>
      <w:r w:rsidRPr="0099174E">
        <w:rPr>
          <w:szCs w:val="24"/>
        </w:rPr>
        <w:t>Human Rights</w:t>
      </w:r>
      <w:bookmarkEnd w:id="76"/>
    </w:p>
    <w:p w14:paraId="36B6EFC6" w14:textId="77777777" w:rsidR="0099174E" w:rsidRPr="0099174E" w:rsidRDefault="0099174E" w:rsidP="0099174E">
      <w:pPr>
        <w:jc w:val="both"/>
        <w:rPr>
          <w:lang w:val="en-GB"/>
        </w:rPr>
      </w:pPr>
      <w:r w:rsidRPr="0099174E">
        <w:rPr>
          <w:lang w:val="en-GB"/>
        </w:rPr>
        <w:t>The Borrower shall ensure that the implementation of the Project will not give rise to a violation of (i) the European Convention on Human Rights; or (ii) the European Social Charter.</w:t>
      </w:r>
    </w:p>
    <w:p w14:paraId="2319618A"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7" w:name="_Toc43991818"/>
      <w:r w:rsidRPr="0099174E">
        <w:rPr>
          <w:szCs w:val="24"/>
        </w:rPr>
        <w:t>Integrity</w:t>
      </w:r>
      <w:bookmarkEnd w:id="77"/>
      <w:r w:rsidRPr="0099174E">
        <w:rPr>
          <w:szCs w:val="24"/>
        </w:rPr>
        <w:t xml:space="preserve"> </w:t>
      </w:r>
    </w:p>
    <w:p w14:paraId="1FBFA01C" w14:textId="77777777" w:rsidR="0099174E" w:rsidRPr="0099174E" w:rsidRDefault="0099174E" w:rsidP="0099174E">
      <w:pPr>
        <w:jc w:val="both"/>
        <w:rPr>
          <w:lang w:val="en-GB"/>
        </w:rPr>
      </w:pPr>
      <w:r w:rsidRPr="0099174E">
        <w:rPr>
          <w:lang w:val="en-GB"/>
        </w:rPr>
        <w:t>The Borrower shall ensure that the implementation of the Project will not give rise to a violation of the applicable laws on fraud, corruption or any other unlawful use of funds.</w:t>
      </w:r>
    </w:p>
    <w:p w14:paraId="156E15C3"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78" w:name="_Toc43991819"/>
      <w:r w:rsidRPr="0099174E">
        <w:rPr>
          <w:szCs w:val="24"/>
        </w:rPr>
        <w:t>Visibility</w:t>
      </w:r>
      <w:bookmarkEnd w:id="78"/>
    </w:p>
    <w:p w14:paraId="3B45872C" w14:textId="77777777" w:rsidR="0099174E" w:rsidRPr="0099174E" w:rsidRDefault="0099174E" w:rsidP="0099174E">
      <w:pPr>
        <w:jc w:val="both"/>
        <w:rPr>
          <w:lang w:val="en-GB"/>
        </w:rPr>
      </w:pPr>
      <w:r w:rsidRPr="0099174E">
        <w:rPr>
          <w:lang w:val="en-GB"/>
        </w:rPr>
        <w:t>The Borrower shall inform the Final Beneficiaries that the Project is partly financed by the CEB through appropriate means of communication such as dedicated notices in relevant websites, press releases, brochures or the exhibit of billboards/plates on relevant Project sites/facilities. In any case, information given to the Final Beneficiaries shall display in an appropriate way the CEB’s name and logo.</w:t>
      </w:r>
    </w:p>
    <w:p w14:paraId="0C4195A2" w14:textId="77777777" w:rsidR="0099174E" w:rsidRPr="0099174E" w:rsidRDefault="0099174E" w:rsidP="0099174E">
      <w:pPr>
        <w:jc w:val="both"/>
        <w:rPr>
          <w:lang w:val="en-GB"/>
        </w:rPr>
      </w:pPr>
    </w:p>
    <w:p w14:paraId="4B162870"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79" w:name="_Toc43991820"/>
      <w:r w:rsidRPr="0099174E">
        <w:rPr>
          <w:szCs w:val="24"/>
        </w:rPr>
        <w:lastRenderedPageBreak/>
        <w:t>MONITORING</w:t>
      </w:r>
      <w:bookmarkEnd w:id="79"/>
    </w:p>
    <w:p w14:paraId="2C1A408F"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80" w:name="_Ref474421838"/>
      <w:bookmarkStart w:id="81" w:name="_Ref474422100"/>
      <w:bookmarkStart w:id="82" w:name="_Ref474422128"/>
      <w:bookmarkStart w:id="83" w:name="_Toc43991821"/>
      <w:r w:rsidRPr="0099174E">
        <w:rPr>
          <w:szCs w:val="24"/>
        </w:rPr>
        <w:t>Reporting</w:t>
      </w:r>
      <w:bookmarkEnd w:id="80"/>
      <w:bookmarkEnd w:id="81"/>
      <w:bookmarkEnd w:id="82"/>
      <w:bookmarkEnd w:id="83"/>
    </w:p>
    <w:p w14:paraId="062B68B2" w14:textId="77777777" w:rsidR="0099174E" w:rsidRPr="0099174E" w:rsidRDefault="0099174E" w:rsidP="00436B0A">
      <w:pPr>
        <w:pStyle w:val="ListParagraph"/>
        <w:numPr>
          <w:ilvl w:val="0"/>
          <w:numId w:val="30"/>
        </w:numPr>
        <w:autoSpaceDE w:val="0"/>
        <w:autoSpaceDN w:val="0"/>
        <w:adjustRightInd w:val="0"/>
        <w:snapToGrid w:val="0"/>
        <w:spacing w:after="120" w:line="240" w:lineRule="auto"/>
        <w:ind w:left="357" w:right="51" w:hanging="357"/>
        <w:jc w:val="both"/>
        <w:rPr>
          <w:sz w:val="24"/>
          <w:szCs w:val="24"/>
        </w:rPr>
      </w:pPr>
      <w:r w:rsidRPr="0099174E">
        <w:rPr>
          <w:sz w:val="24"/>
          <w:szCs w:val="24"/>
        </w:rPr>
        <w:t xml:space="preserve">Progress Reports </w:t>
      </w:r>
    </w:p>
    <w:p w14:paraId="4A5C37B9" w14:textId="77777777" w:rsidR="0099174E" w:rsidRPr="0099174E" w:rsidRDefault="0099174E" w:rsidP="00077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US"/>
        </w:rPr>
      </w:pPr>
      <w:r w:rsidRPr="0099174E">
        <w:rPr>
          <w:lang w:val="en-US"/>
        </w:rPr>
        <w:t xml:space="preserve">The Borrower shall send to the CEB a progress report (hereinafter, a </w:t>
      </w:r>
      <w:r w:rsidRPr="0099174E">
        <w:rPr>
          <w:b/>
          <w:lang w:val="en-US"/>
        </w:rPr>
        <w:t>“Progress Report”</w:t>
      </w:r>
      <w:r w:rsidRPr="0099174E">
        <w:rPr>
          <w:lang w:val="en-US"/>
        </w:rPr>
        <w:t>) (i) every six (6) months, until the full Allocation of the disbursed Tranches; and (ii) prior to every Disbursement Request, whichever comes earlier.</w:t>
      </w:r>
    </w:p>
    <w:p w14:paraId="4ED2A3D9" w14:textId="77777777" w:rsidR="0099174E" w:rsidRPr="0099174E" w:rsidRDefault="0099174E" w:rsidP="00EB415B">
      <w:pPr>
        <w:spacing w:after="120"/>
        <w:jc w:val="both"/>
        <w:rPr>
          <w:lang w:val="en-US"/>
        </w:rPr>
      </w:pPr>
      <w:r w:rsidRPr="0099174E">
        <w:rPr>
          <w:lang w:val="en-US"/>
        </w:rPr>
        <w:t>Appendix 4 hereto provides a template specifying the minimum information required by the CEB. Alternative formats containing the same information may also be used.</w:t>
      </w:r>
    </w:p>
    <w:p w14:paraId="01E4AE67" w14:textId="4A3FD58C" w:rsidR="0099174E" w:rsidRPr="0099174E" w:rsidRDefault="0099174E" w:rsidP="00077D6D">
      <w:pPr>
        <w:spacing w:after="120"/>
        <w:jc w:val="both"/>
        <w:rPr>
          <w:lang w:val="en-US"/>
        </w:rPr>
      </w:pPr>
      <w:r w:rsidRPr="0099174E">
        <w:rPr>
          <w:lang w:val="en-US"/>
        </w:rPr>
        <w:t xml:space="preserve">In case any Sub-project to which the Tranche has been allocated does not comply with the eligibility criteria set forth under Appendix 1, the Borrower shall timely allocate the relevant amounts to other eligible Sub-projects or otherwise reimburse the unallocated amounts to the CEB in accordance with Sub-clause </w:t>
      </w:r>
      <w:r w:rsidRPr="0099174E">
        <w:fldChar w:fldCharType="begin"/>
      </w:r>
      <w:r w:rsidRPr="0099174E">
        <w:rPr>
          <w:lang w:val="en-US"/>
        </w:rPr>
        <w:instrText xml:space="preserve"> REF _Ref474422519 \r \h  \* MERGEFORMAT </w:instrText>
      </w:r>
      <w:r w:rsidRPr="0099174E">
        <w:fldChar w:fldCharType="separate"/>
      </w:r>
      <w:r w:rsidR="00A13370">
        <w:rPr>
          <w:lang w:val="en-US"/>
        </w:rPr>
        <w:t>4.7</w:t>
      </w:r>
      <w:r w:rsidRPr="0099174E">
        <w:fldChar w:fldCharType="end"/>
      </w:r>
      <w:r w:rsidRPr="0099174E">
        <w:rPr>
          <w:lang w:val="en-US"/>
        </w:rPr>
        <w:t xml:space="preserve">. </w:t>
      </w:r>
    </w:p>
    <w:p w14:paraId="3D034E7B" w14:textId="77777777" w:rsidR="0099174E" w:rsidRPr="0099174E" w:rsidRDefault="0099174E" w:rsidP="00436B0A">
      <w:pPr>
        <w:pStyle w:val="NumLista"/>
        <w:numPr>
          <w:ilvl w:val="0"/>
          <w:numId w:val="30"/>
        </w:numPr>
        <w:spacing w:after="120"/>
        <w:ind w:left="357" w:right="51" w:hanging="357"/>
        <w:rPr>
          <w:rFonts w:ascii="Times New Roman" w:hAnsi="Times New Roman" w:cs="Times New Roman"/>
          <w:sz w:val="24"/>
          <w:szCs w:val="24"/>
        </w:rPr>
      </w:pPr>
      <w:r w:rsidRPr="0099174E">
        <w:rPr>
          <w:rFonts w:ascii="Times New Roman" w:hAnsi="Times New Roman" w:cs="Times New Roman"/>
          <w:sz w:val="24"/>
          <w:szCs w:val="24"/>
        </w:rPr>
        <w:t>Completion Report</w:t>
      </w:r>
    </w:p>
    <w:p w14:paraId="42E68CD8" w14:textId="77777777" w:rsidR="0099174E" w:rsidRPr="0099174E" w:rsidRDefault="0099174E" w:rsidP="00077D6D">
      <w:pPr>
        <w:spacing w:after="120"/>
        <w:jc w:val="both"/>
        <w:rPr>
          <w:lang w:val="en-GB"/>
        </w:rPr>
      </w:pPr>
      <w:r w:rsidRPr="0099174E">
        <w:rPr>
          <w:lang w:val="en-US"/>
        </w:rPr>
        <w:t xml:space="preserve">Upon full Allocation of the Tranches, the Borrower shall submit a completion report (hereinafter, a </w:t>
      </w:r>
      <w:r w:rsidRPr="0099174E">
        <w:rPr>
          <w:b/>
          <w:lang w:val="en-US"/>
        </w:rPr>
        <w:t>“Completion Report”</w:t>
      </w:r>
      <w:r w:rsidRPr="0099174E">
        <w:rPr>
          <w:lang w:val="en-US"/>
        </w:rPr>
        <w:t>), including an appraisal of the Project’s social impact with technical indicators agreed upon with the CEB in Appendix 4, Table 2</w:t>
      </w:r>
      <w:r w:rsidRPr="0099174E">
        <w:rPr>
          <w:lang w:val="en-GB"/>
        </w:rPr>
        <w:t>.</w:t>
      </w:r>
    </w:p>
    <w:p w14:paraId="21B601E1" w14:textId="77777777" w:rsidR="0099174E" w:rsidRPr="0099174E" w:rsidRDefault="0099174E" w:rsidP="0099174E">
      <w:pPr>
        <w:jc w:val="both"/>
        <w:rPr>
          <w:lang w:val="en-GB"/>
        </w:rPr>
      </w:pPr>
      <w:r w:rsidRPr="0099174E">
        <w:rPr>
          <w:lang w:val="en-US"/>
        </w:rPr>
        <w:t>Appendix 4 hereto provides a template specifying the minimum information required by the CEB. Alternative formats containing the same information may also be used.</w:t>
      </w:r>
      <w:r w:rsidRPr="0099174E">
        <w:rPr>
          <w:lang w:val="en-GB"/>
        </w:rPr>
        <w:t xml:space="preserve"> </w:t>
      </w:r>
    </w:p>
    <w:p w14:paraId="5E72CC2F"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84" w:name="_Toc43991822"/>
      <w:r w:rsidRPr="0099174E">
        <w:rPr>
          <w:szCs w:val="24"/>
        </w:rPr>
        <w:t>Visits</w:t>
      </w:r>
      <w:bookmarkEnd w:id="84"/>
    </w:p>
    <w:p w14:paraId="751010CC" w14:textId="77777777" w:rsidR="0099174E" w:rsidRPr="0099174E" w:rsidRDefault="0099174E" w:rsidP="0099174E">
      <w:pPr>
        <w:jc w:val="both"/>
        <w:rPr>
          <w:lang w:val="en-GB"/>
        </w:rPr>
      </w:pPr>
      <w:r w:rsidRPr="0099174E">
        <w:rPr>
          <w:lang w:val="en-GB"/>
        </w:rPr>
        <w:t xml:space="preserve">The Borrower undertakes to favourably receive any monitoring/technical/evaluation visits, including by facilitating access to relevant Sub-project sites/contractors, carried out by the CEB’s staff members or designated third parties. </w:t>
      </w:r>
    </w:p>
    <w:p w14:paraId="0461474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85" w:name="_Toc43991823"/>
      <w:r w:rsidRPr="0099174E">
        <w:rPr>
          <w:szCs w:val="24"/>
        </w:rPr>
        <w:t>Audit</w:t>
      </w:r>
      <w:bookmarkEnd w:id="85"/>
    </w:p>
    <w:p w14:paraId="22F7B793" w14:textId="77777777" w:rsidR="0099174E" w:rsidRPr="0099174E" w:rsidRDefault="0099174E" w:rsidP="0099174E">
      <w:pPr>
        <w:jc w:val="both"/>
        <w:rPr>
          <w:lang w:val="en-GB"/>
        </w:rPr>
      </w:pPr>
      <w:r w:rsidRPr="0099174E">
        <w:rPr>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p>
    <w:p w14:paraId="144A3AE7"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86" w:name="_Toc43991824"/>
      <w:r w:rsidRPr="0099174E">
        <w:rPr>
          <w:szCs w:val="24"/>
        </w:rPr>
        <w:t>Project Information</w:t>
      </w:r>
      <w:bookmarkEnd w:id="86"/>
      <w:r w:rsidRPr="0099174E">
        <w:rPr>
          <w:szCs w:val="24"/>
        </w:rPr>
        <w:t xml:space="preserve"> </w:t>
      </w:r>
    </w:p>
    <w:p w14:paraId="7EC261BE" w14:textId="77777777" w:rsidR="0099174E" w:rsidRPr="0099174E" w:rsidRDefault="0099174E" w:rsidP="00077D6D">
      <w:pPr>
        <w:spacing w:after="120"/>
        <w:jc w:val="both"/>
        <w:rPr>
          <w:lang w:val="en-GB"/>
        </w:rPr>
      </w:pPr>
      <w:r w:rsidRPr="0099174E">
        <w:rPr>
          <w:lang w:val="en-GB"/>
        </w:rPr>
        <w:t>The Borrower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14:paraId="022CAE36" w14:textId="77777777" w:rsidR="0099174E" w:rsidRPr="0099174E" w:rsidRDefault="0099174E" w:rsidP="00077D6D">
      <w:pPr>
        <w:spacing w:after="120"/>
        <w:jc w:val="both"/>
        <w:rPr>
          <w:lang w:val="en-GB"/>
        </w:rPr>
      </w:pPr>
      <w:r w:rsidRPr="0099174E">
        <w:rPr>
          <w:lang w:val="en-GB"/>
        </w:rPr>
        <w:t xml:space="preserve">The Borrower shall deliver to the CEB in a timely manner any information or document concerning the financing or the implementation (including in particular environmental and procurement issues) of the Project as the CEB may reasonably require. </w:t>
      </w:r>
    </w:p>
    <w:p w14:paraId="07240E95" w14:textId="77777777" w:rsidR="0099174E" w:rsidRPr="0099174E" w:rsidRDefault="0099174E" w:rsidP="00077D6D">
      <w:pPr>
        <w:spacing w:after="120"/>
        <w:jc w:val="both"/>
        <w:rPr>
          <w:lang w:val="en-GB"/>
        </w:rPr>
      </w:pPr>
      <w:r w:rsidRPr="0099174E">
        <w:rPr>
          <w:lang w:val="en-GB"/>
        </w:rPr>
        <w:t>The Borrower shall inform the CEB immediately of any event that may have a material adverse impact on the implementation of the Project, including but not limited to:</w:t>
      </w:r>
    </w:p>
    <w:p w14:paraId="0D50301E" w14:textId="77777777" w:rsidR="0099174E" w:rsidRPr="0099174E" w:rsidRDefault="0099174E" w:rsidP="00436B0A">
      <w:pPr>
        <w:pStyle w:val="ListParagraph"/>
        <w:numPr>
          <w:ilvl w:val="0"/>
          <w:numId w:val="31"/>
        </w:numPr>
        <w:autoSpaceDE w:val="0"/>
        <w:autoSpaceDN w:val="0"/>
        <w:adjustRightInd w:val="0"/>
        <w:snapToGrid w:val="0"/>
        <w:spacing w:line="240" w:lineRule="auto"/>
        <w:ind w:right="49"/>
        <w:jc w:val="both"/>
        <w:rPr>
          <w:sz w:val="24"/>
          <w:szCs w:val="24"/>
        </w:rPr>
      </w:pPr>
      <w:r w:rsidRPr="0099174E">
        <w:rPr>
          <w:sz w:val="24"/>
          <w:szCs w:val="24"/>
        </w:rPr>
        <w:lastRenderedPageBreak/>
        <w:t xml:space="preserve">any action or protest initiated or any objection raised by any third party or any genuine complaint received by the Borrower or any material litigation that is commenced or threatened against it with regard to procurement or environmental or other matters affecting the Project; and </w:t>
      </w:r>
    </w:p>
    <w:p w14:paraId="5852AC08" w14:textId="77777777" w:rsidR="0099174E" w:rsidRPr="0099174E" w:rsidRDefault="0099174E" w:rsidP="00436B0A">
      <w:pPr>
        <w:pStyle w:val="ListParagraph"/>
        <w:numPr>
          <w:ilvl w:val="0"/>
          <w:numId w:val="31"/>
        </w:numPr>
        <w:autoSpaceDE w:val="0"/>
        <w:autoSpaceDN w:val="0"/>
        <w:adjustRightInd w:val="0"/>
        <w:snapToGrid w:val="0"/>
        <w:spacing w:after="120" w:line="240" w:lineRule="auto"/>
        <w:ind w:left="1066" w:right="51" w:hanging="357"/>
        <w:jc w:val="both"/>
        <w:rPr>
          <w:sz w:val="24"/>
          <w:szCs w:val="24"/>
        </w:rPr>
      </w:pPr>
      <w:r w:rsidRPr="0099174E">
        <w:rPr>
          <w:sz w:val="24"/>
          <w:szCs w:val="24"/>
        </w:rPr>
        <w:t>any enactment of or any amendment to any law, rule or regulation (or in the application or official interpretation of any law, rule or regulation).</w:t>
      </w:r>
    </w:p>
    <w:p w14:paraId="769E81E1" w14:textId="77777777" w:rsidR="0099174E" w:rsidRPr="0099174E" w:rsidRDefault="0099174E" w:rsidP="0099174E">
      <w:pPr>
        <w:jc w:val="both"/>
        <w:rPr>
          <w:lang w:val="en-GB"/>
        </w:rPr>
      </w:pPr>
      <w:r w:rsidRPr="0099174E">
        <w:rPr>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99174E">
        <w:rPr>
          <w:i/>
          <w:lang w:val="en-GB"/>
        </w:rPr>
        <w:t>Early reimbursement of disbursed loans</w:t>
      </w:r>
      <w:r w:rsidRPr="0099174E">
        <w:rPr>
          <w:lang w:val="en-GB"/>
        </w:rPr>
        <w:t>), 3.5 (</w:t>
      </w:r>
      <w:r w:rsidRPr="0099174E">
        <w:rPr>
          <w:i/>
          <w:lang w:val="en-GB"/>
        </w:rPr>
        <w:t>Suspension by the Bank of undisbursed loans</w:t>
      </w:r>
      <w:r w:rsidRPr="0099174E">
        <w:rPr>
          <w:lang w:val="en-GB"/>
        </w:rPr>
        <w:t>) and 3.6 (</w:t>
      </w:r>
      <w:r w:rsidRPr="0099174E">
        <w:rPr>
          <w:i/>
          <w:lang w:val="en-GB"/>
        </w:rPr>
        <w:t>Cancellation by the Bank of undisbursed loans</w:t>
      </w:r>
      <w:r w:rsidRPr="0099174E">
        <w:rPr>
          <w:lang w:val="en-GB"/>
        </w:rPr>
        <w:t>) of the Loan Regulations.</w:t>
      </w:r>
    </w:p>
    <w:p w14:paraId="39E978EB"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87" w:name="_Toc43991825"/>
      <w:r w:rsidRPr="0099174E">
        <w:rPr>
          <w:szCs w:val="24"/>
        </w:rPr>
        <w:t>Borrower Information</w:t>
      </w:r>
      <w:bookmarkEnd w:id="87"/>
    </w:p>
    <w:p w14:paraId="4CD0A3AA" w14:textId="77777777" w:rsidR="0099174E" w:rsidRPr="0099174E" w:rsidRDefault="0099174E" w:rsidP="00077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99174E">
        <w:rPr>
          <w:lang w:val="en-GB"/>
        </w:rPr>
        <w:t>The Borrower shall deliver any such information on its general financial situation as the CEB may reasonably require from time to time.</w:t>
      </w:r>
    </w:p>
    <w:p w14:paraId="7B2397DB" w14:textId="77777777" w:rsidR="0099174E" w:rsidRPr="0099174E" w:rsidRDefault="0099174E" w:rsidP="00077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99174E">
        <w:rPr>
          <w:lang w:val="en-GB"/>
        </w:rPr>
        <w:t>The Borrower shall inform the CEB immediately of any Material Adverse Change. Any Material Adverse Change would constitute an event in the terms of Article 3.3 (h) of the Loan Regulations and may give rise to the early reimbursement, suspension or cancellation of the Loan under the terms of Articles 3.3 (</w:t>
      </w:r>
      <w:r w:rsidRPr="0099174E">
        <w:rPr>
          <w:i/>
          <w:lang w:val="en-GB"/>
        </w:rPr>
        <w:t>Early reimbursement of disbursed loans</w:t>
      </w:r>
      <w:r w:rsidRPr="0099174E">
        <w:rPr>
          <w:lang w:val="en-GB"/>
        </w:rPr>
        <w:t>), 3.5 (</w:t>
      </w:r>
      <w:r w:rsidRPr="0099174E">
        <w:rPr>
          <w:i/>
          <w:lang w:val="en-GB"/>
        </w:rPr>
        <w:t>Suspension by the Bank of undisbursed loans</w:t>
      </w:r>
      <w:r w:rsidRPr="0099174E">
        <w:rPr>
          <w:lang w:val="en-GB"/>
        </w:rPr>
        <w:t>) and 3.6 (</w:t>
      </w:r>
      <w:r w:rsidRPr="0099174E">
        <w:rPr>
          <w:i/>
          <w:lang w:val="en-GB"/>
        </w:rPr>
        <w:t>Cancellation by the Bank of undisbursed loans</w:t>
      </w:r>
      <w:r w:rsidRPr="0099174E">
        <w:rPr>
          <w:lang w:val="en-GB"/>
        </w:rPr>
        <w:t>) of the Loan Regulations.</w:t>
      </w:r>
    </w:p>
    <w:p w14:paraId="1F85AA5E" w14:textId="77777777" w:rsidR="0099174E" w:rsidRPr="0099174E" w:rsidRDefault="0099174E" w:rsidP="00436B0A">
      <w:pPr>
        <w:pStyle w:val="ListParagraph"/>
        <w:numPr>
          <w:ilvl w:val="0"/>
          <w:numId w:val="32"/>
        </w:numPr>
        <w:autoSpaceDE w:val="0"/>
        <w:autoSpaceDN w:val="0"/>
        <w:adjustRightInd w:val="0"/>
        <w:snapToGrid w:val="0"/>
        <w:spacing w:after="120" w:line="240" w:lineRule="auto"/>
        <w:ind w:left="714" w:right="51" w:hanging="357"/>
        <w:jc w:val="both"/>
        <w:rPr>
          <w:sz w:val="24"/>
          <w:szCs w:val="24"/>
        </w:rPr>
      </w:pPr>
      <w:r w:rsidRPr="0099174E">
        <w:rPr>
          <w:sz w:val="24"/>
          <w:szCs w:val="24"/>
        </w:rPr>
        <w:t>Cross-Default</w:t>
      </w:r>
    </w:p>
    <w:p w14:paraId="65E58AB9" w14:textId="77777777" w:rsidR="0099174E" w:rsidRPr="0099174E" w:rsidRDefault="0099174E" w:rsidP="0099174E">
      <w:pPr>
        <w:jc w:val="both"/>
        <w:rPr>
          <w:lang w:val="en-US"/>
        </w:rPr>
      </w:pPr>
      <w:r w:rsidRPr="0099174E">
        <w:rPr>
          <w:lang w:val="en-US"/>
        </w:rPr>
        <w:t>The fact that,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 Debt Instrument is cancelled or suspended, would constitute an event in the terms of Article 3.3 (h) of the Loan Regulations and may give rise to the suspension, cancellation or early reimbursement of the Loan under the terms of Articles 3.3 (</w:t>
      </w:r>
      <w:r w:rsidRPr="0099174E">
        <w:rPr>
          <w:i/>
          <w:lang w:val="en-US"/>
        </w:rPr>
        <w:t>Early reimbursement of disbursed loans</w:t>
      </w:r>
      <w:r w:rsidRPr="0099174E">
        <w:rPr>
          <w:lang w:val="en-US"/>
        </w:rPr>
        <w:t>), 3.5 (</w:t>
      </w:r>
      <w:r w:rsidRPr="0099174E">
        <w:rPr>
          <w:i/>
          <w:lang w:val="en-US"/>
        </w:rPr>
        <w:t>Suspension by the Bank of undisbursed loans</w:t>
      </w:r>
      <w:r w:rsidRPr="0099174E">
        <w:rPr>
          <w:lang w:val="en-US"/>
        </w:rPr>
        <w:t>) and 3.6 (</w:t>
      </w:r>
      <w:r w:rsidRPr="0099174E">
        <w:rPr>
          <w:i/>
          <w:lang w:val="en-US"/>
        </w:rPr>
        <w:t>Cancellation by the Bank of undisbursed loans</w:t>
      </w:r>
      <w:r w:rsidRPr="0099174E">
        <w:rPr>
          <w:lang w:val="en-US"/>
        </w:rPr>
        <w:t>) of the Loan Regulations.</w:t>
      </w:r>
    </w:p>
    <w:p w14:paraId="3207CC5A" w14:textId="77777777" w:rsidR="0099174E" w:rsidRPr="0099174E" w:rsidRDefault="0099174E" w:rsidP="0099174E">
      <w:pPr>
        <w:jc w:val="both"/>
        <w:rPr>
          <w:lang w:val="en-GB"/>
        </w:rPr>
      </w:pPr>
    </w:p>
    <w:p w14:paraId="703756CF"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88" w:name="_Ref474505149"/>
      <w:bookmarkStart w:id="89" w:name="_Toc43991826"/>
      <w:r w:rsidRPr="0099174E">
        <w:rPr>
          <w:szCs w:val="24"/>
        </w:rPr>
        <w:t>PARI PASSU</w:t>
      </w:r>
      <w:bookmarkEnd w:id="88"/>
      <w:bookmarkEnd w:id="89"/>
    </w:p>
    <w:p w14:paraId="160A334B" w14:textId="5151DC55" w:rsidR="0099174E" w:rsidRPr="0099174E" w:rsidRDefault="0099174E" w:rsidP="0099174E">
      <w:pPr>
        <w:jc w:val="both"/>
        <w:rPr>
          <w:lang w:val="en-GB"/>
        </w:rPr>
      </w:pPr>
      <w:r w:rsidRPr="0099174E">
        <w:rPr>
          <w:lang w:val="en-GB"/>
        </w:rPr>
        <w:t xml:space="preserve">Failure to comply with the provisions set forth hereby under Clause </w:t>
      </w:r>
      <w:r w:rsidRPr="0099174E">
        <w:rPr>
          <w:lang w:val="en-GB"/>
        </w:rPr>
        <w:fldChar w:fldCharType="begin"/>
      </w:r>
      <w:r w:rsidRPr="0099174E">
        <w:rPr>
          <w:lang w:val="en-GB"/>
        </w:rPr>
        <w:instrText xml:space="preserve"> REF _Ref474505149 \r \h  \* MERGEFORMAT </w:instrText>
      </w:r>
      <w:r w:rsidRPr="0099174E">
        <w:rPr>
          <w:lang w:val="en-GB"/>
        </w:rPr>
      </w:r>
      <w:r w:rsidRPr="0099174E">
        <w:rPr>
          <w:lang w:val="en-GB"/>
        </w:rPr>
        <w:fldChar w:fldCharType="separate"/>
      </w:r>
      <w:r w:rsidR="00A13370">
        <w:rPr>
          <w:lang w:val="en-GB"/>
        </w:rPr>
        <w:t>7</w:t>
      </w:r>
      <w:r w:rsidRPr="0099174E">
        <w:rPr>
          <w:lang w:val="en-GB"/>
        </w:rPr>
        <w:fldChar w:fldCharType="end"/>
      </w:r>
      <w:r w:rsidRPr="0099174E">
        <w:rPr>
          <w:lang w:val="en-GB"/>
        </w:rPr>
        <w:t xml:space="preserve"> would constitute an event in the terms of Article 3.3(h) of the Loan Regulations and may give rise to the early reimbursement, suspension or cancellation of the Loan under the terms of Articles 3.3 (</w:t>
      </w:r>
      <w:r w:rsidRPr="0099174E">
        <w:rPr>
          <w:i/>
          <w:lang w:val="en-GB"/>
        </w:rPr>
        <w:t>Early reimbursement of disbursed loans</w:t>
      </w:r>
      <w:r w:rsidRPr="0099174E">
        <w:rPr>
          <w:lang w:val="en-GB"/>
        </w:rPr>
        <w:t>), 3.5 (</w:t>
      </w:r>
      <w:r w:rsidRPr="0099174E">
        <w:rPr>
          <w:i/>
          <w:lang w:val="en-GB"/>
        </w:rPr>
        <w:t>Suspension by the Bank of undisbursed loans</w:t>
      </w:r>
      <w:r w:rsidRPr="0099174E">
        <w:rPr>
          <w:lang w:val="en-GB"/>
        </w:rPr>
        <w:t>) and 3.6 (</w:t>
      </w:r>
      <w:r w:rsidRPr="0099174E">
        <w:rPr>
          <w:i/>
          <w:lang w:val="en-GB"/>
        </w:rPr>
        <w:t>Cancellation by the Bank of undisbursed loans</w:t>
      </w:r>
      <w:r w:rsidRPr="0099174E">
        <w:rPr>
          <w:lang w:val="en-GB"/>
        </w:rPr>
        <w:t>) of the Loan Regulations.</w:t>
      </w:r>
    </w:p>
    <w:p w14:paraId="205E93E6"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90" w:name="_Toc43991827"/>
      <w:r w:rsidRPr="0099174E">
        <w:rPr>
          <w:szCs w:val="24"/>
        </w:rPr>
        <w:lastRenderedPageBreak/>
        <w:t>Ranking</w:t>
      </w:r>
      <w:bookmarkEnd w:id="90"/>
    </w:p>
    <w:p w14:paraId="675C9540" w14:textId="77777777" w:rsidR="0099174E" w:rsidRPr="0099174E" w:rsidRDefault="0099174E" w:rsidP="00077D6D">
      <w:pPr>
        <w:spacing w:after="120"/>
        <w:jc w:val="both"/>
        <w:rPr>
          <w:lang w:val="en-US"/>
        </w:rPr>
      </w:pPr>
      <w:r w:rsidRPr="0099174E">
        <w:rPr>
          <w:lang w:val="en-US"/>
        </w:rPr>
        <w:t xml:space="preserve">The Borrower shall ensure that its payment obligations under this Agreement rank, and will rank, not less than </w:t>
      </w:r>
      <w:r w:rsidRPr="0099174E">
        <w:rPr>
          <w:i/>
          <w:lang w:val="en-US"/>
        </w:rPr>
        <w:t>pari passu</w:t>
      </w:r>
      <w:r w:rsidRPr="0099174E">
        <w:rPr>
          <w:lang w:val="en-US"/>
        </w:rPr>
        <w:t xml:space="preserve"> in right of payment with all other present and future unsecured and unsubordinated obligations under its Debt Instruments.</w:t>
      </w:r>
    </w:p>
    <w:p w14:paraId="65D6A904" w14:textId="77777777" w:rsidR="0099174E" w:rsidRPr="0099174E" w:rsidRDefault="0099174E" w:rsidP="00077D6D">
      <w:pPr>
        <w:spacing w:after="120"/>
        <w:jc w:val="both"/>
        <w:rPr>
          <w:lang w:val="en-US"/>
        </w:rPr>
      </w:pPr>
      <w:r w:rsidRPr="0099174E">
        <w:rPr>
          <w:lang w:val="en-US"/>
        </w:rPr>
        <w:t>In particular, the Borrower shall not make (or authorise) any payment in respect of any other such Debt Instrument (whether regularly scheduled or otherwise) if:</w:t>
      </w:r>
    </w:p>
    <w:p w14:paraId="771EE673" w14:textId="77777777" w:rsidR="0099174E" w:rsidRPr="0099174E" w:rsidRDefault="0099174E" w:rsidP="00436B0A">
      <w:pPr>
        <w:pStyle w:val="ListParagraph"/>
        <w:numPr>
          <w:ilvl w:val="0"/>
          <w:numId w:val="35"/>
        </w:numPr>
        <w:autoSpaceDE w:val="0"/>
        <w:autoSpaceDN w:val="0"/>
        <w:adjustRightInd w:val="0"/>
        <w:snapToGrid w:val="0"/>
        <w:spacing w:line="240" w:lineRule="auto"/>
        <w:ind w:right="49"/>
        <w:jc w:val="both"/>
        <w:rPr>
          <w:sz w:val="24"/>
          <w:szCs w:val="24"/>
        </w:rPr>
      </w:pPr>
      <w:r w:rsidRPr="0099174E">
        <w:rPr>
          <w:sz w:val="24"/>
          <w:szCs w:val="24"/>
        </w:rPr>
        <w:t>the CEB makes a demand of early reimbursement under Article 3.3 of the Loan Regulations; or</w:t>
      </w:r>
    </w:p>
    <w:p w14:paraId="777BCE79" w14:textId="77777777" w:rsidR="0099174E" w:rsidRPr="0099174E" w:rsidRDefault="0099174E" w:rsidP="00436B0A">
      <w:pPr>
        <w:pStyle w:val="ListParagraph"/>
        <w:numPr>
          <w:ilvl w:val="0"/>
          <w:numId w:val="35"/>
        </w:numPr>
        <w:autoSpaceDE w:val="0"/>
        <w:autoSpaceDN w:val="0"/>
        <w:adjustRightInd w:val="0"/>
        <w:snapToGrid w:val="0"/>
        <w:spacing w:after="120" w:line="240" w:lineRule="auto"/>
        <w:ind w:left="1066" w:right="51" w:hanging="357"/>
        <w:jc w:val="both"/>
        <w:rPr>
          <w:sz w:val="24"/>
          <w:szCs w:val="24"/>
        </w:rPr>
      </w:pPr>
      <w:r w:rsidRPr="0099174E">
        <w:rPr>
          <w:sz w:val="24"/>
          <w:szCs w:val="24"/>
        </w:rPr>
        <w:t>an event or potential event of default under any unsecured and unsubordinated Debt Instrument of the Borrower or any of its agencies or instrumentalities has occurred and is continuing.</w:t>
      </w:r>
    </w:p>
    <w:p w14:paraId="63ACEC2B" w14:textId="77777777" w:rsidR="0099174E" w:rsidRPr="0099174E" w:rsidRDefault="0099174E" w:rsidP="00077D6D">
      <w:pPr>
        <w:spacing w:after="120"/>
        <w:jc w:val="both"/>
        <w:rPr>
          <w:lang w:val="en-US"/>
        </w:rPr>
      </w:pPr>
      <w:r w:rsidRPr="0099174E">
        <w:rPr>
          <w:lang w:val="en-US"/>
        </w:rPr>
        <w:t>However, payment in respect of such Debt Instrument is possible if the Borrower:</w:t>
      </w:r>
    </w:p>
    <w:p w14:paraId="7BED2355" w14:textId="77777777" w:rsidR="0099174E" w:rsidRPr="0099174E" w:rsidRDefault="0099174E" w:rsidP="00436B0A">
      <w:pPr>
        <w:pStyle w:val="ListParagraph"/>
        <w:numPr>
          <w:ilvl w:val="0"/>
          <w:numId w:val="36"/>
        </w:numPr>
        <w:autoSpaceDE w:val="0"/>
        <w:autoSpaceDN w:val="0"/>
        <w:adjustRightInd w:val="0"/>
        <w:snapToGrid w:val="0"/>
        <w:spacing w:line="240" w:lineRule="auto"/>
        <w:ind w:right="49"/>
        <w:jc w:val="both"/>
        <w:rPr>
          <w:sz w:val="24"/>
          <w:szCs w:val="24"/>
        </w:rPr>
      </w:pPr>
      <w:r w:rsidRPr="0099174E">
        <w:rPr>
          <w:sz w:val="24"/>
          <w:szCs w:val="24"/>
        </w:rPr>
        <w:t>simultaneously pays; or</w:t>
      </w:r>
    </w:p>
    <w:p w14:paraId="53715B6E" w14:textId="77777777" w:rsidR="0099174E" w:rsidRPr="0099174E" w:rsidRDefault="0099174E" w:rsidP="00436B0A">
      <w:pPr>
        <w:pStyle w:val="ListParagraph"/>
        <w:numPr>
          <w:ilvl w:val="0"/>
          <w:numId w:val="36"/>
        </w:numPr>
        <w:autoSpaceDE w:val="0"/>
        <w:autoSpaceDN w:val="0"/>
        <w:adjustRightInd w:val="0"/>
        <w:snapToGrid w:val="0"/>
        <w:spacing w:after="120" w:line="240" w:lineRule="auto"/>
        <w:ind w:left="1066" w:right="51" w:hanging="357"/>
        <w:jc w:val="both"/>
        <w:rPr>
          <w:sz w:val="24"/>
          <w:szCs w:val="24"/>
        </w:rPr>
      </w:pPr>
      <w:r w:rsidRPr="0099174E">
        <w:rPr>
          <w:sz w:val="24"/>
          <w:szCs w:val="24"/>
        </w:rPr>
        <w:t>sets aside in a designated account for payment on the next Interest Payment Date</w:t>
      </w:r>
    </w:p>
    <w:p w14:paraId="3ECD6600" w14:textId="77777777" w:rsidR="0099174E" w:rsidRPr="0099174E" w:rsidRDefault="0099174E" w:rsidP="00077D6D">
      <w:pPr>
        <w:spacing w:after="120"/>
        <w:jc w:val="both"/>
        <w:rPr>
          <w:lang w:val="en-US"/>
        </w:rPr>
      </w:pPr>
      <w:r w:rsidRPr="0099174E">
        <w:rPr>
          <w:lang w:val="en-US"/>
        </w:rPr>
        <w:t>a sum equal to the same proportion of the principal outstanding under this Agreement as the proportion that the payment under such Debt Instrument bears to the total debt outstanding under that instrument.</w:t>
      </w:r>
    </w:p>
    <w:p w14:paraId="68CEDC13" w14:textId="77777777" w:rsidR="0099174E" w:rsidRPr="0099174E" w:rsidRDefault="0099174E" w:rsidP="0099174E">
      <w:pPr>
        <w:jc w:val="both"/>
        <w:rPr>
          <w:lang w:val="en-US"/>
        </w:rPr>
      </w:pPr>
      <w:r w:rsidRPr="0099174E">
        <w:rPr>
          <w:lang w:val="en-US"/>
        </w:rPr>
        <w:t>For this purpose, any payment of a Debt Instrument that is made out of the proceeds of the issue of another instrument, to which substantially the same persons as hold claims under the Debt Instrument have subscribed, shall be disregarded.</w:t>
      </w:r>
    </w:p>
    <w:p w14:paraId="62DDA91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91" w:name="_Ref474422608"/>
      <w:bookmarkStart w:id="92" w:name="_Toc31730724"/>
      <w:bookmarkStart w:id="93" w:name="_Toc38893643"/>
      <w:bookmarkStart w:id="94" w:name="_Toc43991828"/>
      <w:r w:rsidRPr="0099174E">
        <w:rPr>
          <w:szCs w:val="24"/>
        </w:rPr>
        <w:t>Security</w:t>
      </w:r>
      <w:bookmarkEnd w:id="91"/>
      <w:bookmarkEnd w:id="92"/>
      <w:bookmarkEnd w:id="93"/>
      <w:bookmarkEnd w:id="94"/>
    </w:p>
    <w:p w14:paraId="6CAC5ED9" w14:textId="77777777" w:rsidR="0099174E" w:rsidRPr="0099174E" w:rsidRDefault="0099174E" w:rsidP="00077D6D">
      <w:pPr>
        <w:spacing w:after="120"/>
        <w:jc w:val="both"/>
        <w:rPr>
          <w:lang w:val="en-US"/>
        </w:rPr>
      </w:pPr>
      <w:r w:rsidRPr="0099174E">
        <w:rPr>
          <w:lang w:val="en-US"/>
        </w:rPr>
        <w:t>Should a Security be granted for the performance of any Borrower’s Debt Instrument, the Borrower shall timely inform the CEB of its intentions and shall, if so required by the CEB, provide to the CEB, within the deadline set forth in CEB’s notice, identical or equivalent Security for the performance of its financial obligations under this Agreement.</w:t>
      </w:r>
    </w:p>
    <w:p w14:paraId="2BBF8AF7" w14:textId="77777777" w:rsidR="0099174E" w:rsidRPr="0099174E" w:rsidRDefault="0099174E" w:rsidP="00077D6D">
      <w:pPr>
        <w:spacing w:after="120"/>
        <w:jc w:val="both"/>
        <w:rPr>
          <w:lang w:val="en-US"/>
        </w:rPr>
      </w:pPr>
      <w:r w:rsidRPr="0099174E">
        <w:rPr>
          <w:lang w:val="en-US"/>
        </w:rPr>
        <w:t xml:space="preserve">This provision shall not apply to a Security: </w:t>
      </w:r>
    </w:p>
    <w:p w14:paraId="6E43015E" w14:textId="77777777" w:rsidR="0099174E" w:rsidRPr="0099174E" w:rsidRDefault="0099174E" w:rsidP="00436B0A">
      <w:pPr>
        <w:pStyle w:val="ListParagraph"/>
        <w:numPr>
          <w:ilvl w:val="0"/>
          <w:numId w:val="39"/>
        </w:numPr>
        <w:autoSpaceDE w:val="0"/>
        <w:autoSpaceDN w:val="0"/>
        <w:adjustRightInd w:val="0"/>
        <w:snapToGrid w:val="0"/>
        <w:spacing w:line="240" w:lineRule="auto"/>
        <w:ind w:left="851" w:right="49" w:hanging="491"/>
        <w:jc w:val="both"/>
        <w:rPr>
          <w:sz w:val="24"/>
          <w:szCs w:val="24"/>
        </w:rPr>
      </w:pPr>
      <w:r w:rsidRPr="0099174E">
        <w:rPr>
          <w:sz w:val="24"/>
          <w:szCs w:val="24"/>
        </w:rPr>
        <w:t>created on property at the time of purchase solely as security for the payment of the purchase price or for the payment of debt incurred for the purpose of financing the purchase of such property;</w:t>
      </w:r>
    </w:p>
    <w:p w14:paraId="1B98529C" w14:textId="77777777" w:rsidR="0099174E" w:rsidRPr="0099174E" w:rsidRDefault="0099174E" w:rsidP="00436B0A">
      <w:pPr>
        <w:pStyle w:val="ListParagraph"/>
        <w:numPr>
          <w:ilvl w:val="0"/>
          <w:numId w:val="39"/>
        </w:numPr>
        <w:autoSpaceDE w:val="0"/>
        <w:autoSpaceDN w:val="0"/>
        <w:adjustRightInd w:val="0"/>
        <w:snapToGrid w:val="0"/>
        <w:spacing w:line="240" w:lineRule="auto"/>
        <w:ind w:left="851" w:right="49" w:hanging="491"/>
        <w:jc w:val="both"/>
        <w:rPr>
          <w:sz w:val="24"/>
          <w:szCs w:val="24"/>
        </w:rPr>
      </w:pPr>
      <w:r w:rsidRPr="0099174E">
        <w:rPr>
          <w:sz w:val="24"/>
          <w:szCs w:val="24"/>
        </w:rPr>
        <w:t>securing a Debt Instrument maturing not more than one (1) year after the date on which it is originally incurred; or</w:t>
      </w:r>
    </w:p>
    <w:p w14:paraId="3DA5EE08" w14:textId="77777777" w:rsidR="0099174E" w:rsidRPr="0099174E" w:rsidRDefault="0099174E" w:rsidP="00436B0A">
      <w:pPr>
        <w:pStyle w:val="ListParagraph"/>
        <w:numPr>
          <w:ilvl w:val="0"/>
          <w:numId w:val="39"/>
        </w:numPr>
        <w:autoSpaceDE w:val="0"/>
        <w:autoSpaceDN w:val="0"/>
        <w:adjustRightInd w:val="0"/>
        <w:snapToGrid w:val="0"/>
        <w:spacing w:line="240" w:lineRule="auto"/>
        <w:ind w:left="851" w:right="49" w:hanging="491"/>
        <w:jc w:val="both"/>
        <w:rPr>
          <w:sz w:val="24"/>
          <w:szCs w:val="24"/>
        </w:rPr>
      </w:pPr>
      <w:r w:rsidRPr="0099174E">
        <w:rPr>
          <w:sz w:val="24"/>
          <w:szCs w:val="24"/>
        </w:rPr>
        <w:t>previously approved by the CEB.</w:t>
      </w:r>
    </w:p>
    <w:p w14:paraId="21A98E10"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95" w:name="_Toc31730725"/>
      <w:bookmarkStart w:id="96" w:name="_Toc38893644"/>
      <w:bookmarkStart w:id="97" w:name="_Toc43991829"/>
      <w:r w:rsidRPr="0099174E">
        <w:rPr>
          <w:szCs w:val="24"/>
        </w:rPr>
        <w:t>Clause by Inclusion</w:t>
      </w:r>
      <w:bookmarkEnd w:id="95"/>
      <w:bookmarkEnd w:id="96"/>
      <w:bookmarkEnd w:id="97"/>
    </w:p>
    <w:p w14:paraId="00BBB789" w14:textId="77777777" w:rsidR="0099174E" w:rsidRPr="0099174E" w:rsidRDefault="0099174E" w:rsidP="0099174E">
      <w:pPr>
        <w:jc w:val="both"/>
        <w:rPr>
          <w:lang w:val="en-US"/>
        </w:rPr>
      </w:pPr>
      <w:r w:rsidRPr="0099174E">
        <w:rPr>
          <w:lang w:val="en-US"/>
        </w:rPr>
        <w:t xml:space="preserve">Should any Borrower’s Debt Instrument include clauses regarding a loss-of-rating, financial ratios or </w:t>
      </w:r>
      <w:r w:rsidRPr="0099174E">
        <w:rPr>
          <w:i/>
          <w:lang w:val="en-US"/>
        </w:rPr>
        <w:t>pari passu</w:t>
      </w:r>
      <w:r w:rsidRPr="0099174E">
        <w:rPr>
          <w:lang w:val="en-US"/>
        </w:rPr>
        <w:t xml:space="preserve"> that are stricter than any equivalent provision of this Agreement, the Borrower shall so inform the CEB and shall, at the request of the CEB by means of a written notice, execute within the period indicated in the CEB’s </w:t>
      </w:r>
      <w:r w:rsidRPr="0099174E">
        <w:rPr>
          <w:lang w:val="en-US"/>
        </w:rPr>
        <w:lastRenderedPageBreak/>
        <w:t>notice, an amendment to this Agreement to provide an equivalent provision in favour of the CEB.</w:t>
      </w:r>
    </w:p>
    <w:p w14:paraId="3C7CAD54" w14:textId="77777777" w:rsidR="0099174E" w:rsidRPr="0099174E" w:rsidRDefault="0099174E" w:rsidP="00436B0A">
      <w:pPr>
        <w:pStyle w:val="Heading2"/>
        <w:keepLines/>
        <w:numPr>
          <w:ilvl w:val="1"/>
          <w:numId w:val="18"/>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ind w:left="578" w:hanging="578"/>
        <w:rPr>
          <w:szCs w:val="24"/>
        </w:rPr>
      </w:pPr>
      <w:bookmarkStart w:id="98" w:name="_Toc31730726"/>
      <w:bookmarkStart w:id="99" w:name="_Toc38893645"/>
      <w:bookmarkStart w:id="100" w:name="_Toc43991830"/>
      <w:r w:rsidRPr="0099174E">
        <w:rPr>
          <w:szCs w:val="24"/>
        </w:rPr>
        <w:t>Prepayment to Third Parties</w:t>
      </w:r>
      <w:bookmarkEnd w:id="98"/>
      <w:bookmarkEnd w:id="99"/>
      <w:bookmarkEnd w:id="100"/>
    </w:p>
    <w:p w14:paraId="16124FF4" w14:textId="77777777" w:rsidR="0099174E" w:rsidRPr="0099174E" w:rsidRDefault="0099174E" w:rsidP="0099174E">
      <w:pPr>
        <w:jc w:val="both"/>
        <w:rPr>
          <w:lang w:val="en-US"/>
        </w:rPr>
      </w:pPr>
      <w:r w:rsidRPr="0099174E">
        <w:rPr>
          <w:lang w:val="en-US"/>
        </w:rPr>
        <w:t xml:space="preserve">Should the Borrower prepay in whole or in part, voluntarily or otherwise, any Debt Instrument, the Borrower shall so inform the CEB. </w:t>
      </w:r>
    </w:p>
    <w:p w14:paraId="5791F9D0" w14:textId="2B304C9D" w:rsidR="0099174E" w:rsidRPr="0099174E" w:rsidRDefault="0099174E" w:rsidP="00077D6D">
      <w:pPr>
        <w:spacing w:after="120"/>
        <w:jc w:val="both"/>
        <w:rPr>
          <w:lang w:val="en-US"/>
        </w:rPr>
      </w:pPr>
      <w:r w:rsidRPr="0099174E">
        <w:rPr>
          <w:lang w:val="en-US"/>
        </w:rPr>
        <w:t xml:space="preserve">In such an event, and upon CEB’s request, the Borrower shall reimburse to the CEB the amounts disbursed under the Loan in accordance with Sub-clause </w:t>
      </w:r>
      <w:r w:rsidRPr="0099174E">
        <w:fldChar w:fldCharType="begin"/>
      </w:r>
      <w:r w:rsidRPr="0099174E">
        <w:rPr>
          <w:lang w:val="en-US"/>
        </w:rPr>
        <w:instrText xml:space="preserve"> REF _Ref474422595 \r \h  \* MERGEFORMAT </w:instrText>
      </w:r>
      <w:r w:rsidRPr="0099174E">
        <w:fldChar w:fldCharType="separate"/>
      </w:r>
      <w:r w:rsidR="00A13370">
        <w:rPr>
          <w:lang w:val="en-US"/>
        </w:rPr>
        <w:t>4.7</w:t>
      </w:r>
      <w:r w:rsidRPr="0099174E">
        <w:fldChar w:fldCharType="end"/>
      </w:r>
      <w:r w:rsidRPr="0099174E">
        <w:rPr>
          <w:lang w:val="en-US"/>
        </w:rPr>
        <w:t xml:space="preserve"> in such proportion as the prepaid amount bears to the corresponding Debt Instrument. The aforementioned does not concern prepayments to revolving credit facilities which remain open for drawing on the same terms after such prepayment.</w:t>
      </w:r>
    </w:p>
    <w:p w14:paraId="162986EB" w14:textId="77777777" w:rsidR="0099174E" w:rsidRPr="0099174E" w:rsidRDefault="0099174E" w:rsidP="0099174E">
      <w:pPr>
        <w:jc w:val="both"/>
        <w:rPr>
          <w:lang w:val="en-US"/>
        </w:rPr>
      </w:pPr>
      <w:r w:rsidRPr="0099174E">
        <w:rPr>
          <w:lang w:val="en-US"/>
        </w:rPr>
        <w:t xml:space="preserve">For the purposes of the Agreement, </w:t>
      </w:r>
      <w:r w:rsidRPr="0099174E">
        <w:rPr>
          <w:b/>
          <w:lang w:val="en-US"/>
        </w:rPr>
        <w:t xml:space="preserve">“prepayment” </w:t>
      </w:r>
      <w:r w:rsidRPr="0099174E">
        <w:rPr>
          <w:lang w:val="en-US"/>
        </w:rPr>
        <w:t>or</w:t>
      </w:r>
      <w:r w:rsidRPr="0099174E">
        <w:rPr>
          <w:b/>
          <w:lang w:val="en-US"/>
        </w:rPr>
        <w:t xml:space="preserve"> “prepay” </w:t>
      </w:r>
      <w:r w:rsidRPr="0099174E">
        <w:rPr>
          <w:lang w:val="en-US"/>
        </w:rPr>
        <w:t>means a repayment in advance of maturity.</w:t>
      </w:r>
    </w:p>
    <w:p w14:paraId="52299D7E" w14:textId="77777777" w:rsidR="0099174E" w:rsidRPr="0099174E" w:rsidRDefault="0099174E" w:rsidP="0099174E">
      <w:pPr>
        <w:jc w:val="both"/>
        <w:rPr>
          <w:lang w:val="en-US"/>
        </w:rPr>
      </w:pPr>
    </w:p>
    <w:p w14:paraId="218BC67D"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1" w:name="_Toc43991831"/>
      <w:r w:rsidRPr="0099174E">
        <w:rPr>
          <w:szCs w:val="24"/>
        </w:rPr>
        <w:t>REPRESENTATIONS AND WARRANTIES</w:t>
      </w:r>
      <w:bookmarkEnd w:id="101"/>
    </w:p>
    <w:p w14:paraId="0A4A697A" w14:textId="77777777" w:rsidR="0099174E" w:rsidRPr="0099174E" w:rsidRDefault="0099174E" w:rsidP="00077D6D">
      <w:pPr>
        <w:spacing w:after="120"/>
        <w:jc w:val="both"/>
        <w:rPr>
          <w:lang w:val="en-US"/>
        </w:rPr>
      </w:pPr>
      <w:r w:rsidRPr="0099174E">
        <w:rPr>
          <w:lang w:val="en-US"/>
        </w:rPr>
        <w:t>The Borrower represents and warrants that:</w:t>
      </w:r>
    </w:p>
    <w:p w14:paraId="63BD2C68" w14:textId="77777777" w:rsidR="0099174E" w:rsidRPr="0099174E" w:rsidRDefault="0099174E" w:rsidP="00436B0A">
      <w:pPr>
        <w:pStyle w:val="ListParagraph"/>
        <w:numPr>
          <w:ilvl w:val="0"/>
          <w:numId w:val="37"/>
        </w:numPr>
        <w:autoSpaceDE w:val="0"/>
        <w:autoSpaceDN w:val="0"/>
        <w:adjustRightInd w:val="0"/>
        <w:snapToGrid w:val="0"/>
        <w:spacing w:line="240" w:lineRule="auto"/>
        <w:ind w:right="49"/>
        <w:jc w:val="both"/>
        <w:rPr>
          <w:sz w:val="24"/>
          <w:szCs w:val="24"/>
        </w:rPr>
      </w:pPr>
      <w:r w:rsidRPr="0099174E">
        <w:rPr>
          <w:sz w:val="24"/>
          <w:szCs w:val="24"/>
        </w:rPr>
        <w:t>its competent bodies have authorised it to enter into the Agreement and have given the signatory(ies) the authorisation therefor, in accordance with the laws, decrees, regulations, articles of association and other texts applicable to it;</w:t>
      </w:r>
    </w:p>
    <w:p w14:paraId="6B5D8FBC" w14:textId="77777777" w:rsidR="0099174E" w:rsidRPr="0099174E" w:rsidRDefault="0099174E" w:rsidP="00436B0A">
      <w:pPr>
        <w:pStyle w:val="ListParagraph"/>
        <w:numPr>
          <w:ilvl w:val="0"/>
          <w:numId w:val="37"/>
        </w:numPr>
        <w:autoSpaceDE w:val="0"/>
        <w:autoSpaceDN w:val="0"/>
        <w:adjustRightInd w:val="0"/>
        <w:snapToGrid w:val="0"/>
        <w:spacing w:line="240" w:lineRule="auto"/>
        <w:ind w:right="49"/>
        <w:jc w:val="both"/>
        <w:rPr>
          <w:sz w:val="24"/>
          <w:szCs w:val="24"/>
        </w:rPr>
      </w:pPr>
      <w:r w:rsidRPr="0099174E">
        <w:rPr>
          <w:sz w:val="24"/>
          <w:szCs w:val="24"/>
        </w:rPr>
        <w:t>the execution and delivery of, the performance of its obligations under and compliance with the provisions of this Agreement do not:</w:t>
      </w:r>
    </w:p>
    <w:p w14:paraId="7F600618" w14:textId="77777777" w:rsidR="0099174E" w:rsidRPr="0099174E" w:rsidRDefault="0099174E" w:rsidP="00436B0A">
      <w:pPr>
        <w:pStyle w:val="ListParagraph"/>
        <w:numPr>
          <w:ilvl w:val="0"/>
          <w:numId w:val="38"/>
        </w:numPr>
        <w:autoSpaceDE w:val="0"/>
        <w:autoSpaceDN w:val="0"/>
        <w:adjustRightInd w:val="0"/>
        <w:snapToGrid w:val="0"/>
        <w:spacing w:line="240" w:lineRule="auto"/>
        <w:ind w:right="49"/>
        <w:jc w:val="both"/>
        <w:rPr>
          <w:sz w:val="24"/>
          <w:szCs w:val="24"/>
        </w:rPr>
      </w:pPr>
      <w:r w:rsidRPr="0099174E">
        <w:rPr>
          <w:sz w:val="24"/>
          <w:szCs w:val="24"/>
        </w:rPr>
        <w:t>contravene or conflict with any applicable law, statute, rule or regulation, or any judgement, decree or permit to which it is subject;</w:t>
      </w:r>
    </w:p>
    <w:p w14:paraId="21D6CF04" w14:textId="77777777" w:rsidR="0099174E" w:rsidRPr="0099174E" w:rsidRDefault="0099174E" w:rsidP="00436B0A">
      <w:pPr>
        <w:pStyle w:val="ListParagraph"/>
        <w:numPr>
          <w:ilvl w:val="0"/>
          <w:numId w:val="38"/>
        </w:numPr>
        <w:autoSpaceDE w:val="0"/>
        <w:autoSpaceDN w:val="0"/>
        <w:adjustRightInd w:val="0"/>
        <w:snapToGrid w:val="0"/>
        <w:spacing w:line="240" w:lineRule="auto"/>
        <w:ind w:right="49"/>
        <w:jc w:val="both"/>
        <w:rPr>
          <w:sz w:val="24"/>
          <w:szCs w:val="24"/>
        </w:rPr>
      </w:pPr>
      <w:r w:rsidRPr="0099174E">
        <w:rPr>
          <w:sz w:val="24"/>
          <w:szCs w:val="24"/>
        </w:rPr>
        <w:t>contravene or conflict with any agreement or other Debt Instrument binding upon it which might reasonably be expected to give rise to a Material Adverse Change;</w:t>
      </w:r>
    </w:p>
    <w:p w14:paraId="041E843D" w14:textId="77777777" w:rsidR="0099174E" w:rsidRPr="0099174E" w:rsidRDefault="0099174E" w:rsidP="00436B0A">
      <w:pPr>
        <w:pStyle w:val="ListParagraph"/>
        <w:numPr>
          <w:ilvl w:val="0"/>
          <w:numId w:val="37"/>
        </w:numPr>
        <w:autoSpaceDE w:val="0"/>
        <w:autoSpaceDN w:val="0"/>
        <w:adjustRightInd w:val="0"/>
        <w:snapToGrid w:val="0"/>
        <w:spacing w:line="240" w:lineRule="auto"/>
        <w:ind w:right="49"/>
        <w:jc w:val="both"/>
        <w:rPr>
          <w:sz w:val="24"/>
          <w:szCs w:val="24"/>
        </w:rPr>
      </w:pPr>
      <w:r w:rsidRPr="0099174E">
        <w:rPr>
          <w:sz w:val="24"/>
          <w:szCs w:val="24"/>
        </w:rPr>
        <w:t>no event or circumstance is outstanding that constitutes a default under any other agreement or Debt Instrument, which is binding on it or to which its assets are subject, which might reasonably be expected to give rise to a Material Adverse Change;</w:t>
      </w:r>
    </w:p>
    <w:p w14:paraId="21C3BE00" w14:textId="20EF6318" w:rsidR="0099174E" w:rsidRPr="0099174E" w:rsidRDefault="0099174E" w:rsidP="00436B0A">
      <w:pPr>
        <w:pStyle w:val="ListParagraph"/>
        <w:numPr>
          <w:ilvl w:val="0"/>
          <w:numId w:val="37"/>
        </w:numPr>
        <w:autoSpaceDE w:val="0"/>
        <w:autoSpaceDN w:val="0"/>
        <w:adjustRightInd w:val="0"/>
        <w:snapToGrid w:val="0"/>
        <w:spacing w:line="240" w:lineRule="auto"/>
        <w:ind w:right="49"/>
        <w:jc w:val="both"/>
        <w:rPr>
          <w:sz w:val="24"/>
          <w:szCs w:val="24"/>
        </w:rPr>
      </w:pPr>
      <w:r w:rsidRPr="0099174E">
        <w:rPr>
          <w:sz w:val="24"/>
          <w:szCs w:val="24"/>
        </w:rPr>
        <w:t xml:space="preserve">no Security has been granted to a third party in breach of Sub-clause </w:t>
      </w:r>
      <w:r w:rsidRPr="0099174E">
        <w:rPr>
          <w:sz w:val="24"/>
          <w:szCs w:val="24"/>
        </w:rPr>
        <w:fldChar w:fldCharType="begin"/>
      </w:r>
      <w:r w:rsidRPr="0099174E">
        <w:rPr>
          <w:sz w:val="24"/>
          <w:szCs w:val="24"/>
        </w:rPr>
        <w:instrText xml:space="preserve"> REF _Ref474422608 \r \h  \* MERGEFORMAT </w:instrText>
      </w:r>
      <w:r w:rsidRPr="0099174E">
        <w:rPr>
          <w:sz w:val="24"/>
          <w:szCs w:val="24"/>
        </w:rPr>
      </w:r>
      <w:r w:rsidRPr="0099174E">
        <w:rPr>
          <w:sz w:val="24"/>
          <w:szCs w:val="24"/>
        </w:rPr>
        <w:fldChar w:fldCharType="separate"/>
      </w:r>
      <w:r w:rsidR="00A13370">
        <w:rPr>
          <w:sz w:val="24"/>
          <w:szCs w:val="24"/>
        </w:rPr>
        <w:t>7.2</w:t>
      </w:r>
      <w:r w:rsidRPr="0099174E">
        <w:rPr>
          <w:sz w:val="24"/>
          <w:szCs w:val="24"/>
        </w:rPr>
        <w:fldChar w:fldCharType="end"/>
      </w:r>
      <w:r w:rsidRPr="0099174E">
        <w:rPr>
          <w:sz w:val="24"/>
          <w:szCs w:val="24"/>
        </w:rPr>
        <w:t xml:space="preserve">;  </w:t>
      </w:r>
    </w:p>
    <w:p w14:paraId="6D5CD56C" w14:textId="77777777" w:rsidR="0099174E" w:rsidRPr="0099174E" w:rsidRDefault="0099174E" w:rsidP="00436B0A">
      <w:pPr>
        <w:pStyle w:val="ListParagraph"/>
        <w:numPr>
          <w:ilvl w:val="0"/>
          <w:numId w:val="37"/>
        </w:numPr>
        <w:autoSpaceDE w:val="0"/>
        <w:autoSpaceDN w:val="0"/>
        <w:adjustRightInd w:val="0"/>
        <w:snapToGrid w:val="0"/>
        <w:spacing w:line="240" w:lineRule="auto"/>
        <w:ind w:right="49"/>
        <w:jc w:val="both"/>
        <w:rPr>
          <w:sz w:val="24"/>
          <w:szCs w:val="24"/>
        </w:rPr>
      </w:pPr>
      <w:r w:rsidRPr="0099174E">
        <w:rPr>
          <w:sz w:val="24"/>
          <w:szCs w:val="24"/>
        </w:rPr>
        <w:t>no litigation, arbitration or administrative proceedings of or before any court, arbitral tribunal or agency which might reasonably be expected to give rise to a Material Adverse Change have (to the best of its knowledge and belief) been started or threatened against it;</w:t>
      </w:r>
    </w:p>
    <w:p w14:paraId="1D747EC2" w14:textId="77777777" w:rsidR="0099174E" w:rsidRPr="0099174E" w:rsidRDefault="0099174E" w:rsidP="00436B0A">
      <w:pPr>
        <w:pStyle w:val="ListParagraph"/>
        <w:numPr>
          <w:ilvl w:val="0"/>
          <w:numId w:val="37"/>
        </w:numPr>
        <w:autoSpaceDE w:val="0"/>
        <w:autoSpaceDN w:val="0"/>
        <w:adjustRightInd w:val="0"/>
        <w:snapToGrid w:val="0"/>
        <w:spacing w:after="120" w:line="240" w:lineRule="auto"/>
        <w:ind w:left="714" w:right="51" w:hanging="357"/>
        <w:jc w:val="both"/>
        <w:rPr>
          <w:sz w:val="24"/>
          <w:szCs w:val="24"/>
        </w:rPr>
      </w:pPr>
      <w:r w:rsidRPr="0099174E">
        <w:rPr>
          <w:sz w:val="24"/>
          <w:szCs w:val="24"/>
        </w:rPr>
        <w:t>it has received a copy of the Loan Regulations, the Loan Policy, the Environmental and Social Safeguards Policy and the Procurement Guidelines and has taken note thereof.</w:t>
      </w:r>
    </w:p>
    <w:p w14:paraId="192F88F5" w14:textId="77777777" w:rsidR="0099174E" w:rsidRPr="0099174E" w:rsidRDefault="0099174E" w:rsidP="00077D6D">
      <w:pPr>
        <w:spacing w:after="120"/>
        <w:jc w:val="both"/>
        <w:rPr>
          <w:lang w:val="en-US"/>
        </w:rPr>
      </w:pPr>
      <w:r w:rsidRPr="0099174E">
        <w:rPr>
          <w:lang w:val="en-US"/>
        </w:rPr>
        <w:t>The above representations and warranties are deemed repeated on the date of signature of each Disbursement Request. Any change in relation to the above representations and warranties must, for the entire Loan period, be notified and any supporting documents provided to the CEB immediately.</w:t>
      </w:r>
    </w:p>
    <w:p w14:paraId="4FA5E67C" w14:textId="77777777" w:rsidR="0099174E" w:rsidRPr="0099174E" w:rsidRDefault="0099174E" w:rsidP="0099174E">
      <w:pPr>
        <w:jc w:val="both"/>
        <w:rPr>
          <w:lang w:val="en-US"/>
        </w:rPr>
      </w:pPr>
      <w:r w:rsidRPr="0099174E">
        <w:rPr>
          <w:lang w:val="en-US"/>
        </w:rPr>
        <w:lastRenderedPageBreak/>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99174E">
        <w:rPr>
          <w:i/>
          <w:lang w:val="en-US"/>
        </w:rPr>
        <w:t>Early reimbursement of disbursed loans</w:t>
      </w:r>
      <w:r w:rsidRPr="0099174E">
        <w:rPr>
          <w:lang w:val="en-US"/>
        </w:rPr>
        <w:t>), 3.5 (</w:t>
      </w:r>
      <w:r w:rsidRPr="0099174E">
        <w:rPr>
          <w:i/>
          <w:lang w:val="en-US"/>
        </w:rPr>
        <w:t>Suspension by the Bank of undisbursed loans</w:t>
      </w:r>
      <w:r w:rsidRPr="0099174E">
        <w:rPr>
          <w:lang w:val="en-US"/>
        </w:rPr>
        <w:t>) and 3.6 (</w:t>
      </w:r>
      <w:r w:rsidRPr="0099174E">
        <w:rPr>
          <w:i/>
          <w:lang w:val="en-US"/>
        </w:rPr>
        <w:t>Cancellation by the Bank of undisbursed loans</w:t>
      </w:r>
      <w:r w:rsidRPr="0099174E">
        <w:rPr>
          <w:lang w:val="en-US"/>
        </w:rPr>
        <w:t>) of the Loan Regulations.</w:t>
      </w:r>
    </w:p>
    <w:p w14:paraId="2A8807D4" w14:textId="77777777" w:rsidR="0099174E" w:rsidRPr="0099174E" w:rsidRDefault="0099174E" w:rsidP="0099174E">
      <w:pPr>
        <w:jc w:val="both"/>
        <w:rPr>
          <w:lang w:val="en-GB"/>
        </w:rPr>
      </w:pPr>
    </w:p>
    <w:p w14:paraId="3FA10F41"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2" w:name="_Toc43991832"/>
      <w:r w:rsidRPr="0099174E">
        <w:rPr>
          <w:szCs w:val="24"/>
        </w:rPr>
        <w:t>THIRD PARTIES</w:t>
      </w:r>
      <w:bookmarkEnd w:id="102"/>
    </w:p>
    <w:p w14:paraId="20D31625" w14:textId="77777777" w:rsidR="0099174E" w:rsidRPr="0099174E" w:rsidRDefault="0099174E" w:rsidP="00077D6D">
      <w:pPr>
        <w:spacing w:after="120"/>
        <w:jc w:val="both"/>
        <w:rPr>
          <w:lang w:val="en-GB"/>
        </w:rPr>
      </w:pPr>
      <w:r w:rsidRPr="0099174E">
        <w:rPr>
          <w:lang w:val="en-GB"/>
        </w:rPr>
        <w:t xml:space="preserve">The Borrower may not raise any fact relating, within the scope of the use of the Loan, to its relations with third parties in order to avoid fulfilling, either totally or partially, the obligations resulting from the Agreement.  </w:t>
      </w:r>
    </w:p>
    <w:p w14:paraId="5D0541A3" w14:textId="77777777" w:rsidR="0099174E" w:rsidRPr="0099174E" w:rsidRDefault="0099174E" w:rsidP="0099174E">
      <w:pPr>
        <w:jc w:val="both"/>
        <w:rPr>
          <w:lang w:val="en-GB"/>
        </w:rPr>
      </w:pPr>
      <w:r w:rsidRPr="0099174E">
        <w:rPr>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p>
    <w:p w14:paraId="2DB3ECE6" w14:textId="77777777" w:rsidR="0099174E" w:rsidRPr="0099174E" w:rsidRDefault="0099174E" w:rsidP="0099174E">
      <w:pPr>
        <w:jc w:val="both"/>
        <w:rPr>
          <w:lang w:val="en-GB"/>
        </w:rPr>
      </w:pPr>
    </w:p>
    <w:p w14:paraId="6A93EF7F"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3" w:name="_Toc43991833"/>
      <w:r w:rsidRPr="0099174E">
        <w:rPr>
          <w:szCs w:val="24"/>
        </w:rPr>
        <w:t>NON-WAIVER</w:t>
      </w:r>
      <w:bookmarkEnd w:id="103"/>
    </w:p>
    <w:p w14:paraId="4857C0F7" w14:textId="77777777" w:rsidR="0099174E" w:rsidRPr="0099174E" w:rsidRDefault="0099174E" w:rsidP="0099174E">
      <w:pPr>
        <w:jc w:val="both"/>
        <w:rPr>
          <w:lang w:val="en-GB"/>
        </w:rPr>
      </w:pPr>
      <w:r w:rsidRPr="0099174E">
        <w:rPr>
          <w:lang w:val="en-GB"/>
        </w:rPr>
        <w:t>In no case, including delay or partial exercise, shall it be presumed that the CEB has tacitly waived any right granted to it by the Agreement.</w:t>
      </w:r>
    </w:p>
    <w:p w14:paraId="699297CC" w14:textId="77777777" w:rsidR="0099174E" w:rsidRPr="0099174E" w:rsidRDefault="0099174E" w:rsidP="0099174E">
      <w:pPr>
        <w:jc w:val="both"/>
        <w:rPr>
          <w:lang w:val="en-GB"/>
        </w:rPr>
      </w:pPr>
    </w:p>
    <w:p w14:paraId="37D665AB"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4" w:name="_Toc43991834"/>
      <w:r w:rsidRPr="0099174E">
        <w:rPr>
          <w:szCs w:val="24"/>
        </w:rPr>
        <w:t>ASSIGNMENT</w:t>
      </w:r>
      <w:bookmarkEnd w:id="104"/>
    </w:p>
    <w:p w14:paraId="370734ED" w14:textId="77777777" w:rsidR="0099174E" w:rsidRPr="0099174E" w:rsidRDefault="0099174E" w:rsidP="00077D6D">
      <w:pPr>
        <w:spacing w:after="120"/>
        <w:jc w:val="both"/>
        <w:rPr>
          <w:lang w:val="en-GB"/>
        </w:rPr>
      </w:pPr>
      <w:r w:rsidRPr="0099174E">
        <w:rPr>
          <w:lang w:val="en-GB"/>
        </w:rPr>
        <w:t>The Borrower may not assign or transfer any of its rights or obligations under the Agreement without the prior written consent of the CEB.</w:t>
      </w:r>
    </w:p>
    <w:p w14:paraId="2A863FD7" w14:textId="77777777" w:rsidR="0099174E" w:rsidRPr="0099174E" w:rsidRDefault="0099174E" w:rsidP="0099174E">
      <w:pPr>
        <w:jc w:val="both"/>
        <w:rPr>
          <w:lang w:val="en-GB"/>
        </w:rPr>
      </w:pPr>
      <w:r w:rsidRPr="0099174E">
        <w:rPr>
          <w:lang w:val="en-GB"/>
        </w:rPr>
        <w:t>The CEB may assign all or part of its rights and benefits or transfer all or part of its rights, benefits and obligations under the Agreement.</w:t>
      </w:r>
    </w:p>
    <w:p w14:paraId="7B4BE97A" w14:textId="77777777" w:rsidR="0099174E" w:rsidRPr="0099174E" w:rsidRDefault="0099174E" w:rsidP="0099174E">
      <w:pPr>
        <w:jc w:val="both"/>
        <w:rPr>
          <w:lang w:val="en-GB"/>
        </w:rPr>
      </w:pPr>
    </w:p>
    <w:p w14:paraId="2A48ED60"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5" w:name="_Toc43991835"/>
      <w:r w:rsidRPr="0099174E">
        <w:rPr>
          <w:szCs w:val="24"/>
        </w:rPr>
        <w:t>GOVERNING LAW</w:t>
      </w:r>
      <w:bookmarkEnd w:id="105"/>
    </w:p>
    <w:p w14:paraId="4AC73FAF" w14:textId="77777777" w:rsidR="0099174E" w:rsidRPr="0099174E" w:rsidRDefault="0099174E" w:rsidP="0099174E">
      <w:pPr>
        <w:jc w:val="both"/>
        <w:rPr>
          <w:lang w:val="en-GB"/>
        </w:rPr>
      </w:pPr>
      <w:r w:rsidRPr="0099174E">
        <w:rPr>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14:paraId="184A58B5" w14:textId="77777777" w:rsidR="0099174E" w:rsidRPr="0099174E" w:rsidRDefault="0099174E" w:rsidP="0099174E">
      <w:pPr>
        <w:jc w:val="both"/>
        <w:rPr>
          <w:lang w:val="en-GB"/>
        </w:rPr>
      </w:pPr>
    </w:p>
    <w:p w14:paraId="7739C48F"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6" w:name="_Ref474422651"/>
      <w:bookmarkStart w:id="107" w:name="_Toc43991836"/>
      <w:r w:rsidRPr="0099174E">
        <w:rPr>
          <w:szCs w:val="24"/>
        </w:rPr>
        <w:t>DISPUTES</w:t>
      </w:r>
      <w:bookmarkEnd w:id="106"/>
      <w:bookmarkEnd w:id="107"/>
    </w:p>
    <w:p w14:paraId="7E36939D" w14:textId="77777777" w:rsidR="0099174E" w:rsidRPr="0099174E" w:rsidRDefault="0099174E" w:rsidP="00077D6D">
      <w:pPr>
        <w:spacing w:after="120"/>
        <w:jc w:val="both"/>
        <w:rPr>
          <w:lang w:val="en-GB"/>
        </w:rPr>
      </w:pPr>
      <w:r w:rsidRPr="0099174E">
        <w:rPr>
          <w:lang w:val="en-GB"/>
        </w:rPr>
        <w:t xml:space="preserve">Disputes between the parties to the Agreement shall be subject to arbitration under the conditions laid down in Chapter 4 of the Loan Regulations.  </w:t>
      </w:r>
    </w:p>
    <w:p w14:paraId="0EC9DD02" w14:textId="77777777" w:rsidR="0099174E" w:rsidRPr="0099174E" w:rsidRDefault="0099174E" w:rsidP="00077D6D">
      <w:pPr>
        <w:spacing w:after="120"/>
        <w:jc w:val="both"/>
        <w:rPr>
          <w:lang w:val="en-GB"/>
        </w:rPr>
      </w:pPr>
      <w:r w:rsidRPr="0099174E">
        <w:rPr>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14:paraId="713049A6" w14:textId="77777777" w:rsidR="0099174E" w:rsidRPr="0099174E" w:rsidRDefault="0099174E" w:rsidP="0099174E">
      <w:pPr>
        <w:jc w:val="both"/>
        <w:rPr>
          <w:lang w:val="en-GB"/>
        </w:rPr>
      </w:pPr>
      <w:r w:rsidRPr="0099174E">
        <w:rPr>
          <w:lang w:val="en-GB"/>
        </w:rPr>
        <w:lastRenderedPageBreak/>
        <w:t xml:space="preserve">In any legal action arising from this Agreement, the CEB’s certificate as to any amount due or interest rate applicable under the Agreement shall, in the absence of manifest error, be prima facie evidence of such amount or interest rate. </w:t>
      </w:r>
    </w:p>
    <w:p w14:paraId="648660C9" w14:textId="77777777" w:rsidR="0099174E" w:rsidRPr="0099174E" w:rsidRDefault="0099174E" w:rsidP="0099174E">
      <w:pPr>
        <w:jc w:val="both"/>
        <w:rPr>
          <w:lang w:val="en-GB"/>
        </w:rPr>
      </w:pPr>
    </w:p>
    <w:p w14:paraId="123BE60D"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8" w:name="_Toc43991837"/>
      <w:r w:rsidRPr="0099174E">
        <w:rPr>
          <w:szCs w:val="24"/>
        </w:rPr>
        <w:t>NOTICES</w:t>
      </w:r>
      <w:bookmarkEnd w:id="108"/>
    </w:p>
    <w:p w14:paraId="1EF52AD6" w14:textId="77777777" w:rsidR="0099174E" w:rsidRPr="0099174E" w:rsidRDefault="0099174E" w:rsidP="00077D6D">
      <w:pPr>
        <w:spacing w:after="120"/>
        <w:jc w:val="both"/>
        <w:rPr>
          <w:lang w:val="en-GB"/>
        </w:rPr>
      </w:pPr>
      <w:r w:rsidRPr="0099174E">
        <w:rPr>
          <w:lang w:val="en-GB"/>
        </w:rPr>
        <w:t>Any notice or other communication to be given or made under this Agreement to the CEB or the Borrower shall be in writing and shall be deemed to have been duly given or made when it is delivered by registered mail or facsimile by one Party to the other Party’s address or fax number specified below:</w:t>
      </w:r>
    </w:p>
    <w:p w14:paraId="3E790A5E"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lang w:val="en-GB"/>
        </w:rPr>
      </w:pPr>
      <w:r w:rsidRPr="0099174E">
        <w:rPr>
          <w:u w:val="single"/>
          <w:lang w:val="en-GB"/>
        </w:rPr>
        <w:t>For the Borrower:</w:t>
      </w:r>
    </w:p>
    <w:p w14:paraId="448F7B95"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lang w:val="en-GB"/>
        </w:rPr>
      </w:pPr>
      <w:r w:rsidRPr="0099174E">
        <w:rPr>
          <w:iCs/>
          <w:lang w:val="en-GB"/>
        </w:rPr>
        <w:t>Republic of Croatia</w:t>
      </w:r>
    </w:p>
    <w:p w14:paraId="4F84EF40"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iCs/>
          <w:lang w:val="en-GB"/>
        </w:rPr>
        <w:t>Ministry of Finance</w:t>
      </w:r>
    </w:p>
    <w:p w14:paraId="39DB4836"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lang w:val="en-GB"/>
        </w:rPr>
      </w:pPr>
      <w:r w:rsidRPr="0099174E">
        <w:rPr>
          <w:iCs/>
          <w:lang w:val="en-GB"/>
        </w:rPr>
        <w:t xml:space="preserve">Katančićeva 5, 10 000 Zagreb  </w:t>
      </w:r>
    </w:p>
    <w:p w14:paraId="2C6E10EA"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lang w:val="en-GB"/>
        </w:rPr>
      </w:pPr>
      <w:r w:rsidRPr="0099174E">
        <w:rPr>
          <w:iCs/>
          <w:lang w:val="en-GB"/>
        </w:rPr>
        <w:t>Croatia</w:t>
      </w:r>
    </w:p>
    <w:p w14:paraId="158BBDEC"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Attention: Minister of Finance</w:t>
      </w:r>
      <w:r w:rsidRPr="0099174E">
        <w:rPr>
          <w:lang w:val="en-GB"/>
        </w:rPr>
        <w:tab/>
      </w:r>
      <w:r w:rsidRPr="0099174E" w:rsidDel="0093602D">
        <w:rPr>
          <w:lang w:val="en-GB"/>
        </w:rPr>
        <w:t xml:space="preserve"> </w:t>
      </w:r>
    </w:p>
    <w:p w14:paraId="2D01C334"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lang w:val="en-GB"/>
        </w:rPr>
      </w:pPr>
      <w:r w:rsidRPr="0099174E">
        <w:rPr>
          <w:lang w:val="en-GB"/>
        </w:rPr>
        <w:t>Fax: +385 1 4922-583</w:t>
      </w:r>
      <w:r w:rsidRPr="0099174E">
        <w:rPr>
          <w:lang w:val="en-GB"/>
        </w:rPr>
        <w:tab/>
      </w:r>
      <w:r w:rsidRPr="0099174E">
        <w:rPr>
          <w:lang w:val="en-GB"/>
        </w:rPr>
        <w:tab/>
      </w:r>
    </w:p>
    <w:p w14:paraId="37AA6BC5"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iCs/>
          <w:lang w:val="en-GB"/>
        </w:rPr>
      </w:pPr>
    </w:p>
    <w:p w14:paraId="1FF54227"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u w:val="single"/>
          <w:lang w:val="en-GB"/>
        </w:rPr>
      </w:pPr>
      <w:r w:rsidRPr="0099174E">
        <w:rPr>
          <w:u w:val="single"/>
          <w:lang w:val="en-GB"/>
        </w:rPr>
        <w:t>For the CEB:</w:t>
      </w:r>
    </w:p>
    <w:p w14:paraId="1EF7A6FD"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Council of Europe Development Bank</w:t>
      </w:r>
    </w:p>
    <w:p w14:paraId="1DCE0311"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55 Avenue Kléber</w:t>
      </w:r>
    </w:p>
    <w:p w14:paraId="03585DC6"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75116 Paris</w:t>
      </w:r>
    </w:p>
    <w:p w14:paraId="70122A0D"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France</w:t>
      </w:r>
    </w:p>
    <w:p w14:paraId="03E42C9D"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lang w:val="en-GB"/>
        </w:rPr>
      </w:pPr>
      <w:r w:rsidRPr="0099174E">
        <w:rPr>
          <w:lang w:val="en-GB"/>
        </w:rPr>
        <w:t xml:space="preserve">Attention: </w:t>
      </w:r>
      <w:r w:rsidRPr="0099174E">
        <w:rPr>
          <w:lang w:val="en-GB"/>
        </w:rPr>
        <w:tab/>
        <w:t>Director, Projects Division</w:t>
      </w:r>
    </w:p>
    <w:p w14:paraId="6390281F"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lang w:val="en-GB"/>
        </w:rPr>
      </w:pPr>
      <w:r w:rsidRPr="0099174E">
        <w:rPr>
          <w:lang w:val="en-GB"/>
        </w:rPr>
        <w:t>Fax:</w:t>
      </w:r>
      <w:r w:rsidRPr="0099174E">
        <w:rPr>
          <w:lang w:val="en-GB"/>
        </w:rPr>
        <w:tab/>
      </w:r>
      <w:r w:rsidRPr="0099174E">
        <w:rPr>
          <w:lang w:val="en-GB"/>
        </w:rPr>
        <w:tab/>
        <w:t>+33 1 47 55 37 52</w:t>
      </w:r>
    </w:p>
    <w:p w14:paraId="2C602A18" w14:textId="77777777"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contextualSpacing/>
        <w:jc w:val="both"/>
        <w:rPr>
          <w:lang w:val="en-GB"/>
        </w:rPr>
      </w:pPr>
    </w:p>
    <w:p w14:paraId="003BA5BA" w14:textId="77777777" w:rsidR="0099174E" w:rsidRPr="0099174E" w:rsidRDefault="0099174E" w:rsidP="00077D6D">
      <w:pPr>
        <w:spacing w:after="120"/>
        <w:jc w:val="both"/>
        <w:rPr>
          <w:lang w:val="en-GB"/>
        </w:rPr>
      </w:pPr>
      <w:r w:rsidRPr="0099174E">
        <w:rPr>
          <w:lang w:val="en-GB"/>
        </w:rPr>
        <w:t>All notices or other communications to be given or made under the Agreement shall be in English or French or, if in another language, shall be accompanied by an English or French certified translation thereof, when so required by the CEB.</w:t>
      </w:r>
    </w:p>
    <w:p w14:paraId="0B517D3B" w14:textId="77777777" w:rsidR="0099174E" w:rsidRPr="0099174E" w:rsidRDefault="0099174E" w:rsidP="00077D6D">
      <w:pPr>
        <w:spacing w:after="120"/>
        <w:jc w:val="both"/>
        <w:rPr>
          <w:lang w:val="en-GB"/>
        </w:rPr>
      </w:pPr>
      <w:r w:rsidRPr="0099174E">
        <w:rPr>
          <w:lang w:val="en-GB"/>
        </w:rPr>
        <w:t>Without affecting the validity of any notice delivered by facsimile according to the paragraphs above, a copy of each notice delivered by facsimile shall also be sent by registered letter to the relevant Party on the following Business Day at the latest.</w:t>
      </w:r>
    </w:p>
    <w:p w14:paraId="503DFDCD" w14:textId="77777777" w:rsidR="0099174E" w:rsidRPr="0099174E" w:rsidRDefault="0099174E" w:rsidP="0099174E">
      <w:pPr>
        <w:jc w:val="both"/>
        <w:rPr>
          <w:lang w:val="en-GB"/>
        </w:rPr>
      </w:pPr>
      <w:r w:rsidRPr="0099174E">
        <w:rPr>
          <w:lang w:val="en-GB"/>
        </w:rPr>
        <w:t>Notices issued by the Borrower pursuant to any provision of this Agreement shall, where required by the CEB, be delivered to the CEB together with satisfactory evidence of the authority of the person or persons authorised to sign such notice on behalf of the Borrower and the authenticated specimen signature of such person or persons.</w:t>
      </w:r>
    </w:p>
    <w:p w14:paraId="79D93889" w14:textId="77777777" w:rsidR="0099174E" w:rsidRPr="0099174E" w:rsidRDefault="0099174E" w:rsidP="0099174E">
      <w:pPr>
        <w:jc w:val="both"/>
        <w:rPr>
          <w:lang w:val="en-GB"/>
        </w:rPr>
      </w:pPr>
    </w:p>
    <w:p w14:paraId="1D5AEBD0"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09" w:name="_Ref474422683"/>
      <w:bookmarkStart w:id="110" w:name="_Toc43991838"/>
      <w:r w:rsidRPr="0099174E">
        <w:rPr>
          <w:szCs w:val="24"/>
        </w:rPr>
        <w:t>TAXES AND EXPENSES</w:t>
      </w:r>
      <w:bookmarkEnd w:id="109"/>
      <w:bookmarkEnd w:id="110"/>
    </w:p>
    <w:p w14:paraId="441550C5" w14:textId="77777777" w:rsidR="0099174E" w:rsidRPr="0099174E" w:rsidRDefault="0099174E" w:rsidP="00077D6D">
      <w:pPr>
        <w:spacing w:after="120"/>
        <w:jc w:val="both"/>
        <w:rPr>
          <w:lang w:val="en-GB"/>
        </w:rPr>
      </w:pPr>
      <w:r w:rsidRPr="0099174E">
        <w:rPr>
          <w:lang w:val="en-GB"/>
        </w:rPr>
        <w:t xml:space="preserve">The Borrower shall pay, to the extent applicable, all taxes, duties, fees and other impositions of whatsoever nature, including stamp duty and registration fees, arising out </w:t>
      </w:r>
      <w:r w:rsidRPr="0099174E">
        <w:rPr>
          <w:lang w:val="en-GB"/>
        </w:rPr>
        <w:lastRenderedPageBreak/>
        <w:t>of the execution, registration or implementation of the Agreement or any related document as well as of the creation, perfection, registration or enforcement of any Security required under the Agreement.</w:t>
      </w:r>
    </w:p>
    <w:p w14:paraId="00C876FA" w14:textId="77777777" w:rsidR="0099174E" w:rsidRPr="0099174E" w:rsidRDefault="0099174E" w:rsidP="00077D6D">
      <w:pPr>
        <w:spacing w:after="120"/>
        <w:jc w:val="both"/>
        <w:rPr>
          <w:lang w:val="en-GB"/>
        </w:rPr>
      </w:pPr>
      <w:r w:rsidRPr="0099174E">
        <w:rPr>
          <w:lang w:val="en-GB"/>
        </w:rPr>
        <w:t xml:space="preserve">The Borrower shall bear all charges and expenses (including legal, professional, banking or exchange costs) incurred in connection with (i) the preparation, execution, perfection, implementation and termination of this Agreement or any related document; (ii) any amendment, supplement or waiver in respect of this Agreement or any related document; and (iii) the preparation, execution, perfection, management and enforcement of any Security required under the Loan. </w:t>
      </w:r>
    </w:p>
    <w:p w14:paraId="25890D65" w14:textId="54027C6B" w:rsidR="0099174E" w:rsidRPr="0099174E" w:rsidRDefault="0099174E" w:rsidP="0099174E">
      <w:pPr>
        <w:jc w:val="both"/>
        <w:rPr>
          <w:lang w:val="en-GB"/>
        </w:rPr>
      </w:pPr>
      <w:r w:rsidRPr="0099174E">
        <w:rPr>
          <w:lang w:val="en-GB"/>
        </w:rPr>
        <w:t>Notwithstanding the above, Article 4.7 (</w:t>
      </w:r>
      <w:r w:rsidRPr="0099174E">
        <w:rPr>
          <w:i/>
          <w:lang w:val="en-GB"/>
        </w:rPr>
        <w:t>Cost of arbitration</w:t>
      </w:r>
      <w:r w:rsidRPr="0099174E">
        <w:rPr>
          <w:lang w:val="en-GB"/>
        </w:rPr>
        <w:t xml:space="preserve">) of the Loan Regulations shall apply regarding the costs of the arbitration set forth under Clause </w:t>
      </w:r>
      <w:r w:rsidRPr="0099174E">
        <w:rPr>
          <w:lang w:val="en-GB"/>
        </w:rPr>
        <w:fldChar w:fldCharType="begin"/>
      </w:r>
      <w:r w:rsidRPr="0099174E">
        <w:rPr>
          <w:lang w:val="en-GB"/>
        </w:rPr>
        <w:instrText xml:space="preserve"> REF _Ref474422651 \r \h  \* MERGEFORMAT </w:instrText>
      </w:r>
      <w:r w:rsidRPr="0099174E">
        <w:rPr>
          <w:lang w:val="en-GB"/>
        </w:rPr>
      </w:r>
      <w:r w:rsidRPr="0099174E">
        <w:rPr>
          <w:lang w:val="en-GB"/>
        </w:rPr>
        <w:fldChar w:fldCharType="separate"/>
      </w:r>
      <w:r w:rsidR="00A13370">
        <w:rPr>
          <w:lang w:val="en-GB"/>
        </w:rPr>
        <w:t>13</w:t>
      </w:r>
      <w:r w:rsidRPr="0099174E">
        <w:rPr>
          <w:lang w:val="en-GB"/>
        </w:rPr>
        <w:fldChar w:fldCharType="end"/>
      </w:r>
      <w:r w:rsidRPr="0099174E">
        <w:rPr>
          <w:lang w:val="en-GB"/>
        </w:rPr>
        <w:t xml:space="preserve"> </w:t>
      </w:r>
      <w:r w:rsidRPr="0099174E">
        <w:rPr>
          <w:i/>
          <w:lang w:val="en-US"/>
        </w:rPr>
        <w:t>(Disputes)</w:t>
      </w:r>
      <w:r w:rsidRPr="0099174E">
        <w:rPr>
          <w:lang w:val="en-US"/>
        </w:rPr>
        <w:t>.</w:t>
      </w:r>
      <w:r w:rsidRPr="0099174E">
        <w:rPr>
          <w:lang w:val="en-GB"/>
        </w:rPr>
        <w:t xml:space="preserve"> </w:t>
      </w:r>
    </w:p>
    <w:p w14:paraId="15D3947E" w14:textId="77777777" w:rsidR="0099174E" w:rsidRPr="0099174E" w:rsidRDefault="0099174E" w:rsidP="0099174E">
      <w:pPr>
        <w:jc w:val="both"/>
        <w:rPr>
          <w:lang w:val="en-GB"/>
        </w:rPr>
      </w:pPr>
    </w:p>
    <w:p w14:paraId="70F4589C"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11" w:name="_Toc43991839"/>
      <w:r w:rsidRPr="0099174E">
        <w:rPr>
          <w:szCs w:val="24"/>
        </w:rPr>
        <w:t>DISCHARGE</w:t>
      </w:r>
      <w:bookmarkEnd w:id="111"/>
    </w:p>
    <w:p w14:paraId="68F84F05" w14:textId="7DF4AD48" w:rsidR="0099174E" w:rsidRPr="0099174E" w:rsidRDefault="0099174E" w:rsidP="0099174E">
      <w:pPr>
        <w:jc w:val="both"/>
        <w:rPr>
          <w:lang w:val="en-GB"/>
        </w:rPr>
      </w:pPr>
      <w:r w:rsidRPr="0099174E">
        <w:rPr>
          <w:lang w:val="en-GB"/>
        </w:rPr>
        <w:t>After repayment of all outstanding principal under the Loan as well as payment of all interests and other expenses resulting from the Agreement, including in particular those amounts under Sub</w:t>
      </w:r>
      <w:r w:rsidRPr="0099174E">
        <w:rPr>
          <w:lang w:val="en-GB"/>
        </w:rPr>
        <w:noBreakHyphen/>
        <w:t xml:space="preserve">clause </w:t>
      </w:r>
      <w:r w:rsidRPr="0099174E">
        <w:rPr>
          <w:lang w:val="en-GB"/>
        </w:rPr>
        <w:fldChar w:fldCharType="begin"/>
      </w:r>
      <w:r w:rsidRPr="0099174E">
        <w:rPr>
          <w:lang w:val="en-GB"/>
        </w:rPr>
        <w:instrText xml:space="preserve"> REF _Ref474422671 \r \h  \* MERGEFORMAT </w:instrText>
      </w:r>
      <w:r w:rsidRPr="0099174E">
        <w:rPr>
          <w:lang w:val="en-GB"/>
        </w:rPr>
      </w:r>
      <w:r w:rsidRPr="0099174E">
        <w:rPr>
          <w:lang w:val="en-GB"/>
        </w:rPr>
        <w:fldChar w:fldCharType="separate"/>
      </w:r>
      <w:r w:rsidR="00A13370">
        <w:rPr>
          <w:lang w:val="en-GB"/>
        </w:rPr>
        <w:t>4.9</w:t>
      </w:r>
      <w:r w:rsidRPr="0099174E">
        <w:rPr>
          <w:lang w:val="en-GB"/>
        </w:rPr>
        <w:fldChar w:fldCharType="end"/>
      </w:r>
      <w:r w:rsidRPr="0099174E">
        <w:rPr>
          <w:lang w:val="en-GB"/>
        </w:rPr>
        <w:t xml:space="preserve"> </w:t>
      </w:r>
      <w:r w:rsidRPr="0099174E">
        <w:rPr>
          <w:i/>
          <w:lang w:val="en-US"/>
        </w:rPr>
        <w:t xml:space="preserve">(Default Interest Rate) </w:t>
      </w:r>
      <w:r w:rsidRPr="0099174E">
        <w:rPr>
          <w:lang w:val="en-GB"/>
        </w:rPr>
        <w:t xml:space="preserve">and Clause </w:t>
      </w:r>
      <w:r w:rsidRPr="0099174E">
        <w:rPr>
          <w:lang w:val="en-GB"/>
        </w:rPr>
        <w:fldChar w:fldCharType="begin"/>
      </w:r>
      <w:r w:rsidRPr="0099174E">
        <w:rPr>
          <w:lang w:val="en-GB"/>
        </w:rPr>
        <w:instrText xml:space="preserve"> REF _Ref474422683 \r \h  \* MERGEFORMAT </w:instrText>
      </w:r>
      <w:r w:rsidRPr="0099174E">
        <w:rPr>
          <w:lang w:val="en-GB"/>
        </w:rPr>
      </w:r>
      <w:r w:rsidRPr="0099174E">
        <w:rPr>
          <w:lang w:val="en-GB"/>
        </w:rPr>
        <w:fldChar w:fldCharType="separate"/>
      </w:r>
      <w:r w:rsidR="00A13370">
        <w:rPr>
          <w:lang w:val="en-GB"/>
        </w:rPr>
        <w:t>15</w:t>
      </w:r>
      <w:r w:rsidRPr="0099174E">
        <w:rPr>
          <w:lang w:val="en-GB"/>
        </w:rPr>
        <w:fldChar w:fldCharType="end"/>
      </w:r>
      <w:r w:rsidRPr="0099174E">
        <w:rPr>
          <w:lang w:val="en-GB"/>
        </w:rPr>
        <w:t xml:space="preserve"> </w:t>
      </w:r>
      <w:r w:rsidRPr="0099174E">
        <w:rPr>
          <w:i/>
          <w:lang w:val="en-US"/>
        </w:rPr>
        <w:t>(Taxes and Expenses)</w:t>
      </w:r>
      <w:r w:rsidRPr="0099174E">
        <w:rPr>
          <w:lang w:val="en-GB"/>
        </w:rPr>
        <w:t xml:space="preserve">, the Borrower shall be fully released from its obligations towards the CEB, with the exception of those set out in Clause </w:t>
      </w:r>
      <w:r w:rsidRPr="0099174E">
        <w:rPr>
          <w:lang w:val="en-GB"/>
        </w:rPr>
        <w:fldChar w:fldCharType="begin"/>
      </w:r>
      <w:r w:rsidRPr="0099174E">
        <w:rPr>
          <w:lang w:val="en-GB"/>
        </w:rPr>
        <w:instrText xml:space="preserve"> REF _Ref474422712 \r \h  \* MERGEFORMAT </w:instrText>
      </w:r>
      <w:r w:rsidRPr="0099174E">
        <w:rPr>
          <w:lang w:val="en-GB"/>
        </w:rPr>
      </w:r>
      <w:r w:rsidRPr="0099174E">
        <w:rPr>
          <w:lang w:val="en-GB"/>
        </w:rPr>
        <w:fldChar w:fldCharType="separate"/>
      </w:r>
      <w:r w:rsidR="00A13370">
        <w:rPr>
          <w:lang w:val="en-GB"/>
        </w:rPr>
        <w:t>0</w:t>
      </w:r>
      <w:r w:rsidRPr="0099174E">
        <w:rPr>
          <w:lang w:val="en-GB"/>
        </w:rPr>
        <w:fldChar w:fldCharType="end"/>
      </w:r>
      <w:r w:rsidRPr="0099174E">
        <w:rPr>
          <w:lang w:val="en-GB"/>
        </w:rPr>
        <w:t xml:space="preserve"> </w:t>
      </w:r>
      <w:r w:rsidRPr="0099174E">
        <w:rPr>
          <w:i/>
          <w:lang w:val="en-US"/>
        </w:rPr>
        <w:t>(Monitoring)</w:t>
      </w:r>
      <w:r w:rsidRPr="0099174E">
        <w:rPr>
          <w:lang w:val="en-GB"/>
        </w:rPr>
        <w:t xml:space="preserve"> above for the purposes of a possible evaluation of the Project, which shall not take place later than four (4) years following the repayment of all outstanding principal under the Loan.</w:t>
      </w:r>
    </w:p>
    <w:p w14:paraId="18FC5C18" w14:textId="77777777" w:rsidR="0099174E" w:rsidRPr="0099174E" w:rsidRDefault="0099174E" w:rsidP="0099174E">
      <w:pPr>
        <w:jc w:val="both"/>
        <w:rPr>
          <w:lang w:val="en-GB"/>
        </w:rPr>
      </w:pPr>
    </w:p>
    <w:p w14:paraId="2465C010"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12" w:name="_Toc43991840"/>
      <w:r w:rsidRPr="0099174E">
        <w:rPr>
          <w:szCs w:val="24"/>
        </w:rPr>
        <w:t>AMENDMENTS</w:t>
      </w:r>
      <w:bookmarkEnd w:id="112"/>
    </w:p>
    <w:p w14:paraId="6E85FA41" w14:textId="77777777" w:rsidR="0099174E" w:rsidRPr="0099174E" w:rsidRDefault="0099174E" w:rsidP="00077D6D">
      <w:pPr>
        <w:spacing w:after="440"/>
        <w:jc w:val="both"/>
        <w:rPr>
          <w:lang w:val="en-GB"/>
        </w:rPr>
      </w:pPr>
      <w:r w:rsidRPr="0099174E">
        <w:rPr>
          <w:lang w:val="en-GB"/>
        </w:rPr>
        <w:t xml:space="preserve">Any term of this Agreement may be amended only in writing and only with the consent of all Parties hereto. </w:t>
      </w:r>
    </w:p>
    <w:p w14:paraId="0793CA05" w14:textId="77777777" w:rsidR="0099174E" w:rsidRPr="0099174E" w:rsidRDefault="0099174E" w:rsidP="00436B0A">
      <w:pPr>
        <w:pStyle w:val="Heading1"/>
        <w:keepLines/>
        <w:numPr>
          <w:ilvl w:val="0"/>
          <w:numId w:val="1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jc w:val="both"/>
        <w:rPr>
          <w:szCs w:val="24"/>
        </w:rPr>
      </w:pPr>
      <w:bookmarkStart w:id="113" w:name="_Toc43991841"/>
      <w:r w:rsidRPr="0099174E">
        <w:rPr>
          <w:szCs w:val="24"/>
        </w:rPr>
        <w:t>ENTRY INTO FORCE</w:t>
      </w:r>
      <w:bookmarkEnd w:id="113"/>
    </w:p>
    <w:p w14:paraId="4BB9E301" w14:textId="77777777" w:rsidR="0099174E" w:rsidRPr="0099174E" w:rsidRDefault="0099174E" w:rsidP="0099174E">
      <w:pPr>
        <w:jc w:val="both"/>
        <w:rPr>
          <w:lang w:val="en-GB"/>
        </w:rPr>
      </w:pPr>
      <w:r w:rsidRPr="0099174E">
        <w:rPr>
          <w:lang w:val="en-GB"/>
        </w:rPr>
        <w:t>The Agreement shall enter into force upon execution by the Parties and on the date of receipt by CEB of a notification through diplomatic channels by which the Republic of Croatia informs the CEB that the Croatian Parliament has ratified the Agreement.</w:t>
      </w:r>
    </w:p>
    <w:p w14:paraId="35467841" w14:textId="5A21D9ED" w:rsidR="0099174E" w:rsidRDefault="0099174E" w:rsidP="0099174E">
      <w:pPr>
        <w:jc w:val="both"/>
        <w:rPr>
          <w:lang w:val="en-GB"/>
        </w:rPr>
      </w:pPr>
    </w:p>
    <w:p w14:paraId="5FB24837" w14:textId="4002DF7F" w:rsidR="00C837CE" w:rsidRDefault="00C837CE" w:rsidP="0099174E">
      <w:pPr>
        <w:jc w:val="both"/>
        <w:rPr>
          <w:lang w:val="en-GB"/>
        </w:rPr>
      </w:pPr>
    </w:p>
    <w:p w14:paraId="6B8015C0" w14:textId="77777777" w:rsidR="0099174E" w:rsidRPr="0099174E" w:rsidRDefault="0099174E" w:rsidP="0099174E">
      <w:pPr>
        <w:jc w:val="both"/>
        <w:rPr>
          <w:lang w:val="en-GB"/>
        </w:rPr>
      </w:pPr>
      <w:r w:rsidRPr="0099174E">
        <w:rPr>
          <w:lang w:val="en-GB"/>
        </w:rPr>
        <w:t>IN WITNESS THEREOF the Parties have caused the Agreement to be executed in two (2) originals, each of which is equally valid. One (1) original is kept by each of the Parties.</w:t>
      </w:r>
    </w:p>
    <w:p w14:paraId="7DDBB812" w14:textId="77777777" w:rsidR="00C837CE" w:rsidRDefault="00C837CE" w:rsidP="0099174E">
      <w:pPr>
        <w:jc w:val="both"/>
        <w:rPr>
          <w:lang w:val="en-GB"/>
        </w:rPr>
      </w:pPr>
    </w:p>
    <w:p w14:paraId="24F4FFA6" w14:textId="77777777" w:rsidR="00C837CE" w:rsidRDefault="00C837CE" w:rsidP="0099174E">
      <w:pPr>
        <w:jc w:val="both"/>
        <w:rPr>
          <w:lang w:val="en-GB"/>
        </w:rPr>
      </w:pPr>
    </w:p>
    <w:p w14:paraId="2BCF532C" w14:textId="21431122" w:rsidR="0099174E" w:rsidRPr="0099174E" w:rsidRDefault="0099174E" w:rsidP="0099174E">
      <w:pPr>
        <w:jc w:val="both"/>
        <w:rPr>
          <w:lang w:val="en-GB"/>
        </w:rPr>
      </w:pPr>
      <w:r w:rsidRPr="0099174E">
        <w:rPr>
          <w:lang w:val="en-GB"/>
        </w:rPr>
        <w:t xml:space="preserve">Zagreb, on </w:t>
      </w:r>
      <w:r w:rsidR="00077D6D">
        <w:rPr>
          <w:lang w:val="en-GB"/>
        </w:rPr>
        <w:t>15 July, 2020</w:t>
      </w:r>
    </w:p>
    <w:p w14:paraId="4BB69287" w14:textId="77777777" w:rsidR="0099174E" w:rsidRPr="0099174E" w:rsidRDefault="0099174E" w:rsidP="0099174E">
      <w:pPr>
        <w:jc w:val="both"/>
        <w:rPr>
          <w:u w:val="single"/>
          <w:lang w:val="en-GB"/>
        </w:rPr>
      </w:pPr>
    </w:p>
    <w:p w14:paraId="36203330" w14:textId="77777777" w:rsidR="0099174E" w:rsidRPr="0099174E" w:rsidRDefault="0099174E" w:rsidP="0099174E">
      <w:pPr>
        <w:jc w:val="both"/>
        <w:rPr>
          <w:u w:val="single"/>
          <w:lang w:val="en-GB"/>
        </w:rPr>
      </w:pPr>
      <w:r w:rsidRPr="0099174E">
        <w:rPr>
          <w:u w:val="single"/>
          <w:lang w:val="en-GB"/>
        </w:rPr>
        <w:t>For the Borrower</w:t>
      </w:r>
    </w:p>
    <w:p w14:paraId="5CF6D9B6" w14:textId="77777777" w:rsidR="00C837CE" w:rsidRDefault="00C837CE" w:rsidP="0099174E">
      <w:pPr>
        <w:jc w:val="both"/>
        <w:rPr>
          <w:lang w:val="en-GB"/>
        </w:rPr>
      </w:pPr>
    </w:p>
    <w:p w14:paraId="0C5892BB" w14:textId="37193444" w:rsidR="0099174E" w:rsidRDefault="00077D6D" w:rsidP="0099174E">
      <w:pPr>
        <w:jc w:val="both"/>
        <w:rPr>
          <w:lang w:val="en-GB"/>
        </w:rPr>
      </w:pPr>
      <w:r>
        <w:rPr>
          <w:lang w:val="en-GB"/>
        </w:rPr>
        <w:t>Zdravko Marić</w:t>
      </w:r>
    </w:p>
    <w:p w14:paraId="3D01BEB0" w14:textId="4420B6CC" w:rsidR="0099174E" w:rsidRPr="0099174E" w:rsidRDefault="00077D6D" w:rsidP="0099174E">
      <w:pPr>
        <w:jc w:val="both"/>
        <w:rPr>
          <w:lang w:val="en-GB"/>
        </w:rPr>
      </w:pPr>
      <w:r>
        <w:rPr>
          <w:lang w:val="en-GB"/>
        </w:rPr>
        <w:lastRenderedPageBreak/>
        <w:t>Deputy Prime Minister and Minister of Finance</w:t>
      </w:r>
    </w:p>
    <w:p w14:paraId="06FD4CF8" w14:textId="77777777" w:rsidR="0099174E" w:rsidRPr="0099174E" w:rsidRDefault="0099174E" w:rsidP="0099174E">
      <w:pPr>
        <w:jc w:val="both"/>
        <w:rPr>
          <w:u w:val="single"/>
          <w:lang w:val="en-GB"/>
        </w:rPr>
      </w:pPr>
    </w:p>
    <w:p w14:paraId="70692F6E" w14:textId="77777777" w:rsidR="00C837CE" w:rsidRDefault="00C837CE" w:rsidP="0099174E">
      <w:pPr>
        <w:jc w:val="both"/>
        <w:rPr>
          <w:lang w:val="en-GB"/>
        </w:rPr>
      </w:pPr>
    </w:p>
    <w:p w14:paraId="1BE2CE79" w14:textId="77777777" w:rsidR="00C837CE" w:rsidRDefault="00C837CE" w:rsidP="0099174E">
      <w:pPr>
        <w:jc w:val="both"/>
        <w:rPr>
          <w:lang w:val="en-GB"/>
        </w:rPr>
      </w:pPr>
    </w:p>
    <w:p w14:paraId="3E7E7034" w14:textId="7062DDC5" w:rsidR="0099174E" w:rsidRPr="0099174E" w:rsidRDefault="0099174E" w:rsidP="0099174E">
      <w:pPr>
        <w:jc w:val="both"/>
        <w:rPr>
          <w:u w:val="single"/>
          <w:lang w:val="en-GB"/>
        </w:rPr>
      </w:pPr>
      <w:r w:rsidRPr="0099174E">
        <w:rPr>
          <w:lang w:val="en-GB"/>
        </w:rPr>
        <w:t xml:space="preserve">Paris, on </w:t>
      </w:r>
      <w:r w:rsidR="00077D6D">
        <w:rPr>
          <w:lang w:val="en-GB"/>
        </w:rPr>
        <w:t>7 July, 2020</w:t>
      </w:r>
    </w:p>
    <w:p w14:paraId="13A357E1" w14:textId="77777777" w:rsidR="0099174E" w:rsidRPr="0099174E" w:rsidRDefault="0099174E" w:rsidP="0099174E">
      <w:pPr>
        <w:jc w:val="both"/>
        <w:rPr>
          <w:u w:val="single"/>
          <w:lang w:val="en-GB"/>
        </w:rPr>
      </w:pPr>
    </w:p>
    <w:p w14:paraId="7C6F162C" w14:textId="1303449C" w:rsidR="0099174E" w:rsidRDefault="0099174E" w:rsidP="0099174E">
      <w:pPr>
        <w:jc w:val="both"/>
        <w:rPr>
          <w:u w:val="single"/>
          <w:lang w:val="en-GB"/>
        </w:rPr>
      </w:pPr>
      <w:r w:rsidRPr="0099174E">
        <w:rPr>
          <w:u w:val="single"/>
          <w:lang w:val="en-GB"/>
        </w:rPr>
        <w:t>For the CEB</w:t>
      </w:r>
    </w:p>
    <w:p w14:paraId="4EF91E28" w14:textId="77777777" w:rsidR="00C837CE" w:rsidRDefault="00C837CE" w:rsidP="0099174E">
      <w:pPr>
        <w:jc w:val="both"/>
        <w:rPr>
          <w:lang w:val="en-GB"/>
        </w:rPr>
      </w:pPr>
    </w:p>
    <w:p w14:paraId="7F6BDF26" w14:textId="7334E319" w:rsidR="00077D6D" w:rsidRPr="00077D6D" w:rsidRDefault="00077D6D" w:rsidP="0099174E">
      <w:pPr>
        <w:jc w:val="both"/>
        <w:rPr>
          <w:lang w:val="en-GB"/>
        </w:rPr>
      </w:pPr>
      <w:r w:rsidRPr="00077D6D">
        <w:rPr>
          <w:lang w:val="en-GB"/>
        </w:rPr>
        <w:t>Rolf Wenzel</w:t>
      </w:r>
    </w:p>
    <w:p w14:paraId="1811C8C4" w14:textId="21232BD0" w:rsidR="00077D6D" w:rsidRPr="00077D6D" w:rsidRDefault="00077D6D" w:rsidP="0099174E">
      <w:pPr>
        <w:jc w:val="both"/>
        <w:rPr>
          <w:lang w:val="en-GB"/>
        </w:rPr>
      </w:pPr>
      <w:r w:rsidRPr="00077D6D">
        <w:rPr>
          <w:lang w:val="en-GB"/>
        </w:rPr>
        <w:t>Governor</w:t>
      </w:r>
    </w:p>
    <w:p w14:paraId="7F8F36AE" w14:textId="77777777" w:rsidR="00881488" w:rsidRDefault="00881488" w:rsidP="00B667CB">
      <w:pPr>
        <w:jc w:val="center"/>
        <w:rPr>
          <w:lang w:val="en-US"/>
        </w:rPr>
      </w:pPr>
      <w:bookmarkStart w:id="114" w:name="_Toc11248664"/>
      <w:bookmarkStart w:id="115" w:name="_Toc43991842"/>
    </w:p>
    <w:p w14:paraId="71F71B40" w14:textId="4213B4B0" w:rsidR="00F43E1B" w:rsidRDefault="00F43E1B">
      <w:pPr>
        <w:spacing w:after="160" w:line="259" w:lineRule="auto"/>
        <w:rPr>
          <w:lang w:val="en-US"/>
        </w:rPr>
      </w:pPr>
      <w:r>
        <w:rPr>
          <w:lang w:val="en-US"/>
        </w:rPr>
        <w:br w:type="page"/>
      </w:r>
    </w:p>
    <w:p w14:paraId="4CB2821B" w14:textId="5B0EA3F9" w:rsidR="0099174E" w:rsidRDefault="0099174E" w:rsidP="00B667CB">
      <w:pPr>
        <w:jc w:val="center"/>
        <w:rPr>
          <w:lang w:val="en-US"/>
        </w:rPr>
      </w:pPr>
      <w:r w:rsidRPr="0099174E">
        <w:rPr>
          <w:lang w:val="en-US"/>
        </w:rPr>
        <w:lastRenderedPageBreak/>
        <w:t>APPENDIX 1</w:t>
      </w:r>
      <w:bookmarkEnd w:id="114"/>
      <w:bookmarkEnd w:id="115"/>
    </w:p>
    <w:p w14:paraId="5BB56617" w14:textId="77777777" w:rsidR="002B5354" w:rsidRPr="0099174E" w:rsidRDefault="002B5354" w:rsidP="00B667CB">
      <w:pPr>
        <w:jc w:val="center"/>
        <w:rPr>
          <w:lang w:val="en-US"/>
        </w:rPr>
      </w:pPr>
    </w:p>
    <w:p w14:paraId="773623D7" w14:textId="0DEC8558" w:rsidR="0099174E" w:rsidRDefault="0099174E" w:rsidP="00B667CB">
      <w:pPr>
        <w:jc w:val="center"/>
        <w:rPr>
          <w:b/>
          <w:lang w:val="en-GB"/>
        </w:rPr>
      </w:pPr>
      <w:r w:rsidRPr="0099174E">
        <w:rPr>
          <w:b/>
          <w:lang w:val="en-GB"/>
        </w:rPr>
        <w:t>Project Description</w:t>
      </w:r>
    </w:p>
    <w:p w14:paraId="45C43DBC" w14:textId="77777777" w:rsidR="002B5354" w:rsidRPr="0099174E" w:rsidRDefault="002B5354" w:rsidP="00B667CB">
      <w:pPr>
        <w:jc w:val="center"/>
        <w:rPr>
          <w:b/>
          <w:lang w:val="en-GB"/>
        </w:rPr>
      </w:pPr>
    </w:p>
    <w:tbl>
      <w:tblPr>
        <w:tblW w:w="9027" w:type="dxa"/>
        <w:tblInd w:w="487" w:type="dxa"/>
        <w:tblLayout w:type="fixed"/>
        <w:tblCellMar>
          <w:left w:w="71" w:type="dxa"/>
          <w:right w:w="71" w:type="dxa"/>
        </w:tblCellMar>
        <w:tblLook w:val="0000" w:firstRow="0" w:lastRow="0" w:firstColumn="0" w:lastColumn="0" w:noHBand="0" w:noVBand="0"/>
      </w:tblPr>
      <w:tblGrid>
        <w:gridCol w:w="506"/>
        <w:gridCol w:w="2837"/>
        <w:gridCol w:w="2288"/>
        <w:gridCol w:w="3039"/>
        <w:gridCol w:w="357"/>
      </w:tblGrid>
      <w:tr w:rsidR="0099174E" w:rsidRPr="0099174E" w14:paraId="61BEBF89" w14:textId="77777777" w:rsidTr="00586679">
        <w:trPr>
          <w:gridAfter w:val="1"/>
          <w:wAfter w:w="357" w:type="dxa"/>
          <w:trHeight w:val="266"/>
        </w:trPr>
        <w:tc>
          <w:tcPr>
            <w:tcW w:w="506" w:type="dxa"/>
          </w:tcPr>
          <w:p w14:paraId="7309EDBB" w14:textId="77777777" w:rsidR="0099174E" w:rsidRPr="0099174E" w:rsidRDefault="0099174E" w:rsidP="0099174E">
            <w:pPr>
              <w:jc w:val="both"/>
              <w:rPr>
                <w:b/>
                <w:lang w:val="en-GB"/>
              </w:rPr>
            </w:pPr>
            <w:r w:rsidRPr="0099174E">
              <w:rPr>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5EF21E3C" w14:textId="77777777" w:rsidR="0099174E" w:rsidRPr="0099174E" w:rsidRDefault="0099174E" w:rsidP="0099174E">
            <w:pPr>
              <w:jc w:val="both"/>
              <w:rPr>
                <w:b/>
                <w:lang w:val="en-GB"/>
              </w:rPr>
            </w:pPr>
            <w:r w:rsidRPr="0099174E">
              <w:rPr>
                <w:b/>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97ED504" w14:textId="77777777" w:rsidR="0099174E" w:rsidRPr="0099174E" w:rsidRDefault="0099174E" w:rsidP="0099174E">
            <w:pPr>
              <w:jc w:val="both"/>
              <w:rPr>
                <w:lang w:val="en-GB"/>
              </w:rPr>
            </w:pPr>
            <w:r w:rsidRPr="0099174E">
              <w:rPr>
                <w:lang w:val="en-GB"/>
              </w:rPr>
              <w:t>2056 (2020)</w:t>
            </w:r>
          </w:p>
        </w:tc>
      </w:tr>
      <w:tr w:rsidR="0099174E" w:rsidRPr="0099174E" w14:paraId="3F60C3B8" w14:textId="77777777" w:rsidTr="00586679">
        <w:trPr>
          <w:gridAfter w:val="1"/>
          <w:wAfter w:w="357" w:type="dxa"/>
          <w:trHeight w:val="266"/>
        </w:trPr>
        <w:tc>
          <w:tcPr>
            <w:tcW w:w="506" w:type="dxa"/>
          </w:tcPr>
          <w:p w14:paraId="6DC6D6BD" w14:textId="77777777" w:rsidR="0099174E" w:rsidRPr="0099174E" w:rsidRDefault="0099174E" w:rsidP="0099174E">
            <w:pPr>
              <w:tabs>
                <w:tab w:val="left" w:pos="851"/>
              </w:tabs>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0029070D" w14:textId="77777777" w:rsidR="0099174E" w:rsidRPr="0099174E" w:rsidRDefault="0099174E" w:rsidP="0099174E">
            <w:pPr>
              <w:tabs>
                <w:tab w:val="left" w:pos="851"/>
              </w:tabs>
              <w:jc w:val="both"/>
              <w:rPr>
                <w:b/>
                <w:lang w:val="en-GB"/>
              </w:rPr>
            </w:pPr>
            <w:r w:rsidRPr="0099174E">
              <w:rPr>
                <w:b/>
                <w:lang w:val="en-G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410030E6" w14:textId="77777777" w:rsidR="0099174E" w:rsidRPr="0099174E" w:rsidRDefault="0099174E" w:rsidP="0099174E">
            <w:pPr>
              <w:jc w:val="both"/>
              <w:rPr>
                <w:lang w:val="en-GB"/>
              </w:rPr>
            </w:pPr>
            <w:r w:rsidRPr="0099174E">
              <w:rPr>
                <w:lang w:val="en-GB"/>
              </w:rPr>
              <w:t>Republic of Croatia</w:t>
            </w:r>
          </w:p>
        </w:tc>
      </w:tr>
      <w:tr w:rsidR="0099174E" w:rsidRPr="0099174E" w14:paraId="69F81086" w14:textId="77777777" w:rsidTr="00586679">
        <w:trPr>
          <w:gridAfter w:val="1"/>
          <w:wAfter w:w="357" w:type="dxa"/>
          <w:trHeight w:val="266"/>
        </w:trPr>
        <w:tc>
          <w:tcPr>
            <w:tcW w:w="506" w:type="dxa"/>
          </w:tcPr>
          <w:p w14:paraId="7E413BBD" w14:textId="77777777" w:rsidR="0099174E" w:rsidRPr="0099174E" w:rsidRDefault="0099174E" w:rsidP="0099174E">
            <w:pPr>
              <w:tabs>
                <w:tab w:val="left" w:pos="851"/>
              </w:tabs>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79DAFF5" w14:textId="77777777" w:rsidR="0099174E" w:rsidRPr="0099174E" w:rsidRDefault="0099174E" w:rsidP="0099174E">
            <w:pPr>
              <w:tabs>
                <w:tab w:val="left" w:pos="851"/>
              </w:tabs>
              <w:jc w:val="both"/>
              <w:rPr>
                <w:b/>
                <w:lang w:val="en-GB"/>
              </w:rPr>
            </w:pPr>
            <w:r w:rsidRPr="0099174E">
              <w:rPr>
                <w:b/>
                <w:lang w:val="en-G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67740BDD" w14:textId="77777777" w:rsidR="0099174E" w:rsidRPr="0099174E" w:rsidRDefault="0099174E" w:rsidP="0099174E">
            <w:pPr>
              <w:jc w:val="both"/>
              <w:rPr>
                <w:lang w:val="en-GB"/>
              </w:rPr>
            </w:pPr>
            <w:r w:rsidRPr="0099174E">
              <w:rPr>
                <w:lang w:val="en-GB"/>
              </w:rPr>
              <w:t>Public Sector Financing Facility (PFF)</w:t>
            </w:r>
          </w:p>
        </w:tc>
      </w:tr>
      <w:tr w:rsidR="0099174E" w:rsidRPr="0099174E" w14:paraId="233021EA" w14:textId="77777777" w:rsidTr="00586679">
        <w:trPr>
          <w:gridAfter w:val="1"/>
          <w:wAfter w:w="357" w:type="dxa"/>
          <w:trHeight w:val="301"/>
        </w:trPr>
        <w:tc>
          <w:tcPr>
            <w:tcW w:w="506" w:type="dxa"/>
          </w:tcPr>
          <w:p w14:paraId="6C9ECC74"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23166DF0" w14:textId="77777777" w:rsidR="0099174E" w:rsidRPr="0099174E" w:rsidRDefault="0099174E" w:rsidP="0099174E">
            <w:pPr>
              <w:jc w:val="both"/>
              <w:rPr>
                <w:b/>
                <w:lang w:val="en-GB"/>
              </w:rPr>
            </w:pPr>
            <w:r w:rsidRPr="0099174E">
              <w:rPr>
                <w:b/>
                <w:lang w:val="en-G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2E8443F7" w14:textId="77777777" w:rsidR="0099174E" w:rsidRPr="0099174E" w:rsidRDefault="0099174E" w:rsidP="0099174E">
            <w:pPr>
              <w:jc w:val="both"/>
              <w:rPr>
                <w:lang w:val="en-GB"/>
              </w:rPr>
            </w:pPr>
            <w:r w:rsidRPr="0099174E">
              <w:rPr>
                <w:lang w:val="en-GB"/>
              </w:rPr>
              <w:t>EUR 200,000,000</w:t>
            </w:r>
          </w:p>
        </w:tc>
      </w:tr>
      <w:tr w:rsidR="0099174E" w:rsidRPr="0099174E" w14:paraId="58A47D03" w14:textId="77777777" w:rsidTr="00586679">
        <w:trPr>
          <w:gridAfter w:val="1"/>
          <w:wAfter w:w="357" w:type="dxa"/>
          <w:trHeight w:val="266"/>
        </w:trPr>
        <w:tc>
          <w:tcPr>
            <w:tcW w:w="506" w:type="dxa"/>
          </w:tcPr>
          <w:p w14:paraId="0891D6EB"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5DEE9EBB" w14:textId="77777777" w:rsidR="0099174E" w:rsidRPr="0099174E" w:rsidRDefault="0099174E" w:rsidP="0099174E">
            <w:pPr>
              <w:jc w:val="both"/>
              <w:rPr>
                <w:b/>
                <w:lang w:val="en-GB"/>
              </w:rPr>
            </w:pPr>
            <w:r w:rsidRPr="0099174E">
              <w:rPr>
                <w:b/>
                <w:lang w:val="en-GB"/>
              </w:rPr>
              <w:t>Approval by the 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264C4FF7" w14:textId="77777777" w:rsidR="0099174E" w:rsidRPr="0099174E" w:rsidRDefault="0099174E" w:rsidP="0099174E">
            <w:pPr>
              <w:jc w:val="both"/>
              <w:rPr>
                <w:lang w:val="en-GB"/>
              </w:rPr>
            </w:pPr>
            <w:r w:rsidRPr="0099174E">
              <w:rPr>
                <w:lang w:val="en-GB"/>
              </w:rPr>
              <w:t>12 May 2020</w:t>
            </w:r>
          </w:p>
        </w:tc>
      </w:tr>
      <w:tr w:rsidR="0099174E" w:rsidRPr="0099174E" w14:paraId="4CDACD96" w14:textId="77777777" w:rsidTr="00586679">
        <w:trPr>
          <w:trHeight w:val="266"/>
        </w:trPr>
        <w:tc>
          <w:tcPr>
            <w:tcW w:w="506" w:type="dxa"/>
          </w:tcPr>
          <w:p w14:paraId="395CC477" w14:textId="77777777" w:rsidR="0099174E" w:rsidRPr="0099174E" w:rsidRDefault="0099174E" w:rsidP="0099174E">
            <w:pPr>
              <w:jc w:val="both"/>
              <w:rPr>
                <w:b/>
                <w:lang w:val="en-GB"/>
              </w:rPr>
            </w:pPr>
          </w:p>
        </w:tc>
        <w:tc>
          <w:tcPr>
            <w:tcW w:w="2837" w:type="dxa"/>
          </w:tcPr>
          <w:p w14:paraId="36E9E40B" w14:textId="77777777" w:rsidR="0099174E" w:rsidRPr="0099174E" w:rsidRDefault="0099174E" w:rsidP="0099174E">
            <w:pPr>
              <w:jc w:val="both"/>
              <w:rPr>
                <w:b/>
                <w:lang w:val="en-GB"/>
              </w:rPr>
            </w:pPr>
          </w:p>
        </w:tc>
        <w:tc>
          <w:tcPr>
            <w:tcW w:w="2288" w:type="dxa"/>
          </w:tcPr>
          <w:p w14:paraId="45DE5988" w14:textId="77777777" w:rsidR="0099174E" w:rsidRPr="0099174E" w:rsidRDefault="0099174E" w:rsidP="0099174E">
            <w:pPr>
              <w:jc w:val="both"/>
              <w:rPr>
                <w:i/>
                <w:lang w:val="en-GB"/>
              </w:rPr>
            </w:pPr>
          </w:p>
        </w:tc>
        <w:tc>
          <w:tcPr>
            <w:tcW w:w="3396" w:type="dxa"/>
            <w:gridSpan w:val="2"/>
          </w:tcPr>
          <w:p w14:paraId="7E1D8095" w14:textId="77777777" w:rsidR="0099174E" w:rsidRPr="0099174E" w:rsidRDefault="0099174E" w:rsidP="0099174E">
            <w:pPr>
              <w:jc w:val="both"/>
              <w:rPr>
                <w:lang w:val="en-GB"/>
              </w:rPr>
            </w:pPr>
          </w:p>
        </w:tc>
      </w:tr>
      <w:tr w:rsidR="0099174E" w:rsidRPr="0099174E" w14:paraId="330D81A3" w14:textId="77777777" w:rsidTr="00586679">
        <w:trPr>
          <w:gridAfter w:val="1"/>
          <w:wAfter w:w="357" w:type="dxa"/>
          <w:trHeight w:val="306"/>
        </w:trPr>
        <w:tc>
          <w:tcPr>
            <w:tcW w:w="506" w:type="dxa"/>
          </w:tcPr>
          <w:p w14:paraId="010DDE45" w14:textId="77777777" w:rsidR="0099174E" w:rsidRPr="0099174E" w:rsidRDefault="0099174E" w:rsidP="0099174E">
            <w:pPr>
              <w:jc w:val="both"/>
              <w:rPr>
                <w:b/>
                <w:lang w:val="en-GB"/>
              </w:rPr>
            </w:pPr>
            <w:r w:rsidRPr="0099174E">
              <w:rPr>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0C14AA54" w14:textId="77777777" w:rsidR="0099174E" w:rsidRPr="0099174E" w:rsidRDefault="0099174E" w:rsidP="0099174E">
            <w:pPr>
              <w:jc w:val="both"/>
              <w:rPr>
                <w:b/>
                <w:lang w:val="en-GB"/>
              </w:rPr>
            </w:pPr>
            <w:r w:rsidRPr="0099174E">
              <w:rPr>
                <w:b/>
                <w:lang w:val="en-GB"/>
              </w:rPr>
              <w:t>Sector(s)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0FD700E8" w14:textId="77777777" w:rsidR="0099174E" w:rsidRPr="0099174E" w:rsidRDefault="0099174E" w:rsidP="0099174E">
            <w:pPr>
              <w:jc w:val="both"/>
              <w:rPr>
                <w:lang w:val="en-GB"/>
              </w:rPr>
            </w:pPr>
            <w:r w:rsidRPr="0099174E">
              <w:rPr>
                <w:lang w:val="en-GB"/>
              </w:rPr>
              <w:t>Health and social care</w:t>
            </w:r>
          </w:p>
          <w:p w14:paraId="464A7F96" w14:textId="77777777" w:rsidR="0099174E" w:rsidRPr="0099174E" w:rsidRDefault="0099174E" w:rsidP="0099174E">
            <w:pPr>
              <w:jc w:val="both"/>
              <w:rPr>
                <w:lang w:val="en-US"/>
              </w:rPr>
            </w:pPr>
            <w:r w:rsidRPr="0099174E">
              <w:rPr>
                <w:lang w:val="en-US"/>
              </w:rPr>
              <w:t>Improving living conditions in urban and rural areas</w:t>
            </w:r>
          </w:p>
        </w:tc>
      </w:tr>
      <w:tr w:rsidR="0099174E" w:rsidRPr="0099174E" w14:paraId="177FC36F" w14:textId="77777777" w:rsidTr="00586679">
        <w:trPr>
          <w:gridAfter w:val="1"/>
          <w:wAfter w:w="357" w:type="dxa"/>
          <w:trHeight w:val="306"/>
        </w:trPr>
        <w:tc>
          <w:tcPr>
            <w:tcW w:w="506" w:type="dxa"/>
          </w:tcPr>
          <w:p w14:paraId="283307CF" w14:textId="77777777" w:rsidR="0099174E" w:rsidRPr="0099174E" w:rsidRDefault="0099174E" w:rsidP="0099174E">
            <w:pPr>
              <w:jc w:val="both"/>
              <w:rPr>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14:paraId="48BF4F83" w14:textId="77777777" w:rsidR="0099174E" w:rsidRPr="0099174E" w:rsidRDefault="0099174E" w:rsidP="0099174E">
            <w:pPr>
              <w:jc w:val="both"/>
              <w:rPr>
                <w:b/>
                <w:lang w:val="en-GB"/>
              </w:rPr>
            </w:pPr>
            <w:r w:rsidRPr="0099174E">
              <w:rPr>
                <w:b/>
                <w:lang w:val="en-GB"/>
              </w:rPr>
              <w:t>Planned Works/Sub-projects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14:paraId="6E5A4115" w14:textId="77777777" w:rsidR="0099174E" w:rsidRPr="0099174E" w:rsidRDefault="0099174E" w:rsidP="0099174E">
            <w:pPr>
              <w:jc w:val="both"/>
              <w:rPr>
                <w:lang w:val="en-GB"/>
              </w:rPr>
            </w:pPr>
            <w:r w:rsidRPr="0099174E">
              <w:rPr>
                <w:bCs/>
                <w:iCs/>
                <w:lang w:val="en-GB"/>
              </w:rPr>
              <w:t xml:space="preserve">The PFF is focused on mitigating the spread and consequences of Covid-19, to safeguard the availability of medical services to both directly and indirectly affected by the virus, provide the necessary pharmaceutical products, medical supplies and protective equipment, as well as support local authorities to ensure continuity of municipal services that could be affected by the loss of revenues due to </w:t>
            </w:r>
            <w:r w:rsidRPr="0099174E">
              <w:rPr>
                <w:lang w:val="en-US"/>
              </w:rPr>
              <w:t>write-offs or deferral of tax payments.</w:t>
            </w:r>
          </w:p>
        </w:tc>
      </w:tr>
      <w:tr w:rsidR="0099174E" w:rsidRPr="0099174E" w14:paraId="2C791CC0" w14:textId="77777777" w:rsidTr="00586679">
        <w:trPr>
          <w:gridAfter w:val="1"/>
          <w:wAfter w:w="357" w:type="dxa"/>
          <w:trHeight w:val="266"/>
        </w:trPr>
        <w:tc>
          <w:tcPr>
            <w:tcW w:w="506" w:type="dxa"/>
          </w:tcPr>
          <w:p w14:paraId="1B793618"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41CF61C" w14:textId="77777777" w:rsidR="0099174E" w:rsidRPr="0099174E" w:rsidRDefault="0099174E" w:rsidP="0099174E">
            <w:pPr>
              <w:jc w:val="both"/>
              <w:rPr>
                <w:b/>
                <w:lang w:val="en-GB"/>
              </w:rPr>
            </w:pPr>
            <w:r w:rsidRPr="0099174E">
              <w:rPr>
                <w:b/>
                <w:lang w:val="en-G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61A5D46" w14:textId="77777777" w:rsidR="0099174E" w:rsidRPr="0099174E" w:rsidRDefault="0099174E" w:rsidP="0099174E">
            <w:pPr>
              <w:jc w:val="both"/>
              <w:rPr>
                <w:bCs/>
                <w:lang w:val="en-GB"/>
              </w:rPr>
            </w:pPr>
            <w:r w:rsidRPr="0099174E">
              <w:rPr>
                <w:bCs/>
                <w:lang w:val="en-GB"/>
              </w:rPr>
              <w:t>Throughout the Republic of Croatia</w:t>
            </w:r>
          </w:p>
        </w:tc>
      </w:tr>
      <w:tr w:rsidR="0099174E" w:rsidRPr="0099174E" w14:paraId="16CBDFB1" w14:textId="77777777" w:rsidTr="00586679">
        <w:trPr>
          <w:gridAfter w:val="1"/>
          <w:wAfter w:w="357" w:type="dxa"/>
          <w:trHeight w:val="266"/>
        </w:trPr>
        <w:tc>
          <w:tcPr>
            <w:tcW w:w="506" w:type="dxa"/>
          </w:tcPr>
          <w:p w14:paraId="3D50AED1"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B4F6330" w14:textId="77777777" w:rsidR="0099174E" w:rsidRPr="0099174E" w:rsidRDefault="0099174E" w:rsidP="0099174E">
            <w:pPr>
              <w:jc w:val="both"/>
              <w:rPr>
                <w:b/>
                <w:lang w:val="en-GB"/>
              </w:rPr>
            </w:pPr>
            <w:r w:rsidRPr="0099174E">
              <w:rPr>
                <w:b/>
                <w:lang w:val="en-G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0F9D0B6C" w14:textId="77777777" w:rsidR="0099174E" w:rsidRPr="0099174E" w:rsidRDefault="0099174E" w:rsidP="0099174E">
            <w:pPr>
              <w:jc w:val="both"/>
              <w:rPr>
                <w:lang w:val="en-GB"/>
              </w:rPr>
            </w:pPr>
            <w:r w:rsidRPr="0099174E">
              <w:rPr>
                <w:lang w:val="en-GB"/>
              </w:rPr>
              <w:t>The end beneficiaries will be the country’s 4.1 million inhabitants</w:t>
            </w:r>
            <w:r w:rsidRPr="0099174E">
              <w:rPr>
                <w:lang w:val="en-US"/>
              </w:rPr>
              <w:t xml:space="preserve"> </w:t>
            </w:r>
            <w:r w:rsidRPr="0099174E">
              <w:rPr>
                <w:lang w:val="en-GB"/>
              </w:rPr>
              <w:t xml:space="preserve">and in particular persons in need of medical attention and health services, as well as medical staff. </w:t>
            </w:r>
          </w:p>
        </w:tc>
      </w:tr>
      <w:tr w:rsidR="0099174E" w:rsidRPr="0099174E" w14:paraId="33611752" w14:textId="77777777" w:rsidTr="00586679">
        <w:trPr>
          <w:gridAfter w:val="1"/>
          <w:wAfter w:w="357" w:type="dxa"/>
          <w:trHeight w:val="266"/>
        </w:trPr>
        <w:tc>
          <w:tcPr>
            <w:tcW w:w="506" w:type="dxa"/>
          </w:tcPr>
          <w:p w14:paraId="26513848"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14E8F7BA" w14:textId="77777777" w:rsidR="0099174E" w:rsidRPr="0099174E" w:rsidRDefault="0099174E" w:rsidP="0099174E">
            <w:pPr>
              <w:jc w:val="both"/>
              <w:rPr>
                <w:b/>
                <w:lang w:val="en-GB"/>
              </w:rPr>
            </w:pPr>
            <w:r w:rsidRPr="0099174E">
              <w:rPr>
                <w:b/>
                <w:lang w:val="en-G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48745EAE" w14:textId="77777777" w:rsidR="0099174E" w:rsidRPr="0099174E" w:rsidRDefault="0099174E" w:rsidP="0099174E">
            <w:pPr>
              <w:jc w:val="both"/>
              <w:rPr>
                <w:lang w:val="en-GB"/>
              </w:rPr>
            </w:pPr>
            <w:r w:rsidRPr="0099174E">
              <w:rPr>
                <w:lang w:val="en-GB"/>
              </w:rPr>
              <w:t>Estimated EUR 222,500,000</w:t>
            </w:r>
          </w:p>
        </w:tc>
      </w:tr>
      <w:tr w:rsidR="0099174E" w:rsidRPr="0099174E" w14:paraId="3B2F0B58" w14:textId="77777777" w:rsidTr="00586679">
        <w:trPr>
          <w:gridAfter w:val="1"/>
          <w:wAfter w:w="357" w:type="dxa"/>
          <w:trHeight w:val="266"/>
        </w:trPr>
        <w:tc>
          <w:tcPr>
            <w:tcW w:w="506" w:type="dxa"/>
          </w:tcPr>
          <w:p w14:paraId="2EC88406"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5D7DAED9" w14:textId="77777777" w:rsidR="0099174E" w:rsidRPr="0099174E" w:rsidRDefault="0099174E" w:rsidP="0099174E">
            <w:pPr>
              <w:jc w:val="both"/>
              <w:rPr>
                <w:b/>
                <w:lang w:val="en-GB"/>
              </w:rPr>
            </w:pPr>
            <w:r w:rsidRPr="0099174E">
              <w:rPr>
                <w:b/>
                <w:lang w:val="en-GB"/>
              </w:rPr>
              <w:t>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39A99E6A" w14:textId="77777777" w:rsidR="0099174E" w:rsidRPr="0099174E" w:rsidRDefault="0099174E" w:rsidP="0099174E">
            <w:pPr>
              <w:tabs>
                <w:tab w:val="right" w:pos="3839"/>
              </w:tabs>
              <w:jc w:val="both"/>
              <w:rPr>
                <w:lang w:val="en-GB"/>
              </w:rPr>
            </w:pPr>
            <w:r w:rsidRPr="0099174E">
              <w:rPr>
                <w:lang w:val="en-US"/>
              </w:rPr>
              <w:t>CEB participation maximum 90%, completed by the Borrower’s own or other resources.</w:t>
            </w:r>
          </w:p>
        </w:tc>
      </w:tr>
      <w:tr w:rsidR="0099174E" w:rsidRPr="0099174E" w14:paraId="6413E11F" w14:textId="77777777" w:rsidTr="00586679">
        <w:trPr>
          <w:gridAfter w:val="1"/>
          <w:wAfter w:w="357" w:type="dxa"/>
          <w:trHeight w:val="285"/>
        </w:trPr>
        <w:tc>
          <w:tcPr>
            <w:tcW w:w="506" w:type="dxa"/>
          </w:tcPr>
          <w:p w14:paraId="16D309B6"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14:paraId="39283D52" w14:textId="77777777" w:rsidR="0099174E" w:rsidRPr="0099174E" w:rsidRDefault="0099174E" w:rsidP="0099174E">
            <w:pPr>
              <w:jc w:val="both"/>
              <w:rPr>
                <w:b/>
                <w:lang w:val="en-GB"/>
              </w:rPr>
            </w:pPr>
            <w:r w:rsidRPr="0099174E">
              <w:rPr>
                <w:b/>
                <w:lang w:val="en-GB"/>
              </w:rPr>
              <w:t>Schedule of Works/</w:t>
            </w:r>
          </w:p>
          <w:p w14:paraId="57C54117" w14:textId="77777777" w:rsidR="0099174E" w:rsidRPr="0099174E" w:rsidRDefault="0099174E" w:rsidP="0099174E">
            <w:pPr>
              <w:jc w:val="both"/>
              <w:rPr>
                <w:b/>
                <w:lang w:val="en-GB"/>
              </w:rPr>
            </w:pPr>
            <w:r w:rsidRPr="0099174E">
              <w:rPr>
                <w:b/>
                <w:lang w:val="en-GB"/>
              </w:rPr>
              <w:t>Eligible Budgetary Years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14:paraId="455EE214" w14:textId="77777777" w:rsidR="0099174E" w:rsidRPr="0099174E" w:rsidRDefault="0099174E" w:rsidP="0099174E">
            <w:pPr>
              <w:jc w:val="both"/>
              <w:rPr>
                <w:lang w:val="en-GB"/>
              </w:rPr>
            </w:pPr>
            <w:r w:rsidRPr="0099174E">
              <w:rPr>
                <w:lang w:val="en-GB"/>
              </w:rPr>
              <w:t>2020 – 2021</w:t>
            </w:r>
          </w:p>
        </w:tc>
      </w:tr>
      <w:tr w:rsidR="0099174E" w:rsidRPr="0099174E" w14:paraId="1D83BC2F" w14:textId="77777777" w:rsidTr="00586679">
        <w:trPr>
          <w:gridAfter w:val="1"/>
          <w:wAfter w:w="357" w:type="dxa"/>
          <w:trHeight w:val="266"/>
        </w:trPr>
        <w:tc>
          <w:tcPr>
            <w:tcW w:w="506" w:type="dxa"/>
          </w:tcPr>
          <w:p w14:paraId="69B04384" w14:textId="77777777" w:rsidR="0099174E" w:rsidRPr="0099174E" w:rsidRDefault="0099174E" w:rsidP="0099174E">
            <w:pPr>
              <w:jc w:val="both"/>
              <w:rPr>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14:paraId="2A1B1651" w14:textId="77777777" w:rsidR="0099174E" w:rsidRPr="0099174E" w:rsidRDefault="0099174E" w:rsidP="0099174E">
            <w:pPr>
              <w:jc w:val="both"/>
              <w:rPr>
                <w:b/>
                <w:lang w:val="en-GB"/>
              </w:rPr>
            </w:pPr>
            <w:r w:rsidRPr="0099174E">
              <w:rPr>
                <w:b/>
                <w:lang w:val="en-G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14:paraId="6C33E276" w14:textId="77777777" w:rsidR="0099174E" w:rsidRPr="0099174E" w:rsidRDefault="0099174E" w:rsidP="0099174E">
            <w:pPr>
              <w:jc w:val="both"/>
              <w:rPr>
                <w:lang w:val="en-GB"/>
              </w:rPr>
            </w:pPr>
            <w:r w:rsidRPr="0099174E">
              <w:rPr>
                <w:lang w:val="en-GB"/>
              </w:rPr>
              <w:t>31 December 2021</w:t>
            </w:r>
          </w:p>
        </w:tc>
      </w:tr>
      <w:tr w:rsidR="0099174E" w:rsidRPr="0099174E" w14:paraId="162E3622" w14:textId="77777777" w:rsidTr="00586679">
        <w:trPr>
          <w:trHeight w:val="51"/>
        </w:trPr>
        <w:tc>
          <w:tcPr>
            <w:tcW w:w="506" w:type="dxa"/>
          </w:tcPr>
          <w:p w14:paraId="61D71F87" w14:textId="77777777" w:rsidR="0099174E" w:rsidRPr="0099174E" w:rsidRDefault="0099174E" w:rsidP="0099174E">
            <w:pPr>
              <w:jc w:val="both"/>
              <w:rPr>
                <w:b/>
                <w:lang w:val="en-GB"/>
              </w:rPr>
            </w:pPr>
          </w:p>
        </w:tc>
        <w:tc>
          <w:tcPr>
            <w:tcW w:w="2837" w:type="dxa"/>
          </w:tcPr>
          <w:p w14:paraId="14E170B0" w14:textId="77777777" w:rsidR="0099174E" w:rsidRPr="0099174E" w:rsidRDefault="0099174E" w:rsidP="0099174E">
            <w:pPr>
              <w:jc w:val="both"/>
              <w:rPr>
                <w:b/>
                <w:lang w:val="en-GB"/>
              </w:rPr>
            </w:pPr>
          </w:p>
        </w:tc>
        <w:tc>
          <w:tcPr>
            <w:tcW w:w="2288" w:type="dxa"/>
          </w:tcPr>
          <w:p w14:paraId="27ACBFF8" w14:textId="77777777" w:rsidR="0099174E" w:rsidRPr="0099174E" w:rsidRDefault="0099174E" w:rsidP="0099174E">
            <w:pPr>
              <w:jc w:val="both"/>
              <w:rPr>
                <w:i/>
                <w:lang w:val="en-GB"/>
              </w:rPr>
            </w:pPr>
          </w:p>
        </w:tc>
        <w:tc>
          <w:tcPr>
            <w:tcW w:w="3396" w:type="dxa"/>
            <w:gridSpan w:val="2"/>
          </w:tcPr>
          <w:p w14:paraId="294D5121" w14:textId="77777777" w:rsidR="0099174E" w:rsidRPr="0099174E" w:rsidRDefault="0099174E" w:rsidP="0099174E">
            <w:pPr>
              <w:jc w:val="both"/>
              <w:rPr>
                <w:lang w:val="en-GB"/>
              </w:rPr>
            </w:pPr>
          </w:p>
        </w:tc>
      </w:tr>
      <w:tr w:rsidR="0099174E" w:rsidRPr="0099174E" w14:paraId="15401F1A" w14:textId="77777777" w:rsidTr="00586679">
        <w:trPr>
          <w:gridAfter w:val="1"/>
          <w:wAfter w:w="357" w:type="dxa"/>
          <w:trHeight w:val="532"/>
        </w:trPr>
        <w:tc>
          <w:tcPr>
            <w:tcW w:w="506" w:type="dxa"/>
          </w:tcPr>
          <w:p w14:paraId="05DF7359" w14:textId="77777777" w:rsidR="0099174E" w:rsidRPr="0099174E" w:rsidRDefault="0099174E" w:rsidP="0099174E">
            <w:pPr>
              <w:jc w:val="both"/>
              <w:rPr>
                <w:b/>
                <w:lang w:val="en-GB"/>
              </w:rPr>
            </w:pPr>
            <w:r w:rsidRPr="0099174E">
              <w:rPr>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14:paraId="6858CB43" w14:textId="77777777" w:rsidR="0099174E" w:rsidRPr="0099174E" w:rsidRDefault="0099174E" w:rsidP="0099174E">
            <w:pPr>
              <w:jc w:val="both"/>
              <w:rPr>
                <w:b/>
                <w:lang w:val="en-GB"/>
              </w:rPr>
            </w:pPr>
            <w:r w:rsidRPr="0099174E">
              <w:rPr>
                <w:b/>
                <w:lang w:val="en-GB"/>
              </w:rPr>
              <w:t>Eligibility Criteria</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14:paraId="317AB071" w14:textId="77777777" w:rsidR="0099174E" w:rsidRPr="0099174E" w:rsidRDefault="0099174E" w:rsidP="0099174E">
            <w:pPr>
              <w:tabs>
                <w:tab w:val="left" w:pos="921"/>
              </w:tabs>
              <w:spacing w:after="60"/>
              <w:jc w:val="both"/>
              <w:rPr>
                <w:lang w:val="en-GB"/>
              </w:rPr>
            </w:pPr>
            <w:r w:rsidRPr="0099174E">
              <w:rPr>
                <w:lang w:val="en-GB"/>
              </w:rPr>
              <w:t>Based on eligibility criteria set in CEB’s Loan and Project Financing Policy for the “Health and social care” and “Improving living conditions in urban and rural areas”.</w:t>
            </w:r>
          </w:p>
          <w:p w14:paraId="4ACFB67E" w14:textId="77777777" w:rsidR="0099174E" w:rsidRPr="0099174E" w:rsidRDefault="0099174E" w:rsidP="0099174E">
            <w:pPr>
              <w:tabs>
                <w:tab w:val="left" w:pos="921"/>
              </w:tabs>
              <w:spacing w:after="60"/>
              <w:jc w:val="both"/>
              <w:rPr>
                <w:lang w:val="en-GB"/>
              </w:rPr>
            </w:pPr>
          </w:p>
          <w:p w14:paraId="1D98D8A4" w14:textId="77777777" w:rsidR="0099174E" w:rsidRPr="0099174E" w:rsidRDefault="0099174E" w:rsidP="0099174E">
            <w:pPr>
              <w:tabs>
                <w:tab w:val="left" w:pos="921"/>
              </w:tabs>
              <w:spacing w:after="60"/>
              <w:jc w:val="both"/>
              <w:rPr>
                <w:lang w:val="en-US"/>
              </w:rPr>
            </w:pPr>
            <w:r w:rsidRPr="0099174E">
              <w:rPr>
                <w:lang w:val="en-US"/>
              </w:rPr>
              <w:t xml:space="preserve">Under </w:t>
            </w:r>
            <w:r w:rsidRPr="0099174E">
              <w:rPr>
                <w:u w:val="single"/>
                <w:lang w:val="en-US"/>
              </w:rPr>
              <w:t>“Health and social care</w:t>
            </w:r>
            <w:r w:rsidRPr="0099174E">
              <w:rPr>
                <w:lang w:val="en-US"/>
              </w:rPr>
              <w:t>”, the CEB can finance COVID-19 related sub-projects concerning health, social care and related infrastructure such as:</w:t>
            </w:r>
          </w:p>
          <w:p w14:paraId="0BBBCF64" w14:textId="06F866AC" w:rsidR="0099174E" w:rsidRPr="00B667CB" w:rsidRDefault="0099174E" w:rsidP="00436B0A">
            <w:pPr>
              <w:pStyle w:val="ListParagraph"/>
              <w:numPr>
                <w:ilvl w:val="0"/>
                <w:numId w:val="40"/>
              </w:numPr>
              <w:autoSpaceDE w:val="0"/>
              <w:autoSpaceDN w:val="0"/>
              <w:adjustRightInd w:val="0"/>
              <w:snapToGrid w:val="0"/>
              <w:spacing w:line="240" w:lineRule="auto"/>
              <w:ind w:left="429" w:right="51" w:hanging="423"/>
              <w:jc w:val="both"/>
              <w:rPr>
                <w:sz w:val="24"/>
                <w:szCs w:val="24"/>
              </w:rPr>
            </w:pPr>
            <w:r w:rsidRPr="00B667CB">
              <w:rPr>
                <w:sz w:val="24"/>
                <w:szCs w:val="24"/>
              </w:rPr>
              <w:t xml:space="preserve">Construction and/or rehabilitation of: </w:t>
            </w:r>
          </w:p>
          <w:p w14:paraId="3F0FF191" w14:textId="77777777" w:rsidR="0099174E" w:rsidRPr="0099174E" w:rsidRDefault="0099174E" w:rsidP="00436B0A">
            <w:pPr>
              <w:pStyle w:val="ListParagraph"/>
              <w:numPr>
                <w:ilvl w:val="0"/>
                <w:numId w:val="13"/>
              </w:numPr>
              <w:autoSpaceDE w:val="0"/>
              <w:autoSpaceDN w:val="0"/>
              <w:adjustRightInd w:val="0"/>
              <w:snapToGrid w:val="0"/>
              <w:spacing w:line="240" w:lineRule="auto"/>
              <w:ind w:right="49"/>
              <w:jc w:val="both"/>
              <w:rPr>
                <w:sz w:val="24"/>
                <w:szCs w:val="24"/>
              </w:rPr>
            </w:pPr>
            <w:r w:rsidRPr="0099174E">
              <w:rPr>
                <w:sz w:val="24"/>
                <w:szCs w:val="24"/>
              </w:rPr>
              <w:t>public or private hospitals;</w:t>
            </w:r>
          </w:p>
          <w:p w14:paraId="61B31107" w14:textId="77777777" w:rsidR="0099174E" w:rsidRPr="0099174E" w:rsidRDefault="0099174E" w:rsidP="00436B0A">
            <w:pPr>
              <w:pStyle w:val="ListParagraph"/>
              <w:numPr>
                <w:ilvl w:val="0"/>
                <w:numId w:val="13"/>
              </w:numPr>
              <w:autoSpaceDE w:val="0"/>
              <w:autoSpaceDN w:val="0"/>
              <w:adjustRightInd w:val="0"/>
              <w:snapToGrid w:val="0"/>
              <w:spacing w:line="240" w:lineRule="auto"/>
              <w:ind w:right="49"/>
              <w:jc w:val="both"/>
              <w:rPr>
                <w:sz w:val="24"/>
                <w:szCs w:val="24"/>
              </w:rPr>
            </w:pPr>
            <w:r w:rsidRPr="0099174E">
              <w:rPr>
                <w:sz w:val="24"/>
                <w:szCs w:val="24"/>
              </w:rPr>
              <w:t>public or private medical service infrastructure;</w:t>
            </w:r>
          </w:p>
          <w:p w14:paraId="2DA13314" w14:textId="77777777" w:rsidR="0099174E" w:rsidRPr="0099174E" w:rsidRDefault="0099174E" w:rsidP="00436B0A">
            <w:pPr>
              <w:pStyle w:val="ListParagraph"/>
              <w:numPr>
                <w:ilvl w:val="0"/>
                <w:numId w:val="13"/>
              </w:numPr>
              <w:autoSpaceDE w:val="0"/>
              <w:autoSpaceDN w:val="0"/>
              <w:adjustRightInd w:val="0"/>
              <w:snapToGrid w:val="0"/>
              <w:spacing w:line="240" w:lineRule="auto"/>
              <w:ind w:right="49"/>
              <w:jc w:val="both"/>
              <w:rPr>
                <w:sz w:val="24"/>
                <w:szCs w:val="24"/>
              </w:rPr>
            </w:pPr>
            <w:r w:rsidRPr="0099174E">
              <w:rPr>
                <w:sz w:val="24"/>
                <w:szCs w:val="24"/>
              </w:rPr>
              <w:t>specialised centres in assisting vulnerable and dependent populations;</w:t>
            </w:r>
          </w:p>
          <w:p w14:paraId="1C315192" w14:textId="77777777" w:rsidR="0099174E" w:rsidRPr="0099174E" w:rsidRDefault="0099174E" w:rsidP="00436B0A">
            <w:pPr>
              <w:pStyle w:val="ListParagraph"/>
              <w:numPr>
                <w:ilvl w:val="0"/>
                <w:numId w:val="13"/>
              </w:numPr>
              <w:autoSpaceDE w:val="0"/>
              <w:autoSpaceDN w:val="0"/>
              <w:adjustRightInd w:val="0"/>
              <w:snapToGrid w:val="0"/>
              <w:spacing w:line="240" w:lineRule="auto"/>
              <w:ind w:right="49"/>
              <w:jc w:val="both"/>
              <w:rPr>
                <w:sz w:val="24"/>
                <w:szCs w:val="24"/>
              </w:rPr>
            </w:pPr>
            <w:r w:rsidRPr="0099174E">
              <w:rPr>
                <w:sz w:val="24"/>
                <w:szCs w:val="24"/>
              </w:rPr>
              <w:t>nursing homes for the elderly and welfare centres, including housing for the aged who are still independent; and</w:t>
            </w:r>
          </w:p>
          <w:p w14:paraId="2B131692" w14:textId="77777777" w:rsidR="0099174E" w:rsidRPr="0099174E" w:rsidRDefault="0099174E" w:rsidP="00436B0A">
            <w:pPr>
              <w:pStyle w:val="ListParagraph"/>
              <w:numPr>
                <w:ilvl w:val="0"/>
                <w:numId w:val="13"/>
              </w:numPr>
              <w:autoSpaceDE w:val="0"/>
              <w:autoSpaceDN w:val="0"/>
              <w:adjustRightInd w:val="0"/>
              <w:snapToGrid w:val="0"/>
              <w:spacing w:line="240" w:lineRule="auto"/>
              <w:ind w:right="49"/>
              <w:jc w:val="both"/>
              <w:rPr>
                <w:sz w:val="24"/>
                <w:szCs w:val="24"/>
              </w:rPr>
            </w:pPr>
            <w:r w:rsidRPr="0099174E">
              <w:rPr>
                <w:sz w:val="24"/>
                <w:szCs w:val="24"/>
              </w:rPr>
              <w:t>research and development facilities.</w:t>
            </w:r>
          </w:p>
          <w:p w14:paraId="1655B24A" w14:textId="01F85845" w:rsidR="0099174E" w:rsidRPr="00B667CB" w:rsidRDefault="00B667CB" w:rsidP="00B667CB">
            <w:pPr>
              <w:autoSpaceDE w:val="0"/>
              <w:autoSpaceDN w:val="0"/>
              <w:adjustRightInd w:val="0"/>
              <w:snapToGrid w:val="0"/>
              <w:ind w:left="571" w:right="51" w:hanging="571"/>
              <w:jc w:val="both"/>
            </w:pPr>
            <w:r>
              <w:t xml:space="preserve">(ii)   </w:t>
            </w:r>
            <w:r w:rsidR="0099174E" w:rsidRPr="00B667CB">
              <w:t>Supply and installation of medical equipment, non-medical equipment and furniture;</w:t>
            </w:r>
          </w:p>
          <w:p w14:paraId="70A56CCA" w14:textId="24316D6A" w:rsidR="0099174E" w:rsidRPr="00B667CB" w:rsidRDefault="0099174E" w:rsidP="00436B0A">
            <w:pPr>
              <w:pStyle w:val="ListParagraph"/>
              <w:numPr>
                <w:ilvl w:val="0"/>
                <w:numId w:val="38"/>
              </w:numPr>
              <w:autoSpaceDE w:val="0"/>
              <w:autoSpaceDN w:val="0"/>
              <w:adjustRightInd w:val="0"/>
              <w:snapToGrid w:val="0"/>
              <w:spacing w:line="240" w:lineRule="auto"/>
              <w:ind w:left="571" w:right="51" w:hanging="567"/>
              <w:jc w:val="both"/>
              <w:rPr>
                <w:sz w:val="24"/>
                <w:szCs w:val="24"/>
              </w:rPr>
            </w:pPr>
            <w:r w:rsidRPr="00B667CB">
              <w:rPr>
                <w:sz w:val="24"/>
                <w:szCs w:val="24"/>
              </w:rPr>
              <w:t>Adaptation of such premises in order to facilitate their access to persons with reduced mobility;</w:t>
            </w:r>
          </w:p>
          <w:p w14:paraId="154B6C29" w14:textId="51AEBD28" w:rsidR="0099174E" w:rsidRPr="0099174E" w:rsidRDefault="00B667CB" w:rsidP="00B667CB">
            <w:pPr>
              <w:ind w:left="571" w:hanging="571"/>
              <w:jc w:val="both"/>
            </w:pPr>
            <w:r>
              <w:t xml:space="preserve">(iv)  </w:t>
            </w:r>
            <w:r w:rsidR="0099174E" w:rsidRPr="0099174E">
              <w:t>Acquisition of health management and related material and equipment; this may involve outright purchase, or the lease or other forms of long-term hire of such equipment;</w:t>
            </w:r>
          </w:p>
          <w:p w14:paraId="09810E3B" w14:textId="77AE47CC" w:rsidR="0099174E" w:rsidRPr="0099174E" w:rsidRDefault="00B667CB" w:rsidP="00B667CB">
            <w:pPr>
              <w:ind w:left="712" w:hanging="712"/>
              <w:jc w:val="both"/>
            </w:pPr>
            <w:r>
              <w:t xml:space="preserve">(v)     </w:t>
            </w:r>
            <w:r w:rsidR="0099174E" w:rsidRPr="0099174E">
              <w:t>Home-based care and support programmes;</w:t>
            </w:r>
          </w:p>
          <w:p w14:paraId="370B9CCA" w14:textId="5577A3DF" w:rsidR="0099174E" w:rsidRPr="0099174E" w:rsidRDefault="00B667CB" w:rsidP="00B667CB">
            <w:pPr>
              <w:ind w:left="571" w:hanging="571"/>
              <w:jc w:val="both"/>
            </w:pPr>
            <w:r>
              <w:t xml:space="preserve">(vi) </w:t>
            </w:r>
            <w:r w:rsidR="0099174E" w:rsidRPr="0099174E">
              <w:t>Health related research and development programmes;</w:t>
            </w:r>
          </w:p>
          <w:p w14:paraId="538AC36E" w14:textId="5A5EA924" w:rsidR="0099174E" w:rsidRPr="0099174E" w:rsidRDefault="00B667CB" w:rsidP="00B667CB">
            <w:pPr>
              <w:ind w:left="571" w:hanging="571"/>
              <w:jc w:val="both"/>
            </w:pPr>
            <w:r>
              <w:t xml:space="preserve">(vii)  </w:t>
            </w:r>
            <w:r w:rsidR="0099174E" w:rsidRPr="0099174E">
              <w:t>Training and support programmes in favour of disabled groups; and</w:t>
            </w:r>
          </w:p>
          <w:p w14:paraId="0D7828D5" w14:textId="00516750" w:rsidR="0099174E" w:rsidRPr="0099174E" w:rsidRDefault="00B667CB" w:rsidP="00B667CB">
            <w:pPr>
              <w:ind w:left="571" w:hanging="571"/>
              <w:jc w:val="both"/>
            </w:pPr>
            <w:r>
              <w:t xml:space="preserve">(viii) </w:t>
            </w:r>
            <w:r w:rsidR="0099174E" w:rsidRPr="0099174E">
              <w:t>Training for specialised staff in the social and health sectors.</w:t>
            </w:r>
          </w:p>
          <w:p w14:paraId="55C32CFF" w14:textId="77777777" w:rsidR="0099174E" w:rsidRPr="0099174E" w:rsidRDefault="0099174E" w:rsidP="0099174E">
            <w:pPr>
              <w:ind w:left="720"/>
              <w:jc w:val="both"/>
              <w:rPr>
                <w:lang w:val="en-US"/>
              </w:rPr>
            </w:pPr>
          </w:p>
          <w:p w14:paraId="3BA226A0" w14:textId="77777777" w:rsidR="0099174E" w:rsidRPr="0099174E" w:rsidRDefault="0099174E" w:rsidP="00B667CB">
            <w:pPr>
              <w:spacing w:after="120"/>
              <w:ind w:left="352" w:hanging="352"/>
              <w:jc w:val="both"/>
              <w:rPr>
                <w:lang w:val="en-US"/>
              </w:rPr>
            </w:pPr>
            <w:r w:rsidRPr="0099174E">
              <w:rPr>
                <w:lang w:val="en-US"/>
              </w:rPr>
              <w:t xml:space="preserve">In addition the CEB can finance under the Project: </w:t>
            </w:r>
          </w:p>
          <w:p w14:paraId="56B0A8DB" w14:textId="45B5B087" w:rsidR="0099174E" w:rsidRPr="0099174E" w:rsidRDefault="00B667CB" w:rsidP="00B667CB">
            <w:pPr>
              <w:ind w:left="571" w:hanging="571"/>
              <w:jc w:val="both"/>
              <w:rPr>
                <w:rFonts w:eastAsiaTheme="minorHAnsi"/>
                <w:lang w:val="en-GB"/>
              </w:rPr>
            </w:pPr>
            <w:r w:rsidRPr="00B667CB">
              <w:rPr>
                <w:lang w:val="en-US"/>
              </w:rPr>
              <w:lastRenderedPageBreak/>
              <w:t>(ix</w:t>
            </w:r>
            <w:r>
              <w:rPr>
                <w:lang w:val="en-US"/>
              </w:rPr>
              <w:t xml:space="preserve">) </w:t>
            </w:r>
            <w:r w:rsidR="0099174E" w:rsidRPr="0099174E">
              <w:rPr>
                <w:lang w:val="en-US"/>
              </w:rPr>
              <w:t xml:space="preserve">Acquisition of </w:t>
            </w:r>
            <w:r w:rsidR="0099174E" w:rsidRPr="0099174E">
              <w:t>pharmaceutical products and protective equipment (face masks, clothing, helmets,  goggles);</w:t>
            </w:r>
          </w:p>
          <w:p w14:paraId="524AC681" w14:textId="037712AA" w:rsidR="0099174E" w:rsidRPr="0099174E" w:rsidRDefault="00B667CB" w:rsidP="00B667CB">
            <w:pPr>
              <w:ind w:left="571" w:hanging="567"/>
              <w:jc w:val="both"/>
              <w:rPr>
                <w:lang w:val="en-GB"/>
              </w:rPr>
            </w:pPr>
            <w:r>
              <w:t xml:space="preserve">(x)  </w:t>
            </w:r>
            <w:r w:rsidR="0099174E" w:rsidRPr="0099174E">
              <w:t>Remuneration of exceptional and temporary medical staff to maintain the viability and sustainability of public services during Covid-19 spread;</w:t>
            </w:r>
          </w:p>
          <w:p w14:paraId="19AE20C0" w14:textId="2ECB889A" w:rsidR="0099174E" w:rsidRPr="0099174E" w:rsidRDefault="00B667CB" w:rsidP="00B667CB">
            <w:pPr>
              <w:ind w:left="571" w:hanging="571"/>
              <w:jc w:val="both"/>
            </w:pPr>
            <w:r>
              <w:t xml:space="preserve">(xi) </w:t>
            </w:r>
            <w:r w:rsidR="0099174E" w:rsidRPr="0099174E">
              <w:t>Croatia’s government measure to ensure continuity of health services during the Covid-19 emergency through interest-free loans to the Croatian Health Insurance Fund, as regulated by the Minister of Finance Instruction (“Official Gazette”, No. 46/2020) on the method of the disbursement of interest-free loans to local and regional self-government units, Croatian Pension Insurance Institute and Croatian Health Insurance Fund.</w:t>
            </w:r>
          </w:p>
          <w:p w14:paraId="482B3014" w14:textId="77777777" w:rsidR="0099174E" w:rsidRPr="0099174E" w:rsidRDefault="0099174E" w:rsidP="0099174E">
            <w:pPr>
              <w:ind w:left="496" w:hanging="496"/>
              <w:jc w:val="both"/>
              <w:rPr>
                <w:color w:val="000000"/>
                <w:lang w:val="en-US"/>
              </w:rPr>
            </w:pPr>
          </w:p>
          <w:p w14:paraId="3BE0504C" w14:textId="77777777" w:rsidR="0099174E" w:rsidRPr="0099174E" w:rsidRDefault="0099174E" w:rsidP="00B667CB">
            <w:pPr>
              <w:spacing w:after="120"/>
              <w:ind w:left="74"/>
              <w:jc w:val="both"/>
              <w:rPr>
                <w:lang w:val="en-US"/>
              </w:rPr>
            </w:pPr>
            <w:r w:rsidRPr="0099174E">
              <w:rPr>
                <w:lang w:val="en-US"/>
              </w:rPr>
              <w:t xml:space="preserve">Under </w:t>
            </w:r>
            <w:r w:rsidRPr="0099174E">
              <w:rPr>
                <w:u w:val="single"/>
                <w:lang w:val="en-US"/>
              </w:rPr>
              <w:t>“improving living conditions in urban and rural areas”</w:t>
            </w:r>
            <w:r w:rsidRPr="0099174E">
              <w:rPr>
                <w:lang w:val="en-US"/>
              </w:rPr>
              <w:t xml:space="preserve"> the CEB can finance COVID-19 related sub-projects in line with the Croatia’s government measure </w:t>
            </w:r>
            <w:r w:rsidRPr="0099174E">
              <w:rPr>
                <w:lang w:val="en-GB"/>
              </w:rPr>
              <w:t xml:space="preserve">to ensure continuity of local services during the Covid-19 emergency </w:t>
            </w:r>
            <w:r w:rsidRPr="0099174E">
              <w:rPr>
                <w:lang w:val="en-US"/>
              </w:rPr>
              <w:t>through interest-free loans to the local authorities to finance expenditures essential for the execution of basic tasks, as regulated by the Minister of Finance Instruction (“Official Gazette”, No. 46/2020) on the method of the disbursement of interest-free loans to local and regional self-government units, Croatian Pension Insurance Institute and Croatian Health Insurance Fund, is eligible under the Project.</w:t>
            </w:r>
          </w:p>
          <w:p w14:paraId="27755611" w14:textId="77777777" w:rsidR="0099174E" w:rsidRPr="0099174E" w:rsidRDefault="0099174E" w:rsidP="0099174E">
            <w:pPr>
              <w:jc w:val="both"/>
              <w:rPr>
                <w:lang w:val="en-US"/>
              </w:rPr>
            </w:pPr>
            <w:r w:rsidRPr="0099174E">
              <w:rPr>
                <w:lang w:val="en-US"/>
              </w:rPr>
              <w:t xml:space="preserve">The expenditures may include investments such as: </w:t>
            </w:r>
          </w:p>
          <w:p w14:paraId="5B739793" w14:textId="77777777" w:rsidR="0099174E" w:rsidRPr="0099174E" w:rsidRDefault="0099174E" w:rsidP="0099174E">
            <w:pPr>
              <w:ind w:left="714"/>
              <w:jc w:val="both"/>
              <w:rPr>
                <w:lang w:val="en-US"/>
              </w:rPr>
            </w:pPr>
          </w:p>
          <w:p w14:paraId="7C8AD497" w14:textId="584A4049" w:rsidR="0099174E" w:rsidRPr="0099174E" w:rsidRDefault="00B667CB" w:rsidP="002B5354">
            <w:pPr>
              <w:ind w:left="571" w:hanging="571"/>
              <w:jc w:val="both"/>
            </w:pPr>
            <w:r>
              <w:t xml:space="preserve">(xii)   </w:t>
            </w:r>
            <w:r w:rsidR="0099174E" w:rsidRPr="0099174E">
              <w:t>utilities</w:t>
            </w:r>
            <w:r w:rsidR="0099174E" w:rsidRPr="0099174E">
              <w:rPr>
                <w:spacing w:val="80"/>
              </w:rPr>
              <w:t xml:space="preserve"> </w:t>
            </w:r>
            <w:r w:rsidR="0099174E" w:rsidRPr="0099174E">
              <w:t>such</w:t>
            </w:r>
            <w:r w:rsidR="0099174E" w:rsidRPr="0099174E">
              <w:rPr>
                <w:spacing w:val="80"/>
              </w:rPr>
              <w:t xml:space="preserve"> </w:t>
            </w:r>
            <w:r w:rsidR="0099174E" w:rsidRPr="0099174E">
              <w:t>as</w:t>
            </w:r>
            <w:r w:rsidR="0099174E" w:rsidRPr="0099174E">
              <w:rPr>
                <w:spacing w:val="80"/>
              </w:rPr>
              <w:t xml:space="preserve"> </w:t>
            </w:r>
            <w:r w:rsidR="0099174E" w:rsidRPr="0099174E">
              <w:t>water</w:t>
            </w:r>
            <w:r w:rsidR="0099174E" w:rsidRPr="0099174E">
              <w:rPr>
                <w:spacing w:val="81"/>
              </w:rPr>
              <w:t xml:space="preserve"> </w:t>
            </w:r>
            <w:r w:rsidR="0099174E" w:rsidRPr="0099174E">
              <w:t>mains,</w:t>
            </w:r>
            <w:r w:rsidR="0099174E" w:rsidRPr="0099174E">
              <w:rPr>
                <w:spacing w:val="80"/>
              </w:rPr>
              <w:t xml:space="preserve"> </w:t>
            </w:r>
            <w:r w:rsidR="0099174E" w:rsidRPr="0099174E">
              <w:t>electricity</w:t>
            </w:r>
            <w:r w:rsidR="0099174E" w:rsidRPr="0099174E">
              <w:rPr>
                <w:spacing w:val="80"/>
              </w:rPr>
              <w:t xml:space="preserve"> </w:t>
            </w:r>
            <w:r w:rsidR="0099174E" w:rsidRPr="0099174E">
              <w:t>and</w:t>
            </w:r>
            <w:r w:rsidR="0099174E" w:rsidRPr="0099174E">
              <w:rPr>
                <w:spacing w:val="80"/>
              </w:rPr>
              <w:t xml:space="preserve"> </w:t>
            </w:r>
            <w:r w:rsidR="0099174E" w:rsidRPr="0099174E">
              <w:t>gas</w:t>
            </w:r>
            <w:r w:rsidR="0099174E" w:rsidRPr="0099174E">
              <w:rPr>
                <w:spacing w:val="80"/>
              </w:rPr>
              <w:t xml:space="preserve"> </w:t>
            </w:r>
            <w:r w:rsidR="0099174E" w:rsidRPr="0099174E">
              <w:t>supplies,</w:t>
            </w:r>
            <w:r w:rsidR="0099174E" w:rsidRPr="0099174E">
              <w:rPr>
                <w:spacing w:val="80"/>
              </w:rPr>
              <w:t xml:space="preserve"> </w:t>
            </w:r>
            <w:r w:rsidR="0099174E" w:rsidRPr="0099174E">
              <w:t>sewers, treatment of solid and liquid waste;</w:t>
            </w:r>
          </w:p>
          <w:p w14:paraId="750A9E29" w14:textId="438550D8" w:rsidR="0099174E" w:rsidRPr="0099174E" w:rsidRDefault="00B667CB" w:rsidP="002B5354">
            <w:pPr>
              <w:ind w:left="571" w:hanging="571"/>
              <w:jc w:val="both"/>
            </w:pPr>
            <w:r>
              <w:t>(xiii)</w:t>
            </w:r>
            <w:r w:rsidR="002B5354">
              <w:tab/>
            </w:r>
            <w:r w:rsidR="0099174E" w:rsidRPr="0099174E">
              <w:t>local road network infrastructure and maintenance;</w:t>
            </w:r>
          </w:p>
          <w:p w14:paraId="33628E18" w14:textId="69900D02" w:rsidR="0099174E" w:rsidRPr="0099174E" w:rsidRDefault="00B667CB" w:rsidP="002B5354">
            <w:pPr>
              <w:ind w:left="571" w:hanging="571"/>
              <w:jc w:val="both"/>
            </w:pPr>
            <w:r>
              <w:t>(xiv)</w:t>
            </w:r>
            <w:r w:rsidR="002B5354">
              <w:tab/>
            </w:r>
            <w:r w:rsidR="0099174E" w:rsidRPr="0099174E">
              <w:t>local public transportation infrastructure, equipment and maintenance;</w:t>
            </w:r>
          </w:p>
          <w:p w14:paraId="66F20AA7" w14:textId="2A69597E" w:rsidR="0099174E" w:rsidRPr="0099174E" w:rsidRDefault="00586679" w:rsidP="002B5354">
            <w:pPr>
              <w:jc w:val="both"/>
            </w:pPr>
            <w:r>
              <w:t xml:space="preserve">(xv)   </w:t>
            </w:r>
            <w:r w:rsidR="0099174E" w:rsidRPr="0099174E">
              <w:t>public lighting;</w:t>
            </w:r>
          </w:p>
          <w:p w14:paraId="6E8FA3FF" w14:textId="186FD1A0" w:rsidR="0099174E" w:rsidRPr="0099174E" w:rsidRDefault="00586679" w:rsidP="002B5354">
            <w:pPr>
              <w:jc w:val="both"/>
            </w:pPr>
            <w:r>
              <w:t xml:space="preserve">(xvi)  </w:t>
            </w:r>
            <w:r w:rsidR="0099174E" w:rsidRPr="0099174E">
              <w:t>district heating;</w:t>
            </w:r>
          </w:p>
          <w:p w14:paraId="17936D18" w14:textId="160EC0FD" w:rsidR="0099174E" w:rsidRPr="0099174E" w:rsidRDefault="00586679" w:rsidP="002B5354">
            <w:pPr>
              <w:ind w:left="571" w:hanging="571"/>
              <w:jc w:val="both"/>
            </w:pPr>
            <w:r>
              <w:t>(xvii)</w:t>
            </w:r>
            <w:r w:rsidR="002B5354">
              <w:tab/>
            </w:r>
            <w:r w:rsidR="0099174E" w:rsidRPr="0099174E">
              <w:t>community services, educational and medical facilities;</w:t>
            </w:r>
          </w:p>
          <w:p w14:paraId="0DCCE426" w14:textId="337DF32E" w:rsidR="0099174E" w:rsidRPr="0099174E" w:rsidRDefault="00586679" w:rsidP="002B5354">
            <w:pPr>
              <w:jc w:val="both"/>
            </w:pPr>
            <w:r>
              <w:t>(xviii)</w:t>
            </w:r>
            <w:r w:rsidR="0099174E" w:rsidRPr="0099174E">
              <w:t>temporary shelters and social housing;</w:t>
            </w:r>
          </w:p>
          <w:p w14:paraId="085942A6" w14:textId="463CFB7E" w:rsidR="0099174E" w:rsidRPr="0099174E" w:rsidRDefault="00586679" w:rsidP="002B5354">
            <w:pPr>
              <w:ind w:left="571" w:hanging="571"/>
              <w:jc w:val="both"/>
            </w:pPr>
            <w:r>
              <w:t>(xix)</w:t>
            </w:r>
            <w:r w:rsidR="002B5354">
              <w:tab/>
            </w:r>
            <w:r w:rsidR="0099174E" w:rsidRPr="0099174E">
              <w:t>socio-cultural</w:t>
            </w:r>
            <w:r w:rsidR="0099174E" w:rsidRPr="0099174E">
              <w:rPr>
                <w:spacing w:val="63"/>
              </w:rPr>
              <w:t xml:space="preserve"> </w:t>
            </w:r>
            <w:r w:rsidR="0099174E" w:rsidRPr="0099174E">
              <w:t>or</w:t>
            </w:r>
            <w:r w:rsidR="0099174E" w:rsidRPr="0099174E">
              <w:rPr>
                <w:spacing w:val="63"/>
              </w:rPr>
              <w:t xml:space="preserve"> </w:t>
            </w:r>
            <w:r w:rsidR="0099174E" w:rsidRPr="0099174E">
              <w:t>sports</w:t>
            </w:r>
            <w:r w:rsidR="0099174E" w:rsidRPr="0099174E">
              <w:rPr>
                <w:spacing w:val="63"/>
              </w:rPr>
              <w:t xml:space="preserve"> </w:t>
            </w:r>
            <w:r w:rsidR="0099174E" w:rsidRPr="0099174E">
              <w:t>facilities</w:t>
            </w:r>
            <w:r w:rsidR="0099174E" w:rsidRPr="0099174E">
              <w:rPr>
                <w:spacing w:val="63"/>
              </w:rPr>
              <w:t xml:space="preserve"> </w:t>
            </w:r>
            <w:r w:rsidR="0099174E" w:rsidRPr="0099174E">
              <w:t>such</w:t>
            </w:r>
            <w:r w:rsidR="0099174E" w:rsidRPr="0099174E">
              <w:rPr>
                <w:spacing w:val="63"/>
              </w:rPr>
              <w:t xml:space="preserve"> </w:t>
            </w:r>
            <w:r w:rsidR="0099174E" w:rsidRPr="0099174E">
              <w:t>as</w:t>
            </w:r>
            <w:r w:rsidR="0099174E" w:rsidRPr="0099174E">
              <w:rPr>
                <w:spacing w:val="63"/>
              </w:rPr>
              <w:t xml:space="preserve"> </w:t>
            </w:r>
            <w:r w:rsidR="0099174E" w:rsidRPr="0099174E">
              <w:t>playgrounds,</w:t>
            </w:r>
            <w:r w:rsidR="0099174E" w:rsidRPr="0099174E">
              <w:rPr>
                <w:spacing w:val="63"/>
              </w:rPr>
              <w:t xml:space="preserve"> </w:t>
            </w:r>
            <w:r w:rsidR="0099174E" w:rsidRPr="0099174E">
              <w:t>green</w:t>
            </w:r>
            <w:r w:rsidR="0099174E" w:rsidRPr="0099174E">
              <w:rPr>
                <w:spacing w:val="63"/>
              </w:rPr>
              <w:t xml:space="preserve"> </w:t>
            </w:r>
            <w:r w:rsidR="0099174E" w:rsidRPr="0099174E">
              <w:t>spaces, exhibition sites, theatres and libraries;</w:t>
            </w:r>
          </w:p>
          <w:p w14:paraId="635EA0A9" w14:textId="3F97EFEC" w:rsidR="0099174E" w:rsidRPr="0099174E" w:rsidRDefault="00586679" w:rsidP="00B667CB">
            <w:r>
              <w:t xml:space="preserve">(xx)   </w:t>
            </w:r>
            <w:r w:rsidR="0099174E" w:rsidRPr="0099174E">
              <w:t>development of industrial estates;</w:t>
            </w:r>
          </w:p>
          <w:p w14:paraId="404662BD" w14:textId="7B32A995" w:rsidR="0099174E" w:rsidRPr="0099174E" w:rsidRDefault="00586679" w:rsidP="00B667CB">
            <w:r>
              <w:t xml:space="preserve">(xxi)  </w:t>
            </w:r>
            <w:r w:rsidR="0099174E" w:rsidRPr="0099174E">
              <w:t>irrigation networks in rural areas;</w:t>
            </w:r>
          </w:p>
          <w:p w14:paraId="6746C35A" w14:textId="29A228A1" w:rsidR="0099174E" w:rsidRPr="0099174E" w:rsidRDefault="00586679" w:rsidP="00B667CB">
            <w:r>
              <w:t xml:space="preserve">(xxii) </w:t>
            </w:r>
            <w:r w:rsidR="0099174E" w:rsidRPr="0099174E">
              <w:t>administrative buildings and public housing.</w:t>
            </w:r>
          </w:p>
          <w:p w14:paraId="20C1339B" w14:textId="77777777" w:rsidR="0099174E" w:rsidRPr="0099174E" w:rsidRDefault="0099174E" w:rsidP="0099174E">
            <w:pPr>
              <w:ind w:left="496"/>
              <w:jc w:val="both"/>
              <w:rPr>
                <w:lang w:val="en-US"/>
              </w:rPr>
            </w:pPr>
          </w:p>
          <w:p w14:paraId="2EE587F8" w14:textId="77777777" w:rsidR="0099174E" w:rsidRPr="0099174E" w:rsidRDefault="0099174E" w:rsidP="00586679">
            <w:pPr>
              <w:spacing w:after="120"/>
              <w:jc w:val="both"/>
              <w:rPr>
                <w:lang w:val="en-US"/>
              </w:rPr>
            </w:pPr>
            <w:r w:rsidRPr="0099174E">
              <w:rPr>
                <w:lang w:val="en-US"/>
              </w:rPr>
              <w:t xml:space="preserve">Regarding </w:t>
            </w:r>
            <w:r w:rsidRPr="0099174E">
              <w:rPr>
                <w:u w:val="single"/>
                <w:lang w:val="en-US"/>
              </w:rPr>
              <w:t>environmental and social safeguards</w:t>
            </w:r>
            <w:r w:rsidRPr="0099174E">
              <w:rPr>
                <w:lang w:val="en-US"/>
              </w:rPr>
              <w:t>, the Borrower shall ensure that the following measures are applied, when pertinent, in connection with investments financed out of the Loan proceeds:</w:t>
            </w:r>
          </w:p>
          <w:p w14:paraId="369DF396" w14:textId="72C9D32E" w:rsidR="0099174E" w:rsidRPr="00586679" w:rsidRDefault="0099174E" w:rsidP="00436B0A">
            <w:pPr>
              <w:pStyle w:val="ListParagraph"/>
              <w:numPr>
                <w:ilvl w:val="0"/>
                <w:numId w:val="41"/>
              </w:numPr>
              <w:spacing w:line="240" w:lineRule="auto"/>
              <w:ind w:left="571" w:hanging="567"/>
              <w:jc w:val="both"/>
              <w:rPr>
                <w:sz w:val="24"/>
                <w:szCs w:val="24"/>
                <w:lang w:val="en-US"/>
              </w:rPr>
            </w:pPr>
            <w:r w:rsidRPr="00586679">
              <w:rPr>
                <w:sz w:val="24"/>
                <w:szCs w:val="24"/>
                <w:lang w:val="en-US"/>
              </w:rPr>
              <w:t xml:space="preserve">Protection protocols for health personnel are in place and information, as well as protective equipment, are available for the implementation of such protocols for all personnel. </w:t>
            </w:r>
          </w:p>
          <w:p w14:paraId="649687B3" w14:textId="77777777" w:rsidR="0099174E" w:rsidRPr="00586679" w:rsidRDefault="0099174E" w:rsidP="00436B0A">
            <w:pPr>
              <w:pStyle w:val="ListParagraph"/>
              <w:numPr>
                <w:ilvl w:val="0"/>
                <w:numId w:val="41"/>
              </w:numPr>
              <w:spacing w:line="240" w:lineRule="auto"/>
              <w:ind w:left="571" w:hanging="567"/>
              <w:jc w:val="both"/>
              <w:rPr>
                <w:sz w:val="24"/>
                <w:szCs w:val="24"/>
                <w:lang w:val="en-US"/>
              </w:rPr>
            </w:pPr>
            <w:r w:rsidRPr="00586679">
              <w:rPr>
                <w:sz w:val="24"/>
                <w:szCs w:val="24"/>
                <w:lang w:val="en-US"/>
              </w:rPr>
              <w:t xml:space="preserve">Newly recruited staff, as well as all staff mobilised for the emergency outbreak, have been trained on operational health and safety procedures and specific procedures related to COVID-19. Training shall be documented. </w:t>
            </w:r>
          </w:p>
          <w:p w14:paraId="7DE0BF6E" w14:textId="77777777" w:rsidR="0099174E" w:rsidRPr="00586679" w:rsidRDefault="0099174E" w:rsidP="00436B0A">
            <w:pPr>
              <w:pStyle w:val="ListParagraph"/>
              <w:numPr>
                <w:ilvl w:val="0"/>
                <w:numId w:val="41"/>
              </w:numPr>
              <w:spacing w:line="240" w:lineRule="auto"/>
              <w:ind w:left="571" w:hanging="567"/>
              <w:jc w:val="both"/>
              <w:rPr>
                <w:sz w:val="24"/>
                <w:szCs w:val="24"/>
                <w:lang w:val="en-US"/>
              </w:rPr>
            </w:pPr>
            <w:r w:rsidRPr="00586679">
              <w:rPr>
                <w:sz w:val="24"/>
                <w:szCs w:val="24"/>
                <w:lang w:val="en-US"/>
              </w:rPr>
              <w:t>A medical waste management plan and related documentation is in place in all health centers, as well as in new repurposed areas, and sound management continued during the emergency situation.</w:t>
            </w:r>
          </w:p>
          <w:p w14:paraId="321CE442" w14:textId="77777777" w:rsidR="0099174E" w:rsidRPr="00586679" w:rsidRDefault="0099174E" w:rsidP="00436B0A">
            <w:pPr>
              <w:pStyle w:val="ListParagraph"/>
              <w:numPr>
                <w:ilvl w:val="0"/>
                <w:numId w:val="41"/>
              </w:numPr>
              <w:spacing w:line="240" w:lineRule="auto"/>
              <w:ind w:left="571" w:hanging="567"/>
              <w:jc w:val="both"/>
              <w:rPr>
                <w:sz w:val="24"/>
                <w:szCs w:val="24"/>
                <w:lang w:val="en-US"/>
              </w:rPr>
            </w:pPr>
            <w:r w:rsidRPr="00586679">
              <w:rPr>
                <w:sz w:val="24"/>
                <w:szCs w:val="24"/>
                <w:lang w:val="en-US"/>
              </w:rPr>
              <w:t>Any area repurposed for treatment of COVID-19 infected patients reaches the highest possible standard of health attainable in such an emergency situation.</w:t>
            </w:r>
          </w:p>
          <w:p w14:paraId="196D9737" w14:textId="77777777" w:rsidR="0099174E" w:rsidRPr="00586679" w:rsidRDefault="0099174E" w:rsidP="00436B0A">
            <w:pPr>
              <w:pStyle w:val="ListParagraph"/>
              <w:numPr>
                <w:ilvl w:val="0"/>
                <w:numId w:val="41"/>
              </w:numPr>
              <w:spacing w:line="240" w:lineRule="auto"/>
              <w:ind w:left="571" w:hanging="567"/>
              <w:jc w:val="both"/>
              <w:rPr>
                <w:sz w:val="24"/>
                <w:szCs w:val="24"/>
                <w:lang w:val="en-US"/>
              </w:rPr>
            </w:pPr>
            <w:r w:rsidRPr="00586679">
              <w:rPr>
                <w:sz w:val="24"/>
                <w:szCs w:val="24"/>
                <w:lang w:val="en-US"/>
              </w:rPr>
              <w:t>Quarantine and isolation areas are operated in accordance with applicable laws and Clause 5.7.</w:t>
            </w:r>
          </w:p>
          <w:p w14:paraId="1C4EC74A" w14:textId="77777777" w:rsidR="0099174E" w:rsidRPr="00586679" w:rsidRDefault="0099174E" w:rsidP="00586679">
            <w:pPr>
              <w:ind w:left="4"/>
              <w:jc w:val="both"/>
              <w:rPr>
                <w:lang w:val="en-US"/>
              </w:rPr>
            </w:pPr>
            <w:r w:rsidRPr="00586679">
              <w:rPr>
                <w:lang w:val="en-US"/>
              </w:rPr>
              <w:t>CEB reserves the right, in accordance with Clause 6.4, to inquire about compliance with the above measures.</w:t>
            </w:r>
          </w:p>
        </w:tc>
      </w:tr>
    </w:tbl>
    <w:p w14:paraId="57F5EB48" w14:textId="7E4F9DFF" w:rsidR="0099174E" w:rsidRPr="0099174E" w:rsidRDefault="0099174E" w:rsidP="0099174E">
      <w:pPr>
        <w:jc w:val="both"/>
        <w:rPr>
          <w:lang w:val="en-US"/>
        </w:rPr>
      </w:pPr>
    </w:p>
    <w:tbl>
      <w:tblPr>
        <w:tblW w:w="8954" w:type="dxa"/>
        <w:tblInd w:w="487" w:type="dxa"/>
        <w:tblLayout w:type="fixed"/>
        <w:tblCellMar>
          <w:left w:w="71" w:type="dxa"/>
          <w:right w:w="71" w:type="dxa"/>
        </w:tblCellMar>
        <w:tblLook w:val="0000" w:firstRow="0" w:lastRow="0" w:firstColumn="0" w:lastColumn="0" w:noHBand="0" w:noVBand="0"/>
      </w:tblPr>
      <w:tblGrid>
        <w:gridCol w:w="506"/>
        <w:gridCol w:w="2764"/>
        <w:gridCol w:w="2288"/>
        <w:gridCol w:w="3169"/>
        <w:gridCol w:w="227"/>
      </w:tblGrid>
      <w:tr w:rsidR="0099174E" w:rsidRPr="0099174E" w14:paraId="14ED3E8A" w14:textId="77777777" w:rsidTr="00586679">
        <w:trPr>
          <w:gridAfter w:val="1"/>
          <w:wAfter w:w="227" w:type="dxa"/>
          <w:trHeight w:val="188"/>
        </w:trPr>
        <w:tc>
          <w:tcPr>
            <w:tcW w:w="506" w:type="dxa"/>
          </w:tcPr>
          <w:p w14:paraId="105003E6" w14:textId="77777777" w:rsidR="0099174E" w:rsidRPr="0099174E" w:rsidRDefault="0099174E" w:rsidP="0099174E">
            <w:pPr>
              <w:jc w:val="both"/>
              <w:rPr>
                <w:b/>
                <w:lang w:val="en-GB"/>
              </w:rPr>
            </w:pPr>
            <w:r w:rsidRPr="0099174E">
              <w:rPr>
                <w:b/>
                <w:lang w:val="en-GB"/>
              </w:rPr>
              <w:lastRenderedPageBreak/>
              <w:t>IV.</w:t>
            </w:r>
          </w:p>
        </w:tc>
        <w:tc>
          <w:tcPr>
            <w:tcW w:w="2764" w:type="dxa"/>
            <w:tcBorders>
              <w:top w:val="single" w:sz="12" w:space="0" w:color="auto"/>
              <w:left w:val="single" w:sz="12" w:space="0" w:color="auto"/>
              <w:bottom w:val="single" w:sz="12" w:space="0" w:color="auto"/>
              <w:right w:val="single" w:sz="6" w:space="0" w:color="auto"/>
            </w:tcBorders>
            <w:shd w:val="pct5" w:color="auto" w:fill="auto"/>
          </w:tcPr>
          <w:p w14:paraId="68B240C1" w14:textId="77777777" w:rsidR="0099174E" w:rsidRPr="0099174E" w:rsidRDefault="0099174E" w:rsidP="0099174E">
            <w:pPr>
              <w:jc w:val="both"/>
              <w:rPr>
                <w:b/>
                <w:lang w:val="en-GB"/>
              </w:rPr>
            </w:pPr>
            <w:r w:rsidRPr="0099174E">
              <w:rPr>
                <w:b/>
                <w:lang w:val="en-GB"/>
              </w:rPr>
              <w:t>Eligible Costs</w:t>
            </w:r>
          </w:p>
        </w:tc>
        <w:tc>
          <w:tcPr>
            <w:tcW w:w="5457" w:type="dxa"/>
            <w:gridSpan w:val="2"/>
            <w:tcBorders>
              <w:top w:val="single" w:sz="12" w:space="0" w:color="auto"/>
              <w:left w:val="single" w:sz="6" w:space="0" w:color="auto"/>
              <w:bottom w:val="single" w:sz="12" w:space="0" w:color="auto"/>
              <w:right w:val="single" w:sz="12" w:space="0" w:color="auto"/>
            </w:tcBorders>
            <w:shd w:val="pct5" w:color="auto" w:fill="auto"/>
          </w:tcPr>
          <w:p w14:paraId="196B20C8" w14:textId="77777777" w:rsidR="0099174E" w:rsidRPr="0099174E" w:rsidRDefault="0099174E" w:rsidP="0099174E">
            <w:pPr>
              <w:spacing w:after="60"/>
              <w:jc w:val="both"/>
              <w:rPr>
                <w:lang w:val="en-GB"/>
              </w:rPr>
            </w:pPr>
            <w:r w:rsidRPr="0099174E">
              <w:rPr>
                <w:lang w:val="en-GB"/>
              </w:rPr>
              <w:t>The PFF covers budgetary expenditures related to COVID-19. The eligible expenditures for CEB financing may include:</w:t>
            </w:r>
          </w:p>
          <w:p w14:paraId="3DD54504" w14:textId="1495FA96" w:rsidR="0099174E" w:rsidRPr="00586679"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586679">
              <w:rPr>
                <w:sz w:val="24"/>
                <w:szCs w:val="24"/>
              </w:rPr>
              <w:t>The preparatory surveys or studies (technical, economic or commercial, engineering, environmental and social impact assessment and management plans) the technical supervision of the Project and other project related professional services. These costs should not exceed 5% of the total cost of the Project, unless justified;</w:t>
            </w:r>
          </w:p>
          <w:p w14:paraId="39C5724F"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The acquiring of land directly linked to a Project implementation planned in a very near future, at its purchase price, unless it has been donated or granted;</w:t>
            </w:r>
          </w:p>
          <w:p w14:paraId="66BF21F4"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Preparation of the land directly linked to a Project implementation planned in a very near future;</w:t>
            </w:r>
          </w:p>
          <w:p w14:paraId="4D868500"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Construction/renovation/modernization or purchase of buildings directly linked to a Project;</w:t>
            </w:r>
          </w:p>
          <w:p w14:paraId="3CA93867"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The installation of basic infrastructure, such as sewerage, water supply, gas supply, electricity and telecommunications networks, waste disposal and waste water treatment, roads, etc.;</w:t>
            </w:r>
          </w:p>
          <w:p w14:paraId="42E5945F"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The maintenance of the viability and sustainability of the public services; including certain categories of recurrent costs when such costs relate to health care workers and other public sector employees involved in Covid-19 emergency management;</w:t>
            </w:r>
          </w:p>
          <w:p w14:paraId="7C79C8E4"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The purchase of materials, equipment and machinery, including IT equipment and software, as well as the related costs linked to the training of staff;</w:t>
            </w:r>
          </w:p>
          <w:p w14:paraId="671CBE7F" w14:textId="77777777" w:rsidR="0099174E" w:rsidRPr="0099174E" w:rsidRDefault="0099174E" w:rsidP="00436B0A">
            <w:pPr>
              <w:pStyle w:val="ListParagraph"/>
              <w:numPr>
                <w:ilvl w:val="0"/>
                <w:numId w:val="42"/>
              </w:numPr>
              <w:autoSpaceDE w:val="0"/>
              <w:autoSpaceDN w:val="0"/>
              <w:adjustRightInd w:val="0"/>
              <w:snapToGrid w:val="0"/>
              <w:spacing w:line="240" w:lineRule="auto"/>
              <w:ind w:left="571" w:right="51" w:hanging="567"/>
              <w:jc w:val="both"/>
              <w:rPr>
                <w:sz w:val="24"/>
                <w:szCs w:val="24"/>
              </w:rPr>
            </w:pPr>
            <w:r w:rsidRPr="0099174E">
              <w:rPr>
                <w:sz w:val="24"/>
                <w:szCs w:val="24"/>
              </w:rPr>
              <w:t>Contingencies for unanticipated costs (technical and/or price increases) can be financed by CEB. These represent financial coverage of unforeseen changes in the quantity of work required, or of unit prices, in the type and quantity of equipment to be purchased or in the method of carrying out the Project;</w:t>
            </w:r>
          </w:p>
          <w:p w14:paraId="54C50F16"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Depending on the sector of activity and the various components of the Project, these contingencies may represent up to 10% of the total cost of the Project. The percentage of contingencies may be higher if justified during appraisal;</w:t>
            </w:r>
          </w:p>
          <w:p w14:paraId="26E0AFFC"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Costs related to professional/vocational training and public awareness-raising campaigns may be eligible for CEB financing taking into account their objectives within the framework of the Project;</w:t>
            </w:r>
          </w:p>
          <w:p w14:paraId="14CC2D18" w14:textId="77777777" w:rsidR="0099174E" w:rsidRPr="0099174E" w:rsidRDefault="0099174E" w:rsidP="00436B0A">
            <w:pPr>
              <w:pStyle w:val="ListParagraph"/>
              <w:numPr>
                <w:ilvl w:val="0"/>
                <w:numId w:val="42"/>
              </w:numPr>
              <w:autoSpaceDE w:val="0"/>
              <w:autoSpaceDN w:val="0"/>
              <w:adjustRightInd w:val="0"/>
              <w:snapToGrid w:val="0"/>
              <w:spacing w:line="240" w:lineRule="auto"/>
              <w:ind w:left="429" w:right="51" w:hanging="425"/>
              <w:jc w:val="both"/>
              <w:rPr>
                <w:sz w:val="24"/>
                <w:szCs w:val="24"/>
              </w:rPr>
            </w:pPr>
            <w:r w:rsidRPr="0099174E">
              <w:rPr>
                <w:sz w:val="24"/>
                <w:szCs w:val="24"/>
              </w:rPr>
              <w:t>CEB loans cannot cover staff costs (wages/salaries and other related benefits such as pension payments), except when such costs relate to health care workers and other public sector employees involved in Covid-19 emergency management.</w:t>
            </w:r>
          </w:p>
          <w:p w14:paraId="77EA9D53" w14:textId="77777777" w:rsidR="0099174E" w:rsidRPr="0099174E" w:rsidRDefault="0099174E" w:rsidP="00436B0A">
            <w:pPr>
              <w:pStyle w:val="ListParagraph"/>
              <w:numPr>
                <w:ilvl w:val="0"/>
                <w:numId w:val="42"/>
              </w:numPr>
              <w:autoSpaceDE w:val="0"/>
              <w:autoSpaceDN w:val="0"/>
              <w:adjustRightInd w:val="0"/>
              <w:snapToGrid w:val="0"/>
              <w:spacing w:line="240" w:lineRule="auto"/>
              <w:ind w:left="571" w:right="51" w:hanging="567"/>
              <w:jc w:val="both"/>
              <w:rPr>
                <w:sz w:val="24"/>
                <w:szCs w:val="24"/>
              </w:rPr>
            </w:pPr>
            <w:r w:rsidRPr="0099174E">
              <w:rPr>
                <w:sz w:val="24"/>
                <w:szCs w:val="24"/>
              </w:rPr>
              <w:t>CEB loans cannot cover financial charges and non-cash elements such as depreciation;</w:t>
            </w:r>
          </w:p>
          <w:p w14:paraId="7EA26E69" w14:textId="77777777" w:rsidR="0099174E" w:rsidRPr="0099174E" w:rsidRDefault="0099174E" w:rsidP="00436B0A">
            <w:pPr>
              <w:pStyle w:val="ListParagraph"/>
              <w:numPr>
                <w:ilvl w:val="0"/>
                <w:numId w:val="42"/>
              </w:numPr>
              <w:autoSpaceDE w:val="0"/>
              <w:autoSpaceDN w:val="0"/>
              <w:adjustRightInd w:val="0"/>
              <w:snapToGrid w:val="0"/>
              <w:spacing w:line="240" w:lineRule="auto"/>
              <w:ind w:left="571" w:right="51" w:hanging="567"/>
              <w:jc w:val="both"/>
              <w:rPr>
                <w:sz w:val="24"/>
                <w:szCs w:val="24"/>
              </w:rPr>
            </w:pPr>
            <w:r w:rsidRPr="0099174E">
              <w:rPr>
                <w:sz w:val="24"/>
                <w:szCs w:val="24"/>
              </w:rPr>
              <w:t>Financial costs (payment and/or refinancing of debts, interest charges, acquisition of interest in the capital of an enterprise, etc.) or financial investments cannot be included in the estimated cost of the Project and cannot be financed by the CEB; and</w:t>
            </w:r>
          </w:p>
          <w:p w14:paraId="24BD803C" w14:textId="4E97CE64" w:rsidR="0099174E" w:rsidRPr="0061610F" w:rsidRDefault="0099174E" w:rsidP="0061610F">
            <w:pPr>
              <w:pStyle w:val="ListParagraph"/>
              <w:numPr>
                <w:ilvl w:val="0"/>
                <w:numId w:val="42"/>
              </w:numPr>
              <w:autoSpaceDE w:val="0"/>
              <w:autoSpaceDN w:val="0"/>
              <w:adjustRightInd w:val="0"/>
              <w:snapToGrid w:val="0"/>
              <w:spacing w:line="240" w:lineRule="auto"/>
              <w:ind w:left="571" w:right="51" w:hanging="567"/>
              <w:jc w:val="both"/>
              <w:rPr>
                <w:sz w:val="24"/>
                <w:szCs w:val="24"/>
              </w:rPr>
            </w:pPr>
            <w:r w:rsidRPr="0099174E">
              <w:rPr>
                <w:sz w:val="24"/>
                <w:szCs w:val="24"/>
              </w:rPr>
              <w:t>Non-deductible and non-refundable VAT and other tax-related costs non-deductible and non-refundable can be considered as eligible costs.</w:t>
            </w:r>
          </w:p>
        </w:tc>
      </w:tr>
      <w:tr w:rsidR="0099174E" w:rsidRPr="0099174E" w14:paraId="1BF71108" w14:textId="77777777" w:rsidTr="00586679">
        <w:trPr>
          <w:trHeight w:val="51"/>
        </w:trPr>
        <w:tc>
          <w:tcPr>
            <w:tcW w:w="506" w:type="dxa"/>
          </w:tcPr>
          <w:p w14:paraId="6C84E535" w14:textId="77777777" w:rsidR="0099174E" w:rsidRPr="0099174E" w:rsidRDefault="0099174E" w:rsidP="0099174E">
            <w:pPr>
              <w:jc w:val="both"/>
              <w:rPr>
                <w:b/>
                <w:lang w:val="en-GB"/>
              </w:rPr>
            </w:pPr>
          </w:p>
        </w:tc>
        <w:tc>
          <w:tcPr>
            <w:tcW w:w="2764" w:type="dxa"/>
          </w:tcPr>
          <w:p w14:paraId="415A217B" w14:textId="77777777" w:rsidR="0099174E" w:rsidRPr="0099174E" w:rsidRDefault="0099174E" w:rsidP="0099174E">
            <w:pPr>
              <w:jc w:val="both"/>
              <w:rPr>
                <w:b/>
                <w:lang w:val="en-GB"/>
              </w:rPr>
            </w:pPr>
          </w:p>
        </w:tc>
        <w:tc>
          <w:tcPr>
            <w:tcW w:w="2288" w:type="dxa"/>
          </w:tcPr>
          <w:p w14:paraId="39C35602" w14:textId="77777777" w:rsidR="0099174E" w:rsidRPr="0099174E" w:rsidRDefault="0099174E" w:rsidP="0099174E">
            <w:pPr>
              <w:jc w:val="both"/>
              <w:rPr>
                <w:i/>
                <w:lang w:val="en-GB"/>
              </w:rPr>
            </w:pPr>
          </w:p>
        </w:tc>
        <w:tc>
          <w:tcPr>
            <w:tcW w:w="3396" w:type="dxa"/>
            <w:gridSpan w:val="2"/>
          </w:tcPr>
          <w:p w14:paraId="15C75AE7" w14:textId="77777777" w:rsidR="0099174E" w:rsidRPr="0099174E" w:rsidRDefault="0099174E" w:rsidP="0099174E">
            <w:pPr>
              <w:jc w:val="both"/>
              <w:rPr>
                <w:lang w:val="en-GB"/>
              </w:rPr>
            </w:pPr>
          </w:p>
        </w:tc>
      </w:tr>
      <w:tr w:rsidR="0099174E" w:rsidRPr="0099174E" w14:paraId="24D7B42F" w14:textId="77777777" w:rsidTr="00586679">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227" w:type="dxa"/>
          <w:trHeight w:val="285"/>
        </w:trPr>
        <w:tc>
          <w:tcPr>
            <w:tcW w:w="506" w:type="dxa"/>
            <w:tcBorders>
              <w:top w:val="nil"/>
              <w:left w:val="nil"/>
              <w:bottom w:val="nil"/>
              <w:right w:val="nil"/>
            </w:tcBorders>
          </w:tcPr>
          <w:p w14:paraId="705533D3" w14:textId="77777777" w:rsidR="0099174E" w:rsidRPr="0099174E" w:rsidRDefault="0099174E" w:rsidP="0099174E">
            <w:pPr>
              <w:jc w:val="both"/>
              <w:rPr>
                <w:b/>
                <w:lang w:val="en-GB"/>
              </w:rPr>
            </w:pPr>
            <w:r w:rsidRPr="0099174E">
              <w:rPr>
                <w:b/>
                <w:lang w:val="en-GB"/>
              </w:rPr>
              <w:t>V.</w:t>
            </w:r>
          </w:p>
        </w:tc>
        <w:tc>
          <w:tcPr>
            <w:tcW w:w="2764" w:type="dxa"/>
            <w:tcBorders>
              <w:top w:val="single" w:sz="12" w:space="0" w:color="auto"/>
              <w:left w:val="single" w:sz="12" w:space="0" w:color="auto"/>
              <w:bottom w:val="single" w:sz="12" w:space="0" w:color="auto"/>
            </w:tcBorders>
            <w:shd w:val="pct5" w:color="auto" w:fill="auto"/>
          </w:tcPr>
          <w:p w14:paraId="0FB21047" w14:textId="77777777" w:rsidR="0099174E" w:rsidRPr="0099174E" w:rsidRDefault="0099174E" w:rsidP="0099174E">
            <w:pPr>
              <w:jc w:val="both"/>
              <w:rPr>
                <w:b/>
                <w:lang w:val="en-GB"/>
              </w:rPr>
            </w:pPr>
            <w:r w:rsidRPr="0099174E">
              <w:rPr>
                <w:b/>
                <w:lang w:val="en-GB"/>
              </w:rPr>
              <w:t>Social impact</w:t>
            </w:r>
          </w:p>
        </w:tc>
        <w:tc>
          <w:tcPr>
            <w:tcW w:w="5457" w:type="dxa"/>
            <w:gridSpan w:val="2"/>
            <w:tcBorders>
              <w:top w:val="single" w:sz="12" w:space="0" w:color="auto"/>
              <w:bottom w:val="single" w:sz="12" w:space="0" w:color="auto"/>
            </w:tcBorders>
            <w:shd w:val="pct5" w:color="auto" w:fill="auto"/>
          </w:tcPr>
          <w:p w14:paraId="3D27398D" w14:textId="77777777" w:rsidR="0099174E" w:rsidRPr="0099174E" w:rsidRDefault="0099174E" w:rsidP="0099174E">
            <w:pPr>
              <w:jc w:val="both"/>
              <w:rPr>
                <w:lang w:val="en-GB"/>
              </w:rPr>
            </w:pPr>
            <w:r w:rsidRPr="0099174E">
              <w:rPr>
                <w:lang w:val="en-GB"/>
              </w:rPr>
              <w:t xml:space="preserve">The social impact of the Project is high as the PFF will partially fund Croatia’s emergency measures taken to cope with Covid-19, including mitigating the impact of the crisis </w:t>
            </w:r>
            <w:r w:rsidRPr="0099174E">
              <w:rPr>
                <w:lang w:val="en-US"/>
              </w:rPr>
              <w:t>in the life of its inhabitants</w:t>
            </w:r>
            <w:r w:rsidRPr="0099174E">
              <w:rPr>
                <w:lang w:val="en-GB"/>
              </w:rPr>
              <w:t>.</w:t>
            </w:r>
          </w:p>
        </w:tc>
      </w:tr>
    </w:tbl>
    <w:p w14:paraId="02284060" w14:textId="77777777" w:rsidR="0099174E" w:rsidRPr="0099174E" w:rsidRDefault="0099174E" w:rsidP="0099174E">
      <w:pPr>
        <w:pStyle w:val="Annexe"/>
        <w:jc w:val="both"/>
        <w:rPr>
          <w:rFonts w:ascii="Times New Roman" w:hAnsi="Times New Roman" w:cs="Times New Roman"/>
          <w:b w:val="0"/>
          <w:sz w:val="24"/>
          <w:szCs w:val="24"/>
        </w:rPr>
      </w:pPr>
      <w:r w:rsidRPr="0099174E">
        <w:rPr>
          <w:rFonts w:ascii="Times New Roman" w:hAnsi="Times New Roman" w:cs="Times New Roman"/>
          <w:sz w:val="24"/>
          <w:szCs w:val="24"/>
        </w:rPr>
        <w:br w:type="page"/>
      </w:r>
      <w:bookmarkStart w:id="116" w:name="_Toc43991843"/>
      <w:r w:rsidRPr="0099174E">
        <w:rPr>
          <w:rFonts w:ascii="Times New Roman" w:hAnsi="Times New Roman" w:cs="Times New Roman"/>
          <w:b w:val="0"/>
          <w:sz w:val="24"/>
          <w:szCs w:val="24"/>
        </w:rPr>
        <w:lastRenderedPageBreak/>
        <w:t>APPENDIX 2</w:t>
      </w:r>
      <w:bookmarkEnd w:id="116"/>
    </w:p>
    <w:p w14:paraId="5D3A596C" w14:textId="77777777" w:rsidR="0099174E" w:rsidRPr="0099174E" w:rsidRDefault="0099174E" w:rsidP="00586679">
      <w:pPr>
        <w:jc w:val="center"/>
        <w:rPr>
          <w:b/>
          <w:lang w:val="en-GB"/>
        </w:rPr>
      </w:pPr>
      <w:r w:rsidRPr="0099174E">
        <w:rPr>
          <w:b/>
          <w:lang w:val="en-GB"/>
        </w:rPr>
        <w:t>Form of Legal Opinion</w:t>
      </w:r>
    </w:p>
    <w:p w14:paraId="22856712" w14:textId="77777777" w:rsidR="0099174E" w:rsidRPr="0099174E" w:rsidRDefault="0099174E" w:rsidP="0099174E">
      <w:pPr>
        <w:jc w:val="both"/>
        <w:rPr>
          <w:lang w:val="en-GB"/>
        </w:rPr>
      </w:pPr>
    </w:p>
    <w:p w14:paraId="72CFD80E" w14:textId="77777777" w:rsidR="0099174E" w:rsidRPr="0099174E" w:rsidRDefault="0099174E" w:rsidP="0099174E">
      <w:pPr>
        <w:jc w:val="both"/>
        <w:rPr>
          <w:lang w:val="en-GB"/>
        </w:rPr>
      </w:pPr>
      <w:r w:rsidRPr="0099174E">
        <w:rPr>
          <w:lang w:val="en-GB"/>
        </w:rPr>
        <w:t>Council of Europe Development Bank</w:t>
      </w:r>
    </w:p>
    <w:p w14:paraId="2AA08BF8" w14:textId="77777777" w:rsidR="0099174E" w:rsidRPr="0099174E" w:rsidRDefault="0099174E" w:rsidP="0099174E">
      <w:pPr>
        <w:jc w:val="both"/>
        <w:rPr>
          <w:lang w:val="en-GB"/>
        </w:rPr>
      </w:pPr>
      <w:r w:rsidRPr="0099174E">
        <w:rPr>
          <w:lang w:val="en-GB"/>
        </w:rPr>
        <w:t>55, avenue Kléber</w:t>
      </w:r>
    </w:p>
    <w:p w14:paraId="6C267EBC" w14:textId="77777777" w:rsidR="0099174E" w:rsidRPr="0099174E" w:rsidRDefault="0099174E" w:rsidP="0099174E">
      <w:pPr>
        <w:jc w:val="both"/>
        <w:rPr>
          <w:lang w:val="en-GB"/>
        </w:rPr>
      </w:pPr>
      <w:r w:rsidRPr="0099174E">
        <w:rPr>
          <w:lang w:val="en-GB"/>
        </w:rPr>
        <w:t>75116 Paris</w:t>
      </w:r>
    </w:p>
    <w:p w14:paraId="1BD8E3BE" w14:textId="77777777" w:rsidR="0099174E" w:rsidRPr="0099174E" w:rsidRDefault="0099174E" w:rsidP="0099174E">
      <w:pPr>
        <w:jc w:val="both"/>
        <w:rPr>
          <w:lang w:val="en-GB"/>
        </w:rPr>
      </w:pPr>
      <w:r w:rsidRPr="0099174E">
        <w:rPr>
          <w:lang w:val="en-GB"/>
        </w:rPr>
        <w:t>FRANCE</w:t>
      </w:r>
    </w:p>
    <w:p w14:paraId="6AA5A3CC" w14:textId="77777777" w:rsidR="0099174E" w:rsidRPr="0099174E" w:rsidRDefault="0099174E" w:rsidP="0099174E">
      <w:pPr>
        <w:jc w:val="both"/>
        <w:rPr>
          <w:lang w:val="en-GB"/>
        </w:rPr>
      </w:pPr>
    </w:p>
    <w:p w14:paraId="6F89B6A7" w14:textId="77777777" w:rsidR="0099174E" w:rsidRPr="0099174E" w:rsidRDefault="0099174E" w:rsidP="0099174E">
      <w:pPr>
        <w:jc w:val="both"/>
        <w:rPr>
          <w:lang w:val="en-GB"/>
        </w:rPr>
      </w:pPr>
      <w:r w:rsidRPr="0099174E">
        <w:rPr>
          <w:lang w:val="en-GB"/>
        </w:rPr>
        <w:t xml:space="preserve">Attn: </w:t>
      </w:r>
      <w:r w:rsidRPr="0099174E">
        <w:rPr>
          <w:lang w:val="en-GB"/>
        </w:rPr>
        <w:tab/>
        <w:t>Projects Department</w:t>
      </w:r>
    </w:p>
    <w:p w14:paraId="113113F1" w14:textId="77777777" w:rsidR="0099174E" w:rsidRPr="0099174E" w:rsidRDefault="0099174E" w:rsidP="0099174E">
      <w:pPr>
        <w:jc w:val="both"/>
        <w:rPr>
          <w:lang w:val="en-GB"/>
        </w:rPr>
      </w:pPr>
      <w:r w:rsidRPr="0099174E">
        <w:rPr>
          <w:lang w:val="en-GB"/>
        </w:rPr>
        <w:t>Cc:</w:t>
      </w:r>
      <w:r w:rsidRPr="0099174E">
        <w:rPr>
          <w:lang w:val="en-GB"/>
        </w:rPr>
        <w:tab/>
        <w:t>Office of the General Counsel</w:t>
      </w:r>
    </w:p>
    <w:p w14:paraId="22D6ADFD" w14:textId="77777777" w:rsidR="0099174E" w:rsidRPr="0099174E" w:rsidRDefault="0099174E" w:rsidP="0099174E">
      <w:pPr>
        <w:jc w:val="both"/>
        <w:rPr>
          <w:lang w:val="en-GB"/>
        </w:rPr>
      </w:pPr>
    </w:p>
    <w:p w14:paraId="20DD878C" w14:textId="77777777" w:rsidR="0099174E" w:rsidRPr="0099174E" w:rsidRDefault="0099174E" w:rsidP="00586679">
      <w:pPr>
        <w:jc w:val="right"/>
        <w:rPr>
          <w:lang w:val="en-GB"/>
        </w:rPr>
      </w:pPr>
      <w:r w:rsidRPr="0099174E">
        <w:rPr>
          <w:lang w:val="en-GB"/>
        </w:rPr>
        <w:t>[INSERT DATE]</w:t>
      </w:r>
    </w:p>
    <w:p w14:paraId="6DA5C805" w14:textId="77777777" w:rsidR="0099174E" w:rsidRPr="0099174E" w:rsidRDefault="0099174E" w:rsidP="0099174E">
      <w:pPr>
        <w:jc w:val="both"/>
        <w:rPr>
          <w:lang w:val="en-GB"/>
        </w:rPr>
      </w:pPr>
    </w:p>
    <w:p w14:paraId="0BF75092" w14:textId="77777777" w:rsidR="0099174E" w:rsidRPr="0099174E" w:rsidRDefault="0099174E" w:rsidP="0099174E">
      <w:pPr>
        <w:ind w:left="705" w:hanging="705"/>
        <w:jc w:val="both"/>
        <w:rPr>
          <w:b/>
          <w:lang w:val="en-GB"/>
        </w:rPr>
      </w:pPr>
      <w:r w:rsidRPr="0099174E">
        <w:rPr>
          <w:b/>
          <w:lang w:val="en-GB"/>
        </w:rPr>
        <w:t xml:space="preserve">Re: </w:t>
      </w:r>
      <w:r w:rsidRPr="0099174E">
        <w:rPr>
          <w:b/>
          <w:lang w:val="en-GB"/>
        </w:rPr>
        <w:tab/>
      </w:r>
      <w:r w:rsidRPr="0099174E">
        <w:rPr>
          <w:b/>
          <w:i/>
          <w:u w:val="single"/>
          <w:lang w:val="en-GB"/>
        </w:rPr>
        <w:t>Framework Loan Agreement between the Republic of Croatia and the Council of Europe Development Bank (LD 2056 (2020))</w:t>
      </w:r>
    </w:p>
    <w:p w14:paraId="29DAA21E" w14:textId="77777777" w:rsidR="0099174E" w:rsidRPr="0099174E" w:rsidRDefault="0099174E" w:rsidP="0099174E">
      <w:pPr>
        <w:jc w:val="both"/>
        <w:rPr>
          <w:lang w:val="en-GB"/>
        </w:rPr>
      </w:pPr>
    </w:p>
    <w:p w14:paraId="438A31C3" w14:textId="77777777" w:rsidR="0099174E" w:rsidRPr="0099174E" w:rsidRDefault="0099174E" w:rsidP="00586679">
      <w:pPr>
        <w:spacing w:after="120"/>
        <w:jc w:val="both"/>
        <w:rPr>
          <w:lang w:val="en-GB"/>
        </w:rPr>
      </w:pPr>
      <w:r w:rsidRPr="0099174E">
        <w:rPr>
          <w:lang w:val="en-GB"/>
        </w:rPr>
        <w:t>Dear Sir or Madam,</w:t>
      </w:r>
    </w:p>
    <w:p w14:paraId="27A3F004" w14:textId="77777777" w:rsidR="0099174E" w:rsidRPr="0099174E" w:rsidRDefault="0099174E" w:rsidP="00586679">
      <w:pPr>
        <w:spacing w:after="120"/>
        <w:jc w:val="both"/>
        <w:rPr>
          <w:lang w:val="en-US"/>
        </w:rPr>
      </w:pPr>
      <w:r w:rsidRPr="0099174E">
        <w:rPr>
          <w:lang w:val="en-US"/>
        </w:rPr>
        <w:t>I, [●], in my condition of [INSERT TITLE (</w:t>
      </w:r>
      <w:r w:rsidRPr="0099174E">
        <w:rPr>
          <w:i/>
          <w:lang w:val="en-US"/>
        </w:rPr>
        <w:t>e.g.</w:t>
      </w:r>
      <w:r w:rsidRPr="0099174E">
        <w:rPr>
          <w:lang w:val="en-US"/>
        </w:rPr>
        <w:t xml:space="preserve">, Minister of Justice)], have acted as legal advisor as to matters of [INSERT JURISDICTION] law to [●] (the </w:t>
      </w:r>
      <w:r w:rsidRPr="0099174E">
        <w:rPr>
          <w:b/>
          <w:lang w:val="en-US"/>
        </w:rPr>
        <w:t>“Borrower”</w:t>
      </w:r>
      <w:r w:rsidRPr="0099174E">
        <w:rPr>
          <w:lang w:val="en-US"/>
        </w:rPr>
        <w:t xml:space="preserve">) in relation to the Framework Loan Agreement between the Council of Europe Development Bank (the </w:t>
      </w:r>
      <w:r w:rsidRPr="0099174E">
        <w:rPr>
          <w:b/>
          <w:lang w:val="en-US"/>
        </w:rPr>
        <w:t>“CEB”</w:t>
      </w:r>
      <w:r w:rsidRPr="0099174E">
        <w:rPr>
          <w:lang w:val="en-US"/>
        </w:rPr>
        <w:t xml:space="preserve">) and the Borrower dated [●] and effective as of [●] (the </w:t>
      </w:r>
      <w:r w:rsidRPr="0099174E">
        <w:rPr>
          <w:b/>
          <w:lang w:val="en-US"/>
        </w:rPr>
        <w:t>“Agreement”</w:t>
      </w:r>
      <w:r w:rsidRPr="0099174E">
        <w:rPr>
          <w:lang w:val="en-US"/>
        </w:rPr>
        <w:t xml:space="preserve">) and deliver this </w:t>
      </w:r>
      <w:r w:rsidRPr="00586679">
        <w:rPr>
          <w:lang w:val="en-GB"/>
        </w:rPr>
        <w:t>opinion pursuant to Article [●] of the Agreement.</w:t>
      </w:r>
    </w:p>
    <w:p w14:paraId="573B8BB0" w14:textId="77777777" w:rsidR="0099174E" w:rsidRPr="0099174E" w:rsidRDefault="0099174E" w:rsidP="00586679">
      <w:pPr>
        <w:spacing w:after="120"/>
        <w:jc w:val="both"/>
        <w:rPr>
          <w:lang w:val="en-US"/>
        </w:rPr>
      </w:pPr>
      <w:r w:rsidRPr="0099174E">
        <w:rPr>
          <w:lang w:val="en-US"/>
        </w:rPr>
        <w:t xml:space="preserve">For the purposes of this opinion, we have examined an original copy of the Agreement and such other documents, acts or treaties as we have considered necessary or desirable to examine in order to give this opinion. </w:t>
      </w:r>
    </w:p>
    <w:p w14:paraId="226ACEA8" w14:textId="77777777" w:rsidR="0099174E" w:rsidRPr="0099174E" w:rsidRDefault="0099174E" w:rsidP="00586679">
      <w:pPr>
        <w:spacing w:after="120"/>
        <w:jc w:val="both"/>
        <w:rPr>
          <w:lang w:val="en-US"/>
        </w:rPr>
      </w:pPr>
      <w:r w:rsidRPr="0099174E">
        <w:rPr>
          <w:lang w:val="en-US"/>
        </w:rPr>
        <w:t>Terms defined in the Agreement shall have the same meaning herein, unless otherwise specified.</w:t>
      </w:r>
    </w:p>
    <w:p w14:paraId="7686D633" w14:textId="77777777" w:rsidR="0099174E" w:rsidRPr="0099174E" w:rsidRDefault="0099174E" w:rsidP="00586679">
      <w:pPr>
        <w:spacing w:after="120"/>
        <w:ind w:left="425" w:hanging="425"/>
        <w:jc w:val="both"/>
        <w:rPr>
          <w:lang w:val="en-US"/>
        </w:rPr>
      </w:pPr>
      <w:r w:rsidRPr="0099174E">
        <w:rPr>
          <w:lang w:val="en-US"/>
        </w:rPr>
        <w:t>Based on the foregoing, I am of the opinion that:</w:t>
      </w:r>
    </w:p>
    <w:p w14:paraId="2DD45432"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Capacity, power and authority.</w:t>
      </w:r>
      <w:r w:rsidRPr="0099174E">
        <w:rPr>
          <w:rFonts w:ascii="Times New Roman" w:hAnsi="Times New Roman" w:cs="Times New Roman"/>
          <w:sz w:val="24"/>
          <w:szCs w:val="24"/>
        </w:rPr>
        <w:t xml:space="preserve"> The Borrower has the legal capacity, power and authority to enter into the Agreement and perform its obligations thereunder.</w:t>
      </w:r>
    </w:p>
    <w:p w14:paraId="45AECAC5"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Internal authorisations.</w:t>
      </w:r>
      <w:r w:rsidRPr="0099174E">
        <w:rPr>
          <w:rFonts w:ascii="Times New Roman" w:hAnsi="Times New Roman" w:cs="Times New Roman"/>
          <w:sz w:val="24"/>
          <w:szCs w:val="24"/>
        </w:rPr>
        <w:t xml:space="preserve"> All action required from the Borrower for the execution, delivery and performance of the Agreement, including any required authorisation from its competent bodies, has been duly and effectively taken. In particular, no further action is required from the Borrower, apart from execution by a duly empowered representative of the Borrower, in order to issue a Disbursement Request under the Agreement.</w:t>
      </w:r>
    </w:p>
    <w:p w14:paraId="5DA5C1C7"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 xml:space="preserve">Due execution and validity. </w:t>
      </w:r>
      <w:r w:rsidRPr="0099174E">
        <w:rPr>
          <w:rFonts w:ascii="Times New Roman" w:hAnsi="Times New Roman" w:cs="Times New Roman"/>
          <w:sz w:val="24"/>
          <w:szCs w:val="24"/>
        </w:rPr>
        <w:t>The Agreement was duly executed by [INSERT NAME OF THE SIGNATORY)] as duly empowered representative(s) of the Borrower and gives rise to legally valid, binding and enforceable undertakings for the Borrower.</w:t>
      </w:r>
    </w:p>
    <w:p w14:paraId="3B07E3CF"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 xml:space="preserve">External authorisations, public consents and filings. </w:t>
      </w:r>
      <w:r w:rsidRPr="0099174E">
        <w:rPr>
          <w:rFonts w:ascii="Times New Roman" w:hAnsi="Times New Roman" w:cs="Times New Roman"/>
          <w:sz w:val="24"/>
          <w:szCs w:val="24"/>
        </w:rPr>
        <w:t xml:space="preserve">No authorisations, consents, licences, exemptions, filings, notarisations or registrations are required in </w:t>
      </w:r>
      <w:r w:rsidRPr="0099174E">
        <w:rPr>
          <w:rFonts w:ascii="Times New Roman" w:hAnsi="Times New Roman" w:cs="Times New Roman"/>
          <w:sz w:val="24"/>
          <w:szCs w:val="24"/>
        </w:rPr>
        <w:lastRenderedPageBreak/>
        <w:t>[INSERT JURISDICTION] in connection with the execution, delivery or performance of the Agreement in order to give rise to legally valid, binding and enforceable undertakings for the Borrower and for the Agreement to be admissible in evidence in [INSERT JURISDICTION].</w:t>
      </w:r>
    </w:p>
    <w:p w14:paraId="38BB40FC"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Tax/Stamp duties.</w:t>
      </w:r>
      <w:r w:rsidRPr="0099174E">
        <w:rPr>
          <w:rFonts w:ascii="Times New Roman" w:hAnsi="Times New Roman" w:cs="Times New Roman"/>
          <w:sz w:val="24"/>
          <w:szCs w:val="24"/>
        </w:rPr>
        <w:t xml:space="preserve"> The execution of the Agreement is not subject to any tax or stamp duties in [INSERT JURISDICTION].</w:t>
      </w:r>
    </w:p>
    <w:p w14:paraId="02B8D3A6"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Choice of law.</w:t>
      </w:r>
      <w:r w:rsidRPr="0099174E">
        <w:rPr>
          <w:rFonts w:ascii="Times New Roman" w:hAnsi="Times New Roman" w:cs="Times New Roman"/>
          <w:sz w:val="24"/>
          <w:szCs w:val="24"/>
        </w:rPr>
        <w:t xml:space="preserve"> The submission by the Borrower to the rules of the CEB as specified in the provisions of Article 1, paragraph 3, of the Third Protocol (dated 6 March 1959) to the General Agreement on Privileges and Immunities of the Council of Europe (dated 2 September 1949) and secondarily to the laws of the France is legally valid and binding on the Borrower under the laws of [INSERT JURISDICTION].</w:t>
      </w:r>
    </w:p>
    <w:p w14:paraId="079C4174" w14:textId="77777777" w:rsidR="0099174E" w:rsidRPr="0099174E" w:rsidRDefault="0099174E" w:rsidP="0099174E">
      <w:pPr>
        <w:pStyle w:val="NumbParagraphe"/>
        <w:ind w:left="426" w:hanging="426"/>
        <w:rPr>
          <w:rFonts w:ascii="Times New Roman" w:hAnsi="Times New Roman" w:cs="Times New Roman"/>
          <w:sz w:val="24"/>
          <w:szCs w:val="24"/>
        </w:rPr>
      </w:pPr>
      <w:r w:rsidRPr="0099174E">
        <w:rPr>
          <w:rFonts w:ascii="Times New Roman" w:hAnsi="Times New Roman" w:cs="Times New Roman"/>
          <w:b/>
          <w:i/>
          <w:sz w:val="24"/>
          <w:szCs w:val="24"/>
        </w:rPr>
        <w:t>Arbitration.</w:t>
      </w:r>
      <w:r w:rsidRPr="0099174E">
        <w:rPr>
          <w:rFonts w:ascii="Times New Roman" w:hAnsi="Times New Roman" w:cs="Times New Roman"/>
          <w:sz w:val="24"/>
          <w:szCs w:val="24"/>
        </w:rPr>
        <w:t xml:space="preserve"> The submission by the Borrower to the Arbitral Tribunal set forth under Chapter 4 of the CEB’s Loan Regulations with respect to any dispute arising out of the Agreement is legally valid and binding on the Borrower. Any award of such Arbitral Tribunal is enforceable in [INSERT JURISDICTION] in accordance with the terms of Article 3 of the Third Protocol (dated 6 March 1959) to the General Agreement on Privileges and Immunities of the Council of Europe (dated 2 September 1949).</w:t>
      </w:r>
    </w:p>
    <w:p w14:paraId="1087B0D3" w14:textId="22AD19DE" w:rsidR="0099174E" w:rsidRDefault="0099174E" w:rsidP="0099174E">
      <w:pPr>
        <w:jc w:val="both"/>
        <w:rPr>
          <w:lang w:val="en-US"/>
        </w:rPr>
      </w:pPr>
    </w:p>
    <w:p w14:paraId="65C62387" w14:textId="4D04ECB4" w:rsidR="00E65D9F" w:rsidRDefault="00E65D9F" w:rsidP="0099174E">
      <w:pPr>
        <w:jc w:val="both"/>
        <w:rPr>
          <w:lang w:val="en-US"/>
        </w:rPr>
      </w:pPr>
    </w:p>
    <w:p w14:paraId="50F9A5B5" w14:textId="77777777" w:rsidR="00E65D9F" w:rsidRPr="0099174E" w:rsidRDefault="00E65D9F" w:rsidP="0099174E">
      <w:pPr>
        <w:jc w:val="both"/>
        <w:rPr>
          <w:lang w:val="en-US"/>
        </w:rPr>
      </w:pPr>
    </w:p>
    <w:p w14:paraId="4097432B" w14:textId="77777777" w:rsidR="0099174E" w:rsidRPr="0099174E" w:rsidRDefault="0099174E" w:rsidP="0099174E">
      <w:pPr>
        <w:jc w:val="both"/>
        <w:rPr>
          <w:lang w:val="en-US"/>
        </w:rPr>
      </w:pPr>
      <w:r w:rsidRPr="0099174E">
        <w:rPr>
          <w:lang w:val="en-US"/>
        </w:rPr>
        <w:t>Yours faithfully,</w:t>
      </w:r>
    </w:p>
    <w:p w14:paraId="05F89FE1" w14:textId="7CB2541D" w:rsidR="0099174E" w:rsidRDefault="0099174E" w:rsidP="0099174E">
      <w:pPr>
        <w:jc w:val="both"/>
        <w:rPr>
          <w:lang w:val="en-US"/>
        </w:rPr>
      </w:pPr>
    </w:p>
    <w:p w14:paraId="6051E5E1" w14:textId="77777777" w:rsidR="00E65D9F" w:rsidRPr="0099174E" w:rsidRDefault="00E65D9F" w:rsidP="0099174E">
      <w:pPr>
        <w:jc w:val="both"/>
        <w:rPr>
          <w:lang w:val="en-US"/>
        </w:rPr>
      </w:pPr>
    </w:p>
    <w:p w14:paraId="2E1A2F0A" w14:textId="77777777" w:rsidR="0099174E" w:rsidRPr="0099174E" w:rsidRDefault="0099174E" w:rsidP="0099174E">
      <w:pPr>
        <w:jc w:val="both"/>
        <w:rPr>
          <w:lang w:val="en-US"/>
        </w:rPr>
      </w:pPr>
      <w:r w:rsidRPr="0099174E">
        <w:rPr>
          <w:lang w:val="en-US"/>
        </w:rPr>
        <w:t>[●]</w:t>
      </w:r>
    </w:p>
    <w:p w14:paraId="3D8B643B" w14:textId="77777777" w:rsidR="0099174E" w:rsidRPr="0099174E" w:rsidRDefault="0099174E" w:rsidP="0099174E">
      <w:pPr>
        <w:jc w:val="both"/>
        <w:rPr>
          <w:lang w:val="en-US"/>
        </w:rPr>
      </w:pPr>
      <w:r w:rsidRPr="0099174E">
        <w:rPr>
          <w:lang w:val="en-US"/>
        </w:rPr>
        <w:t>[INSERT NAME AND TITLE]</w:t>
      </w:r>
    </w:p>
    <w:p w14:paraId="7D3559C8" w14:textId="77777777" w:rsidR="00881488" w:rsidRDefault="00881488" w:rsidP="0099174E">
      <w:pPr>
        <w:spacing w:after="160" w:line="259" w:lineRule="auto"/>
        <w:jc w:val="both"/>
      </w:pPr>
    </w:p>
    <w:p w14:paraId="746274F5" w14:textId="683DE143" w:rsidR="00F43E1B" w:rsidRDefault="00F43E1B">
      <w:pPr>
        <w:spacing w:after="160" w:line="259" w:lineRule="auto"/>
      </w:pPr>
      <w:r>
        <w:br w:type="page"/>
      </w:r>
    </w:p>
    <w:p w14:paraId="2790FDDB" w14:textId="073626DB" w:rsidR="0099174E" w:rsidRDefault="0099174E" w:rsidP="0099174E">
      <w:pPr>
        <w:spacing w:after="160" w:line="259" w:lineRule="auto"/>
        <w:jc w:val="both"/>
      </w:pPr>
      <w:r w:rsidRPr="0099174E">
        <w:t>APPENDIX 3</w:t>
      </w:r>
    </w:p>
    <w:p w14:paraId="00678CE9" w14:textId="77777777" w:rsidR="0099174E" w:rsidRPr="0099174E" w:rsidRDefault="0099174E" w:rsidP="009F7B4F">
      <w:pPr>
        <w:pBdr>
          <w:top w:val="single" w:sz="4" w:space="1" w:color="auto"/>
          <w:left w:val="single" w:sz="4" w:space="4" w:color="auto"/>
          <w:bottom w:val="single" w:sz="4" w:space="1" w:color="auto"/>
          <w:right w:val="single" w:sz="4" w:space="4" w:color="auto"/>
        </w:pBdr>
        <w:jc w:val="center"/>
        <w:rPr>
          <w:b/>
        </w:rPr>
      </w:pPr>
      <w:r w:rsidRPr="0099174E">
        <w:rPr>
          <w:b/>
        </w:rPr>
        <w:t>DISBURSEMENT REQUEST (TEMPLATE)</w:t>
      </w:r>
    </w:p>
    <w:p w14:paraId="1F956BA9" w14:textId="77777777" w:rsidR="0099174E" w:rsidRPr="0099174E" w:rsidRDefault="0099174E" w:rsidP="000913D4">
      <w:pPr>
        <w:jc w:val="right"/>
        <w:rPr>
          <w:b/>
        </w:rPr>
      </w:pPr>
      <w:r w:rsidRPr="0099174E">
        <w:rPr>
          <w:b/>
        </w:rPr>
        <w:t>LD 2056 – [•] Tranche</w:t>
      </w:r>
    </w:p>
    <w:p w14:paraId="425001E5" w14:textId="77777777" w:rsidR="0099174E" w:rsidRPr="0099174E" w:rsidRDefault="0099174E" w:rsidP="0099174E">
      <w:pPr>
        <w:jc w:val="both"/>
      </w:pPr>
    </w:p>
    <w:p w14:paraId="12658BB4" w14:textId="77777777" w:rsidR="0099174E" w:rsidRPr="0099174E" w:rsidRDefault="0099174E" w:rsidP="0099174E">
      <w:pPr>
        <w:jc w:val="both"/>
        <w:rPr>
          <w:lang w:val="en-US"/>
        </w:rPr>
      </w:pPr>
      <w:r w:rsidRPr="0099174E">
        <w:rPr>
          <w:lang w:val="en-US"/>
        </w:rPr>
        <w:t xml:space="preserve">With reference to </w:t>
      </w:r>
      <w:r w:rsidRPr="0099174E">
        <w:rPr>
          <w:lang w:val="en-GB"/>
        </w:rPr>
        <w:t>the Framework Loan Agreement dated [●] (hereinafter, the “</w:t>
      </w:r>
      <w:r w:rsidRPr="0099174E">
        <w:rPr>
          <w:b/>
          <w:lang w:val="en-GB"/>
        </w:rPr>
        <w:t>Agreement</w:t>
      </w:r>
      <w:r w:rsidRPr="0099174E">
        <w:rPr>
          <w:lang w:val="en-GB"/>
        </w:rPr>
        <w:t xml:space="preserve">”) </w:t>
      </w:r>
      <w:r w:rsidRPr="0099174E">
        <w:rPr>
          <w:lang w:val="en-US"/>
        </w:rPr>
        <w:t xml:space="preserve">between the Republic of Croatia </w:t>
      </w:r>
      <w:r w:rsidRPr="0099174E">
        <w:rPr>
          <w:lang w:val="en-GB"/>
        </w:rPr>
        <w:t>(hereinafter, the “</w:t>
      </w:r>
      <w:r w:rsidRPr="0099174E">
        <w:rPr>
          <w:b/>
          <w:lang w:val="en-GB"/>
        </w:rPr>
        <w:t>Borrower</w:t>
      </w:r>
      <w:r w:rsidRPr="0099174E">
        <w:rPr>
          <w:lang w:val="en-GB"/>
        </w:rPr>
        <w:t xml:space="preserve">”) </w:t>
      </w:r>
      <w:r w:rsidRPr="0099174E">
        <w:rPr>
          <w:lang w:val="en-US"/>
        </w:rPr>
        <w:t xml:space="preserve">and the Council of Europe Development Bank (hereinafter, the </w:t>
      </w:r>
      <w:r w:rsidRPr="0099174E">
        <w:rPr>
          <w:lang w:val="en-GB"/>
        </w:rPr>
        <w:t>“</w:t>
      </w:r>
      <w:r w:rsidRPr="0099174E">
        <w:rPr>
          <w:b/>
          <w:lang w:val="en-US"/>
        </w:rPr>
        <w:t>CEB</w:t>
      </w:r>
      <w:r w:rsidRPr="0099174E">
        <w:rPr>
          <w:lang w:val="en-GB"/>
        </w:rPr>
        <w:t>”</w:t>
      </w:r>
      <w:r w:rsidRPr="0099174E">
        <w:rPr>
          <w:lang w:val="en-US"/>
        </w:rPr>
        <w:t>), the Borrower hereby requests the CEB, in accordance with Sub-clause 4.3(a) of the Agreement, to proceed with the disbursement of a Tranche under the specific terms and conditions set out below.</w:t>
      </w:r>
    </w:p>
    <w:p w14:paraId="5CAD463D" w14:textId="77777777" w:rsidR="0099174E" w:rsidRPr="0099174E" w:rsidRDefault="0099174E" w:rsidP="0099174E">
      <w:pPr>
        <w:jc w:val="both"/>
        <w:rPr>
          <w:lang w:val="en-US"/>
        </w:rPr>
      </w:pPr>
    </w:p>
    <w:p w14:paraId="7E6C87CB" w14:textId="64EAB12E" w:rsidR="0099174E" w:rsidRDefault="0099174E" w:rsidP="0099174E">
      <w:pPr>
        <w:ind w:right="-2"/>
        <w:jc w:val="both"/>
        <w:rPr>
          <w:lang w:val="en-US"/>
        </w:rPr>
      </w:pPr>
      <w:r w:rsidRPr="0099174E">
        <w:rPr>
          <w:lang w:val="en-US"/>
        </w:rPr>
        <w:t>Terms defined in the Agreement shall have the same meaning herein, unless otherwise specified.</w:t>
      </w:r>
    </w:p>
    <w:p w14:paraId="1A9C1585" w14:textId="77777777" w:rsidR="009F7B4F" w:rsidRPr="0099174E" w:rsidRDefault="009F7B4F" w:rsidP="0099174E">
      <w:pPr>
        <w:ind w:right="-2"/>
        <w:jc w:val="both"/>
        <w:rPr>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1461"/>
        <w:gridCol w:w="1888"/>
        <w:gridCol w:w="3001"/>
      </w:tblGrid>
      <w:tr w:rsidR="0099174E" w:rsidRPr="0099174E" w14:paraId="4E4672B2" w14:textId="77777777" w:rsidTr="0099174E">
        <w:trPr>
          <w:jc w:val="center"/>
        </w:trPr>
        <w:tc>
          <w:tcPr>
            <w:tcW w:w="2758" w:type="dxa"/>
            <w:shd w:val="clear" w:color="auto" w:fill="auto"/>
          </w:tcPr>
          <w:p w14:paraId="24A27DB2" w14:textId="77777777" w:rsidR="0099174E" w:rsidRPr="0099174E" w:rsidRDefault="0099174E" w:rsidP="0099174E">
            <w:pPr>
              <w:jc w:val="both"/>
              <w:rPr>
                <w:lang w:val="en-GB"/>
              </w:rPr>
            </w:pPr>
            <w:r w:rsidRPr="0099174E">
              <w:rPr>
                <w:lang w:val="en-GB"/>
              </w:rPr>
              <w:t>Currency/Amount</w:t>
            </w:r>
          </w:p>
        </w:tc>
        <w:tc>
          <w:tcPr>
            <w:tcW w:w="6384" w:type="dxa"/>
            <w:gridSpan w:val="3"/>
            <w:shd w:val="clear" w:color="auto" w:fill="auto"/>
          </w:tcPr>
          <w:p w14:paraId="08BCCE63" w14:textId="77777777" w:rsidR="0099174E" w:rsidRPr="0099174E" w:rsidRDefault="0099174E" w:rsidP="0099174E">
            <w:pPr>
              <w:jc w:val="both"/>
              <w:rPr>
                <w:lang w:val="en-GB"/>
              </w:rPr>
            </w:pPr>
            <w:r w:rsidRPr="0099174E">
              <w:rPr>
                <w:lang w:val="en-GB"/>
              </w:rPr>
              <w:t>[●]</w:t>
            </w:r>
          </w:p>
        </w:tc>
      </w:tr>
      <w:tr w:rsidR="0099174E" w:rsidRPr="0099174E" w14:paraId="1DDCE512" w14:textId="77777777" w:rsidTr="0099174E">
        <w:trPr>
          <w:jc w:val="center"/>
        </w:trPr>
        <w:tc>
          <w:tcPr>
            <w:tcW w:w="2758" w:type="dxa"/>
            <w:shd w:val="clear" w:color="auto" w:fill="auto"/>
          </w:tcPr>
          <w:p w14:paraId="7FAB027B" w14:textId="77777777" w:rsidR="0099174E" w:rsidRPr="0099174E" w:rsidRDefault="0099174E" w:rsidP="0099174E">
            <w:pPr>
              <w:jc w:val="both"/>
              <w:rPr>
                <w:lang w:val="en-GB"/>
              </w:rPr>
            </w:pPr>
            <w:r w:rsidRPr="0099174E">
              <w:rPr>
                <w:lang w:val="en-GB"/>
              </w:rPr>
              <w:t>Disbursement Date</w:t>
            </w:r>
          </w:p>
        </w:tc>
        <w:tc>
          <w:tcPr>
            <w:tcW w:w="6384" w:type="dxa"/>
            <w:gridSpan w:val="3"/>
            <w:shd w:val="clear" w:color="auto" w:fill="auto"/>
          </w:tcPr>
          <w:p w14:paraId="5E8B377F" w14:textId="77777777" w:rsidR="0099174E" w:rsidRPr="0099174E" w:rsidRDefault="0099174E" w:rsidP="0099174E">
            <w:pPr>
              <w:jc w:val="both"/>
              <w:rPr>
                <w:lang w:val="en-GB"/>
              </w:rPr>
            </w:pPr>
            <w:r w:rsidRPr="0099174E">
              <w:rPr>
                <w:lang w:val="en-GB"/>
              </w:rPr>
              <w:t>[●]</w:t>
            </w:r>
          </w:p>
        </w:tc>
      </w:tr>
      <w:tr w:rsidR="0099174E" w:rsidRPr="0099174E" w14:paraId="3660B262" w14:textId="77777777" w:rsidTr="0099174E">
        <w:trPr>
          <w:jc w:val="center"/>
        </w:trPr>
        <w:tc>
          <w:tcPr>
            <w:tcW w:w="2758" w:type="dxa"/>
            <w:shd w:val="clear" w:color="auto" w:fill="auto"/>
          </w:tcPr>
          <w:p w14:paraId="3E4CA686" w14:textId="77777777" w:rsidR="0099174E" w:rsidRPr="0099174E" w:rsidRDefault="0099174E" w:rsidP="0099174E">
            <w:pPr>
              <w:jc w:val="both"/>
              <w:rPr>
                <w:lang w:val="en-GB"/>
              </w:rPr>
            </w:pPr>
            <w:r w:rsidRPr="0099174E">
              <w:rPr>
                <w:lang w:val="en-GB"/>
              </w:rPr>
              <w:t>Principal Repayment Period</w:t>
            </w:r>
          </w:p>
        </w:tc>
        <w:tc>
          <w:tcPr>
            <w:tcW w:w="6384" w:type="dxa"/>
            <w:gridSpan w:val="3"/>
            <w:shd w:val="clear" w:color="auto" w:fill="auto"/>
          </w:tcPr>
          <w:p w14:paraId="1D9D4B5B" w14:textId="77777777" w:rsidR="0099174E" w:rsidRPr="0099174E" w:rsidRDefault="0099174E" w:rsidP="0099174E">
            <w:pPr>
              <w:jc w:val="both"/>
              <w:rPr>
                <w:lang w:val="en-GB"/>
              </w:rPr>
            </w:pPr>
            <w:r w:rsidRPr="0099174E">
              <w:rPr>
                <w:lang w:val="en-GB"/>
              </w:rPr>
              <w:t>[●] years [including a grace period of [●] years]</w:t>
            </w:r>
          </w:p>
        </w:tc>
      </w:tr>
      <w:tr w:rsidR="0099174E" w:rsidRPr="0099174E" w14:paraId="7C92CD56" w14:textId="77777777" w:rsidTr="0099174E">
        <w:trPr>
          <w:jc w:val="center"/>
        </w:trPr>
        <w:tc>
          <w:tcPr>
            <w:tcW w:w="2758" w:type="dxa"/>
            <w:shd w:val="clear" w:color="auto" w:fill="auto"/>
          </w:tcPr>
          <w:p w14:paraId="36A828A7" w14:textId="77777777" w:rsidR="0099174E" w:rsidRPr="0099174E" w:rsidRDefault="0099174E" w:rsidP="0099174E">
            <w:pPr>
              <w:jc w:val="both"/>
              <w:rPr>
                <w:lang w:val="en-GB"/>
              </w:rPr>
            </w:pPr>
            <w:r w:rsidRPr="0099174E">
              <w:rPr>
                <w:lang w:val="en-GB"/>
              </w:rPr>
              <w:t>Principal Repayment Date(s)</w:t>
            </w:r>
          </w:p>
        </w:tc>
        <w:tc>
          <w:tcPr>
            <w:tcW w:w="6384" w:type="dxa"/>
            <w:gridSpan w:val="3"/>
            <w:shd w:val="clear" w:color="auto" w:fill="auto"/>
          </w:tcPr>
          <w:p w14:paraId="6C2C5A58" w14:textId="77777777" w:rsidR="0099174E" w:rsidRPr="0099174E" w:rsidRDefault="0099174E" w:rsidP="0099174E">
            <w:pPr>
              <w:jc w:val="both"/>
              <w:rPr>
                <w:strike/>
                <w:lang w:val="en-GB"/>
              </w:rPr>
            </w:pPr>
            <w:r w:rsidRPr="0099174E">
              <w:rPr>
                <w:lang w:val="en-GB"/>
              </w:rPr>
              <w:t>[●]</w:t>
            </w:r>
          </w:p>
        </w:tc>
      </w:tr>
      <w:tr w:rsidR="0099174E" w:rsidRPr="0099174E" w14:paraId="596C37DA" w14:textId="77777777" w:rsidTr="0099174E">
        <w:trPr>
          <w:jc w:val="center"/>
        </w:trPr>
        <w:tc>
          <w:tcPr>
            <w:tcW w:w="2758" w:type="dxa"/>
            <w:shd w:val="clear" w:color="auto" w:fill="auto"/>
          </w:tcPr>
          <w:p w14:paraId="26DC67B0" w14:textId="77777777" w:rsidR="0099174E" w:rsidRPr="0099174E" w:rsidRDefault="0099174E" w:rsidP="0099174E">
            <w:pPr>
              <w:jc w:val="both"/>
              <w:rPr>
                <w:lang w:val="en-GB"/>
              </w:rPr>
            </w:pPr>
            <w:r w:rsidRPr="0099174E">
              <w:rPr>
                <w:lang w:val="en-GB"/>
              </w:rPr>
              <w:t>Maturity Date</w:t>
            </w:r>
          </w:p>
        </w:tc>
        <w:tc>
          <w:tcPr>
            <w:tcW w:w="6384" w:type="dxa"/>
            <w:gridSpan w:val="3"/>
            <w:shd w:val="clear" w:color="auto" w:fill="auto"/>
          </w:tcPr>
          <w:p w14:paraId="70827FC2" w14:textId="77777777" w:rsidR="0099174E" w:rsidRPr="0099174E" w:rsidRDefault="0099174E" w:rsidP="0099174E">
            <w:pPr>
              <w:jc w:val="both"/>
              <w:rPr>
                <w:lang w:val="en-GB"/>
              </w:rPr>
            </w:pPr>
            <w:r w:rsidRPr="0099174E">
              <w:rPr>
                <w:lang w:val="en-GB"/>
              </w:rPr>
              <w:t>[●]</w:t>
            </w:r>
          </w:p>
        </w:tc>
      </w:tr>
      <w:tr w:rsidR="0099174E" w:rsidRPr="0099174E" w14:paraId="7BCF0360" w14:textId="77777777" w:rsidTr="0099174E">
        <w:trPr>
          <w:trHeight w:val="396"/>
          <w:jc w:val="center"/>
        </w:trPr>
        <w:tc>
          <w:tcPr>
            <w:tcW w:w="2758" w:type="dxa"/>
            <w:vMerge w:val="restart"/>
            <w:shd w:val="clear" w:color="auto" w:fill="auto"/>
          </w:tcPr>
          <w:p w14:paraId="27A78222" w14:textId="77777777" w:rsidR="0099174E" w:rsidRPr="0099174E" w:rsidRDefault="0099174E" w:rsidP="0099174E">
            <w:pPr>
              <w:jc w:val="both"/>
              <w:rPr>
                <w:lang w:val="en-GB"/>
              </w:rPr>
            </w:pPr>
            <w:r w:rsidRPr="0099174E">
              <w:rPr>
                <w:lang w:val="en-GB"/>
              </w:rPr>
              <w:t>Interest Rate</w:t>
            </w:r>
          </w:p>
        </w:tc>
        <w:tc>
          <w:tcPr>
            <w:tcW w:w="1461" w:type="dxa"/>
            <w:shd w:val="clear" w:color="auto" w:fill="auto"/>
          </w:tcPr>
          <w:p w14:paraId="60382752" w14:textId="77777777" w:rsidR="0099174E" w:rsidRPr="0099174E" w:rsidRDefault="0099174E" w:rsidP="0099174E">
            <w:pPr>
              <w:jc w:val="both"/>
              <w:rPr>
                <w:i/>
                <w:lang w:val="en-US"/>
              </w:rPr>
            </w:pPr>
            <w:r w:rsidRPr="0099174E">
              <w:rPr>
                <w:lang w:val="en-GB"/>
              </w:rPr>
              <w:t>Fixed</w:t>
            </w:r>
          </w:p>
          <w:p w14:paraId="65494DE0" w14:textId="77777777" w:rsidR="0099174E" w:rsidRPr="0099174E" w:rsidRDefault="0099174E" w:rsidP="0099174E">
            <w:pPr>
              <w:jc w:val="both"/>
              <w:rPr>
                <w:lang w:val="en-US"/>
              </w:rPr>
            </w:pPr>
          </w:p>
        </w:tc>
        <w:tc>
          <w:tcPr>
            <w:tcW w:w="4923" w:type="dxa"/>
            <w:gridSpan w:val="2"/>
            <w:shd w:val="clear" w:color="auto" w:fill="auto"/>
          </w:tcPr>
          <w:p w14:paraId="483D8974" w14:textId="77777777" w:rsidR="0099174E" w:rsidRPr="0099174E" w:rsidRDefault="0099174E" w:rsidP="0099174E">
            <w:pPr>
              <w:jc w:val="both"/>
              <w:rPr>
                <w:lang w:val="en-US"/>
              </w:rPr>
            </w:pPr>
            <w:r w:rsidRPr="0099174E">
              <w:rPr>
                <w:lang w:val="en-GB"/>
              </w:rPr>
              <w:t>Maximum [●]</w:t>
            </w:r>
            <w:r w:rsidRPr="0099174E">
              <w:rPr>
                <w:lang w:val="en-US"/>
              </w:rPr>
              <w:t xml:space="preserve"> </w:t>
            </w:r>
            <w:r w:rsidRPr="0099174E">
              <w:rPr>
                <w:i/>
                <w:lang w:val="en-US"/>
              </w:rPr>
              <w:t>per annum</w:t>
            </w:r>
          </w:p>
        </w:tc>
      </w:tr>
      <w:tr w:rsidR="0099174E" w:rsidRPr="0099174E" w14:paraId="6A19A44E" w14:textId="77777777" w:rsidTr="0099174E">
        <w:trPr>
          <w:trHeight w:val="785"/>
          <w:jc w:val="center"/>
        </w:trPr>
        <w:tc>
          <w:tcPr>
            <w:tcW w:w="2758" w:type="dxa"/>
            <w:vMerge/>
            <w:shd w:val="clear" w:color="auto" w:fill="auto"/>
          </w:tcPr>
          <w:p w14:paraId="4FC16AB7" w14:textId="77777777" w:rsidR="0099174E" w:rsidRPr="0099174E" w:rsidRDefault="0099174E" w:rsidP="0099174E">
            <w:pPr>
              <w:jc w:val="both"/>
              <w:rPr>
                <w:lang w:val="en-GB"/>
              </w:rPr>
            </w:pPr>
          </w:p>
        </w:tc>
        <w:tc>
          <w:tcPr>
            <w:tcW w:w="1461" w:type="dxa"/>
            <w:vMerge w:val="restart"/>
            <w:shd w:val="clear" w:color="auto" w:fill="auto"/>
          </w:tcPr>
          <w:p w14:paraId="4A27DD99" w14:textId="77777777" w:rsidR="0099174E" w:rsidRPr="0099174E" w:rsidRDefault="0099174E" w:rsidP="0099174E">
            <w:pPr>
              <w:jc w:val="both"/>
              <w:rPr>
                <w:lang w:val="en-GB"/>
              </w:rPr>
            </w:pPr>
            <w:r w:rsidRPr="0099174E">
              <w:rPr>
                <w:lang w:val="en-US"/>
              </w:rPr>
              <w:t>Floating</w:t>
            </w:r>
          </w:p>
        </w:tc>
        <w:tc>
          <w:tcPr>
            <w:tcW w:w="1888" w:type="dxa"/>
            <w:shd w:val="clear" w:color="auto" w:fill="auto"/>
          </w:tcPr>
          <w:p w14:paraId="766D1EBB" w14:textId="77777777" w:rsidR="0099174E" w:rsidRPr="0099174E" w:rsidRDefault="0099174E" w:rsidP="0099174E">
            <w:pPr>
              <w:jc w:val="both"/>
              <w:rPr>
                <w:lang w:val="en-US"/>
              </w:rPr>
            </w:pPr>
            <w:r w:rsidRPr="0099174E">
              <w:rPr>
                <w:lang w:val="en-US"/>
              </w:rPr>
              <w:t xml:space="preserve">Reference Rate: </w:t>
            </w:r>
          </w:p>
          <w:p w14:paraId="5340D834" w14:textId="77777777" w:rsidR="0099174E" w:rsidRPr="0099174E" w:rsidRDefault="0099174E" w:rsidP="0099174E">
            <w:pPr>
              <w:jc w:val="both"/>
              <w:rPr>
                <w:lang w:val="en-US"/>
              </w:rPr>
            </w:pPr>
            <w:r w:rsidRPr="0099174E">
              <w:rPr>
                <w:lang w:val="en-US"/>
              </w:rPr>
              <w:t xml:space="preserve"> </w:t>
            </w:r>
          </w:p>
        </w:tc>
        <w:tc>
          <w:tcPr>
            <w:tcW w:w="3035" w:type="dxa"/>
            <w:shd w:val="clear" w:color="auto" w:fill="auto"/>
          </w:tcPr>
          <w:p w14:paraId="79B32EDC" w14:textId="77777777" w:rsidR="0099174E" w:rsidRPr="0099174E" w:rsidRDefault="0099174E" w:rsidP="0099174E">
            <w:pPr>
              <w:jc w:val="both"/>
              <w:rPr>
                <w:lang w:val="en-GB"/>
              </w:rPr>
            </w:pPr>
            <w:r w:rsidRPr="0099174E">
              <w:rPr>
                <w:lang w:val="en-US"/>
              </w:rPr>
              <w:t>[</w:t>
            </w:r>
            <w:r w:rsidRPr="0099174E">
              <w:rPr>
                <w:lang w:val="en-GB"/>
              </w:rPr>
              <w:t xml:space="preserve">[●]-month </w:t>
            </w:r>
            <w:r w:rsidRPr="0099174E">
              <w:rPr>
                <w:lang w:val="en-US"/>
              </w:rPr>
              <w:t xml:space="preserve">EURIBOR] </w:t>
            </w:r>
            <w:r w:rsidRPr="0099174E">
              <w:rPr>
                <w:i/>
                <w:lang w:val="en-US"/>
              </w:rPr>
              <w:t>per annum</w:t>
            </w:r>
          </w:p>
        </w:tc>
      </w:tr>
      <w:tr w:rsidR="0099174E" w:rsidRPr="0099174E" w14:paraId="3CFA3FAB" w14:textId="77777777" w:rsidTr="0099174E">
        <w:trPr>
          <w:trHeight w:val="322"/>
          <w:jc w:val="center"/>
        </w:trPr>
        <w:tc>
          <w:tcPr>
            <w:tcW w:w="2758" w:type="dxa"/>
            <w:vMerge/>
            <w:shd w:val="clear" w:color="auto" w:fill="auto"/>
          </w:tcPr>
          <w:p w14:paraId="74C1443C" w14:textId="77777777" w:rsidR="0099174E" w:rsidRPr="0099174E" w:rsidRDefault="0099174E" w:rsidP="0099174E">
            <w:pPr>
              <w:jc w:val="both"/>
              <w:rPr>
                <w:lang w:val="en-GB"/>
              </w:rPr>
            </w:pPr>
          </w:p>
        </w:tc>
        <w:tc>
          <w:tcPr>
            <w:tcW w:w="1461" w:type="dxa"/>
            <w:vMerge/>
            <w:shd w:val="clear" w:color="auto" w:fill="auto"/>
          </w:tcPr>
          <w:p w14:paraId="3563B453" w14:textId="77777777" w:rsidR="0099174E" w:rsidRPr="0099174E" w:rsidRDefault="0099174E" w:rsidP="0099174E">
            <w:pPr>
              <w:jc w:val="both"/>
              <w:rPr>
                <w:lang w:val="en-US"/>
              </w:rPr>
            </w:pPr>
          </w:p>
        </w:tc>
        <w:tc>
          <w:tcPr>
            <w:tcW w:w="1888" w:type="dxa"/>
            <w:shd w:val="clear" w:color="auto" w:fill="auto"/>
          </w:tcPr>
          <w:p w14:paraId="4D0997D0" w14:textId="77777777" w:rsidR="0099174E" w:rsidRPr="0099174E" w:rsidRDefault="0099174E" w:rsidP="0099174E">
            <w:pPr>
              <w:jc w:val="both"/>
              <w:rPr>
                <w:lang w:val="en-US"/>
              </w:rPr>
            </w:pPr>
            <w:r w:rsidRPr="0099174E">
              <w:rPr>
                <w:lang w:val="en-US"/>
              </w:rPr>
              <w:t>Spread</w:t>
            </w:r>
          </w:p>
        </w:tc>
        <w:tc>
          <w:tcPr>
            <w:tcW w:w="3035" w:type="dxa"/>
            <w:shd w:val="clear" w:color="auto" w:fill="auto"/>
          </w:tcPr>
          <w:p w14:paraId="0411E13B" w14:textId="77777777" w:rsidR="0099174E" w:rsidRPr="0099174E" w:rsidRDefault="0099174E" w:rsidP="0099174E">
            <w:pPr>
              <w:jc w:val="both"/>
              <w:rPr>
                <w:lang w:val="en-US"/>
              </w:rPr>
            </w:pPr>
            <w:r w:rsidRPr="0099174E">
              <w:rPr>
                <w:lang w:val="en-GB"/>
              </w:rPr>
              <w:t xml:space="preserve">Maximum [●] </w:t>
            </w:r>
            <w:r w:rsidRPr="0099174E">
              <w:rPr>
                <w:lang w:val="en-US"/>
              </w:rPr>
              <w:t>basis points</w:t>
            </w:r>
          </w:p>
        </w:tc>
      </w:tr>
      <w:tr w:rsidR="0099174E" w:rsidRPr="0099174E" w14:paraId="557F34D8" w14:textId="77777777" w:rsidTr="0099174E">
        <w:trPr>
          <w:jc w:val="center"/>
        </w:trPr>
        <w:tc>
          <w:tcPr>
            <w:tcW w:w="2758" w:type="dxa"/>
            <w:shd w:val="clear" w:color="auto" w:fill="auto"/>
          </w:tcPr>
          <w:p w14:paraId="6769558A" w14:textId="77777777" w:rsidR="0099174E" w:rsidRPr="0099174E" w:rsidRDefault="0099174E" w:rsidP="0099174E">
            <w:pPr>
              <w:jc w:val="both"/>
              <w:rPr>
                <w:lang w:val="en-GB"/>
              </w:rPr>
            </w:pPr>
            <w:r w:rsidRPr="0099174E">
              <w:rPr>
                <w:lang w:val="en-GB"/>
              </w:rPr>
              <w:t>Interest Period</w:t>
            </w:r>
          </w:p>
        </w:tc>
        <w:tc>
          <w:tcPr>
            <w:tcW w:w="6384" w:type="dxa"/>
            <w:gridSpan w:val="3"/>
            <w:shd w:val="clear" w:color="auto" w:fill="auto"/>
          </w:tcPr>
          <w:p w14:paraId="4F0387D7" w14:textId="77777777" w:rsidR="0099174E" w:rsidRPr="0099174E" w:rsidRDefault="0099174E" w:rsidP="0099174E">
            <w:pPr>
              <w:jc w:val="both"/>
              <w:rPr>
                <w:lang w:val="en-GB"/>
              </w:rPr>
            </w:pPr>
            <w:r w:rsidRPr="0099174E">
              <w:rPr>
                <w:lang w:val="en-GB"/>
              </w:rPr>
              <w:t xml:space="preserve">[Quarterly] [Semi-annually] [Annually] in arrears </w:t>
            </w:r>
          </w:p>
        </w:tc>
      </w:tr>
      <w:tr w:rsidR="0099174E" w:rsidRPr="0099174E" w14:paraId="1FD3CD03" w14:textId="77777777" w:rsidTr="0099174E">
        <w:trPr>
          <w:jc w:val="center"/>
        </w:trPr>
        <w:tc>
          <w:tcPr>
            <w:tcW w:w="2758" w:type="dxa"/>
            <w:shd w:val="clear" w:color="auto" w:fill="auto"/>
          </w:tcPr>
          <w:p w14:paraId="0C1B3856" w14:textId="77777777" w:rsidR="0099174E" w:rsidRPr="0099174E" w:rsidRDefault="0099174E" w:rsidP="0099174E">
            <w:pPr>
              <w:jc w:val="both"/>
              <w:rPr>
                <w:lang w:val="en-GB"/>
              </w:rPr>
            </w:pPr>
            <w:r w:rsidRPr="0099174E">
              <w:rPr>
                <w:lang w:val="en-GB"/>
              </w:rPr>
              <w:t>Interest Payment Dates</w:t>
            </w:r>
          </w:p>
        </w:tc>
        <w:tc>
          <w:tcPr>
            <w:tcW w:w="6384" w:type="dxa"/>
            <w:gridSpan w:val="3"/>
            <w:shd w:val="clear" w:color="auto" w:fill="auto"/>
          </w:tcPr>
          <w:p w14:paraId="0B4CE402" w14:textId="77777777" w:rsidR="0099174E" w:rsidRPr="0099174E" w:rsidRDefault="0099174E" w:rsidP="0099174E">
            <w:pPr>
              <w:jc w:val="both"/>
              <w:rPr>
                <w:lang w:val="en-GB"/>
              </w:rPr>
            </w:pPr>
            <w:r w:rsidRPr="0099174E">
              <w:rPr>
                <w:lang w:val="en-GB"/>
              </w:rPr>
              <w:t>The interest payment will take place on [●] every year and for the first time on [●]</w:t>
            </w:r>
          </w:p>
        </w:tc>
      </w:tr>
      <w:tr w:rsidR="0099174E" w:rsidRPr="0099174E" w14:paraId="0D56ED27" w14:textId="77777777" w:rsidTr="0099174E">
        <w:trPr>
          <w:trHeight w:val="224"/>
          <w:jc w:val="center"/>
        </w:trPr>
        <w:tc>
          <w:tcPr>
            <w:tcW w:w="2758" w:type="dxa"/>
            <w:shd w:val="clear" w:color="auto" w:fill="auto"/>
          </w:tcPr>
          <w:p w14:paraId="1B6CACFB" w14:textId="77777777" w:rsidR="0099174E" w:rsidRPr="0099174E" w:rsidRDefault="0099174E" w:rsidP="0099174E">
            <w:pPr>
              <w:ind w:left="3540" w:hanging="3540"/>
              <w:jc w:val="both"/>
              <w:rPr>
                <w:lang w:val="en-GB"/>
              </w:rPr>
            </w:pPr>
            <w:r w:rsidRPr="0099174E">
              <w:rPr>
                <w:lang w:val="en-GB"/>
              </w:rPr>
              <w:t>Day Count Convention</w:t>
            </w:r>
          </w:p>
        </w:tc>
        <w:tc>
          <w:tcPr>
            <w:tcW w:w="6384" w:type="dxa"/>
            <w:gridSpan w:val="3"/>
            <w:shd w:val="clear" w:color="auto" w:fill="auto"/>
          </w:tcPr>
          <w:p w14:paraId="3334D833" w14:textId="77777777" w:rsidR="0099174E" w:rsidRPr="0099174E" w:rsidRDefault="0099174E" w:rsidP="0099174E">
            <w:pPr>
              <w:jc w:val="both"/>
              <w:rPr>
                <w:lang w:val="en-GB"/>
              </w:rPr>
            </w:pPr>
            <w:r w:rsidRPr="0099174E">
              <w:rPr>
                <w:lang w:val="en-GB"/>
              </w:rPr>
              <w:t>Modified Following Business Day Convention</w:t>
            </w:r>
          </w:p>
        </w:tc>
      </w:tr>
      <w:tr w:rsidR="0099174E" w:rsidRPr="0099174E" w14:paraId="6B28F27E" w14:textId="77777777" w:rsidTr="0099174E">
        <w:trPr>
          <w:jc w:val="center"/>
        </w:trPr>
        <w:tc>
          <w:tcPr>
            <w:tcW w:w="2758" w:type="dxa"/>
            <w:shd w:val="clear" w:color="auto" w:fill="auto"/>
          </w:tcPr>
          <w:p w14:paraId="5AD4B5BA" w14:textId="77777777" w:rsidR="0099174E" w:rsidRPr="0099174E" w:rsidRDefault="0099174E" w:rsidP="0099174E">
            <w:pPr>
              <w:jc w:val="both"/>
              <w:rPr>
                <w:lang w:val="en-GB"/>
              </w:rPr>
            </w:pPr>
            <w:r w:rsidRPr="0099174E">
              <w:rPr>
                <w:lang w:val="en-GB"/>
              </w:rPr>
              <w:t>Business Day</w:t>
            </w:r>
          </w:p>
        </w:tc>
        <w:tc>
          <w:tcPr>
            <w:tcW w:w="6384" w:type="dxa"/>
            <w:gridSpan w:val="3"/>
            <w:shd w:val="clear" w:color="auto" w:fill="auto"/>
          </w:tcPr>
          <w:p w14:paraId="2D4C8221" w14:textId="77777777" w:rsidR="0099174E" w:rsidRPr="0099174E" w:rsidRDefault="0099174E" w:rsidP="0099174E">
            <w:pPr>
              <w:jc w:val="both"/>
              <w:rPr>
                <w:lang w:val="en-GB"/>
              </w:rPr>
            </w:pPr>
            <w:r w:rsidRPr="0099174E">
              <w:rPr>
                <w:lang w:val="en-GB"/>
              </w:rPr>
              <w:t>[●]</w:t>
            </w:r>
          </w:p>
        </w:tc>
      </w:tr>
      <w:tr w:rsidR="0099174E" w:rsidRPr="0099174E" w14:paraId="6EE473FF" w14:textId="77777777" w:rsidTr="0099174E">
        <w:trPr>
          <w:jc w:val="center"/>
        </w:trPr>
        <w:tc>
          <w:tcPr>
            <w:tcW w:w="2758" w:type="dxa"/>
            <w:shd w:val="clear" w:color="auto" w:fill="auto"/>
          </w:tcPr>
          <w:p w14:paraId="1CEBC90E" w14:textId="77777777" w:rsidR="0099174E" w:rsidRPr="0099174E" w:rsidRDefault="0099174E" w:rsidP="0099174E">
            <w:pPr>
              <w:jc w:val="both"/>
              <w:rPr>
                <w:lang w:val="en-GB"/>
              </w:rPr>
            </w:pPr>
            <w:r w:rsidRPr="0099174E">
              <w:rPr>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189"/>
              <w:gridCol w:w="2889"/>
            </w:tblGrid>
            <w:tr w:rsidR="0099174E" w:rsidRPr="0099174E" w14:paraId="74914F92" w14:textId="77777777" w:rsidTr="0099174E">
              <w:tc>
                <w:tcPr>
                  <w:tcW w:w="2054" w:type="dxa"/>
                  <w:shd w:val="clear" w:color="auto" w:fill="auto"/>
                </w:tcPr>
                <w:p w14:paraId="1C8CEC8A" w14:textId="77777777" w:rsidR="0099174E" w:rsidRPr="0099174E" w:rsidRDefault="0099174E" w:rsidP="0099174E">
                  <w:pPr>
                    <w:jc w:val="both"/>
                    <w:rPr>
                      <w:lang w:val="en-GB"/>
                    </w:rPr>
                  </w:pPr>
                  <w:r w:rsidRPr="0099174E">
                    <w:rPr>
                      <w:lang w:val="en-GB"/>
                    </w:rPr>
                    <w:t>Beneficiary’s Name</w:t>
                  </w:r>
                </w:p>
              </w:tc>
              <w:tc>
                <w:tcPr>
                  <w:tcW w:w="4070" w:type="dxa"/>
                  <w:gridSpan w:val="2"/>
                  <w:shd w:val="clear" w:color="auto" w:fill="auto"/>
                </w:tcPr>
                <w:p w14:paraId="655B246D" w14:textId="77777777" w:rsidR="0099174E" w:rsidRPr="0099174E" w:rsidRDefault="0099174E" w:rsidP="0099174E">
                  <w:pPr>
                    <w:jc w:val="both"/>
                    <w:rPr>
                      <w:lang w:val="en-GB"/>
                    </w:rPr>
                  </w:pPr>
                  <w:r w:rsidRPr="0099174E">
                    <w:rPr>
                      <w:lang w:val="en-GB"/>
                    </w:rPr>
                    <w:t>[●]</w:t>
                  </w:r>
                </w:p>
              </w:tc>
            </w:tr>
            <w:tr w:rsidR="0099174E" w:rsidRPr="0099174E" w14:paraId="14D6B6EA" w14:textId="77777777" w:rsidTr="0099174E">
              <w:tc>
                <w:tcPr>
                  <w:tcW w:w="2054" w:type="dxa"/>
                  <w:vMerge w:val="restart"/>
                  <w:shd w:val="clear" w:color="auto" w:fill="auto"/>
                </w:tcPr>
                <w:p w14:paraId="05A69C6A" w14:textId="77777777" w:rsidR="0099174E" w:rsidRPr="0099174E" w:rsidRDefault="0099174E" w:rsidP="0099174E">
                  <w:pPr>
                    <w:jc w:val="both"/>
                    <w:rPr>
                      <w:lang w:val="en-GB"/>
                    </w:rPr>
                  </w:pPr>
                  <w:r w:rsidRPr="0099174E">
                    <w:rPr>
                      <w:lang w:val="en-GB"/>
                    </w:rPr>
                    <w:t>Beneficiary</w:t>
                  </w:r>
                  <w:r w:rsidRPr="0099174E">
                    <w:rPr>
                      <w:lang w:val="en-GB"/>
                    </w:rPr>
                    <w:cr/>
                    <w:t>’s Bank</w:t>
                  </w:r>
                </w:p>
              </w:tc>
              <w:tc>
                <w:tcPr>
                  <w:tcW w:w="1126" w:type="dxa"/>
                  <w:shd w:val="clear" w:color="auto" w:fill="auto"/>
                </w:tcPr>
                <w:p w14:paraId="63CB3219" w14:textId="77777777" w:rsidR="0099174E" w:rsidRPr="0099174E" w:rsidRDefault="0099174E" w:rsidP="0099174E">
                  <w:pPr>
                    <w:jc w:val="both"/>
                    <w:rPr>
                      <w:lang w:val="en-GB"/>
                    </w:rPr>
                  </w:pPr>
                  <w:r w:rsidRPr="0099174E">
                    <w:rPr>
                      <w:lang w:val="en-GB"/>
                    </w:rPr>
                    <w:t xml:space="preserve">Name </w:t>
                  </w:r>
                </w:p>
              </w:tc>
              <w:tc>
                <w:tcPr>
                  <w:tcW w:w="2944" w:type="dxa"/>
                  <w:shd w:val="clear" w:color="auto" w:fill="auto"/>
                </w:tcPr>
                <w:p w14:paraId="054DCDA4" w14:textId="77777777" w:rsidR="0099174E" w:rsidRPr="0099174E" w:rsidRDefault="0099174E" w:rsidP="0099174E">
                  <w:pPr>
                    <w:jc w:val="both"/>
                    <w:rPr>
                      <w:lang w:val="en-GB"/>
                    </w:rPr>
                  </w:pPr>
                  <w:r w:rsidRPr="0099174E">
                    <w:rPr>
                      <w:lang w:val="en-GB"/>
                    </w:rPr>
                    <w:t>[●]</w:t>
                  </w:r>
                </w:p>
              </w:tc>
            </w:tr>
            <w:tr w:rsidR="0099174E" w:rsidRPr="0099174E" w14:paraId="3B06191C" w14:textId="77777777" w:rsidTr="0099174E">
              <w:tc>
                <w:tcPr>
                  <w:tcW w:w="2054" w:type="dxa"/>
                  <w:vMerge/>
                  <w:shd w:val="clear" w:color="auto" w:fill="auto"/>
                </w:tcPr>
                <w:p w14:paraId="0C33FA8A" w14:textId="77777777" w:rsidR="0099174E" w:rsidRPr="0099174E" w:rsidRDefault="0099174E" w:rsidP="0099174E">
                  <w:pPr>
                    <w:jc w:val="both"/>
                    <w:rPr>
                      <w:lang w:val="en-GB"/>
                    </w:rPr>
                  </w:pPr>
                </w:p>
              </w:tc>
              <w:tc>
                <w:tcPr>
                  <w:tcW w:w="1126" w:type="dxa"/>
                  <w:shd w:val="clear" w:color="auto" w:fill="auto"/>
                </w:tcPr>
                <w:p w14:paraId="411F3735" w14:textId="77777777" w:rsidR="0099174E" w:rsidRPr="0099174E" w:rsidRDefault="0099174E" w:rsidP="0099174E">
                  <w:pPr>
                    <w:jc w:val="both"/>
                    <w:rPr>
                      <w:lang w:val="en-GB"/>
                    </w:rPr>
                  </w:pPr>
                  <w:r w:rsidRPr="0099174E">
                    <w:rPr>
                      <w:lang w:val="en-GB"/>
                    </w:rPr>
                    <w:t>City</w:t>
                  </w:r>
                </w:p>
              </w:tc>
              <w:tc>
                <w:tcPr>
                  <w:tcW w:w="2944" w:type="dxa"/>
                  <w:shd w:val="clear" w:color="auto" w:fill="auto"/>
                </w:tcPr>
                <w:p w14:paraId="6595B322" w14:textId="77777777" w:rsidR="0099174E" w:rsidRPr="0099174E" w:rsidRDefault="0099174E" w:rsidP="0099174E">
                  <w:pPr>
                    <w:jc w:val="both"/>
                    <w:rPr>
                      <w:lang w:val="en-GB"/>
                    </w:rPr>
                  </w:pPr>
                  <w:r w:rsidRPr="0099174E">
                    <w:rPr>
                      <w:lang w:val="en-GB"/>
                    </w:rPr>
                    <w:t>[●]</w:t>
                  </w:r>
                </w:p>
              </w:tc>
            </w:tr>
            <w:tr w:rsidR="0099174E" w:rsidRPr="0099174E" w14:paraId="15C0B9D8" w14:textId="77777777" w:rsidTr="0099174E">
              <w:tc>
                <w:tcPr>
                  <w:tcW w:w="2054" w:type="dxa"/>
                  <w:vMerge/>
                  <w:shd w:val="clear" w:color="auto" w:fill="auto"/>
                </w:tcPr>
                <w:p w14:paraId="73FE2761" w14:textId="77777777" w:rsidR="0099174E" w:rsidRPr="0099174E" w:rsidRDefault="0099174E" w:rsidP="0099174E">
                  <w:pPr>
                    <w:jc w:val="both"/>
                    <w:rPr>
                      <w:lang w:val="en-GB"/>
                    </w:rPr>
                  </w:pPr>
                </w:p>
              </w:tc>
              <w:tc>
                <w:tcPr>
                  <w:tcW w:w="1126" w:type="dxa"/>
                  <w:shd w:val="clear" w:color="auto" w:fill="auto"/>
                </w:tcPr>
                <w:p w14:paraId="783996C4" w14:textId="77777777" w:rsidR="0099174E" w:rsidRPr="0099174E" w:rsidRDefault="0099174E" w:rsidP="0099174E">
                  <w:pPr>
                    <w:jc w:val="both"/>
                    <w:rPr>
                      <w:lang w:val="en-GB"/>
                    </w:rPr>
                  </w:pPr>
                  <w:r w:rsidRPr="0099174E">
                    <w:rPr>
                      <w:lang w:val="en-GB"/>
                    </w:rPr>
                    <w:t>SWIFT</w:t>
                  </w:r>
                </w:p>
              </w:tc>
              <w:tc>
                <w:tcPr>
                  <w:tcW w:w="2944" w:type="dxa"/>
                  <w:shd w:val="clear" w:color="auto" w:fill="auto"/>
                </w:tcPr>
                <w:p w14:paraId="5459D802" w14:textId="77777777" w:rsidR="0099174E" w:rsidRPr="0099174E" w:rsidRDefault="0099174E" w:rsidP="0099174E">
                  <w:pPr>
                    <w:jc w:val="both"/>
                    <w:rPr>
                      <w:lang w:val="en-GB"/>
                    </w:rPr>
                  </w:pPr>
                  <w:r w:rsidRPr="0099174E">
                    <w:rPr>
                      <w:lang w:val="en-GB"/>
                    </w:rPr>
                    <w:t>[●]</w:t>
                  </w:r>
                </w:p>
              </w:tc>
            </w:tr>
            <w:tr w:rsidR="0099174E" w:rsidRPr="0099174E" w14:paraId="01B45465" w14:textId="77777777" w:rsidTr="0099174E">
              <w:tc>
                <w:tcPr>
                  <w:tcW w:w="2054" w:type="dxa"/>
                  <w:vMerge/>
                  <w:shd w:val="clear" w:color="auto" w:fill="auto"/>
                </w:tcPr>
                <w:p w14:paraId="1DA64347" w14:textId="77777777" w:rsidR="0099174E" w:rsidRPr="0099174E" w:rsidRDefault="0099174E" w:rsidP="0099174E">
                  <w:pPr>
                    <w:jc w:val="both"/>
                    <w:rPr>
                      <w:lang w:val="en-GB"/>
                    </w:rPr>
                  </w:pPr>
                </w:p>
              </w:tc>
              <w:tc>
                <w:tcPr>
                  <w:tcW w:w="1126" w:type="dxa"/>
                  <w:shd w:val="clear" w:color="auto" w:fill="auto"/>
                </w:tcPr>
                <w:p w14:paraId="0E6FA9ED" w14:textId="77777777" w:rsidR="0099174E" w:rsidRPr="0099174E" w:rsidRDefault="0099174E" w:rsidP="0099174E">
                  <w:pPr>
                    <w:jc w:val="both"/>
                    <w:rPr>
                      <w:lang w:val="en-GB"/>
                    </w:rPr>
                  </w:pPr>
                  <w:r w:rsidRPr="0099174E">
                    <w:rPr>
                      <w:lang w:val="en-GB"/>
                    </w:rPr>
                    <w:t>IBAN</w:t>
                  </w:r>
                </w:p>
              </w:tc>
              <w:tc>
                <w:tcPr>
                  <w:tcW w:w="2944" w:type="dxa"/>
                  <w:shd w:val="clear" w:color="auto" w:fill="auto"/>
                </w:tcPr>
                <w:p w14:paraId="6CD6A63D" w14:textId="77777777" w:rsidR="0099174E" w:rsidRPr="0099174E" w:rsidRDefault="0099174E" w:rsidP="0099174E">
                  <w:pPr>
                    <w:jc w:val="both"/>
                    <w:rPr>
                      <w:lang w:val="en-GB"/>
                    </w:rPr>
                  </w:pPr>
                  <w:r w:rsidRPr="0099174E">
                    <w:rPr>
                      <w:lang w:val="en-GB"/>
                    </w:rPr>
                    <w:t>[●]</w:t>
                  </w:r>
                </w:p>
              </w:tc>
            </w:tr>
            <w:tr w:rsidR="0099174E" w:rsidRPr="0099174E" w14:paraId="7C3A3C64" w14:textId="77777777" w:rsidTr="0099174E">
              <w:tc>
                <w:tcPr>
                  <w:tcW w:w="2054" w:type="dxa"/>
                  <w:vMerge/>
                  <w:shd w:val="clear" w:color="auto" w:fill="auto"/>
                </w:tcPr>
                <w:p w14:paraId="7E165F42" w14:textId="77777777" w:rsidR="0099174E" w:rsidRPr="0099174E" w:rsidRDefault="0099174E" w:rsidP="0099174E">
                  <w:pPr>
                    <w:jc w:val="both"/>
                    <w:rPr>
                      <w:lang w:val="en-GB"/>
                    </w:rPr>
                  </w:pPr>
                </w:p>
              </w:tc>
              <w:tc>
                <w:tcPr>
                  <w:tcW w:w="1126" w:type="dxa"/>
                  <w:shd w:val="clear" w:color="auto" w:fill="auto"/>
                  <w:vAlign w:val="center"/>
                </w:tcPr>
                <w:p w14:paraId="3B516C80" w14:textId="77777777" w:rsidR="0099174E" w:rsidRPr="0099174E" w:rsidRDefault="0099174E" w:rsidP="0099174E">
                  <w:pPr>
                    <w:jc w:val="both"/>
                    <w:rPr>
                      <w:lang w:val="en-GB"/>
                    </w:rPr>
                  </w:pPr>
                  <w:r w:rsidRPr="0099174E">
                    <w:rPr>
                      <w:lang w:val="en-GB"/>
                    </w:rPr>
                    <w:t>Reference</w:t>
                  </w:r>
                </w:p>
              </w:tc>
              <w:tc>
                <w:tcPr>
                  <w:tcW w:w="2944" w:type="dxa"/>
                  <w:shd w:val="clear" w:color="auto" w:fill="auto"/>
                  <w:vAlign w:val="center"/>
                </w:tcPr>
                <w:p w14:paraId="3DBC4F47" w14:textId="77777777" w:rsidR="0099174E" w:rsidRPr="0099174E" w:rsidRDefault="0099174E" w:rsidP="0099174E">
                  <w:pPr>
                    <w:jc w:val="both"/>
                    <w:rPr>
                      <w:lang w:val="en-GB"/>
                    </w:rPr>
                  </w:pPr>
                  <w:r w:rsidRPr="0099174E">
                    <w:rPr>
                      <w:lang w:val="en-GB"/>
                    </w:rPr>
                    <w:t>[●]</w:t>
                  </w:r>
                </w:p>
              </w:tc>
            </w:tr>
            <w:tr w:rsidR="0099174E" w:rsidRPr="0099174E" w14:paraId="0991AFC8" w14:textId="77777777" w:rsidTr="0099174E">
              <w:tc>
                <w:tcPr>
                  <w:tcW w:w="2054" w:type="dxa"/>
                  <w:vMerge w:val="restart"/>
                  <w:shd w:val="clear" w:color="auto" w:fill="auto"/>
                </w:tcPr>
                <w:p w14:paraId="612BD438" w14:textId="77777777" w:rsidR="0099174E" w:rsidRPr="0099174E" w:rsidRDefault="0099174E" w:rsidP="0099174E">
                  <w:pPr>
                    <w:jc w:val="both"/>
                    <w:rPr>
                      <w:lang w:val="en-GB"/>
                    </w:rPr>
                  </w:pPr>
                  <w:r w:rsidRPr="0099174E">
                    <w:rPr>
                      <w:lang w:val="en-GB"/>
                    </w:rPr>
                    <w:t>Correspondent Bank (if applicable)</w:t>
                  </w:r>
                </w:p>
              </w:tc>
              <w:tc>
                <w:tcPr>
                  <w:tcW w:w="1126" w:type="dxa"/>
                  <w:shd w:val="clear" w:color="auto" w:fill="auto"/>
                  <w:vAlign w:val="center"/>
                </w:tcPr>
                <w:p w14:paraId="697946FA" w14:textId="77777777" w:rsidR="0099174E" w:rsidRPr="0099174E" w:rsidRDefault="0099174E" w:rsidP="0099174E">
                  <w:pPr>
                    <w:jc w:val="both"/>
                    <w:rPr>
                      <w:lang w:val="en-GB"/>
                    </w:rPr>
                  </w:pPr>
                  <w:r w:rsidRPr="0099174E">
                    <w:rPr>
                      <w:lang w:val="en-GB"/>
                    </w:rPr>
                    <w:t>Name</w:t>
                  </w:r>
                </w:p>
              </w:tc>
              <w:tc>
                <w:tcPr>
                  <w:tcW w:w="2944" w:type="dxa"/>
                  <w:shd w:val="clear" w:color="auto" w:fill="auto"/>
                  <w:vAlign w:val="center"/>
                </w:tcPr>
                <w:p w14:paraId="6CA4CE78" w14:textId="77777777" w:rsidR="0099174E" w:rsidRPr="0099174E" w:rsidRDefault="0099174E" w:rsidP="0099174E">
                  <w:pPr>
                    <w:jc w:val="both"/>
                    <w:rPr>
                      <w:lang w:val="en-GB"/>
                    </w:rPr>
                  </w:pPr>
                  <w:r w:rsidRPr="0099174E">
                    <w:rPr>
                      <w:lang w:val="en-GB"/>
                    </w:rPr>
                    <w:t>[●]</w:t>
                  </w:r>
                </w:p>
              </w:tc>
            </w:tr>
            <w:tr w:rsidR="0099174E" w:rsidRPr="0099174E" w14:paraId="1D580900" w14:textId="77777777" w:rsidTr="0099174E">
              <w:tc>
                <w:tcPr>
                  <w:tcW w:w="2054" w:type="dxa"/>
                  <w:vMerge/>
                  <w:shd w:val="clear" w:color="auto" w:fill="auto"/>
                </w:tcPr>
                <w:p w14:paraId="35114B92" w14:textId="77777777" w:rsidR="0099174E" w:rsidRPr="0099174E" w:rsidRDefault="0099174E" w:rsidP="0099174E">
                  <w:pPr>
                    <w:jc w:val="both"/>
                    <w:rPr>
                      <w:lang w:val="en-GB"/>
                    </w:rPr>
                  </w:pPr>
                </w:p>
              </w:tc>
              <w:tc>
                <w:tcPr>
                  <w:tcW w:w="1126" w:type="dxa"/>
                  <w:shd w:val="clear" w:color="auto" w:fill="auto"/>
                </w:tcPr>
                <w:p w14:paraId="738CF78D" w14:textId="77777777" w:rsidR="0099174E" w:rsidRPr="0099174E" w:rsidRDefault="0099174E" w:rsidP="0099174E">
                  <w:pPr>
                    <w:jc w:val="both"/>
                    <w:rPr>
                      <w:lang w:val="en-GB"/>
                    </w:rPr>
                  </w:pPr>
                  <w:r w:rsidRPr="0099174E">
                    <w:rPr>
                      <w:lang w:val="en-GB"/>
                    </w:rPr>
                    <w:t>City</w:t>
                  </w:r>
                </w:p>
              </w:tc>
              <w:tc>
                <w:tcPr>
                  <w:tcW w:w="2944" w:type="dxa"/>
                  <w:shd w:val="clear" w:color="auto" w:fill="auto"/>
                </w:tcPr>
                <w:p w14:paraId="0201E26C" w14:textId="77777777" w:rsidR="0099174E" w:rsidRPr="0099174E" w:rsidRDefault="0099174E" w:rsidP="0099174E">
                  <w:pPr>
                    <w:jc w:val="both"/>
                    <w:rPr>
                      <w:lang w:val="en-GB"/>
                    </w:rPr>
                  </w:pPr>
                  <w:r w:rsidRPr="0099174E">
                    <w:rPr>
                      <w:lang w:val="en-GB"/>
                    </w:rPr>
                    <w:t>[●]</w:t>
                  </w:r>
                </w:p>
              </w:tc>
            </w:tr>
            <w:tr w:rsidR="0099174E" w:rsidRPr="0099174E" w14:paraId="7B11CE3B" w14:textId="77777777" w:rsidTr="0099174E">
              <w:tc>
                <w:tcPr>
                  <w:tcW w:w="2054" w:type="dxa"/>
                  <w:vMerge/>
                  <w:shd w:val="clear" w:color="auto" w:fill="auto"/>
                </w:tcPr>
                <w:p w14:paraId="555E0E95" w14:textId="77777777" w:rsidR="0099174E" w:rsidRPr="0099174E" w:rsidRDefault="0099174E" w:rsidP="0099174E">
                  <w:pPr>
                    <w:jc w:val="both"/>
                    <w:rPr>
                      <w:lang w:val="en-GB"/>
                    </w:rPr>
                  </w:pPr>
                </w:p>
              </w:tc>
              <w:tc>
                <w:tcPr>
                  <w:tcW w:w="1126" w:type="dxa"/>
                  <w:tcBorders>
                    <w:bottom w:val="single" w:sz="4" w:space="0" w:color="auto"/>
                  </w:tcBorders>
                  <w:shd w:val="clear" w:color="auto" w:fill="auto"/>
                </w:tcPr>
                <w:p w14:paraId="146242D9" w14:textId="77777777" w:rsidR="0099174E" w:rsidRPr="0099174E" w:rsidRDefault="0099174E" w:rsidP="0099174E">
                  <w:pPr>
                    <w:jc w:val="both"/>
                    <w:rPr>
                      <w:lang w:val="en-GB"/>
                    </w:rPr>
                  </w:pPr>
                  <w:r w:rsidRPr="0099174E">
                    <w:rPr>
                      <w:lang w:val="en-GB"/>
                    </w:rPr>
                    <w:t>SWIFT</w:t>
                  </w:r>
                </w:p>
              </w:tc>
              <w:tc>
                <w:tcPr>
                  <w:tcW w:w="2944" w:type="dxa"/>
                  <w:tcBorders>
                    <w:bottom w:val="single" w:sz="4" w:space="0" w:color="auto"/>
                  </w:tcBorders>
                  <w:shd w:val="clear" w:color="auto" w:fill="auto"/>
                </w:tcPr>
                <w:p w14:paraId="18AB34B5" w14:textId="77777777" w:rsidR="0099174E" w:rsidRPr="0099174E" w:rsidRDefault="0099174E" w:rsidP="0099174E">
                  <w:pPr>
                    <w:jc w:val="both"/>
                    <w:rPr>
                      <w:lang w:val="en-GB"/>
                    </w:rPr>
                  </w:pPr>
                  <w:r w:rsidRPr="0099174E">
                    <w:rPr>
                      <w:lang w:val="en-GB"/>
                    </w:rPr>
                    <w:t>[●]</w:t>
                  </w:r>
                </w:p>
              </w:tc>
            </w:tr>
            <w:tr w:rsidR="0099174E" w:rsidRPr="0099174E" w14:paraId="288F32E9" w14:textId="77777777" w:rsidTr="0099174E">
              <w:tc>
                <w:tcPr>
                  <w:tcW w:w="2054" w:type="dxa"/>
                  <w:vMerge/>
                  <w:tcBorders>
                    <w:bottom w:val="nil"/>
                  </w:tcBorders>
                  <w:shd w:val="clear" w:color="auto" w:fill="auto"/>
                </w:tcPr>
                <w:p w14:paraId="75219C66" w14:textId="77777777" w:rsidR="0099174E" w:rsidRPr="0099174E" w:rsidRDefault="0099174E" w:rsidP="0099174E">
                  <w:pPr>
                    <w:jc w:val="both"/>
                    <w:rPr>
                      <w:lang w:val="en-GB"/>
                    </w:rPr>
                  </w:pPr>
                </w:p>
              </w:tc>
              <w:tc>
                <w:tcPr>
                  <w:tcW w:w="1126" w:type="dxa"/>
                  <w:tcBorders>
                    <w:bottom w:val="nil"/>
                  </w:tcBorders>
                  <w:shd w:val="clear" w:color="auto" w:fill="auto"/>
                </w:tcPr>
                <w:p w14:paraId="2579F5B5" w14:textId="77777777" w:rsidR="0099174E" w:rsidRPr="0099174E" w:rsidRDefault="0099174E" w:rsidP="0099174E">
                  <w:pPr>
                    <w:jc w:val="both"/>
                    <w:rPr>
                      <w:lang w:val="en-GB"/>
                    </w:rPr>
                  </w:pPr>
                  <w:r w:rsidRPr="0099174E">
                    <w:rPr>
                      <w:lang w:val="en-GB"/>
                    </w:rPr>
                    <w:t>IBAN</w:t>
                  </w:r>
                </w:p>
              </w:tc>
              <w:tc>
                <w:tcPr>
                  <w:tcW w:w="2944" w:type="dxa"/>
                  <w:tcBorders>
                    <w:bottom w:val="nil"/>
                  </w:tcBorders>
                  <w:shd w:val="clear" w:color="auto" w:fill="auto"/>
                </w:tcPr>
                <w:p w14:paraId="52D3F5F2" w14:textId="77777777" w:rsidR="0099174E" w:rsidRPr="0099174E" w:rsidRDefault="0099174E" w:rsidP="0099174E">
                  <w:pPr>
                    <w:jc w:val="both"/>
                    <w:rPr>
                      <w:lang w:val="en-GB"/>
                    </w:rPr>
                  </w:pPr>
                  <w:r w:rsidRPr="0099174E">
                    <w:rPr>
                      <w:lang w:val="en-GB"/>
                    </w:rPr>
                    <w:t>[●]</w:t>
                  </w:r>
                </w:p>
              </w:tc>
            </w:tr>
          </w:tbl>
          <w:p w14:paraId="18A0E100" w14:textId="77777777" w:rsidR="0099174E" w:rsidRPr="0099174E" w:rsidRDefault="0099174E" w:rsidP="0099174E">
            <w:pPr>
              <w:jc w:val="both"/>
              <w:rPr>
                <w:lang w:val="en-GB"/>
              </w:rPr>
            </w:pPr>
          </w:p>
        </w:tc>
      </w:tr>
    </w:tbl>
    <w:p w14:paraId="4D42E3EA" w14:textId="77777777" w:rsidR="0099174E" w:rsidRPr="0099174E" w:rsidRDefault="0099174E" w:rsidP="009F7B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lang w:val="en-GB"/>
        </w:rPr>
      </w:pPr>
      <w:r w:rsidRPr="0099174E">
        <w:rPr>
          <w:lang w:val="en-GB"/>
        </w:rPr>
        <w:t>[•], on [•].</w:t>
      </w:r>
    </w:p>
    <w:p w14:paraId="00165763" w14:textId="77777777" w:rsidR="0099174E" w:rsidRPr="0099174E" w:rsidRDefault="0099174E" w:rsidP="009917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74232C88" w14:textId="77777777" w:rsidR="0099174E" w:rsidRPr="0099174E" w:rsidRDefault="0099174E" w:rsidP="009917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lang w:val="en-GB"/>
        </w:rPr>
      </w:pPr>
      <w:r w:rsidRPr="0099174E">
        <w:rPr>
          <w:u w:val="single"/>
          <w:lang w:val="en-GB"/>
        </w:rPr>
        <w:t>For the Borrower</w:t>
      </w:r>
    </w:p>
    <w:p w14:paraId="047046C3" w14:textId="77777777" w:rsidR="0099174E" w:rsidRPr="0099174E" w:rsidRDefault="0099174E" w:rsidP="009917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r w:rsidRPr="0099174E">
        <w:rPr>
          <w:lang w:val="en-GB"/>
        </w:rPr>
        <w:t xml:space="preserve">[INSERT NAME(S)/TITLE(S)] </w:t>
      </w:r>
    </w:p>
    <w:p w14:paraId="6A5FAD9C" w14:textId="77777777" w:rsidR="00881488" w:rsidRDefault="00881488" w:rsidP="00881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GB"/>
        </w:rPr>
      </w:pPr>
    </w:p>
    <w:p w14:paraId="17BF6096" w14:textId="77777777" w:rsidR="00881488" w:rsidRDefault="00881488" w:rsidP="00881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GB"/>
        </w:rPr>
      </w:pPr>
    </w:p>
    <w:p w14:paraId="3F3CAF98" w14:textId="77777777" w:rsidR="00881488" w:rsidRDefault="00881488" w:rsidP="00881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GB"/>
        </w:rPr>
      </w:pPr>
    </w:p>
    <w:p w14:paraId="43F8C98E" w14:textId="77777777" w:rsidR="00881488" w:rsidRDefault="00881488" w:rsidP="00881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GB"/>
        </w:rPr>
      </w:pPr>
    </w:p>
    <w:tbl>
      <w:tblPr>
        <w:tblStyle w:val="TableGrid"/>
        <w:tblW w:w="0" w:type="auto"/>
        <w:tblLook w:val="04A0" w:firstRow="1" w:lastRow="0" w:firstColumn="1" w:lastColumn="0" w:noHBand="0" w:noVBand="1"/>
      </w:tblPr>
      <w:tblGrid>
        <w:gridCol w:w="9062"/>
      </w:tblGrid>
      <w:tr w:rsidR="00713DD5" w:rsidRPr="00713DD5" w14:paraId="58676100" w14:textId="77777777" w:rsidTr="00713DD5">
        <w:tc>
          <w:tcPr>
            <w:tcW w:w="9062" w:type="dxa"/>
          </w:tcPr>
          <w:p w14:paraId="2854CDC9" w14:textId="77777777" w:rsidR="00713DD5" w:rsidRPr="00713DD5" w:rsidRDefault="00713DD5" w:rsidP="00713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713DD5">
              <w:rPr>
                <w:b/>
                <w:lang w:val="en-GB"/>
              </w:rPr>
              <w:t>DISBURSEMENT NOTICE (TEMPLATE)</w:t>
            </w:r>
          </w:p>
        </w:tc>
      </w:tr>
    </w:tbl>
    <w:p w14:paraId="01C57DB0" w14:textId="77777777" w:rsidR="0099174E" w:rsidRPr="0099174E" w:rsidRDefault="0099174E" w:rsidP="000913D4">
      <w:pPr>
        <w:jc w:val="right"/>
        <w:rPr>
          <w:b/>
          <w:i/>
          <w:lang w:val="en-GB"/>
        </w:rPr>
      </w:pPr>
      <w:r w:rsidRPr="0099174E">
        <w:rPr>
          <w:b/>
          <w:i/>
          <w:lang w:val="en-GB"/>
        </w:rPr>
        <w:t>LD 2056 – [•] Tranche</w:t>
      </w:r>
    </w:p>
    <w:p w14:paraId="10738CD3" w14:textId="77777777" w:rsidR="0099174E" w:rsidRPr="0099174E" w:rsidRDefault="0099174E" w:rsidP="000913D4">
      <w:pPr>
        <w:spacing w:line="120" w:lineRule="auto"/>
        <w:jc w:val="both"/>
        <w:rPr>
          <w:b/>
          <w:lang w:val="en-GB"/>
        </w:rPr>
      </w:pPr>
    </w:p>
    <w:p w14:paraId="3BEE43DC" w14:textId="77777777" w:rsidR="0099174E" w:rsidRPr="0099174E" w:rsidRDefault="0099174E" w:rsidP="0099174E">
      <w:pPr>
        <w:jc w:val="both"/>
        <w:rPr>
          <w:lang w:val="en-US"/>
        </w:rPr>
      </w:pPr>
      <w:r w:rsidRPr="0099174E">
        <w:rPr>
          <w:lang w:val="en-US"/>
        </w:rPr>
        <w:t xml:space="preserve">In response to your Loan Disbursement Request dated </w:t>
      </w:r>
      <w:r w:rsidRPr="0099174E">
        <w:rPr>
          <w:lang w:val="en-GB"/>
        </w:rPr>
        <w:t>[●]</w:t>
      </w:r>
      <w:r w:rsidRPr="0099174E">
        <w:rPr>
          <w:lang w:val="en-US"/>
        </w:rPr>
        <w:t xml:space="preserve"> with reference to </w:t>
      </w:r>
      <w:r w:rsidRPr="0099174E">
        <w:rPr>
          <w:lang w:val="en-GB"/>
        </w:rPr>
        <w:t>the Framework Loan Agreement dated [●] (hereinafter, the “</w:t>
      </w:r>
      <w:r w:rsidRPr="0099174E">
        <w:rPr>
          <w:b/>
          <w:lang w:val="en-GB"/>
        </w:rPr>
        <w:t>Agreement”</w:t>
      </w:r>
      <w:r w:rsidRPr="0099174E">
        <w:rPr>
          <w:lang w:val="en-GB"/>
        </w:rPr>
        <w:t xml:space="preserve">) </w:t>
      </w:r>
      <w:r w:rsidRPr="0099174E">
        <w:rPr>
          <w:lang w:val="en-US"/>
        </w:rPr>
        <w:t xml:space="preserve">between the Republic of Croatia </w:t>
      </w:r>
      <w:r w:rsidRPr="0099174E">
        <w:rPr>
          <w:lang w:val="en-GB"/>
        </w:rPr>
        <w:t>(hereinafter, the “</w:t>
      </w:r>
      <w:r w:rsidRPr="0099174E">
        <w:rPr>
          <w:b/>
          <w:lang w:val="en-GB"/>
        </w:rPr>
        <w:t>Borrower</w:t>
      </w:r>
      <w:r w:rsidRPr="0099174E">
        <w:rPr>
          <w:lang w:val="en-GB"/>
        </w:rPr>
        <w:t xml:space="preserve">”) </w:t>
      </w:r>
      <w:r w:rsidRPr="0099174E">
        <w:rPr>
          <w:lang w:val="en-US"/>
        </w:rPr>
        <w:t xml:space="preserve">and the Council of Europe Development Bank (hereinafter, the </w:t>
      </w:r>
      <w:r w:rsidRPr="0099174E">
        <w:rPr>
          <w:lang w:val="en-GB"/>
        </w:rPr>
        <w:t>“</w:t>
      </w:r>
      <w:r w:rsidRPr="0099174E">
        <w:rPr>
          <w:b/>
          <w:lang w:val="en-US"/>
        </w:rPr>
        <w:t>CEB</w:t>
      </w:r>
      <w:r w:rsidRPr="0099174E">
        <w:rPr>
          <w:lang w:val="en-GB"/>
        </w:rPr>
        <w:t>”</w:t>
      </w:r>
      <w:r w:rsidRPr="0099174E">
        <w:rPr>
          <w:lang w:val="en-US"/>
        </w:rPr>
        <w:t>), the CEB hereby notifies to the Borrower, in accordance with Sub-clause 4.3(b) of the Agreement, the terms and conditions of the disbursement of the relevant Tranche.</w:t>
      </w:r>
    </w:p>
    <w:p w14:paraId="3EAE2B29" w14:textId="77777777" w:rsidR="0099174E" w:rsidRPr="0099174E" w:rsidRDefault="0099174E" w:rsidP="0099174E">
      <w:pPr>
        <w:jc w:val="both"/>
        <w:rPr>
          <w:lang w:val="en-GB"/>
        </w:rPr>
      </w:pPr>
    </w:p>
    <w:p w14:paraId="3ABA8E60" w14:textId="77777777" w:rsidR="0099174E" w:rsidRPr="000913D4" w:rsidRDefault="0099174E" w:rsidP="0099174E">
      <w:pPr>
        <w:jc w:val="both"/>
        <w:rPr>
          <w:spacing w:val="-2"/>
          <w:lang w:val="en-US"/>
        </w:rPr>
      </w:pPr>
      <w:r w:rsidRPr="000913D4">
        <w:rPr>
          <w:spacing w:val="-2"/>
          <w:lang w:val="en-US"/>
        </w:rPr>
        <w:t>Terms defined in the Agreement shall have the same meaning herein, unless otherwise specified.</w:t>
      </w:r>
    </w:p>
    <w:p w14:paraId="21F4C17C" w14:textId="77777777" w:rsidR="0099174E" w:rsidRPr="0099174E" w:rsidRDefault="0099174E" w:rsidP="0099174E">
      <w:pPr>
        <w:jc w:val="both"/>
        <w:rPr>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1461"/>
        <w:gridCol w:w="1888"/>
        <w:gridCol w:w="3001"/>
      </w:tblGrid>
      <w:tr w:rsidR="0099174E" w:rsidRPr="0099174E" w14:paraId="0ED9428B" w14:textId="77777777" w:rsidTr="0099174E">
        <w:trPr>
          <w:jc w:val="center"/>
        </w:trPr>
        <w:tc>
          <w:tcPr>
            <w:tcW w:w="2758" w:type="dxa"/>
            <w:shd w:val="clear" w:color="auto" w:fill="auto"/>
          </w:tcPr>
          <w:p w14:paraId="45AF65E6" w14:textId="77777777" w:rsidR="0099174E" w:rsidRPr="0099174E" w:rsidRDefault="0099174E" w:rsidP="0099174E">
            <w:pPr>
              <w:jc w:val="both"/>
              <w:rPr>
                <w:lang w:val="en-GB"/>
              </w:rPr>
            </w:pPr>
            <w:r w:rsidRPr="0099174E">
              <w:rPr>
                <w:lang w:val="en-GB"/>
              </w:rPr>
              <w:t>Currency/Amount</w:t>
            </w:r>
          </w:p>
        </w:tc>
        <w:tc>
          <w:tcPr>
            <w:tcW w:w="6384" w:type="dxa"/>
            <w:gridSpan w:val="3"/>
            <w:shd w:val="clear" w:color="auto" w:fill="auto"/>
          </w:tcPr>
          <w:p w14:paraId="74E4F6B4" w14:textId="77777777" w:rsidR="0099174E" w:rsidRPr="0099174E" w:rsidRDefault="0099174E" w:rsidP="0099174E">
            <w:pPr>
              <w:jc w:val="both"/>
              <w:rPr>
                <w:lang w:val="en-GB"/>
              </w:rPr>
            </w:pPr>
            <w:r w:rsidRPr="0099174E">
              <w:rPr>
                <w:lang w:val="en-GB"/>
              </w:rPr>
              <w:t>[●]</w:t>
            </w:r>
          </w:p>
        </w:tc>
      </w:tr>
      <w:tr w:rsidR="0099174E" w:rsidRPr="0099174E" w14:paraId="7CEB7C5F" w14:textId="77777777" w:rsidTr="0099174E">
        <w:trPr>
          <w:jc w:val="center"/>
        </w:trPr>
        <w:tc>
          <w:tcPr>
            <w:tcW w:w="2758" w:type="dxa"/>
            <w:shd w:val="clear" w:color="auto" w:fill="auto"/>
          </w:tcPr>
          <w:p w14:paraId="3FDA7862" w14:textId="77777777" w:rsidR="0099174E" w:rsidRPr="0099174E" w:rsidRDefault="0099174E" w:rsidP="0099174E">
            <w:pPr>
              <w:jc w:val="both"/>
              <w:rPr>
                <w:lang w:val="en-GB"/>
              </w:rPr>
            </w:pPr>
            <w:r w:rsidRPr="0099174E">
              <w:rPr>
                <w:lang w:val="en-GB"/>
              </w:rPr>
              <w:t>Disbursement Date</w:t>
            </w:r>
          </w:p>
        </w:tc>
        <w:tc>
          <w:tcPr>
            <w:tcW w:w="6384" w:type="dxa"/>
            <w:gridSpan w:val="3"/>
            <w:shd w:val="clear" w:color="auto" w:fill="auto"/>
          </w:tcPr>
          <w:p w14:paraId="3B490FAF" w14:textId="77777777" w:rsidR="0099174E" w:rsidRPr="0099174E" w:rsidRDefault="0099174E" w:rsidP="0099174E">
            <w:pPr>
              <w:jc w:val="both"/>
              <w:rPr>
                <w:lang w:val="en-GB"/>
              </w:rPr>
            </w:pPr>
            <w:r w:rsidRPr="0099174E">
              <w:rPr>
                <w:lang w:val="en-GB"/>
              </w:rPr>
              <w:t>[●]</w:t>
            </w:r>
          </w:p>
        </w:tc>
      </w:tr>
      <w:tr w:rsidR="0099174E" w:rsidRPr="0099174E" w14:paraId="4F35B093" w14:textId="77777777" w:rsidTr="0099174E">
        <w:trPr>
          <w:jc w:val="center"/>
        </w:trPr>
        <w:tc>
          <w:tcPr>
            <w:tcW w:w="2758" w:type="dxa"/>
            <w:shd w:val="clear" w:color="auto" w:fill="auto"/>
          </w:tcPr>
          <w:p w14:paraId="710F3382" w14:textId="77777777" w:rsidR="0099174E" w:rsidRPr="0099174E" w:rsidRDefault="0099174E" w:rsidP="0099174E">
            <w:pPr>
              <w:jc w:val="both"/>
              <w:rPr>
                <w:lang w:val="en-GB"/>
              </w:rPr>
            </w:pPr>
            <w:r w:rsidRPr="0099174E">
              <w:rPr>
                <w:lang w:val="en-GB"/>
              </w:rPr>
              <w:t>Principal Repayment Period</w:t>
            </w:r>
          </w:p>
        </w:tc>
        <w:tc>
          <w:tcPr>
            <w:tcW w:w="6384" w:type="dxa"/>
            <w:gridSpan w:val="3"/>
            <w:shd w:val="clear" w:color="auto" w:fill="auto"/>
          </w:tcPr>
          <w:p w14:paraId="6F37EAC0" w14:textId="77777777" w:rsidR="0099174E" w:rsidRPr="0099174E" w:rsidRDefault="0099174E" w:rsidP="0099174E">
            <w:pPr>
              <w:jc w:val="both"/>
              <w:rPr>
                <w:lang w:val="en-GB"/>
              </w:rPr>
            </w:pPr>
            <w:r w:rsidRPr="0099174E">
              <w:rPr>
                <w:lang w:val="en-GB"/>
              </w:rPr>
              <w:t>[●] years [including a grace period of [●] years]</w:t>
            </w:r>
          </w:p>
        </w:tc>
      </w:tr>
      <w:tr w:rsidR="0099174E" w:rsidRPr="0099174E" w14:paraId="0DD16DFF" w14:textId="77777777" w:rsidTr="0099174E">
        <w:trPr>
          <w:jc w:val="center"/>
        </w:trPr>
        <w:tc>
          <w:tcPr>
            <w:tcW w:w="2758" w:type="dxa"/>
            <w:shd w:val="clear" w:color="auto" w:fill="auto"/>
          </w:tcPr>
          <w:p w14:paraId="59C3D5BC" w14:textId="77777777" w:rsidR="0099174E" w:rsidRPr="0099174E" w:rsidRDefault="0099174E" w:rsidP="0099174E">
            <w:pPr>
              <w:jc w:val="both"/>
              <w:rPr>
                <w:lang w:val="en-GB"/>
              </w:rPr>
            </w:pPr>
            <w:r w:rsidRPr="0099174E">
              <w:rPr>
                <w:lang w:val="en-GB"/>
              </w:rPr>
              <w:t>Principal Repayment Date(s)</w:t>
            </w:r>
          </w:p>
        </w:tc>
        <w:tc>
          <w:tcPr>
            <w:tcW w:w="6384" w:type="dxa"/>
            <w:gridSpan w:val="3"/>
            <w:shd w:val="clear" w:color="auto" w:fill="auto"/>
          </w:tcPr>
          <w:p w14:paraId="48EB816F" w14:textId="77777777" w:rsidR="0099174E" w:rsidRPr="0099174E" w:rsidRDefault="0099174E" w:rsidP="0099174E">
            <w:pPr>
              <w:jc w:val="both"/>
              <w:rPr>
                <w:strike/>
                <w:lang w:val="en-GB"/>
              </w:rPr>
            </w:pPr>
            <w:r w:rsidRPr="0099174E">
              <w:rPr>
                <w:lang w:val="en-GB"/>
              </w:rPr>
              <w:t>[●]</w:t>
            </w:r>
          </w:p>
        </w:tc>
      </w:tr>
      <w:tr w:rsidR="0099174E" w:rsidRPr="0099174E" w14:paraId="3369E1CA" w14:textId="77777777" w:rsidTr="0099174E">
        <w:trPr>
          <w:jc w:val="center"/>
        </w:trPr>
        <w:tc>
          <w:tcPr>
            <w:tcW w:w="2758" w:type="dxa"/>
            <w:shd w:val="clear" w:color="auto" w:fill="auto"/>
          </w:tcPr>
          <w:p w14:paraId="36758DFA" w14:textId="77777777" w:rsidR="0099174E" w:rsidRPr="0099174E" w:rsidRDefault="0099174E" w:rsidP="0099174E">
            <w:pPr>
              <w:jc w:val="both"/>
              <w:rPr>
                <w:lang w:val="en-GB"/>
              </w:rPr>
            </w:pPr>
            <w:r w:rsidRPr="0099174E">
              <w:rPr>
                <w:lang w:val="en-GB"/>
              </w:rPr>
              <w:t>Maturity Date</w:t>
            </w:r>
          </w:p>
        </w:tc>
        <w:tc>
          <w:tcPr>
            <w:tcW w:w="6384" w:type="dxa"/>
            <w:gridSpan w:val="3"/>
            <w:shd w:val="clear" w:color="auto" w:fill="auto"/>
          </w:tcPr>
          <w:p w14:paraId="56D48E74" w14:textId="77777777" w:rsidR="0099174E" w:rsidRPr="0099174E" w:rsidRDefault="0099174E" w:rsidP="0099174E">
            <w:pPr>
              <w:jc w:val="both"/>
              <w:rPr>
                <w:lang w:val="en-GB"/>
              </w:rPr>
            </w:pPr>
            <w:r w:rsidRPr="0099174E">
              <w:rPr>
                <w:lang w:val="en-GB"/>
              </w:rPr>
              <w:t>[●]</w:t>
            </w:r>
          </w:p>
        </w:tc>
      </w:tr>
      <w:tr w:rsidR="0099174E" w:rsidRPr="0099174E" w14:paraId="4E75FC19" w14:textId="77777777" w:rsidTr="0099174E">
        <w:trPr>
          <w:trHeight w:val="396"/>
          <w:jc w:val="center"/>
        </w:trPr>
        <w:tc>
          <w:tcPr>
            <w:tcW w:w="2758" w:type="dxa"/>
            <w:vMerge w:val="restart"/>
            <w:shd w:val="clear" w:color="auto" w:fill="auto"/>
          </w:tcPr>
          <w:p w14:paraId="0007E092" w14:textId="77777777" w:rsidR="0099174E" w:rsidRPr="0099174E" w:rsidRDefault="0099174E" w:rsidP="0099174E">
            <w:pPr>
              <w:jc w:val="both"/>
              <w:rPr>
                <w:lang w:val="en-GB"/>
              </w:rPr>
            </w:pPr>
            <w:r w:rsidRPr="0099174E">
              <w:rPr>
                <w:lang w:val="en-GB"/>
              </w:rPr>
              <w:t>Interest Rate</w:t>
            </w:r>
          </w:p>
        </w:tc>
        <w:tc>
          <w:tcPr>
            <w:tcW w:w="1461" w:type="dxa"/>
            <w:shd w:val="clear" w:color="auto" w:fill="auto"/>
          </w:tcPr>
          <w:p w14:paraId="493F00E1" w14:textId="77777777" w:rsidR="0099174E" w:rsidRPr="0099174E" w:rsidRDefault="0099174E" w:rsidP="0099174E">
            <w:pPr>
              <w:jc w:val="both"/>
              <w:rPr>
                <w:i/>
                <w:lang w:val="en-US"/>
              </w:rPr>
            </w:pPr>
            <w:r w:rsidRPr="0099174E">
              <w:rPr>
                <w:lang w:val="en-GB"/>
              </w:rPr>
              <w:t>Fixed</w:t>
            </w:r>
          </w:p>
          <w:p w14:paraId="1111884A" w14:textId="77777777" w:rsidR="0099174E" w:rsidRPr="0099174E" w:rsidRDefault="0099174E" w:rsidP="0099174E">
            <w:pPr>
              <w:jc w:val="both"/>
              <w:rPr>
                <w:lang w:val="en-US"/>
              </w:rPr>
            </w:pPr>
          </w:p>
        </w:tc>
        <w:tc>
          <w:tcPr>
            <w:tcW w:w="4923" w:type="dxa"/>
            <w:gridSpan w:val="2"/>
            <w:shd w:val="clear" w:color="auto" w:fill="auto"/>
          </w:tcPr>
          <w:p w14:paraId="68A64A1C" w14:textId="77777777" w:rsidR="0099174E" w:rsidRPr="0099174E" w:rsidRDefault="0099174E" w:rsidP="0099174E">
            <w:pPr>
              <w:jc w:val="both"/>
              <w:rPr>
                <w:lang w:val="en-US"/>
              </w:rPr>
            </w:pPr>
            <w:r w:rsidRPr="0099174E">
              <w:rPr>
                <w:lang w:val="en-GB"/>
              </w:rPr>
              <w:t>[●]</w:t>
            </w:r>
            <w:r w:rsidRPr="0099174E">
              <w:rPr>
                <w:lang w:val="en-US"/>
              </w:rPr>
              <w:t xml:space="preserve"> </w:t>
            </w:r>
            <w:r w:rsidRPr="0099174E">
              <w:rPr>
                <w:i/>
                <w:lang w:val="en-US"/>
              </w:rPr>
              <w:t>per annum</w:t>
            </w:r>
          </w:p>
        </w:tc>
      </w:tr>
      <w:tr w:rsidR="0099174E" w:rsidRPr="0099174E" w14:paraId="1585D394" w14:textId="77777777" w:rsidTr="0099174E">
        <w:trPr>
          <w:trHeight w:val="785"/>
          <w:jc w:val="center"/>
        </w:trPr>
        <w:tc>
          <w:tcPr>
            <w:tcW w:w="2758" w:type="dxa"/>
            <w:vMerge/>
            <w:shd w:val="clear" w:color="auto" w:fill="auto"/>
          </w:tcPr>
          <w:p w14:paraId="1F552273" w14:textId="77777777" w:rsidR="0099174E" w:rsidRPr="0099174E" w:rsidRDefault="0099174E" w:rsidP="0099174E">
            <w:pPr>
              <w:jc w:val="both"/>
              <w:rPr>
                <w:lang w:val="en-GB"/>
              </w:rPr>
            </w:pPr>
          </w:p>
        </w:tc>
        <w:tc>
          <w:tcPr>
            <w:tcW w:w="1461" w:type="dxa"/>
            <w:vMerge w:val="restart"/>
            <w:shd w:val="clear" w:color="auto" w:fill="auto"/>
          </w:tcPr>
          <w:p w14:paraId="201767AD" w14:textId="77777777" w:rsidR="0099174E" w:rsidRPr="0099174E" w:rsidRDefault="0099174E" w:rsidP="0099174E">
            <w:pPr>
              <w:jc w:val="both"/>
              <w:rPr>
                <w:lang w:val="en-GB"/>
              </w:rPr>
            </w:pPr>
            <w:r w:rsidRPr="0099174E">
              <w:rPr>
                <w:lang w:val="en-US"/>
              </w:rPr>
              <w:t>Floating</w:t>
            </w:r>
          </w:p>
        </w:tc>
        <w:tc>
          <w:tcPr>
            <w:tcW w:w="1888" w:type="dxa"/>
            <w:shd w:val="clear" w:color="auto" w:fill="auto"/>
          </w:tcPr>
          <w:p w14:paraId="3CF11FC8" w14:textId="77777777" w:rsidR="0099174E" w:rsidRPr="0099174E" w:rsidRDefault="0099174E" w:rsidP="0099174E">
            <w:pPr>
              <w:jc w:val="both"/>
              <w:rPr>
                <w:lang w:val="en-US"/>
              </w:rPr>
            </w:pPr>
            <w:r w:rsidRPr="0099174E">
              <w:rPr>
                <w:lang w:val="en-US"/>
              </w:rPr>
              <w:t xml:space="preserve">Reference Rate: </w:t>
            </w:r>
          </w:p>
          <w:p w14:paraId="095CFD86" w14:textId="77777777" w:rsidR="0099174E" w:rsidRPr="0099174E" w:rsidRDefault="0099174E" w:rsidP="0099174E">
            <w:pPr>
              <w:jc w:val="both"/>
              <w:rPr>
                <w:lang w:val="en-US"/>
              </w:rPr>
            </w:pPr>
            <w:r w:rsidRPr="0099174E">
              <w:rPr>
                <w:lang w:val="en-US"/>
              </w:rPr>
              <w:t xml:space="preserve"> </w:t>
            </w:r>
          </w:p>
        </w:tc>
        <w:tc>
          <w:tcPr>
            <w:tcW w:w="3035" w:type="dxa"/>
            <w:shd w:val="clear" w:color="auto" w:fill="auto"/>
          </w:tcPr>
          <w:p w14:paraId="4F76A431" w14:textId="77777777" w:rsidR="0099174E" w:rsidRPr="0099174E" w:rsidRDefault="0099174E" w:rsidP="0099174E">
            <w:pPr>
              <w:jc w:val="both"/>
              <w:rPr>
                <w:lang w:val="en-GB"/>
              </w:rPr>
            </w:pPr>
            <w:r w:rsidRPr="0099174E">
              <w:rPr>
                <w:lang w:val="en-US"/>
              </w:rPr>
              <w:t>[</w:t>
            </w:r>
            <w:r w:rsidRPr="0099174E">
              <w:rPr>
                <w:lang w:val="en-GB"/>
              </w:rPr>
              <w:t xml:space="preserve">[●]-month </w:t>
            </w:r>
            <w:r w:rsidRPr="0099174E">
              <w:rPr>
                <w:lang w:val="en-US"/>
              </w:rPr>
              <w:t xml:space="preserve">EURIBOR] </w:t>
            </w:r>
            <w:r w:rsidRPr="0099174E">
              <w:rPr>
                <w:i/>
                <w:lang w:val="en-US"/>
              </w:rPr>
              <w:t>per annum</w:t>
            </w:r>
          </w:p>
        </w:tc>
      </w:tr>
      <w:tr w:rsidR="0099174E" w:rsidRPr="0099174E" w14:paraId="1B1CFA6F" w14:textId="77777777" w:rsidTr="0099174E">
        <w:trPr>
          <w:trHeight w:val="322"/>
          <w:jc w:val="center"/>
        </w:trPr>
        <w:tc>
          <w:tcPr>
            <w:tcW w:w="2758" w:type="dxa"/>
            <w:vMerge/>
            <w:shd w:val="clear" w:color="auto" w:fill="auto"/>
          </w:tcPr>
          <w:p w14:paraId="4A129E32" w14:textId="77777777" w:rsidR="0099174E" w:rsidRPr="0099174E" w:rsidRDefault="0099174E" w:rsidP="0099174E">
            <w:pPr>
              <w:jc w:val="both"/>
              <w:rPr>
                <w:lang w:val="en-GB"/>
              </w:rPr>
            </w:pPr>
          </w:p>
        </w:tc>
        <w:tc>
          <w:tcPr>
            <w:tcW w:w="1461" w:type="dxa"/>
            <w:vMerge/>
            <w:shd w:val="clear" w:color="auto" w:fill="auto"/>
          </w:tcPr>
          <w:p w14:paraId="474BBE4D" w14:textId="77777777" w:rsidR="0099174E" w:rsidRPr="0099174E" w:rsidRDefault="0099174E" w:rsidP="0099174E">
            <w:pPr>
              <w:jc w:val="both"/>
              <w:rPr>
                <w:lang w:val="en-US"/>
              </w:rPr>
            </w:pPr>
          </w:p>
        </w:tc>
        <w:tc>
          <w:tcPr>
            <w:tcW w:w="1888" w:type="dxa"/>
            <w:shd w:val="clear" w:color="auto" w:fill="auto"/>
          </w:tcPr>
          <w:p w14:paraId="3FD07D85" w14:textId="77777777" w:rsidR="0099174E" w:rsidRPr="0099174E" w:rsidRDefault="0099174E" w:rsidP="0099174E">
            <w:pPr>
              <w:jc w:val="both"/>
              <w:rPr>
                <w:lang w:val="en-US"/>
              </w:rPr>
            </w:pPr>
            <w:r w:rsidRPr="0099174E">
              <w:rPr>
                <w:lang w:val="en-US"/>
              </w:rPr>
              <w:t>Spread</w:t>
            </w:r>
          </w:p>
        </w:tc>
        <w:tc>
          <w:tcPr>
            <w:tcW w:w="3035" w:type="dxa"/>
            <w:shd w:val="clear" w:color="auto" w:fill="auto"/>
          </w:tcPr>
          <w:p w14:paraId="3C6C2039" w14:textId="77777777" w:rsidR="0099174E" w:rsidRPr="0099174E" w:rsidRDefault="0099174E" w:rsidP="0099174E">
            <w:pPr>
              <w:jc w:val="both"/>
              <w:rPr>
                <w:lang w:val="en-US"/>
              </w:rPr>
            </w:pPr>
            <w:r w:rsidRPr="0099174E">
              <w:rPr>
                <w:lang w:val="en-GB"/>
              </w:rPr>
              <w:t xml:space="preserve">[●] </w:t>
            </w:r>
            <w:r w:rsidRPr="0099174E">
              <w:rPr>
                <w:lang w:val="en-US"/>
              </w:rPr>
              <w:t>basis points</w:t>
            </w:r>
          </w:p>
        </w:tc>
      </w:tr>
      <w:tr w:rsidR="0099174E" w:rsidRPr="0099174E" w14:paraId="1B7166F7" w14:textId="77777777" w:rsidTr="0099174E">
        <w:trPr>
          <w:jc w:val="center"/>
        </w:trPr>
        <w:tc>
          <w:tcPr>
            <w:tcW w:w="2758" w:type="dxa"/>
            <w:shd w:val="clear" w:color="auto" w:fill="auto"/>
          </w:tcPr>
          <w:p w14:paraId="41C031FE" w14:textId="77777777" w:rsidR="0099174E" w:rsidRPr="0099174E" w:rsidRDefault="0099174E" w:rsidP="0099174E">
            <w:pPr>
              <w:jc w:val="both"/>
              <w:rPr>
                <w:lang w:val="en-GB"/>
              </w:rPr>
            </w:pPr>
            <w:r w:rsidRPr="0099174E">
              <w:rPr>
                <w:lang w:val="en-GB"/>
              </w:rPr>
              <w:t>Interest Period</w:t>
            </w:r>
          </w:p>
        </w:tc>
        <w:tc>
          <w:tcPr>
            <w:tcW w:w="6384" w:type="dxa"/>
            <w:gridSpan w:val="3"/>
            <w:shd w:val="clear" w:color="auto" w:fill="auto"/>
          </w:tcPr>
          <w:p w14:paraId="054AA38F" w14:textId="77777777" w:rsidR="0099174E" w:rsidRPr="0099174E" w:rsidRDefault="0099174E" w:rsidP="0099174E">
            <w:pPr>
              <w:jc w:val="both"/>
              <w:rPr>
                <w:lang w:val="en-GB"/>
              </w:rPr>
            </w:pPr>
            <w:r w:rsidRPr="0099174E">
              <w:rPr>
                <w:lang w:val="en-GB"/>
              </w:rPr>
              <w:t xml:space="preserve">[Quarterly]  [Semi-annually] [Annually] in arrears </w:t>
            </w:r>
          </w:p>
        </w:tc>
      </w:tr>
      <w:tr w:rsidR="0099174E" w:rsidRPr="0099174E" w14:paraId="6A24E510" w14:textId="77777777" w:rsidTr="0099174E">
        <w:trPr>
          <w:jc w:val="center"/>
        </w:trPr>
        <w:tc>
          <w:tcPr>
            <w:tcW w:w="2758" w:type="dxa"/>
            <w:shd w:val="clear" w:color="auto" w:fill="auto"/>
          </w:tcPr>
          <w:p w14:paraId="6887C62E" w14:textId="77777777" w:rsidR="0099174E" w:rsidRPr="0099174E" w:rsidRDefault="0099174E" w:rsidP="0099174E">
            <w:pPr>
              <w:jc w:val="both"/>
              <w:rPr>
                <w:lang w:val="en-GB"/>
              </w:rPr>
            </w:pPr>
            <w:r w:rsidRPr="0099174E">
              <w:rPr>
                <w:lang w:val="en-GB"/>
              </w:rPr>
              <w:t>Interest Payment Dates</w:t>
            </w:r>
          </w:p>
        </w:tc>
        <w:tc>
          <w:tcPr>
            <w:tcW w:w="6384" w:type="dxa"/>
            <w:gridSpan w:val="3"/>
            <w:shd w:val="clear" w:color="auto" w:fill="auto"/>
          </w:tcPr>
          <w:p w14:paraId="3BCAB23F" w14:textId="77777777" w:rsidR="0099174E" w:rsidRPr="0099174E" w:rsidRDefault="0099174E" w:rsidP="0099174E">
            <w:pPr>
              <w:jc w:val="both"/>
              <w:rPr>
                <w:lang w:val="en-GB"/>
              </w:rPr>
            </w:pPr>
            <w:r w:rsidRPr="0099174E">
              <w:rPr>
                <w:lang w:val="en-GB"/>
              </w:rPr>
              <w:t xml:space="preserve">The interest payment will take place on [●] every year and for the first time on [●] </w:t>
            </w:r>
          </w:p>
        </w:tc>
      </w:tr>
      <w:tr w:rsidR="0099174E" w:rsidRPr="0099174E" w14:paraId="0417D8DC" w14:textId="77777777" w:rsidTr="0099174E">
        <w:trPr>
          <w:trHeight w:val="224"/>
          <w:jc w:val="center"/>
        </w:trPr>
        <w:tc>
          <w:tcPr>
            <w:tcW w:w="2758" w:type="dxa"/>
            <w:shd w:val="clear" w:color="auto" w:fill="auto"/>
          </w:tcPr>
          <w:p w14:paraId="24749046" w14:textId="77777777" w:rsidR="0099174E" w:rsidRPr="0099174E" w:rsidRDefault="0099174E" w:rsidP="0099174E">
            <w:pPr>
              <w:ind w:left="3540" w:hanging="3540"/>
              <w:jc w:val="both"/>
              <w:rPr>
                <w:lang w:val="en-GB"/>
              </w:rPr>
            </w:pPr>
            <w:r w:rsidRPr="0099174E">
              <w:rPr>
                <w:lang w:val="en-GB"/>
              </w:rPr>
              <w:t>Day Count Convention</w:t>
            </w:r>
          </w:p>
        </w:tc>
        <w:tc>
          <w:tcPr>
            <w:tcW w:w="6384" w:type="dxa"/>
            <w:gridSpan w:val="3"/>
            <w:shd w:val="clear" w:color="auto" w:fill="auto"/>
          </w:tcPr>
          <w:p w14:paraId="26CF91C4" w14:textId="77777777" w:rsidR="0099174E" w:rsidRPr="0099174E" w:rsidRDefault="0099174E" w:rsidP="0099174E">
            <w:pPr>
              <w:jc w:val="both"/>
              <w:rPr>
                <w:lang w:val="en-GB"/>
              </w:rPr>
            </w:pPr>
            <w:r w:rsidRPr="0099174E">
              <w:rPr>
                <w:lang w:val="en-GB"/>
              </w:rPr>
              <w:t>Modified Following Business Day Convention</w:t>
            </w:r>
          </w:p>
        </w:tc>
      </w:tr>
      <w:tr w:rsidR="0099174E" w:rsidRPr="0099174E" w14:paraId="70F72E20" w14:textId="77777777" w:rsidTr="0099174E">
        <w:trPr>
          <w:jc w:val="center"/>
        </w:trPr>
        <w:tc>
          <w:tcPr>
            <w:tcW w:w="2758" w:type="dxa"/>
            <w:shd w:val="clear" w:color="auto" w:fill="auto"/>
          </w:tcPr>
          <w:p w14:paraId="21E71C6E" w14:textId="77777777" w:rsidR="0099174E" w:rsidRPr="0099174E" w:rsidRDefault="0099174E" w:rsidP="0099174E">
            <w:pPr>
              <w:jc w:val="both"/>
              <w:rPr>
                <w:lang w:val="en-GB"/>
              </w:rPr>
            </w:pPr>
            <w:r w:rsidRPr="0099174E">
              <w:rPr>
                <w:lang w:val="en-GB"/>
              </w:rPr>
              <w:t>Business Day</w:t>
            </w:r>
          </w:p>
        </w:tc>
        <w:tc>
          <w:tcPr>
            <w:tcW w:w="6384" w:type="dxa"/>
            <w:gridSpan w:val="3"/>
            <w:shd w:val="clear" w:color="auto" w:fill="auto"/>
          </w:tcPr>
          <w:p w14:paraId="3A3A7DC1" w14:textId="77777777" w:rsidR="0099174E" w:rsidRPr="0099174E" w:rsidRDefault="0099174E" w:rsidP="0099174E">
            <w:pPr>
              <w:jc w:val="both"/>
              <w:rPr>
                <w:lang w:val="en-GB"/>
              </w:rPr>
            </w:pPr>
            <w:r w:rsidRPr="0099174E">
              <w:rPr>
                <w:lang w:val="en-GB"/>
              </w:rPr>
              <w:t>[●]</w:t>
            </w:r>
          </w:p>
        </w:tc>
      </w:tr>
      <w:tr w:rsidR="0099174E" w:rsidRPr="0099174E" w14:paraId="38F6768D" w14:textId="77777777" w:rsidTr="0099174E">
        <w:trPr>
          <w:jc w:val="center"/>
        </w:trPr>
        <w:tc>
          <w:tcPr>
            <w:tcW w:w="2758" w:type="dxa"/>
            <w:shd w:val="clear" w:color="auto" w:fill="auto"/>
          </w:tcPr>
          <w:p w14:paraId="55B179BC" w14:textId="77777777" w:rsidR="0099174E" w:rsidRPr="0099174E" w:rsidRDefault="0099174E" w:rsidP="0099174E">
            <w:pPr>
              <w:jc w:val="both"/>
              <w:rPr>
                <w:lang w:val="en-GB"/>
              </w:rPr>
            </w:pPr>
            <w:r w:rsidRPr="0099174E">
              <w:rPr>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1189"/>
              <w:gridCol w:w="2892"/>
            </w:tblGrid>
            <w:tr w:rsidR="0099174E" w:rsidRPr="0099174E" w14:paraId="2BE2F8BC" w14:textId="77777777" w:rsidTr="0099174E">
              <w:tc>
                <w:tcPr>
                  <w:tcW w:w="2052" w:type="dxa"/>
                  <w:shd w:val="clear" w:color="auto" w:fill="auto"/>
                </w:tcPr>
                <w:p w14:paraId="149801BC" w14:textId="77777777" w:rsidR="0099174E" w:rsidRPr="0099174E" w:rsidRDefault="0099174E" w:rsidP="0099174E">
                  <w:pPr>
                    <w:jc w:val="both"/>
                    <w:rPr>
                      <w:lang w:val="en-GB"/>
                    </w:rPr>
                  </w:pPr>
                  <w:r w:rsidRPr="0099174E">
                    <w:rPr>
                      <w:lang w:val="en-GB"/>
                    </w:rPr>
                    <w:t>Beneficiary’s Name</w:t>
                  </w:r>
                </w:p>
              </w:tc>
              <w:tc>
                <w:tcPr>
                  <w:tcW w:w="4072" w:type="dxa"/>
                  <w:gridSpan w:val="2"/>
                  <w:shd w:val="clear" w:color="auto" w:fill="auto"/>
                </w:tcPr>
                <w:p w14:paraId="26873402" w14:textId="77777777" w:rsidR="0099174E" w:rsidRPr="0099174E" w:rsidRDefault="0099174E" w:rsidP="0099174E">
                  <w:pPr>
                    <w:jc w:val="both"/>
                    <w:rPr>
                      <w:lang w:val="en-GB"/>
                    </w:rPr>
                  </w:pPr>
                  <w:r w:rsidRPr="0099174E">
                    <w:rPr>
                      <w:lang w:val="en-GB"/>
                    </w:rPr>
                    <w:t>[●]</w:t>
                  </w:r>
                </w:p>
              </w:tc>
            </w:tr>
            <w:tr w:rsidR="0099174E" w:rsidRPr="0099174E" w14:paraId="57080C41" w14:textId="77777777" w:rsidTr="0099174E">
              <w:tc>
                <w:tcPr>
                  <w:tcW w:w="2052" w:type="dxa"/>
                  <w:vMerge w:val="restart"/>
                  <w:shd w:val="clear" w:color="auto" w:fill="auto"/>
                </w:tcPr>
                <w:p w14:paraId="3D6D0D21" w14:textId="77777777" w:rsidR="0099174E" w:rsidRPr="0099174E" w:rsidRDefault="0099174E" w:rsidP="0099174E">
                  <w:pPr>
                    <w:jc w:val="both"/>
                    <w:rPr>
                      <w:lang w:val="en-GB"/>
                    </w:rPr>
                  </w:pPr>
                  <w:r w:rsidRPr="0099174E">
                    <w:rPr>
                      <w:lang w:val="en-GB"/>
                    </w:rPr>
                    <w:t>Beneficiary’s Bank</w:t>
                  </w:r>
                </w:p>
              </w:tc>
              <w:tc>
                <w:tcPr>
                  <w:tcW w:w="1126" w:type="dxa"/>
                  <w:shd w:val="clear" w:color="auto" w:fill="auto"/>
                </w:tcPr>
                <w:p w14:paraId="1B9D73BF" w14:textId="77777777" w:rsidR="0099174E" w:rsidRPr="0099174E" w:rsidRDefault="0099174E" w:rsidP="0099174E">
                  <w:pPr>
                    <w:jc w:val="both"/>
                    <w:rPr>
                      <w:lang w:val="en-GB"/>
                    </w:rPr>
                  </w:pPr>
                  <w:r w:rsidRPr="0099174E">
                    <w:rPr>
                      <w:lang w:val="en-GB"/>
                    </w:rPr>
                    <w:t xml:space="preserve">Name </w:t>
                  </w:r>
                </w:p>
              </w:tc>
              <w:tc>
                <w:tcPr>
                  <w:tcW w:w="2946" w:type="dxa"/>
                  <w:shd w:val="clear" w:color="auto" w:fill="auto"/>
                </w:tcPr>
                <w:p w14:paraId="026E282E" w14:textId="77777777" w:rsidR="0099174E" w:rsidRPr="0099174E" w:rsidRDefault="0099174E" w:rsidP="0099174E">
                  <w:pPr>
                    <w:jc w:val="both"/>
                    <w:rPr>
                      <w:lang w:val="en-GB"/>
                    </w:rPr>
                  </w:pPr>
                  <w:r w:rsidRPr="0099174E">
                    <w:rPr>
                      <w:lang w:val="en-GB"/>
                    </w:rPr>
                    <w:t>[●]</w:t>
                  </w:r>
                </w:p>
              </w:tc>
            </w:tr>
            <w:tr w:rsidR="0099174E" w:rsidRPr="0099174E" w14:paraId="6C40D9E8" w14:textId="77777777" w:rsidTr="0099174E">
              <w:tc>
                <w:tcPr>
                  <w:tcW w:w="2052" w:type="dxa"/>
                  <w:vMerge/>
                  <w:shd w:val="clear" w:color="auto" w:fill="auto"/>
                </w:tcPr>
                <w:p w14:paraId="6ACB0583" w14:textId="77777777" w:rsidR="0099174E" w:rsidRPr="0099174E" w:rsidRDefault="0099174E" w:rsidP="0099174E">
                  <w:pPr>
                    <w:jc w:val="both"/>
                    <w:rPr>
                      <w:lang w:val="en-GB"/>
                    </w:rPr>
                  </w:pPr>
                </w:p>
              </w:tc>
              <w:tc>
                <w:tcPr>
                  <w:tcW w:w="1126" w:type="dxa"/>
                  <w:shd w:val="clear" w:color="auto" w:fill="auto"/>
                </w:tcPr>
                <w:p w14:paraId="099F52A7" w14:textId="77777777" w:rsidR="0099174E" w:rsidRPr="0099174E" w:rsidRDefault="0099174E" w:rsidP="0099174E">
                  <w:pPr>
                    <w:jc w:val="both"/>
                    <w:rPr>
                      <w:lang w:val="en-GB"/>
                    </w:rPr>
                  </w:pPr>
                  <w:r w:rsidRPr="0099174E">
                    <w:rPr>
                      <w:lang w:val="en-GB"/>
                    </w:rPr>
                    <w:t>City</w:t>
                  </w:r>
                </w:p>
              </w:tc>
              <w:tc>
                <w:tcPr>
                  <w:tcW w:w="2946" w:type="dxa"/>
                  <w:shd w:val="clear" w:color="auto" w:fill="auto"/>
                </w:tcPr>
                <w:p w14:paraId="40327F0D" w14:textId="77777777" w:rsidR="0099174E" w:rsidRPr="0099174E" w:rsidRDefault="0099174E" w:rsidP="0099174E">
                  <w:pPr>
                    <w:jc w:val="both"/>
                    <w:rPr>
                      <w:lang w:val="en-GB"/>
                    </w:rPr>
                  </w:pPr>
                  <w:r w:rsidRPr="0099174E">
                    <w:rPr>
                      <w:lang w:val="en-GB"/>
                    </w:rPr>
                    <w:t>[●]</w:t>
                  </w:r>
                </w:p>
              </w:tc>
            </w:tr>
            <w:tr w:rsidR="0099174E" w:rsidRPr="0099174E" w14:paraId="4E6E1B83" w14:textId="77777777" w:rsidTr="0099174E">
              <w:tc>
                <w:tcPr>
                  <w:tcW w:w="2052" w:type="dxa"/>
                  <w:vMerge/>
                  <w:shd w:val="clear" w:color="auto" w:fill="auto"/>
                </w:tcPr>
                <w:p w14:paraId="0EF47E5D" w14:textId="77777777" w:rsidR="0099174E" w:rsidRPr="0099174E" w:rsidRDefault="0099174E" w:rsidP="0099174E">
                  <w:pPr>
                    <w:jc w:val="both"/>
                    <w:rPr>
                      <w:lang w:val="en-GB"/>
                    </w:rPr>
                  </w:pPr>
                </w:p>
              </w:tc>
              <w:tc>
                <w:tcPr>
                  <w:tcW w:w="1126" w:type="dxa"/>
                  <w:shd w:val="clear" w:color="auto" w:fill="auto"/>
                </w:tcPr>
                <w:p w14:paraId="54A06A9C" w14:textId="77777777" w:rsidR="0099174E" w:rsidRPr="0099174E" w:rsidRDefault="0099174E" w:rsidP="0099174E">
                  <w:pPr>
                    <w:jc w:val="both"/>
                    <w:rPr>
                      <w:lang w:val="en-GB"/>
                    </w:rPr>
                  </w:pPr>
                  <w:r w:rsidRPr="0099174E">
                    <w:rPr>
                      <w:lang w:val="en-GB"/>
                    </w:rPr>
                    <w:t>SWIFT</w:t>
                  </w:r>
                </w:p>
              </w:tc>
              <w:tc>
                <w:tcPr>
                  <w:tcW w:w="2946" w:type="dxa"/>
                  <w:shd w:val="clear" w:color="auto" w:fill="auto"/>
                </w:tcPr>
                <w:p w14:paraId="2926BEAF" w14:textId="77777777" w:rsidR="0099174E" w:rsidRPr="0099174E" w:rsidRDefault="0099174E" w:rsidP="0099174E">
                  <w:pPr>
                    <w:jc w:val="both"/>
                    <w:rPr>
                      <w:lang w:val="en-GB"/>
                    </w:rPr>
                  </w:pPr>
                  <w:r w:rsidRPr="0099174E">
                    <w:rPr>
                      <w:lang w:val="en-GB"/>
                    </w:rPr>
                    <w:t>[●]</w:t>
                  </w:r>
                </w:p>
              </w:tc>
            </w:tr>
            <w:tr w:rsidR="0099174E" w:rsidRPr="0099174E" w14:paraId="004B2272" w14:textId="77777777" w:rsidTr="0099174E">
              <w:tc>
                <w:tcPr>
                  <w:tcW w:w="2052" w:type="dxa"/>
                  <w:vMerge/>
                  <w:shd w:val="clear" w:color="auto" w:fill="auto"/>
                </w:tcPr>
                <w:p w14:paraId="7122458E" w14:textId="77777777" w:rsidR="0099174E" w:rsidRPr="0099174E" w:rsidRDefault="0099174E" w:rsidP="0099174E">
                  <w:pPr>
                    <w:jc w:val="both"/>
                    <w:rPr>
                      <w:lang w:val="en-GB"/>
                    </w:rPr>
                  </w:pPr>
                </w:p>
              </w:tc>
              <w:tc>
                <w:tcPr>
                  <w:tcW w:w="1126" w:type="dxa"/>
                  <w:shd w:val="clear" w:color="auto" w:fill="auto"/>
                </w:tcPr>
                <w:p w14:paraId="4AD3580A" w14:textId="77777777" w:rsidR="0099174E" w:rsidRPr="0099174E" w:rsidRDefault="0099174E" w:rsidP="0099174E">
                  <w:pPr>
                    <w:jc w:val="both"/>
                    <w:rPr>
                      <w:lang w:val="en-GB"/>
                    </w:rPr>
                  </w:pPr>
                  <w:r w:rsidRPr="0099174E">
                    <w:rPr>
                      <w:lang w:val="en-GB"/>
                    </w:rPr>
                    <w:t>IBAN</w:t>
                  </w:r>
                </w:p>
              </w:tc>
              <w:tc>
                <w:tcPr>
                  <w:tcW w:w="2946" w:type="dxa"/>
                  <w:shd w:val="clear" w:color="auto" w:fill="auto"/>
                </w:tcPr>
                <w:p w14:paraId="28E5506D" w14:textId="77777777" w:rsidR="0099174E" w:rsidRPr="0099174E" w:rsidRDefault="0099174E" w:rsidP="0099174E">
                  <w:pPr>
                    <w:jc w:val="both"/>
                    <w:rPr>
                      <w:lang w:val="en-GB"/>
                    </w:rPr>
                  </w:pPr>
                  <w:r w:rsidRPr="0099174E">
                    <w:rPr>
                      <w:lang w:val="en-GB"/>
                    </w:rPr>
                    <w:t>[●]</w:t>
                  </w:r>
                </w:p>
              </w:tc>
            </w:tr>
            <w:tr w:rsidR="0099174E" w:rsidRPr="0099174E" w14:paraId="474B7C94" w14:textId="77777777" w:rsidTr="0099174E">
              <w:tc>
                <w:tcPr>
                  <w:tcW w:w="2052" w:type="dxa"/>
                  <w:vMerge/>
                  <w:shd w:val="clear" w:color="auto" w:fill="auto"/>
                </w:tcPr>
                <w:p w14:paraId="5D750F68" w14:textId="77777777" w:rsidR="0099174E" w:rsidRPr="0099174E" w:rsidRDefault="0099174E" w:rsidP="0099174E">
                  <w:pPr>
                    <w:jc w:val="both"/>
                    <w:rPr>
                      <w:lang w:val="en-GB"/>
                    </w:rPr>
                  </w:pPr>
                </w:p>
              </w:tc>
              <w:tc>
                <w:tcPr>
                  <w:tcW w:w="1126" w:type="dxa"/>
                  <w:shd w:val="clear" w:color="auto" w:fill="auto"/>
                </w:tcPr>
                <w:p w14:paraId="6EDCF820" w14:textId="77777777" w:rsidR="0099174E" w:rsidRPr="0099174E" w:rsidRDefault="0099174E" w:rsidP="0099174E">
                  <w:pPr>
                    <w:jc w:val="both"/>
                    <w:rPr>
                      <w:lang w:val="en-GB"/>
                    </w:rPr>
                  </w:pPr>
                  <w:r w:rsidRPr="0099174E">
                    <w:rPr>
                      <w:lang w:val="en-GB"/>
                    </w:rPr>
                    <w:t>Reference</w:t>
                  </w:r>
                </w:p>
              </w:tc>
              <w:tc>
                <w:tcPr>
                  <w:tcW w:w="2946" w:type="dxa"/>
                  <w:shd w:val="clear" w:color="auto" w:fill="auto"/>
                </w:tcPr>
                <w:p w14:paraId="2E27C8B4" w14:textId="77777777" w:rsidR="0099174E" w:rsidRPr="0099174E" w:rsidRDefault="0099174E" w:rsidP="0099174E">
                  <w:pPr>
                    <w:jc w:val="both"/>
                    <w:rPr>
                      <w:lang w:val="en-GB"/>
                    </w:rPr>
                  </w:pPr>
                  <w:r w:rsidRPr="0099174E">
                    <w:rPr>
                      <w:lang w:val="en-GB"/>
                    </w:rPr>
                    <w:t>[●]</w:t>
                  </w:r>
                </w:p>
              </w:tc>
            </w:tr>
            <w:tr w:rsidR="0099174E" w:rsidRPr="0099174E" w14:paraId="37B7CB82" w14:textId="77777777" w:rsidTr="0099174E">
              <w:tc>
                <w:tcPr>
                  <w:tcW w:w="2052" w:type="dxa"/>
                  <w:vMerge w:val="restart"/>
                  <w:shd w:val="clear" w:color="auto" w:fill="auto"/>
                </w:tcPr>
                <w:p w14:paraId="35F715C7" w14:textId="77777777" w:rsidR="0099174E" w:rsidRPr="0099174E" w:rsidRDefault="0099174E" w:rsidP="0099174E">
                  <w:pPr>
                    <w:jc w:val="both"/>
                    <w:rPr>
                      <w:lang w:val="en-GB"/>
                    </w:rPr>
                  </w:pPr>
                  <w:r w:rsidRPr="0099174E">
                    <w:rPr>
                      <w:lang w:val="en-GB"/>
                    </w:rPr>
                    <w:t>Correspondent Bank (if applicable)</w:t>
                  </w:r>
                </w:p>
              </w:tc>
              <w:tc>
                <w:tcPr>
                  <w:tcW w:w="1126" w:type="dxa"/>
                  <w:shd w:val="clear" w:color="auto" w:fill="auto"/>
                  <w:vAlign w:val="center"/>
                </w:tcPr>
                <w:p w14:paraId="630B4F3A" w14:textId="77777777" w:rsidR="0099174E" w:rsidRPr="0099174E" w:rsidRDefault="0099174E" w:rsidP="0099174E">
                  <w:pPr>
                    <w:jc w:val="both"/>
                    <w:rPr>
                      <w:lang w:val="en-GB"/>
                    </w:rPr>
                  </w:pPr>
                  <w:r w:rsidRPr="0099174E">
                    <w:rPr>
                      <w:lang w:val="en-GB"/>
                    </w:rPr>
                    <w:t>Name</w:t>
                  </w:r>
                </w:p>
              </w:tc>
              <w:tc>
                <w:tcPr>
                  <w:tcW w:w="2946" w:type="dxa"/>
                  <w:shd w:val="clear" w:color="auto" w:fill="auto"/>
                  <w:vAlign w:val="center"/>
                </w:tcPr>
                <w:p w14:paraId="43EB5F67" w14:textId="77777777" w:rsidR="0099174E" w:rsidRPr="0099174E" w:rsidRDefault="0099174E" w:rsidP="0099174E">
                  <w:pPr>
                    <w:jc w:val="both"/>
                    <w:rPr>
                      <w:lang w:val="en-GB"/>
                    </w:rPr>
                  </w:pPr>
                  <w:r w:rsidRPr="0099174E">
                    <w:rPr>
                      <w:lang w:val="en-GB"/>
                    </w:rPr>
                    <w:t>[●]</w:t>
                  </w:r>
                </w:p>
              </w:tc>
            </w:tr>
            <w:tr w:rsidR="0099174E" w:rsidRPr="0099174E" w14:paraId="278834E4" w14:textId="77777777" w:rsidTr="0099174E">
              <w:tc>
                <w:tcPr>
                  <w:tcW w:w="2052" w:type="dxa"/>
                  <w:vMerge/>
                  <w:shd w:val="clear" w:color="auto" w:fill="auto"/>
                </w:tcPr>
                <w:p w14:paraId="210712F2" w14:textId="77777777" w:rsidR="0099174E" w:rsidRPr="0099174E" w:rsidRDefault="0099174E" w:rsidP="0099174E">
                  <w:pPr>
                    <w:jc w:val="both"/>
                    <w:rPr>
                      <w:lang w:val="en-GB"/>
                    </w:rPr>
                  </w:pPr>
                </w:p>
              </w:tc>
              <w:tc>
                <w:tcPr>
                  <w:tcW w:w="1126" w:type="dxa"/>
                  <w:shd w:val="clear" w:color="auto" w:fill="auto"/>
                </w:tcPr>
                <w:p w14:paraId="276E83CA" w14:textId="77777777" w:rsidR="0099174E" w:rsidRPr="0099174E" w:rsidRDefault="0099174E" w:rsidP="0099174E">
                  <w:pPr>
                    <w:jc w:val="both"/>
                    <w:rPr>
                      <w:lang w:val="en-GB"/>
                    </w:rPr>
                  </w:pPr>
                  <w:r w:rsidRPr="0099174E">
                    <w:rPr>
                      <w:lang w:val="en-GB"/>
                    </w:rPr>
                    <w:t>City</w:t>
                  </w:r>
                </w:p>
              </w:tc>
              <w:tc>
                <w:tcPr>
                  <w:tcW w:w="2946" w:type="dxa"/>
                  <w:shd w:val="clear" w:color="auto" w:fill="auto"/>
                </w:tcPr>
                <w:p w14:paraId="55C2A6DC" w14:textId="77777777" w:rsidR="0099174E" w:rsidRPr="0099174E" w:rsidRDefault="0099174E" w:rsidP="0099174E">
                  <w:pPr>
                    <w:jc w:val="both"/>
                    <w:rPr>
                      <w:lang w:val="en-GB"/>
                    </w:rPr>
                  </w:pPr>
                  <w:r w:rsidRPr="0099174E">
                    <w:rPr>
                      <w:lang w:val="en-GB"/>
                    </w:rPr>
                    <w:t>[●]</w:t>
                  </w:r>
                </w:p>
              </w:tc>
            </w:tr>
            <w:tr w:rsidR="0099174E" w:rsidRPr="0099174E" w14:paraId="1A4AEFF5" w14:textId="77777777" w:rsidTr="0099174E">
              <w:tc>
                <w:tcPr>
                  <w:tcW w:w="2052" w:type="dxa"/>
                  <w:vMerge/>
                  <w:shd w:val="clear" w:color="auto" w:fill="auto"/>
                </w:tcPr>
                <w:p w14:paraId="2F61E90B" w14:textId="77777777" w:rsidR="0099174E" w:rsidRPr="0099174E" w:rsidRDefault="0099174E" w:rsidP="0099174E">
                  <w:pPr>
                    <w:jc w:val="both"/>
                    <w:rPr>
                      <w:lang w:val="en-GB"/>
                    </w:rPr>
                  </w:pPr>
                </w:p>
              </w:tc>
              <w:tc>
                <w:tcPr>
                  <w:tcW w:w="1126" w:type="dxa"/>
                  <w:tcBorders>
                    <w:bottom w:val="single" w:sz="4" w:space="0" w:color="auto"/>
                  </w:tcBorders>
                  <w:shd w:val="clear" w:color="auto" w:fill="auto"/>
                </w:tcPr>
                <w:p w14:paraId="5A361925" w14:textId="77777777" w:rsidR="0099174E" w:rsidRPr="0099174E" w:rsidRDefault="0099174E" w:rsidP="0099174E">
                  <w:pPr>
                    <w:jc w:val="both"/>
                    <w:rPr>
                      <w:lang w:val="en-GB"/>
                    </w:rPr>
                  </w:pPr>
                  <w:r w:rsidRPr="0099174E">
                    <w:rPr>
                      <w:lang w:val="en-GB"/>
                    </w:rPr>
                    <w:t>SWIFT</w:t>
                  </w:r>
                </w:p>
              </w:tc>
              <w:tc>
                <w:tcPr>
                  <w:tcW w:w="2946" w:type="dxa"/>
                  <w:tcBorders>
                    <w:bottom w:val="single" w:sz="4" w:space="0" w:color="auto"/>
                  </w:tcBorders>
                  <w:shd w:val="clear" w:color="auto" w:fill="auto"/>
                </w:tcPr>
                <w:p w14:paraId="686F8B96" w14:textId="77777777" w:rsidR="0099174E" w:rsidRPr="0099174E" w:rsidRDefault="0099174E" w:rsidP="0099174E">
                  <w:pPr>
                    <w:jc w:val="both"/>
                    <w:rPr>
                      <w:lang w:val="en-GB"/>
                    </w:rPr>
                  </w:pPr>
                  <w:r w:rsidRPr="0099174E">
                    <w:rPr>
                      <w:lang w:val="en-GB"/>
                    </w:rPr>
                    <w:t>[●]</w:t>
                  </w:r>
                </w:p>
              </w:tc>
            </w:tr>
            <w:tr w:rsidR="0099174E" w:rsidRPr="0099174E" w14:paraId="2393690D" w14:textId="77777777" w:rsidTr="0099174E">
              <w:tc>
                <w:tcPr>
                  <w:tcW w:w="2052" w:type="dxa"/>
                  <w:vMerge/>
                  <w:tcBorders>
                    <w:bottom w:val="nil"/>
                  </w:tcBorders>
                  <w:shd w:val="clear" w:color="auto" w:fill="auto"/>
                </w:tcPr>
                <w:p w14:paraId="47E44426" w14:textId="77777777" w:rsidR="0099174E" w:rsidRPr="0099174E" w:rsidRDefault="0099174E" w:rsidP="0099174E">
                  <w:pPr>
                    <w:jc w:val="both"/>
                    <w:rPr>
                      <w:lang w:val="en-GB"/>
                    </w:rPr>
                  </w:pPr>
                </w:p>
              </w:tc>
              <w:tc>
                <w:tcPr>
                  <w:tcW w:w="1126" w:type="dxa"/>
                  <w:tcBorders>
                    <w:bottom w:val="nil"/>
                  </w:tcBorders>
                  <w:shd w:val="clear" w:color="auto" w:fill="auto"/>
                </w:tcPr>
                <w:p w14:paraId="1B173DD9" w14:textId="77777777" w:rsidR="0099174E" w:rsidRPr="0099174E" w:rsidRDefault="0099174E" w:rsidP="0099174E">
                  <w:pPr>
                    <w:jc w:val="both"/>
                    <w:rPr>
                      <w:lang w:val="en-GB"/>
                    </w:rPr>
                  </w:pPr>
                  <w:r w:rsidRPr="0099174E">
                    <w:rPr>
                      <w:lang w:val="en-GB"/>
                    </w:rPr>
                    <w:t>IBAN</w:t>
                  </w:r>
                </w:p>
              </w:tc>
              <w:tc>
                <w:tcPr>
                  <w:tcW w:w="2946" w:type="dxa"/>
                  <w:tcBorders>
                    <w:bottom w:val="nil"/>
                  </w:tcBorders>
                  <w:shd w:val="clear" w:color="auto" w:fill="auto"/>
                </w:tcPr>
                <w:p w14:paraId="65AC71B7" w14:textId="77777777" w:rsidR="0099174E" w:rsidRPr="0099174E" w:rsidRDefault="0099174E" w:rsidP="0099174E">
                  <w:pPr>
                    <w:jc w:val="both"/>
                    <w:rPr>
                      <w:lang w:val="en-GB"/>
                    </w:rPr>
                  </w:pPr>
                  <w:r w:rsidRPr="0099174E">
                    <w:rPr>
                      <w:lang w:val="en-GB"/>
                    </w:rPr>
                    <w:t>[●]</w:t>
                  </w:r>
                </w:p>
              </w:tc>
            </w:tr>
          </w:tbl>
          <w:p w14:paraId="6931DCF4" w14:textId="77777777" w:rsidR="0099174E" w:rsidRPr="0099174E" w:rsidRDefault="0099174E" w:rsidP="0099174E">
            <w:pPr>
              <w:jc w:val="both"/>
              <w:rPr>
                <w:lang w:val="en-GB"/>
              </w:rPr>
            </w:pPr>
          </w:p>
        </w:tc>
      </w:tr>
      <w:tr w:rsidR="0099174E" w:rsidRPr="0099174E" w14:paraId="0D42F822" w14:textId="77777777" w:rsidTr="0099174E">
        <w:trPr>
          <w:jc w:val="center"/>
        </w:trPr>
        <w:tc>
          <w:tcPr>
            <w:tcW w:w="2758" w:type="dxa"/>
            <w:shd w:val="clear" w:color="auto" w:fill="auto"/>
          </w:tcPr>
          <w:p w14:paraId="622EC701" w14:textId="77777777" w:rsidR="0099174E" w:rsidRPr="0099174E" w:rsidRDefault="0099174E" w:rsidP="0099174E">
            <w:pPr>
              <w:jc w:val="both"/>
              <w:rPr>
                <w:lang w:val="en-GB"/>
              </w:rPr>
            </w:pPr>
            <w:r w:rsidRPr="0099174E">
              <w:rPr>
                <w:lang w:val="en-GB"/>
              </w:rPr>
              <w:t xml:space="preserve">CEB’s account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99174E" w:rsidRPr="0099174E" w14:paraId="6804780B" w14:textId="77777777" w:rsidTr="0099174E">
              <w:tc>
                <w:tcPr>
                  <w:tcW w:w="2083" w:type="dxa"/>
                  <w:shd w:val="clear" w:color="auto" w:fill="auto"/>
                </w:tcPr>
                <w:p w14:paraId="37954BA7" w14:textId="77777777" w:rsidR="0099174E" w:rsidRPr="0099174E" w:rsidRDefault="0099174E" w:rsidP="0099174E">
                  <w:pPr>
                    <w:jc w:val="both"/>
                    <w:rPr>
                      <w:lang w:val="en-GB"/>
                    </w:rPr>
                  </w:pPr>
                  <w:r w:rsidRPr="0099174E">
                    <w:rPr>
                      <w:lang w:val="en-GB"/>
                    </w:rPr>
                    <w:t>Beneficiary’s Name</w:t>
                  </w:r>
                </w:p>
              </w:tc>
              <w:tc>
                <w:tcPr>
                  <w:tcW w:w="4027" w:type="dxa"/>
                  <w:gridSpan w:val="2"/>
                  <w:shd w:val="clear" w:color="auto" w:fill="auto"/>
                  <w:vAlign w:val="center"/>
                </w:tcPr>
                <w:p w14:paraId="75841AC9" w14:textId="77777777" w:rsidR="0099174E" w:rsidRPr="0099174E" w:rsidRDefault="0099174E" w:rsidP="0099174E">
                  <w:pPr>
                    <w:jc w:val="both"/>
                    <w:rPr>
                      <w:lang w:val="en-GB"/>
                    </w:rPr>
                  </w:pPr>
                  <w:r w:rsidRPr="0099174E">
                    <w:rPr>
                      <w:lang w:val="en-GB"/>
                    </w:rPr>
                    <w:t>Council of Europe Development Bank</w:t>
                  </w:r>
                </w:p>
              </w:tc>
            </w:tr>
            <w:tr w:rsidR="0099174E" w:rsidRPr="0099174E" w14:paraId="67D0BF79" w14:textId="77777777" w:rsidTr="0099174E">
              <w:tc>
                <w:tcPr>
                  <w:tcW w:w="2083" w:type="dxa"/>
                  <w:shd w:val="clear" w:color="auto" w:fill="auto"/>
                </w:tcPr>
                <w:p w14:paraId="0E7E34E9" w14:textId="77777777" w:rsidR="0099174E" w:rsidRPr="0099174E" w:rsidRDefault="0099174E" w:rsidP="0099174E">
                  <w:pPr>
                    <w:jc w:val="both"/>
                    <w:rPr>
                      <w:lang w:val="en-GB"/>
                    </w:rPr>
                  </w:pPr>
                  <w:r w:rsidRPr="0099174E">
                    <w:rPr>
                      <w:lang w:val="en-GB"/>
                    </w:rPr>
                    <w:t>Beneficiary’s SWIFT</w:t>
                  </w:r>
                </w:p>
              </w:tc>
              <w:tc>
                <w:tcPr>
                  <w:tcW w:w="4027" w:type="dxa"/>
                  <w:gridSpan w:val="2"/>
                  <w:shd w:val="clear" w:color="auto" w:fill="auto"/>
                  <w:vAlign w:val="center"/>
                </w:tcPr>
                <w:p w14:paraId="1AC08C3D" w14:textId="77777777" w:rsidR="0099174E" w:rsidRPr="0099174E" w:rsidRDefault="0099174E" w:rsidP="0099174E">
                  <w:pPr>
                    <w:jc w:val="both"/>
                    <w:rPr>
                      <w:lang w:val="en-GB"/>
                    </w:rPr>
                  </w:pPr>
                  <w:r w:rsidRPr="0099174E">
                    <w:rPr>
                      <w:lang w:val="en-GB"/>
                    </w:rPr>
                    <w:t>CEFPFRPP</w:t>
                  </w:r>
                </w:p>
              </w:tc>
            </w:tr>
            <w:tr w:rsidR="0099174E" w:rsidRPr="0099174E" w14:paraId="7F227812" w14:textId="77777777" w:rsidTr="0099174E">
              <w:tc>
                <w:tcPr>
                  <w:tcW w:w="2083" w:type="dxa"/>
                  <w:vMerge w:val="restart"/>
                  <w:shd w:val="clear" w:color="auto" w:fill="auto"/>
                </w:tcPr>
                <w:p w14:paraId="4E4E7174" w14:textId="77777777" w:rsidR="0099174E" w:rsidRPr="0099174E" w:rsidRDefault="0099174E" w:rsidP="0099174E">
                  <w:pPr>
                    <w:jc w:val="both"/>
                    <w:rPr>
                      <w:lang w:val="en-GB"/>
                    </w:rPr>
                  </w:pPr>
                  <w:r w:rsidRPr="0099174E">
                    <w:rPr>
                      <w:lang w:val="en-GB"/>
                    </w:rPr>
                    <w:t>Beneficiary’s Bank</w:t>
                  </w:r>
                </w:p>
              </w:tc>
              <w:tc>
                <w:tcPr>
                  <w:tcW w:w="940" w:type="dxa"/>
                  <w:shd w:val="clear" w:color="auto" w:fill="auto"/>
                </w:tcPr>
                <w:p w14:paraId="32634995" w14:textId="77777777" w:rsidR="0099174E" w:rsidRPr="0099174E" w:rsidRDefault="0099174E" w:rsidP="0099174E">
                  <w:pPr>
                    <w:jc w:val="both"/>
                    <w:rPr>
                      <w:lang w:val="en-GB"/>
                    </w:rPr>
                  </w:pPr>
                  <w:r w:rsidRPr="0099174E">
                    <w:rPr>
                      <w:lang w:val="en-GB"/>
                    </w:rPr>
                    <w:t>Name</w:t>
                  </w:r>
                </w:p>
              </w:tc>
              <w:tc>
                <w:tcPr>
                  <w:tcW w:w="3087" w:type="dxa"/>
                  <w:shd w:val="clear" w:color="auto" w:fill="auto"/>
                </w:tcPr>
                <w:p w14:paraId="260A95D3" w14:textId="77777777" w:rsidR="0099174E" w:rsidRPr="0099174E" w:rsidRDefault="0099174E" w:rsidP="0099174E">
                  <w:pPr>
                    <w:jc w:val="both"/>
                    <w:rPr>
                      <w:lang w:val="en-GB"/>
                    </w:rPr>
                  </w:pPr>
                  <w:r w:rsidRPr="0099174E">
                    <w:rPr>
                      <w:lang w:val="en-GB"/>
                    </w:rPr>
                    <w:t>Deutsche Bank</w:t>
                  </w:r>
                </w:p>
              </w:tc>
            </w:tr>
            <w:tr w:rsidR="0099174E" w:rsidRPr="0099174E" w14:paraId="09DE19FF" w14:textId="77777777" w:rsidTr="0099174E">
              <w:tc>
                <w:tcPr>
                  <w:tcW w:w="2083" w:type="dxa"/>
                  <w:vMerge/>
                  <w:shd w:val="clear" w:color="auto" w:fill="auto"/>
                </w:tcPr>
                <w:p w14:paraId="6865421F" w14:textId="77777777" w:rsidR="0099174E" w:rsidRPr="0099174E" w:rsidRDefault="0099174E" w:rsidP="0099174E">
                  <w:pPr>
                    <w:jc w:val="both"/>
                    <w:rPr>
                      <w:lang w:val="en-GB"/>
                    </w:rPr>
                  </w:pPr>
                </w:p>
              </w:tc>
              <w:tc>
                <w:tcPr>
                  <w:tcW w:w="940" w:type="dxa"/>
                  <w:shd w:val="clear" w:color="auto" w:fill="auto"/>
                </w:tcPr>
                <w:p w14:paraId="0FA69B92" w14:textId="77777777" w:rsidR="0099174E" w:rsidRPr="0099174E" w:rsidRDefault="0099174E" w:rsidP="0099174E">
                  <w:pPr>
                    <w:jc w:val="both"/>
                    <w:rPr>
                      <w:lang w:val="en-GB"/>
                    </w:rPr>
                  </w:pPr>
                  <w:r w:rsidRPr="0099174E">
                    <w:rPr>
                      <w:lang w:val="en-GB"/>
                    </w:rPr>
                    <w:t>City</w:t>
                  </w:r>
                </w:p>
              </w:tc>
              <w:tc>
                <w:tcPr>
                  <w:tcW w:w="3087" w:type="dxa"/>
                  <w:shd w:val="clear" w:color="auto" w:fill="auto"/>
                </w:tcPr>
                <w:p w14:paraId="05AAF0A2" w14:textId="77777777" w:rsidR="0099174E" w:rsidRPr="0099174E" w:rsidRDefault="0099174E" w:rsidP="0099174E">
                  <w:pPr>
                    <w:jc w:val="both"/>
                    <w:rPr>
                      <w:lang w:val="en-GB"/>
                    </w:rPr>
                  </w:pPr>
                  <w:r w:rsidRPr="0099174E">
                    <w:rPr>
                      <w:lang w:val="en-GB"/>
                    </w:rPr>
                    <w:t>Frankfurt (Germany)</w:t>
                  </w:r>
                </w:p>
              </w:tc>
            </w:tr>
            <w:tr w:rsidR="0099174E" w:rsidRPr="0099174E" w14:paraId="414542FC" w14:textId="77777777" w:rsidTr="0099174E">
              <w:tc>
                <w:tcPr>
                  <w:tcW w:w="2083" w:type="dxa"/>
                  <w:vMerge/>
                  <w:shd w:val="clear" w:color="auto" w:fill="auto"/>
                </w:tcPr>
                <w:p w14:paraId="28980662" w14:textId="77777777" w:rsidR="0099174E" w:rsidRPr="0099174E" w:rsidRDefault="0099174E" w:rsidP="0099174E">
                  <w:pPr>
                    <w:jc w:val="both"/>
                    <w:rPr>
                      <w:lang w:val="en-GB"/>
                    </w:rPr>
                  </w:pPr>
                </w:p>
              </w:tc>
              <w:tc>
                <w:tcPr>
                  <w:tcW w:w="940" w:type="dxa"/>
                  <w:tcBorders>
                    <w:bottom w:val="single" w:sz="4" w:space="0" w:color="auto"/>
                  </w:tcBorders>
                  <w:shd w:val="clear" w:color="auto" w:fill="auto"/>
                </w:tcPr>
                <w:p w14:paraId="6B39A0A9" w14:textId="77777777" w:rsidR="0099174E" w:rsidRPr="0099174E" w:rsidRDefault="0099174E" w:rsidP="0099174E">
                  <w:pPr>
                    <w:jc w:val="both"/>
                    <w:rPr>
                      <w:lang w:val="en-GB"/>
                    </w:rPr>
                  </w:pPr>
                  <w:r w:rsidRPr="0099174E">
                    <w:rPr>
                      <w:lang w:val="en-GB"/>
                    </w:rPr>
                    <w:t>SWIFT</w:t>
                  </w:r>
                </w:p>
              </w:tc>
              <w:tc>
                <w:tcPr>
                  <w:tcW w:w="3087" w:type="dxa"/>
                  <w:tcBorders>
                    <w:bottom w:val="single" w:sz="4" w:space="0" w:color="auto"/>
                  </w:tcBorders>
                  <w:shd w:val="clear" w:color="auto" w:fill="auto"/>
                </w:tcPr>
                <w:p w14:paraId="1CD5630A" w14:textId="77777777" w:rsidR="0099174E" w:rsidRPr="0099174E" w:rsidRDefault="0099174E" w:rsidP="0099174E">
                  <w:pPr>
                    <w:jc w:val="both"/>
                    <w:rPr>
                      <w:lang w:val="en-GB"/>
                    </w:rPr>
                  </w:pPr>
                  <w:r w:rsidRPr="0099174E">
                    <w:rPr>
                      <w:lang w:val="en-GB"/>
                    </w:rPr>
                    <w:t>DEUTDEFF</w:t>
                  </w:r>
                </w:p>
              </w:tc>
            </w:tr>
            <w:tr w:rsidR="0099174E" w:rsidRPr="0099174E" w14:paraId="47D44210" w14:textId="77777777" w:rsidTr="0099174E">
              <w:tc>
                <w:tcPr>
                  <w:tcW w:w="2083" w:type="dxa"/>
                  <w:vMerge/>
                  <w:tcBorders>
                    <w:bottom w:val="nil"/>
                  </w:tcBorders>
                  <w:shd w:val="clear" w:color="auto" w:fill="auto"/>
                </w:tcPr>
                <w:p w14:paraId="19279AE9" w14:textId="77777777" w:rsidR="0099174E" w:rsidRPr="0099174E" w:rsidRDefault="0099174E" w:rsidP="0099174E">
                  <w:pPr>
                    <w:jc w:val="both"/>
                    <w:rPr>
                      <w:lang w:val="en-GB"/>
                    </w:rPr>
                  </w:pPr>
                </w:p>
              </w:tc>
              <w:tc>
                <w:tcPr>
                  <w:tcW w:w="940" w:type="dxa"/>
                  <w:tcBorders>
                    <w:bottom w:val="nil"/>
                  </w:tcBorders>
                  <w:shd w:val="clear" w:color="auto" w:fill="auto"/>
                </w:tcPr>
                <w:p w14:paraId="1F6E9C90" w14:textId="77777777" w:rsidR="0099174E" w:rsidRPr="0099174E" w:rsidRDefault="0099174E" w:rsidP="0099174E">
                  <w:pPr>
                    <w:jc w:val="both"/>
                    <w:rPr>
                      <w:lang w:val="en-GB"/>
                    </w:rPr>
                  </w:pPr>
                  <w:r w:rsidRPr="0099174E">
                    <w:rPr>
                      <w:lang w:val="en-GB"/>
                    </w:rPr>
                    <w:t>IBAN</w:t>
                  </w:r>
                </w:p>
              </w:tc>
              <w:tc>
                <w:tcPr>
                  <w:tcW w:w="3087" w:type="dxa"/>
                  <w:tcBorders>
                    <w:bottom w:val="nil"/>
                  </w:tcBorders>
                  <w:shd w:val="clear" w:color="auto" w:fill="auto"/>
                </w:tcPr>
                <w:p w14:paraId="7178F176" w14:textId="77777777" w:rsidR="0099174E" w:rsidRPr="000913D4" w:rsidRDefault="0099174E" w:rsidP="0099174E">
                  <w:pPr>
                    <w:jc w:val="both"/>
                    <w:rPr>
                      <w:spacing w:val="-6"/>
                      <w:lang w:val="en-GB"/>
                    </w:rPr>
                  </w:pPr>
                  <w:r w:rsidRPr="000913D4">
                    <w:rPr>
                      <w:spacing w:val="-6"/>
                      <w:lang w:val="en-GB"/>
                    </w:rPr>
                    <w:t>DE44 5007 0010 0928 7384 00</w:t>
                  </w:r>
                </w:p>
              </w:tc>
            </w:tr>
          </w:tbl>
          <w:p w14:paraId="34F745F1" w14:textId="77777777" w:rsidR="0099174E" w:rsidRPr="0099174E" w:rsidRDefault="0099174E" w:rsidP="0099174E">
            <w:pPr>
              <w:jc w:val="both"/>
              <w:rPr>
                <w:lang w:val="en-GB"/>
              </w:rPr>
            </w:pPr>
          </w:p>
        </w:tc>
      </w:tr>
    </w:tbl>
    <w:p w14:paraId="26E0F74A" w14:textId="77777777" w:rsidR="00713DD5" w:rsidRDefault="00713DD5" w:rsidP="00713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lang w:val="en-GB"/>
        </w:rPr>
      </w:pPr>
    </w:p>
    <w:p w14:paraId="5D35F210" w14:textId="5DEEA29B" w:rsidR="0099174E" w:rsidRPr="0099174E" w:rsidRDefault="0099174E" w:rsidP="00713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lang w:val="en-GB"/>
        </w:rPr>
      </w:pPr>
      <w:r w:rsidRPr="0099174E">
        <w:rPr>
          <w:lang w:val="en-GB"/>
        </w:rPr>
        <w:t>Paris, on [•]</w:t>
      </w:r>
    </w:p>
    <w:p w14:paraId="7994351D" w14:textId="5E4D7A99" w:rsidR="0099174E" w:rsidRPr="0099174E" w:rsidRDefault="0099174E" w:rsidP="00991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lang w:val="en-GB"/>
        </w:rPr>
      </w:pPr>
      <w:r w:rsidRPr="0099174E">
        <w:rPr>
          <w:u w:val="single"/>
          <w:lang w:val="en-GB"/>
        </w:rPr>
        <w:t>For the CEB</w:t>
      </w:r>
    </w:p>
    <w:p w14:paraId="3475E60E" w14:textId="5317FF42" w:rsidR="00F43E1B" w:rsidRDefault="0099174E" w:rsidP="00F43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r w:rsidRPr="0099174E">
        <w:rPr>
          <w:lang w:val="en-GB"/>
        </w:rPr>
        <w:t>[INSERT NAME(S)/TITLE(S)]</w:t>
      </w:r>
      <w:r w:rsidR="00F43E1B">
        <w:rPr>
          <w:lang w:val="en-GB"/>
        </w:rPr>
        <w:br w:type="page"/>
      </w:r>
    </w:p>
    <w:p w14:paraId="17E052C2" w14:textId="0BB02309" w:rsidR="0099174E" w:rsidRPr="0099174E" w:rsidRDefault="0099174E" w:rsidP="0099174E">
      <w:pPr>
        <w:pStyle w:val="Annexe"/>
        <w:jc w:val="both"/>
        <w:rPr>
          <w:rFonts w:ascii="Times New Roman" w:hAnsi="Times New Roman" w:cs="Times New Roman"/>
          <w:b w:val="0"/>
          <w:sz w:val="24"/>
          <w:szCs w:val="24"/>
        </w:rPr>
      </w:pPr>
      <w:bookmarkStart w:id="117" w:name="_Toc43991844"/>
      <w:r w:rsidRPr="0099174E">
        <w:rPr>
          <w:rFonts w:ascii="Times New Roman" w:hAnsi="Times New Roman" w:cs="Times New Roman"/>
          <w:b w:val="0"/>
          <w:sz w:val="24"/>
          <w:szCs w:val="24"/>
        </w:rPr>
        <w:t xml:space="preserve">APPENDIX </w:t>
      </w:r>
      <w:r w:rsidRPr="0099174E">
        <w:rPr>
          <w:rFonts w:ascii="Times New Roman" w:eastAsia="Times New Roman" w:hAnsi="Times New Roman" w:cs="Times New Roman"/>
          <w:b w:val="0"/>
          <w:sz w:val="24"/>
          <w:szCs w:val="24"/>
          <w:lang w:val="en-GB"/>
        </w:rPr>
        <w:t>4</w:t>
      </w:r>
      <w:bookmarkEnd w:id="117"/>
    </w:p>
    <w:p w14:paraId="13D3A28A" w14:textId="57395960" w:rsidR="0099174E" w:rsidRPr="0099174E" w:rsidRDefault="0099174E" w:rsidP="000913D4">
      <w:pPr>
        <w:jc w:val="center"/>
        <w:rPr>
          <w:b/>
          <w:lang w:val="en-US"/>
        </w:rPr>
      </w:pPr>
      <w:r w:rsidRPr="0099174E">
        <w:rPr>
          <w:b/>
          <w:lang w:val="en-US"/>
        </w:rPr>
        <w:t>Progress Report</w:t>
      </w:r>
    </w:p>
    <w:p w14:paraId="390F353E" w14:textId="1351331A" w:rsidR="0099174E" w:rsidRPr="0099174E" w:rsidRDefault="0099174E" w:rsidP="0099174E">
      <w:pPr>
        <w:jc w:val="both"/>
        <w:rPr>
          <w:b/>
          <w:lang w:val="en-US"/>
        </w:rPr>
      </w:pPr>
    </w:p>
    <w:p w14:paraId="177A4C57" w14:textId="77777777" w:rsidR="0099174E" w:rsidRPr="0099174E" w:rsidRDefault="0099174E" w:rsidP="0099174E">
      <w:pPr>
        <w:jc w:val="both"/>
        <w:rPr>
          <w:b/>
          <w:lang w:val="en-US"/>
        </w:rPr>
      </w:pPr>
    </w:p>
    <w:p w14:paraId="49CF5DA7" w14:textId="19F567E3" w:rsidR="0099174E" w:rsidRPr="0099174E" w:rsidRDefault="000913D4" w:rsidP="0099174E">
      <w:pPr>
        <w:spacing w:after="160" w:line="259" w:lineRule="auto"/>
        <w:jc w:val="both"/>
        <w:rPr>
          <w:b/>
          <w:lang w:val="en-US"/>
        </w:rPr>
      </w:pPr>
      <w:r w:rsidRPr="000913D4">
        <w:rPr>
          <w:noProof/>
        </w:rPr>
        <w:drawing>
          <wp:anchor distT="0" distB="0" distL="114300" distR="114300" simplePos="0" relativeHeight="251659264" behindDoc="1" locked="0" layoutInCell="1" allowOverlap="1" wp14:anchorId="478B8EAC" wp14:editId="615D4C0C">
            <wp:simplePos x="0" y="0"/>
            <wp:positionH relativeFrom="column">
              <wp:posOffset>-1220094</wp:posOffset>
            </wp:positionH>
            <wp:positionV relativeFrom="paragraph">
              <wp:posOffset>1091767</wp:posOffset>
            </wp:positionV>
            <wp:extent cx="8187055" cy="5663309"/>
            <wp:effectExtent l="4763" t="0" r="9207" b="9208"/>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221634" cy="5687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74E" w:rsidRPr="0099174E">
        <w:rPr>
          <w:b/>
          <w:lang w:val="en-US"/>
        </w:rPr>
        <w:br w:type="page"/>
      </w:r>
    </w:p>
    <w:p w14:paraId="3348A46A" w14:textId="77777777" w:rsidR="0099174E" w:rsidRPr="0099174E" w:rsidRDefault="0099174E" w:rsidP="000913D4">
      <w:pPr>
        <w:jc w:val="center"/>
        <w:rPr>
          <w:b/>
          <w:lang w:val="en-US"/>
        </w:rPr>
      </w:pPr>
      <w:r w:rsidRPr="0099174E">
        <w:rPr>
          <w:b/>
          <w:lang w:val="en-US"/>
        </w:rPr>
        <w:t>Indicators</w:t>
      </w:r>
    </w:p>
    <w:p w14:paraId="04D83AB2" w14:textId="77777777" w:rsidR="0099174E" w:rsidRPr="00092B13" w:rsidRDefault="0099174E" w:rsidP="0099174E">
      <w:pPr>
        <w:jc w:val="center"/>
        <w:rPr>
          <w:b/>
          <w:lang w:val="en-US"/>
        </w:rPr>
      </w:pPr>
    </w:p>
    <w:p w14:paraId="76507D60" w14:textId="77777777" w:rsidR="0099174E" w:rsidRDefault="0099174E" w:rsidP="0099174E"/>
    <w:p w14:paraId="303C0EEF" w14:textId="77777777" w:rsidR="0042228C" w:rsidRDefault="0042228C" w:rsidP="0099174E">
      <w:pPr>
        <w:jc w:val="center"/>
        <w:rPr>
          <w:b/>
        </w:rPr>
      </w:pPr>
    </w:p>
    <w:p w14:paraId="21A4DDA7" w14:textId="208DAFBC" w:rsidR="0042228C" w:rsidRDefault="0042228C" w:rsidP="0042228C">
      <w:pPr>
        <w:ind w:firstLine="708"/>
        <w:jc w:val="center"/>
        <w:rPr>
          <w:b/>
        </w:rPr>
      </w:pPr>
    </w:p>
    <w:p w14:paraId="769B92EA" w14:textId="33CD5A25" w:rsidR="00356E2B" w:rsidRDefault="000913D4" w:rsidP="000913D4">
      <w:pPr>
        <w:jc w:val="center"/>
        <w:rPr>
          <w:b/>
        </w:rPr>
      </w:pPr>
      <w:r w:rsidRPr="000913D4">
        <w:rPr>
          <w:noProof/>
        </w:rPr>
        <w:drawing>
          <wp:inline distT="0" distB="0" distL="0" distR="0" wp14:anchorId="69A25699" wp14:editId="798F7B5C">
            <wp:extent cx="5759450" cy="4696717"/>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696717"/>
                    </a:xfrm>
                    <a:prstGeom prst="rect">
                      <a:avLst/>
                    </a:prstGeom>
                    <a:noFill/>
                    <a:ln>
                      <a:noFill/>
                    </a:ln>
                  </pic:spPr>
                </pic:pic>
              </a:graphicData>
            </a:graphic>
          </wp:inline>
        </w:drawing>
      </w:r>
    </w:p>
    <w:p w14:paraId="05574B82" w14:textId="00F87054" w:rsidR="00356E2B" w:rsidRDefault="00356E2B" w:rsidP="0042228C">
      <w:pPr>
        <w:ind w:firstLine="708"/>
        <w:jc w:val="center"/>
        <w:rPr>
          <w:b/>
        </w:rPr>
      </w:pPr>
    </w:p>
    <w:p w14:paraId="55F9FF89" w14:textId="37B3F9F3" w:rsidR="00F43E1B" w:rsidRDefault="00F43E1B">
      <w:pPr>
        <w:spacing w:after="160" w:line="259" w:lineRule="auto"/>
        <w:rPr>
          <w:b/>
        </w:rPr>
      </w:pPr>
      <w:r>
        <w:rPr>
          <w:b/>
        </w:rPr>
        <w:br w:type="page"/>
      </w:r>
    </w:p>
    <w:p w14:paraId="43C624D7" w14:textId="23801A7C" w:rsidR="00356E2B" w:rsidRDefault="00356E2B" w:rsidP="00A13370">
      <w:pPr>
        <w:jc w:val="center"/>
        <w:rPr>
          <w:b/>
        </w:rPr>
      </w:pPr>
    </w:p>
    <w:p w14:paraId="1DB34B73" w14:textId="77777777" w:rsidR="00A13370" w:rsidRDefault="00A13370" w:rsidP="00386BF2">
      <w:pPr>
        <w:jc w:val="center"/>
        <w:rPr>
          <w:b/>
        </w:rPr>
      </w:pPr>
    </w:p>
    <w:p w14:paraId="58FCDC9D" w14:textId="7D5AC137" w:rsidR="0042228C" w:rsidRPr="0042228C" w:rsidRDefault="0042228C" w:rsidP="00386BF2">
      <w:pPr>
        <w:jc w:val="center"/>
        <w:rPr>
          <w:b/>
        </w:rPr>
      </w:pPr>
      <w:r w:rsidRPr="0042228C">
        <w:rPr>
          <w:b/>
        </w:rPr>
        <w:t>Članak 3.</w:t>
      </w:r>
    </w:p>
    <w:p w14:paraId="77A84D65" w14:textId="36316F5D" w:rsidR="0042228C" w:rsidRPr="0042228C" w:rsidRDefault="0042228C" w:rsidP="00A13370">
      <w:pPr>
        <w:jc w:val="both"/>
        <w:rPr>
          <w:b/>
        </w:rPr>
      </w:pPr>
    </w:p>
    <w:p w14:paraId="0EAE1E25" w14:textId="2A02A93A" w:rsidR="0042228C" w:rsidRPr="0042228C" w:rsidRDefault="0042228C" w:rsidP="00AA3175">
      <w:pPr>
        <w:ind w:firstLine="708"/>
        <w:jc w:val="both"/>
      </w:pPr>
      <w:r w:rsidRPr="0042228C">
        <w:t xml:space="preserve">Financijske obveze koje će nastati za Republiku Hrvatsku kao zajmoprimca temeljem </w:t>
      </w:r>
      <w:r w:rsidR="000913D4">
        <w:t>Okvirnog u</w:t>
      </w:r>
      <w:r w:rsidRPr="0042228C">
        <w:t xml:space="preserve">govora o zajmu iz članka 1. ovoga Zakona planirat će se i podmirivati u skladu s odredbama propisa o izvršavanju državnog proračuna Republike Hrvatske za </w:t>
      </w:r>
      <w:r>
        <w:t xml:space="preserve">godine </w:t>
      </w:r>
      <w:r w:rsidRPr="0042228C">
        <w:t>2020. ‒ 20</w:t>
      </w:r>
      <w:r w:rsidR="000913D4">
        <w:t>32</w:t>
      </w:r>
      <w:r>
        <w:t xml:space="preserve">., </w:t>
      </w:r>
      <w:r w:rsidRPr="0042228C">
        <w:t xml:space="preserve">prema planovima otplate do konačne otplate zajma. </w:t>
      </w:r>
    </w:p>
    <w:p w14:paraId="226FCA64" w14:textId="77777777" w:rsidR="00A13370" w:rsidRPr="0042228C" w:rsidRDefault="00A13370" w:rsidP="0042228C">
      <w:pPr>
        <w:ind w:firstLine="708"/>
        <w:jc w:val="both"/>
        <w:rPr>
          <w:b/>
        </w:rPr>
      </w:pPr>
    </w:p>
    <w:p w14:paraId="1C3ECD45" w14:textId="2A7CEA26" w:rsidR="0042228C" w:rsidRPr="0042228C" w:rsidRDefault="0042228C" w:rsidP="00386BF2">
      <w:pPr>
        <w:jc w:val="center"/>
        <w:rPr>
          <w:b/>
        </w:rPr>
      </w:pPr>
      <w:r w:rsidRPr="0042228C">
        <w:rPr>
          <w:b/>
        </w:rPr>
        <w:t>Članak 4.</w:t>
      </w:r>
    </w:p>
    <w:p w14:paraId="30557F0C" w14:textId="59D3619B" w:rsidR="0042228C" w:rsidRPr="0042228C" w:rsidRDefault="0042228C" w:rsidP="0042228C">
      <w:pPr>
        <w:ind w:firstLine="708"/>
        <w:jc w:val="both"/>
        <w:rPr>
          <w:b/>
        </w:rPr>
      </w:pPr>
    </w:p>
    <w:p w14:paraId="5AF7C4ED" w14:textId="2198D032" w:rsidR="0042228C" w:rsidRPr="0042228C" w:rsidRDefault="0042228C" w:rsidP="00AA3175">
      <w:pPr>
        <w:ind w:firstLine="708"/>
        <w:jc w:val="both"/>
      </w:pPr>
      <w:r w:rsidRPr="0042228C">
        <w:t>Provedba ovoga Zakona u djelokrugu je tijela državne uprave nadležn</w:t>
      </w:r>
      <w:r>
        <w:t>og</w:t>
      </w:r>
      <w:r w:rsidRPr="0042228C">
        <w:t xml:space="preserve"> za poslove</w:t>
      </w:r>
      <w:r>
        <w:t xml:space="preserve"> financija</w:t>
      </w:r>
      <w:r w:rsidRPr="0042228C">
        <w:t>.</w:t>
      </w:r>
    </w:p>
    <w:p w14:paraId="6E4AA291" w14:textId="32D16F72" w:rsidR="0042228C" w:rsidRDefault="0042228C" w:rsidP="0042228C">
      <w:pPr>
        <w:ind w:firstLine="708"/>
        <w:jc w:val="both"/>
        <w:rPr>
          <w:b/>
        </w:rPr>
      </w:pPr>
    </w:p>
    <w:p w14:paraId="404B9926" w14:textId="4376535A" w:rsidR="0042228C" w:rsidRDefault="0042228C" w:rsidP="00386BF2">
      <w:pPr>
        <w:jc w:val="center"/>
        <w:rPr>
          <w:b/>
        </w:rPr>
      </w:pPr>
      <w:r w:rsidRPr="0042228C">
        <w:rPr>
          <w:b/>
        </w:rPr>
        <w:t>Članak 5.</w:t>
      </w:r>
    </w:p>
    <w:p w14:paraId="2D6889C0" w14:textId="77777777" w:rsidR="0042228C" w:rsidRPr="0042228C" w:rsidRDefault="0042228C" w:rsidP="0042228C">
      <w:pPr>
        <w:ind w:firstLine="708"/>
        <w:jc w:val="center"/>
        <w:rPr>
          <w:b/>
        </w:rPr>
      </w:pPr>
    </w:p>
    <w:p w14:paraId="2F3F260A" w14:textId="3940D820" w:rsidR="0042228C" w:rsidRPr="0042228C" w:rsidRDefault="0042228C" w:rsidP="00AA3175">
      <w:pPr>
        <w:ind w:firstLine="708"/>
        <w:jc w:val="both"/>
      </w:pPr>
      <w:r w:rsidRPr="0042228C">
        <w:t xml:space="preserve">Na dan stupanja na snagu ovoga Zakona </w:t>
      </w:r>
      <w:r w:rsidR="000913D4">
        <w:t>Okvirni u</w:t>
      </w:r>
      <w:r w:rsidRPr="0042228C">
        <w:t>govor o zajmu iz članka 1. ovoga Zakona nije na snazi te će se podaci o njegovu stupanju na snagu objaviti sukladno odredbi članka 30. stavka 3. Zakona o sklapanju i izvršavanju međunarodnih ugovora (Narodne novine, broj 28/96).</w:t>
      </w:r>
    </w:p>
    <w:p w14:paraId="24A3224E" w14:textId="3A4254FE" w:rsidR="0042228C" w:rsidRDefault="0042228C" w:rsidP="0042228C">
      <w:pPr>
        <w:ind w:firstLine="708"/>
        <w:jc w:val="both"/>
        <w:rPr>
          <w:b/>
        </w:rPr>
      </w:pPr>
    </w:p>
    <w:p w14:paraId="2167C78E" w14:textId="08B10D06" w:rsidR="0042228C" w:rsidRPr="0042228C" w:rsidRDefault="0042228C" w:rsidP="00386BF2">
      <w:pPr>
        <w:jc w:val="center"/>
        <w:rPr>
          <w:b/>
        </w:rPr>
      </w:pPr>
      <w:r w:rsidRPr="0042228C">
        <w:rPr>
          <w:b/>
        </w:rPr>
        <w:t>Članak 6.</w:t>
      </w:r>
    </w:p>
    <w:p w14:paraId="255F556D" w14:textId="3C4CDC54" w:rsidR="0042228C" w:rsidRPr="0042228C" w:rsidRDefault="0042228C" w:rsidP="0042228C">
      <w:pPr>
        <w:ind w:firstLine="708"/>
        <w:jc w:val="both"/>
        <w:rPr>
          <w:b/>
        </w:rPr>
      </w:pPr>
    </w:p>
    <w:p w14:paraId="599FB944" w14:textId="555CEAF9" w:rsidR="00E80848" w:rsidRPr="0042228C" w:rsidRDefault="0042228C" w:rsidP="00AA3175">
      <w:pPr>
        <w:ind w:firstLine="708"/>
        <w:jc w:val="both"/>
      </w:pPr>
      <w:r w:rsidRPr="0042228C">
        <w:t>Ovaj Zakon stupa na snagu osmoga dana od dana objave u Narodnim novinama.</w:t>
      </w:r>
    </w:p>
    <w:p w14:paraId="5F93586B" w14:textId="77777777" w:rsidR="0097275D" w:rsidRDefault="0097275D" w:rsidP="0097275D">
      <w:pPr>
        <w:jc w:val="both"/>
      </w:pPr>
    </w:p>
    <w:p w14:paraId="32B3DE3C" w14:textId="16365031" w:rsidR="00F43E1B" w:rsidRDefault="00F43E1B">
      <w:pPr>
        <w:spacing w:after="160" w:line="259" w:lineRule="auto"/>
      </w:pPr>
      <w:r>
        <w:br w:type="page"/>
      </w:r>
    </w:p>
    <w:p w14:paraId="3C213C57" w14:textId="77777777" w:rsidR="00827293" w:rsidRDefault="00827293" w:rsidP="0097275D">
      <w:pPr>
        <w:jc w:val="both"/>
        <w:rPr>
          <w:b/>
        </w:rPr>
      </w:pPr>
    </w:p>
    <w:p w14:paraId="1F16AEFE" w14:textId="6F5AB116" w:rsidR="00E80848" w:rsidRDefault="00E80848" w:rsidP="0042228C">
      <w:pPr>
        <w:jc w:val="center"/>
        <w:rPr>
          <w:b/>
        </w:rPr>
      </w:pPr>
      <w:r>
        <w:rPr>
          <w:b/>
        </w:rPr>
        <w:t>OBRAZLOŽENJE</w:t>
      </w:r>
    </w:p>
    <w:p w14:paraId="44440583" w14:textId="77777777" w:rsidR="00E80848" w:rsidRDefault="00E80848" w:rsidP="00E80848">
      <w:pPr>
        <w:jc w:val="both"/>
      </w:pPr>
    </w:p>
    <w:p w14:paraId="0094581F" w14:textId="11181398" w:rsidR="00E80848" w:rsidRDefault="00E80848" w:rsidP="00E80848">
      <w:pPr>
        <w:jc w:val="both"/>
      </w:pPr>
    </w:p>
    <w:p w14:paraId="63B469A3" w14:textId="77777777" w:rsidR="007D4BE2" w:rsidRDefault="007D4BE2" w:rsidP="00E80848">
      <w:pPr>
        <w:jc w:val="both"/>
      </w:pPr>
    </w:p>
    <w:p w14:paraId="000C392F" w14:textId="642C29EB" w:rsidR="0042228C" w:rsidRPr="0042228C" w:rsidRDefault="0042228C" w:rsidP="0042228C">
      <w:pPr>
        <w:jc w:val="both"/>
      </w:pPr>
      <w:r w:rsidRPr="0042228C">
        <w:rPr>
          <w:b/>
        </w:rPr>
        <w:t xml:space="preserve">Člankom 1. </w:t>
      </w:r>
      <w:r w:rsidRPr="0042228C">
        <w:t xml:space="preserve">Konačnog prijedloga zakona utvrđuje se da Hrvatski sabor potvrđuje </w:t>
      </w:r>
      <w:r w:rsidR="000913D4" w:rsidRPr="000913D4">
        <w:t>Okvirn</w:t>
      </w:r>
      <w:r w:rsidR="000913D4">
        <w:t>i</w:t>
      </w:r>
      <w:r w:rsidR="000913D4" w:rsidRPr="000913D4">
        <w:t xml:space="preserve"> ugovor o zajmu između Republike Hrvatske i Razvojne banke Vijeća Europe za Projekt LD 2056 (2020) – Podrška mjerama u Republici Hrvatskoj, povezanih s pandemijom bolesti COVID-19 – instrument financiranja javnog sektora</w:t>
      </w:r>
      <w:r w:rsidRPr="0042228C">
        <w:t xml:space="preserve">, a sukladno odredbi članka 140. stavka 1. Ustava Republike Hrvatske, čime se iskazuje formalni pristanak Republike Hrvatske da bude vezana ovim </w:t>
      </w:r>
      <w:r w:rsidR="000913D4">
        <w:t>Okvirnim u</w:t>
      </w:r>
      <w:r w:rsidRPr="0042228C">
        <w:t xml:space="preserve">govorom o zajmu, na temelju čega će ovaj pristanak biti iskazan i u odnosima s drugom ugovornom strankom.  </w:t>
      </w:r>
    </w:p>
    <w:p w14:paraId="6FFA5D4B" w14:textId="77777777" w:rsidR="0042228C" w:rsidRPr="0042228C" w:rsidRDefault="0042228C" w:rsidP="0042228C">
      <w:pPr>
        <w:jc w:val="both"/>
        <w:rPr>
          <w:b/>
        </w:rPr>
      </w:pPr>
      <w:r w:rsidRPr="0042228C">
        <w:rPr>
          <w:b/>
        </w:rPr>
        <w:t xml:space="preserve"> </w:t>
      </w:r>
    </w:p>
    <w:p w14:paraId="72DA004E" w14:textId="6FBE406B" w:rsidR="0042228C" w:rsidRPr="0042228C" w:rsidRDefault="0042228C" w:rsidP="0042228C">
      <w:pPr>
        <w:jc w:val="both"/>
      </w:pPr>
      <w:r w:rsidRPr="0042228C">
        <w:rPr>
          <w:b/>
        </w:rPr>
        <w:t xml:space="preserve">Članak 2. </w:t>
      </w:r>
      <w:r w:rsidRPr="0042228C">
        <w:t xml:space="preserve">sadrži tekst </w:t>
      </w:r>
      <w:r w:rsidR="000913D4">
        <w:t>Okvirnog u</w:t>
      </w:r>
      <w:r w:rsidRPr="0042228C">
        <w:t xml:space="preserve">govora o zajmu </w:t>
      </w:r>
      <w:r w:rsidR="000913D4" w:rsidRPr="000913D4">
        <w:t>između Republike Hrvatske i Razvojne banke Vijeća Europe za Projekt LD 2056 (2020) – Podrška mjerama u Republici Hrvatskoj, povezanih s pandemijom bolesti COVID-19 – instrument financiranja javnog sektora</w:t>
      </w:r>
      <w:r w:rsidRPr="0042228C">
        <w:t xml:space="preserve">, u izvorniku na engleskom jeziku i u prijevodu na hrvatski jezik. </w:t>
      </w:r>
    </w:p>
    <w:p w14:paraId="304A93C4" w14:textId="77777777" w:rsidR="0042228C" w:rsidRPr="0042228C" w:rsidRDefault="0042228C" w:rsidP="0042228C">
      <w:pPr>
        <w:jc w:val="both"/>
        <w:rPr>
          <w:b/>
        </w:rPr>
      </w:pPr>
      <w:r w:rsidRPr="0042228C">
        <w:rPr>
          <w:b/>
        </w:rPr>
        <w:t xml:space="preserve"> </w:t>
      </w:r>
    </w:p>
    <w:p w14:paraId="3813A18B" w14:textId="2F9CD8C8" w:rsidR="0042228C" w:rsidRPr="0042228C" w:rsidRDefault="0042228C" w:rsidP="0042228C">
      <w:pPr>
        <w:jc w:val="both"/>
      </w:pPr>
      <w:r w:rsidRPr="0042228C">
        <w:rPr>
          <w:b/>
        </w:rPr>
        <w:t xml:space="preserve">Člankom 3. </w:t>
      </w:r>
      <w:r w:rsidRPr="0042228C">
        <w:t>propisuje se način planiranja</w:t>
      </w:r>
      <w:r w:rsidR="00442AB0">
        <w:t xml:space="preserve"> i podmirivanja financijskih ob</w:t>
      </w:r>
      <w:r w:rsidRPr="0042228C">
        <w:t xml:space="preserve">veza koje nastaju za Republiku Hrvatsku kao zajmoprimca na temelju </w:t>
      </w:r>
      <w:r w:rsidR="000913D4">
        <w:t>Okvirnog u</w:t>
      </w:r>
      <w:r w:rsidRPr="0042228C">
        <w:t xml:space="preserve">govora o zajmu. </w:t>
      </w:r>
    </w:p>
    <w:p w14:paraId="64291514" w14:textId="77777777" w:rsidR="0042228C" w:rsidRPr="0042228C" w:rsidRDefault="0042228C" w:rsidP="0042228C">
      <w:pPr>
        <w:jc w:val="both"/>
        <w:rPr>
          <w:b/>
        </w:rPr>
      </w:pPr>
      <w:r w:rsidRPr="0042228C">
        <w:rPr>
          <w:b/>
        </w:rPr>
        <w:t xml:space="preserve"> </w:t>
      </w:r>
    </w:p>
    <w:p w14:paraId="171A9A54" w14:textId="69EF6064" w:rsidR="0042228C" w:rsidRPr="0042228C" w:rsidRDefault="0042228C" w:rsidP="0042228C">
      <w:pPr>
        <w:jc w:val="both"/>
      </w:pPr>
      <w:r w:rsidRPr="0042228C">
        <w:rPr>
          <w:b/>
        </w:rPr>
        <w:t xml:space="preserve">Člankom 4. </w:t>
      </w:r>
      <w:r w:rsidR="008A65E6">
        <w:t xml:space="preserve">utvrđeno je da je provedba </w:t>
      </w:r>
      <w:r w:rsidR="009A6920">
        <w:t xml:space="preserve">ovoga </w:t>
      </w:r>
      <w:r w:rsidRPr="0042228C">
        <w:t>Zakona</w:t>
      </w:r>
      <w:r>
        <w:t xml:space="preserve"> </w:t>
      </w:r>
      <w:r w:rsidRPr="0042228C">
        <w:t>u djelokrugu tijela državne uprave nadležn</w:t>
      </w:r>
      <w:r>
        <w:t>og</w:t>
      </w:r>
      <w:r w:rsidRPr="0042228C">
        <w:t xml:space="preserve"> za poslove </w:t>
      </w:r>
      <w:r>
        <w:t>financija</w:t>
      </w:r>
      <w:r w:rsidRPr="0042228C">
        <w:t xml:space="preserve">. </w:t>
      </w:r>
    </w:p>
    <w:p w14:paraId="729F37DE" w14:textId="77777777" w:rsidR="0042228C" w:rsidRPr="0042228C" w:rsidRDefault="0042228C" w:rsidP="0042228C">
      <w:pPr>
        <w:jc w:val="both"/>
        <w:rPr>
          <w:b/>
        </w:rPr>
      </w:pPr>
      <w:r w:rsidRPr="0042228C">
        <w:rPr>
          <w:b/>
        </w:rPr>
        <w:t xml:space="preserve"> </w:t>
      </w:r>
    </w:p>
    <w:p w14:paraId="2532E92D" w14:textId="70F55949" w:rsidR="0042228C" w:rsidRDefault="0042228C" w:rsidP="0042228C">
      <w:pPr>
        <w:jc w:val="both"/>
      </w:pPr>
      <w:r w:rsidRPr="0042228C">
        <w:rPr>
          <w:b/>
        </w:rPr>
        <w:t xml:space="preserve">Člankom 5. </w:t>
      </w:r>
      <w:r w:rsidRPr="0042228C">
        <w:t xml:space="preserve">utvrđuje se da na dan stupanja na snagu </w:t>
      </w:r>
      <w:r w:rsidR="009A6920">
        <w:t xml:space="preserve">ovoga </w:t>
      </w:r>
      <w:r w:rsidRPr="0042228C">
        <w:t xml:space="preserve">Zakona </w:t>
      </w:r>
      <w:r w:rsidR="000913D4">
        <w:t>Okvirni u</w:t>
      </w:r>
      <w:r w:rsidRPr="0042228C">
        <w:t xml:space="preserve">govor o zajmu </w:t>
      </w:r>
      <w:r w:rsidR="000913D4" w:rsidRPr="000913D4">
        <w:t>između Republike Hrvatske i Razvojne banke Vijeća Europe za Projekt LD 2056 (2020) – Podrška mjerama u Republici Hrvatskoj, povezanih s pandemijom bolesti COVID-19 – instrument financiranja javnog sektora</w:t>
      </w:r>
      <w:r>
        <w:t xml:space="preserve"> nije na snazi</w:t>
      </w:r>
      <w:r w:rsidRPr="0042228C">
        <w:t xml:space="preserve"> te će se podaci o njegovom stupanju na snagu objaviti sukladno članku 30. stavku 3. Zakona o sklapanju i izvršavanju međunarodnih ugovora.    </w:t>
      </w:r>
    </w:p>
    <w:p w14:paraId="2163BB2E" w14:textId="77777777" w:rsidR="0042228C" w:rsidRDefault="0042228C" w:rsidP="0042228C">
      <w:pPr>
        <w:jc w:val="both"/>
      </w:pPr>
    </w:p>
    <w:p w14:paraId="70D7EDAE" w14:textId="45A5693D" w:rsidR="00E80848" w:rsidRDefault="0042228C" w:rsidP="0042228C">
      <w:pPr>
        <w:jc w:val="both"/>
      </w:pPr>
      <w:r w:rsidRPr="0042228C">
        <w:rPr>
          <w:b/>
        </w:rPr>
        <w:t>Člankom 6.</w:t>
      </w:r>
      <w:r w:rsidRPr="0042228C">
        <w:t xml:space="preserve"> utvrđuje se stupanje na snagu </w:t>
      </w:r>
      <w:r w:rsidR="008A65E6">
        <w:t xml:space="preserve">ovoga </w:t>
      </w:r>
      <w:r w:rsidRPr="0042228C">
        <w:t>Zakona.</w:t>
      </w:r>
    </w:p>
    <w:p w14:paraId="75C316A2" w14:textId="4F281904" w:rsidR="008A65E6" w:rsidRDefault="008A65E6" w:rsidP="0042228C">
      <w:pPr>
        <w:jc w:val="both"/>
      </w:pPr>
    </w:p>
    <w:p w14:paraId="50547BB4" w14:textId="4BCEFC34" w:rsidR="00F43E1B" w:rsidRDefault="00F43E1B">
      <w:pPr>
        <w:spacing w:after="160" w:line="259" w:lineRule="auto"/>
      </w:pPr>
      <w:r>
        <w:br w:type="page"/>
      </w:r>
    </w:p>
    <w:p w14:paraId="3E0E0797" w14:textId="0CA969BC" w:rsidR="008A65E6" w:rsidRDefault="008A65E6" w:rsidP="0042228C">
      <w:pPr>
        <w:jc w:val="both"/>
      </w:pPr>
    </w:p>
    <w:p w14:paraId="2C02E336" w14:textId="77777777" w:rsidR="00AA3175" w:rsidRDefault="00AA3175" w:rsidP="008A65E6">
      <w:pPr>
        <w:jc w:val="both"/>
      </w:pPr>
    </w:p>
    <w:p w14:paraId="187814BA" w14:textId="30A96743" w:rsidR="002734D0" w:rsidRDefault="00B91684" w:rsidP="0065026B">
      <w:pPr>
        <w:ind w:left="993" w:hanging="993"/>
        <w:jc w:val="both"/>
      </w:pPr>
      <w:r w:rsidRPr="0065026B">
        <w:rPr>
          <w:b/>
        </w:rPr>
        <w:t>Prilog</w:t>
      </w:r>
      <w:r w:rsidR="0065026B" w:rsidRPr="0065026B">
        <w:rPr>
          <w:b/>
        </w:rPr>
        <w:t>:</w:t>
      </w:r>
      <w:r>
        <w:t xml:space="preserve"> </w:t>
      </w:r>
      <w:r w:rsidR="0065026B">
        <w:t xml:space="preserve">  </w:t>
      </w:r>
      <w:r>
        <w:t>p</w:t>
      </w:r>
      <w:r w:rsidR="008A65E6" w:rsidRPr="008A65E6">
        <w:t xml:space="preserve">reslika </w:t>
      </w:r>
      <w:r w:rsidR="0065026B">
        <w:t xml:space="preserve">teksta </w:t>
      </w:r>
      <w:r>
        <w:t>Okvirnog u</w:t>
      </w:r>
      <w:r w:rsidR="008A65E6" w:rsidRPr="008A65E6">
        <w:t>govora</w:t>
      </w:r>
      <w:r w:rsidR="008A65E6">
        <w:t xml:space="preserve"> o zajmu</w:t>
      </w:r>
      <w:r w:rsidR="008A65E6" w:rsidRPr="008A65E6">
        <w:t xml:space="preserve"> </w:t>
      </w:r>
      <w:r w:rsidR="0065026B" w:rsidRPr="000913D4">
        <w:t>između Republike Hrvatske i Razvojne banke Vijeća Europe za Projekt LD 2056 (2020) – Podrška mjerama u Republici Hrvatskoj, povezanih s pandemijom bolesti COVID-19 – instrument financiranja javnog sektora</w:t>
      </w:r>
      <w:r w:rsidR="0065026B">
        <w:t xml:space="preserve">, </w:t>
      </w:r>
      <w:r w:rsidR="008A65E6" w:rsidRPr="008A65E6">
        <w:t>u izvorniku na engleskom jeziku</w:t>
      </w:r>
      <w:bookmarkEnd w:id="0"/>
    </w:p>
    <w:sectPr w:rsidR="002734D0" w:rsidSect="00F43E1B">
      <w:footerReference w:type="default" r:id="rId16"/>
      <w:pgSz w:w="11906" w:h="16838" w:code="9"/>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5234" w14:textId="77777777" w:rsidR="00DA2B4C" w:rsidRDefault="00DA2B4C">
      <w:r>
        <w:separator/>
      </w:r>
    </w:p>
  </w:endnote>
  <w:endnote w:type="continuationSeparator" w:id="0">
    <w:p w14:paraId="60038C4F" w14:textId="77777777" w:rsidR="00DA2B4C" w:rsidRDefault="00D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ADBA" w14:textId="43BB0E87" w:rsidR="001F3C99" w:rsidRDefault="001F3C99">
    <w:pPr>
      <w:pStyle w:val="Footer"/>
      <w:jc w:val="center"/>
    </w:pPr>
  </w:p>
  <w:p w14:paraId="413AD5C4" w14:textId="77777777" w:rsidR="001F3C99" w:rsidRDefault="001F3C99">
    <w:pPr>
      <w:pStyle w:val="Footer"/>
      <w:tabs>
        <w:tab w:val="right" w:pos="850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401D" w14:textId="77777777" w:rsidR="00DA2B4C" w:rsidRDefault="00DA2B4C">
      <w:r>
        <w:separator/>
      </w:r>
    </w:p>
  </w:footnote>
  <w:footnote w:type="continuationSeparator" w:id="0">
    <w:p w14:paraId="3BA7E1E9" w14:textId="77777777" w:rsidR="00DA2B4C" w:rsidRDefault="00DA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46975"/>
      <w:docPartObj>
        <w:docPartGallery w:val="Page Numbers (Top of Page)"/>
        <w:docPartUnique/>
      </w:docPartObj>
    </w:sdtPr>
    <w:sdtEndPr/>
    <w:sdtContent>
      <w:p w14:paraId="3789517D" w14:textId="2281F0D7" w:rsidR="001F3C99" w:rsidRDefault="001F3C99">
        <w:pPr>
          <w:pStyle w:val="Header"/>
          <w:jc w:val="center"/>
        </w:pPr>
        <w:r>
          <w:fldChar w:fldCharType="begin"/>
        </w:r>
        <w:r>
          <w:instrText>PAGE   \* MERGEFORMAT</w:instrText>
        </w:r>
        <w:r>
          <w:fldChar w:fldCharType="separate"/>
        </w:r>
        <w:r w:rsidR="004477A3">
          <w:rPr>
            <w:noProof/>
          </w:rPr>
          <w:t>2</w:t>
        </w:r>
        <w:r>
          <w:fldChar w:fldCharType="end"/>
        </w:r>
      </w:p>
    </w:sdtContent>
  </w:sdt>
  <w:p w14:paraId="5D0B83BF" w14:textId="77777777" w:rsidR="001F3C99" w:rsidRDefault="001F3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F2E3" w14:textId="478ED35B" w:rsidR="001F3C99" w:rsidRDefault="001F3C99">
    <w:pPr>
      <w:pStyle w:val="Header"/>
      <w:jc w:val="center"/>
    </w:pPr>
  </w:p>
  <w:p w14:paraId="32073B39" w14:textId="77777777" w:rsidR="001F3C99" w:rsidRDefault="001F3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2872646"/>
    <w:multiLevelType w:val="hybridMultilevel"/>
    <w:tmpl w:val="21D0B212"/>
    <w:lvl w:ilvl="0" w:tplc="E20EC54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F76FD9"/>
    <w:multiLevelType w:val="hybridMultilevel"/>
    <w:tmpl w:val="3ADC61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834412"/>
    <w:multiLevelType w:val="hybridMultilevel"/>
    <w:tmpl w:val="0838C95A"/>
    <w:name w:val="AOA2"/>
    <w:lvl w:ilvl="0" w:tplc="24AE7260">
      <w:start w:val="1"/>
      <w:numFmt w:val="lowerLetter"/>
      <w:pStyle w:val="Style3"/>
      <w:lvlText w:val="(%1)"/>
      <w:lvlJc w:val="left"/>
      <w:pPr>
        <w:ind w:left="1069" w:hanging="360"/>
      </w:pPr>
      <w:rPr>
        <w:rFonts w:hint="default"/>
      </w:rPr>
    </w:lvl>
    <w:lvl w:ilvl="1" w:tplc="3164310C">
      <w:start w:val="1"/>
      <w:numFmt w:val="lowerLetter"/>
      <w:lvlText w:val="(%2)"/>
      <w:lvlJc w:val="left"/>
      <w:pPr>
        <w:ind w:left="1789" w:hanging="360"/>
      </w:pPr>
      <w:rPr>
        <w:rFonts w:hint="default"/>
      </w:r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EB02E21"/>
    <w:multiLevelType w:val="hybridMultilevel"/>
    <w:tmpl w:val="FDB0DE10"/>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5" w15:restartNumberingAfterBreak="0">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680642C"/>
    <w:multiLevelType w:val="hybridMultilevel"/>
    <w:tmpl w:val="1E26FB1E"/>
    <w:lvl w:ilvl="0" w:tplc="2242A3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740284"/>
    <w:multiLevelType w:val="multilevel"/>
    <w:tmpl w:val="3F78291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ED33328"/>
    <w:multiLevelType w:val="hybridMultilevel"/>
    <w:tmpl w:val="A8C04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D846E0"/>
    <w:multiLevelType w:val="hybridMultilevel"/>
    <w:tmpl w:val="2F20282C"/>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363586D"/>
    <w:multiLevelType w:val="hybridMultilevel"/>
    <w:tmpl w:val="9416A0F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EC3CC0"/>
    <w:multiLevelType w:val="hybridMultilevel"/>
    <w:tmpl w:val="81F8A378"/>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2657129C"/>
    <w:multiLevelType w:val="hybridMultilevel"/>
    <w:tmpl w:val="526C68D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633428"/>
    <w:multiLevelType w:val="hybridMultilevel"/>
    <w:tmpl w:val="55949F3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23362E"/>
    <w:multiLevelType w:val="hybridMultilevel"/>
    <w:tmpl w:val="1C761AEA"/>
    <w:lvl w:ilvl="0" w:tplc="D054C7E4">
      <w:start w:val="1"/>
      <w:numFmt w:val="lowerRoman"/>
      <w:lvlText w:val="(%1)"/>
      <w:lvlJc w:val="left"/>
      <w:pPr>
        <w:ind w:left="360" w:hanging="360"/>
      </w:pPr>
      <w:rPr>
        <w:rFonts w:hint="default"/>
        <w:lang w:val="en-G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C943D0"/>
    <w:multiLevelType w:val="hybridMultilevel"/>
    <w:tmpl w:val="B2F61BEE"/>
    <w:lvl w:ilvl="0" w:tplc="FE5478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439E6"/>
    <w:multiLevelType w:val="multilevel"/>
    <w:tmpl w:val="93F4695A"/>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B772EB"/>
    <w:multiLevelType w:val="hybridMultilevel"/>
    <w:tmpl w:val="2C5E670E"/>
    <w:lvl w:ilvl="0" w:tplc="A564988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166A15"/>
    <w:multiLevelType w:val="multilevel"/>
    <w:tmpl w:val="562EB1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Roman"/>
      <w:pStyle w:val="Style4"/>
      <w:lvlText w:val="(%3)"/>
      <w:lvlJc w:val="left"/>
      <w:pPr>
        <w:tabs>
          <w:tab w:val="num" w:pos="1440"/>
        </w:tabs>
        <w:ind w:left="1440" w:hanging="720"/>
      </w:pPr>
      <w:rPr>
        <w:rFonts w:hint="default"/>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15:restartNumberingAfterBreak="0">
    <w:nsid w:val="55B546F9"/>
    <w:multiLevelType w:val="hybridMultilevel"/>
    <w:tmpl w:val="A932631E"/>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58BA19CC"/>
    <w:multiLevelType w:val="hybridMultilevel"/>
    <w:tmpl w:val="F5A2E37E"/>
    <w:lvl w:ilvl="0" w:tplc="D9B0DC5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5AE2516E"/>
    <w:multiLevelType w:val="hybridMultilevel"/>
    <w:tmpl w:val="76C6ED8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894644"/>
    <w:multiLevelType w:val="hybridMultilevel"/>
    <w:tmpl w:val="DACEC47C"/>
    <w:lvl w:ilvl="0" w:tplc="2242A3EA">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C922B6"/>
    <w:multiLevelType w:val="hybridMultilevel"/>
    <w:tmpl w:val="B0486CB4"/>
    <w:lvl w:ilvl="0" w:tplc="2242A3EA">
      <w:start w:val="1"/>
      <w:numFmt w:val="lowerLetter"/>
      <w:lvlText w:val="(%1)"/>
      <w:lvlJc w:val="left"/>
      <w:pPr>
        <w:ind w:left="1512" w:hanging="360"/>
      </w:pPr>
      <w:rPr>
        <w:rFonts w:hint="default"/>
      </w:rPr>
    </w:lvl>
    <w:lvl w:ilvl="1" w:tplc="041A0019" w:tentative="1">
      <w:start w:val="1"/>
      <w:numFmt w:val="lowerLetter"/>
      <w:lvlText w:val="%2."/>
      <w:lvlJc w:val="left"/>
      <w:pPr>
        <w:ind w:left="2232" w:hanging="360"/>
      </w:pPr>
    </w:lvl>
    <w:lvl w:ilvl="2" w:tplc="041A001B" w:tentative="1">
      <w:start w:val="1"/>
      <w:numFmt w:val="lowerRoman"/>
      <w:lvlText w:val="%3."/>
      <w:lvlJc w:val="right"/>
      <w:pPr>
        <w:ind w:left="2952" w:hanging="180"/>
      </w:pPr>
    </w:lvl>
    <w:lvl w:ilvl="3" w:tplc="041A000F" w:tentative="1">
      <w:start w:val="1"/>
      <w:numFmt w:val="decimal"/>
      <w:lvlText w:val="%4."/>
      <w:lvlJc w:val="left"/>
      <w:pPr>
        <w:ind w:left="3672" w:hanging="360"/>
      </w:pPr>
    </w:lvl>
    <w:lvl w:ilvl="4" w:tplc="041A0019" w:tentative="1">
      <w:start w:val="1"/>
      <w:numFmt w:val="lowerLetter"/>
      <w:lvlText w:val="%5."/>
      <w:lvlJc w:val="left"/>
      <w:pPr>
        <w:ind w:left="4392" w:hanging="360"/>
      </w:pPr>
    </w:lvl>
    <w:lvl w:ilvl="5" w:tplc="041A001B" w:tentative="1">
      <w:start w:val="1"/>
      <w:numFmt w:val="lowerRoman"/>
      <w:lvlText w:val="%6."/>
      <w:lvlJc w:val="right"/>
      <w:pPr>
        <w:ind w:left="5112" w:hanging="180"/>
      </w:pPr>
    </w:lvl>
    <w:lvl w:ilvl="6" w:tplc="041A000F" w:tentative="1">
      <w:start w:val="1"/>
      <w:numFmt w:val="decimal"/>
      <w:lvlText w:val="%7."/>
      <w:lvlJc w:val="left"/>
      <w:pPr>
        <w:ind w:left="5832" w:hanging="360"/>
      </w:pPr>
    </w:lvl>
    <w:lvl w:ilvl="7" w:tplc="041A0019" w:tentative="1">
      <w:start w:val="1"/>
      <w:numFmt w:val="lowerLetter"/>
      <w:lvlText w:val="%8."/>
      <w:lvlJc w:val="left"/>
      <w:pPr>
        <w:ind w:left="6552" w:hanging="360"/>
      </w:pPr>
    </w:lvl>
    <w:lvl w:ilvl="8" w:tplc="041A001B" w:tentative="1">
      <w:start w:val="1"/>
      <w:numFmt w:val="lowerRoman"/>
      <w:lvlText w:val="%9."/>
      <w:lvlJc w:val="right"/>
      <w:pPr>
        <w:ind w:left="7272" w:hanging="180"/>
      </w:pPr>
    </w:lvl>
  </w:abstractNum>
  <w:abstractNum w:abstractNumId="31" w15:restartNumberingAfterBreak="0">
    <w:nsid w:val="5EA414FF"/>
    <w:multiLevelType w:val="hybridMultilevel"/>
    <w:tmpl w:val="B7FCC8B8"/>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F5B38CF"/>
    <w:multiLevelType w:val="hybridMultilevel"/>
    <w:tmpl w:val="40123E5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71970862"/>
    <w:multiLevelType w:val="hybridMultilevel"/>
    <w:tmpl w:val="84FC3890"/>
    <w:lvl w:ilvl="0" w:tplc="7BDC2904">
      <w:start w:val="1"/>
      <w:numFmt w:val="lowerRoman"/>
      <w:lvlText w:val="(%1)"/>
      <w:lvlJc w:val="left"/>
      <w:pPr>
        <w:ind w:left="448" w:hanging="360"/>
      </w:pPr>
      <w:rPr>
        <w:rFonts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35" w15:restartNumberingAfterBreak="0">
    <w:nsid w:val="72B43E8A"/>
    <w:multiLevelType w:val="hybridMultilevel"/>
    <w:tmpl w:val="F8AC5F58"/>
    <w:lvl w:ilvl="0" w:tplc="7BDC29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CF3152"/>
    <w:multiLevelType w:val="hybridMultilevel"/>
    <w:tmpl w:val="9CD8ADA8"/>
    <w:lvl w:ilvl="0" w:tplc="8A6E146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357379"/>
    <w:multiLevelType w:val="hybridMultilevel"/>
    <w:tmpl w:val="5810C96E"/>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1B3AB1"/>
    <w:multiLevelType w:val="multilevel"/>
    <w:tmpl w:val="076AE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216107"/>
    <w:multiLevelType w:val="hybridMultilevel"/>
    <w:tmpl w:val="42E6FF1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15:restartNumberingAfterBreak="0">
    <w:nsid w:val="7BEC5412"/>
    <w:multiLevelType w:val="hybridMultilevel"/>
    <w:tmpl w:val="F4620A6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31"/>
  </w:num>
  <w:num w:numId="4">
    <w:abstractNumId w:val="18"/>
  </w:num>
  <w:num w:numId="5">
    <w:abstractNumId w:val="36"/>
  </w:num>
  <w:num w:numId="6">
    <w:abstractNumId w:val="19"/>
  </w:num>
  <w:num w:numId="7">
    <w:abstractNumId w:val="23"/>
  </w:num>
  <w:num w:numId="8">
    <w:abstractNumId w:val="16"/>
  </w:num>
  <w:num w:numId="9">
    <w:abstractNumId w:val="3"/>
  </w:num>
  <w:num w:numId="10">
    <w:abstractNumId w:val="21"/>
  </w:num>
  <w:num w:numId="11">
    <w:abstractNumId w:val="34"/>
  </w:num>
  <w:num w:numId="12">
    <w:abstractNumId w:val="15"/>
  </w:num>
  <w:num w:numId="13">
    <w:abstractNumId w:val="2"/>
  </w:num>
  <w:num w:numId="14">
    <w:abstractNumId w:val="15"/>
    <w:lvlOverride w:ilvl="0">
      <w:startOverride w:val="1"/>
    </w:lvlOverride>
  </w:num>
  <w:num w:numId="15">
    <w:abstractNumId w:val="38"/>
  </w:num>
  <w:num w:numId="16">
    <w:abstractNumId w:val="30"/>
  </w:num>
  <w:num w:numId="17">
    <w:abstractNumId w:val="8"/>
  </w:num>
  <w:num w:numId="18">
    <w:abstractNumId w:val="7"/>
  </w:num>
  <w:num w:numId="19">
    <w:abstractNumId w:val="33"/>
  </w:num>
  <w:num w:numId="20">
    <w:abstractNumId w:val="37"/>
  </w:num>
  <w:num w:numId="21">
    <w:abstractNumId w:val="10"/>
  </w:num>
  <w:num w:numId="22">
    <w:abstractNumId w:val="12"/>
  </w:num>
  <w:num w:numId="23">
    <w:abstractNumId w:val="29"/>
  </w:num>
  <w:num w:numId="24">
    <w:abstractNumId w:val="25"/>
  </w:num>
  <w:num w:numId="25">
    <w:abstractNumId w:val="39"/>
  </w:num>
  <w:num w:numId="26">
    <w:abstractNumId w:val="14"/>
  </w:num>
  <w:num w:numId="27">
    <w:abstractNumId w:val="11"/>
  </w:num>
  <w:num w:numId="28">
    <w:abstractNumId w:val="32"/>
  </w:num>
  <w:num w:numId="29">
    <w:abstractNumId w:val="27"/>
  </w:num>
  <w:num w:numId="30">
    <w:abstractNumId w:val="6"/>
  </w:num>
  <w:num w:numId="31">
    <w:abstractNumId w:val="24"/>
  </w:num>
  <w:num w:numId="32">
    <w:abstractNumId w:val="40"/>
  </w:num>
  <w:num w:numId="33">
    <w:abstractNumId w:val="28"/>
  </w:num>
  <w:num w:numId="34">
    <w:abstractNumId w:val="17"/>
  </w:num>
  <w:num w:numId="35">
    <w:abstractNumId w:val="0"/>
  </w:num>
  <w:num w:numId="36">
    <w:abstractNumId w:val="5"/>
  </w:num>
  <w:num w:numId="37">
    <w:abstractNumId w:val="13"/>
  </w:num>
  <w:num w:numId="38">
    <w:abstractNumId w:val="22"/>
  </w:num>
  <w:num w:numId="39">
    <w:abstractNumId w:val="35"/>
  </w:num>
  <w:num w:numId="40">
    <w:abstractNumId w:val="1"/>
  </w:num>
  <w:num w:numId="41">
    <w:abstractNumId w:val="2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8"/>
    <w:rsid w:val="00000605"/>
    <w:rsid w:val="00006233"/>
    <w:rsid w:val="00006A37"/>
    <w:rsid w:val="00020A01"/>
    <w:rsid w:val="00020F6B"/>
    <w:rsid w:val="000231BE"/>
    <w:rsid w:val="00027B89"/>
    <w:rsid w:val="00032E55"/>
    <w:rsid w:val="00033562"/>
    <w:rsid w:val="0004049B"/>
    <w:rsid w:val="00041CA1"/>
    <w:rsid w:val="0004626C"/>
    <w:rsid w:val="00051873"/>
    <w:rsid w:val="00054FAC"/>
    <w:rsid w:val="00060BD3"/>
    <w:rsid w:val="00071BDA"/>
    <w:rsid w:val="00077D6D"/>
    <w:rsid w:val="000841F0"/>
    <w:rsid w:val="000913D4"/>
    <w:rsid w:val="00094A3E"/>
    <w:rsid w:val="00094EB5"/>
    <w:rsid w:val="00096CD0"/>
    <w:rsid w:val="000A7581"/>
    <w:rsid w:val="000B2927"/>
    <w:rsid w:val="000B4630"/>
    <w:rsid w:val="000C1727"/>
    <w:rsid w:val="000C2CCC"/>
    <w:rsid w:val="000D3A1A"/>
    <w:rsid w:val="000E51C9"/>
    <w:rsid w:val="000F2586"/>
    <w:rsid w:val="000F51C8"/>
    <w:rsid w:val="000F753C"/>
    <w:rsid w:val="001053F7"/>
    <w:rsid w:val="00111BAC"/>
    <w:rsid w:val="0011278D"/>
    <w:rsid w:val="00130B1F"/>
    <w:rsid w:val="00131ED6"/>
    <w:rsid w:val="001543A8"/>
    <w:rsid w:val="0017063A"/>
    <w:rsid w:val="00173967"/>
    <w:rsid w:val="0019040A"/>
    <w:rsid w:val="001918F5"/>
    <w:rsid w:val="00192A93"/>
    <w:rsid w:val="001D1A8A"/>
    <w:rsid w:val="001E5245"/>
    <w:rsid w:val="001E6E00"/>
    <w:rsid w:val="001F3C99"/>
    <w:rsid w:val="00226055"/>
    <w:rsid w:val="002358A6"/>
    <w:rsid w:val="0024097B"/>
    <w:rsid w:val="0024528F"/>
    <w:rsid w:val="002461B3"/>
    <w:rsid w:val="00254692"/>
    <w:rsid w:val="00257BD3"/>
    <w:rsid w:val="0026062A"/>
    <w:rsid w:val="00262991"/>
    <w:rsid w:val="00264BD1"/>
    <w:rsid w:val="002671D8"/>
    <w:rsid w:val="002734D0"/>
    <w:rsid w:val="002827D7"/>
    <w:rsid w:val="00296975"/>
    <w:rsid w:val="002A2176"/>
    <w:rsid w:val="002B3456"/>
    <w:rsid w:val="002B5354"/>
    <w:rsid w:val="002C2AB1"/>
    <w:rsid w:val="002C32AA"/>
    <w:rsid w:val="002C583F"/>
    <w:rsid w:val="002D08D0"/>
    <w:rsid w:val="002D540E"/>
    <w:rsid w:val="002D71B6"/>
    <w:rsid w:val="002E0979"/>
    <w:rsid w:val="002E0B6D"/>
    <w:rsid w:val="002F3095"/>
    <w:rsid w:val="002F357B"/>
    <w:rsid w:val="002F7F16"/>
    <w:rsid w:val="00312174"/>
    <w:rsid w:val="0031652B"/>
    <w:rsid w:val="0032515B"/>
    <w:rsid w:val="00332ADB"/>
    <w:rsid w:val="00346F2F"/>
    <w:rsid w:val="00356E2B"/>
    <w:rsid w:val="00357CA0"/>
    <w:rsid w:val="003812A9"/>
    <w:rsid w:val="00385AAA"/>
    <w:rsid w:val="00386BF2"/>
    <w:rsid w:val="00393293"/>
    <w:rsid w:val="003D1223"/>
    <w:rsid w:val="003F6F34"/>
    <w:rsid w:val="0040791F"/>
    <w:rsid w:val="004115B4"/>
    <w:rsid w:val="0041411D"/>
    <w:rsid w:val="0042228C"/>
    <w:rsid w:val="0042382C"/>
    <w:rsid w:val="0042586D"/>
    <w:rsid w:val="00436B0A"/>
    <w:rsid w:val="00440E66"/>
    <w:rsid w:val="00442AB0"/>
    <w:rsid w:val="00445A2E"/>
    <w:rsid w:val="00447544"/>
    <w:rsid w:val="004477A3"/>
    <w:rsid w:val="004569ED"/>
    <w:rsid w:val="00456EFB"/>
    <w:rsid w:val="00462851"/>
    <w:rsid w:val="004801A2"/>
    <w:rsid w:val="004952CD"/>
    <w:rsid w:val="00495D63"/>
    <w:rsid w:val="00497DCD"/>
    <w:rsid w:val="004A6627"/>
    <w:rsid w:val="004B108C"/>
    <w:rsid w:val="004C205F"/>
    <w:rsid w:val="004C2F97"/>
    <w:rsid w:val="004C3D5F"/>
    <w:rsid w:val="004D31AD"/>
    <w:rsid w:val="004E0D72"/>
    <w:rsid w:val="004F3515"/>
    <w:rsid w:val="004F7468"/>
    <w:rsid w:val="00500A3E"/>
    <w:rsid w:val="00514FBA"/>
    <w:rsid w:val="005225F8"/>
    <w:rsid w:val="0052723B"/>
    <w:rsid w:val="00547362"/>
    <w:rsid w:val="00563FA8"/>
    <w:rsid w:val="00570F10"/>
    <w:rsid w:val="00571F8D"/>
    <w:rsid w:val="00574D66"/>
    <w:rsid w:val="0058443C"/>
    <w:rsid w:val="00586679"/>
    <w:rsid w:val="005866CB"/>
    <w:rsid w:val="00587D74"/>
    <w:rsid w:val="005907F7"/>
    <w:rsid w:val="005A018B"/>
    <w:rsid w:val="005A7A84"/>
    <w:rsid w:val="005B2965"/>
    <w:rsid w:val="005B4309"/>
    <w:rsid w:val="005B4D69"/>
    <w:rsid w:val="005E7062"/>
    <w:rsid w:val="005F30CE"/>
    <w:rsid w:val="006034C6"/>
    <w:rsid w:val="0061610F"/>
    <w:rsid w:val="006211D9"/>
    <w:rsid w:val="0063238B"/>
    <w:rsid w:val="00641BB3"/>
    <w:rsid w:val="0065026B"/>
    <w:rsid w:val="00660B9F"/>
    <w:rsid w:val="00662C0B"/>
    <w:rsid w:val="00666E46"/>
    <w:rsid w:val="0067698A"/>
    <w:rsid w:val="00681B6C"/>
    <w:rsid w:val="00681D45"/>
    <w:rsid w:val="00694994"/>
    <w:rsid w:val="006951C0"/>
    <w:rsid w:val="006A00A9"/>
    <w:rsid w:val="006A3D88"/>
    <w:rsid w:val="006B6927"/>
    <w:rsid w:val="006C17C8"/>
    <w:rsid w:val="006E20EC"/>
    <w:rsid w:val="006E4223"/>
    <w:rsid w:val="006E4A84"/>
    <w:rsid w:val="006E63C8"/>
    <w:rsid w:val="006F13A4"/>
    <w:rsid w:val="006F1481"/>
    <w:rsid w:val="00713DD5"/>
    <w:rsid w:val="007273C9"/>
    <w:rsid w:val="00730EC7"/>
    <w:rsid w:val="00732525"/>
    <w:rsid w:val="00771197"/>
    <w:rsid w:val="007728F3"/>
    <w:rsid w:val="0077416D"/>
    <w:rsid w:val="007874A2"/>
    <w:rsid w:val="00792594"/>
    <w:rsid w:val="007A0C7B"/>
    <w:rsid w:val="007B49C4"/>
    <w:rsid w:val="007D23C3"/>
    <w:rsid w:val="007D4BE2"/>
    <w:rsid w:val="007F0CF6"/>
    <w:rsid w:val="007F5222"/>
    <w:rsid w:val="0080552D"/>
    <w:rsid w:val="00805D02"/>
    <w:rsid w:val="00812A8F"/>
    <w:rsid w:val="00825A94"/>
    <w:rsid w:val="00827293"/>
    <w:rsid w:val="00842546"/>
    <w:rsid w:val="008640A0"/>
    <w:rsid w:val="00877F2D"/>
    <w:rsid w:val="008801F3"/>
    <w:rsid w:val="00881488"/>
    <w:rsid w:val="008A5414"/>
    <w:rsid w:val="008A65E6"/>
    <w:rsid w:val="008A689C"/>
    <w:rsid w:val="008B676C"/>
    <w:rsid w:val="008B69E9"/>
    <w:rsid w:val="008C5AA5"/>
    <w:rsid w:val="008C77F0"/>
    <w:rsid w:val="008C7C28"/>
    <w:rsid w:val="008D16FD"/>
    <w:rsid w:val="008D1EF7"/>
    <w:rsid w:val="008D3D01"/>
    <w:rsid w:val="008E003B"/>
    <w:rsid w:val="00905AD4"/>
    <w:rsid w:val="009117B7"/>
    <w:rsid w:val="009123BC"/>
    <w:rsid w:val="00913CA0"/>
    <w:rsid w:val="009260BB"/>
    <w:rsid w:val="00932926"/>
    <w:rsid w:val="009340AA"/>
    <w:rsid w:val="00942995"/>
    <w:rsid w:val="00944FBC"/>
    <w:rsid w:val="00945129"/>
    <w:rsid w:val="0094548B"/>
    <w:rsid w:val="00955AB0"/>
    <w:rsid w:val="009644A2"/>
    <w:rsid w:val="0097275D"/>
    <w:rsid w:val="00982CAA"/>
    <w:rsid w:val="00987940"/>
    <w:rsid w:val="0099174E"/>
    <w:rsid w:val="00994D48"/>
    <w:rsid w:val="009A12EC"/>
    <w:rsid w:val="009A6920"/>
    <w:rsid w:val="009B5A0D"/>
    <w:rsid w:val="009C7EA2"/>
    <w:rsid w:val="009D4DBC"/>
    <w:rsid w:val="009E5BAD"/>
    <w:rsid w:val="009F3965"/>
    <w:rsid w:val="009F3F70"/>
    <w:rsid w:val="009F46DF"/>
    <w:rsid w:val="009F7B4F"/>
    <w:rsid w:val="00A05141"/>
    <w:rsid w:val="00A122E4"/>
    <w:rsid w:val="00A13370"/>
    <w:rsid w:val="00A22E04"/>
    <w:rsid w:val="00A40C10"/>
    <w:rsid w:val="00A4569D"/>
    <w:rsid w:val="00A87EF2"/>
    <w:rsid w:val="00A932AD"/>
    <w:rsid w:val="00A95281"/>
    <w:rsid w:val="00AA3175"/>
    <w:rsid w:val="00AB0DA5"/>
    <w:rsid w:val="00AB3887"/>
    <w:rsid w:val="00AB49A0"/>
    <w:rsid w:val="00AB5C0B"/>
    <w:rsid w:val="00AC49A8"/>
    <w:rsid w:val="00AD259E"/>
    <w:rsid w:val="00AD6D18"/>
    <w:rsid w:val="00AE06DD"/>
    <w:rsid w:val="00AF79A3"/>
    <w:rsid w:val="00B0705A"/>
    <w:rsid w:val="00B11F60"/>
    <w:rsid w:val="00B16FE8"/>
    <w:rsid w:val="00B23F45"/>
    <w:rsid w:val="00B32810"/>
    <w:rsid w:val="00B33A1E"/>
    <w:rsid w:val="00B35524"/>
    <w:rsid w:val="00B3702D"/>
    <w:rsid w:val="00B42A11"/>
    <w:rsid w:val="00B549E2"/>
    <w:rsid w:val="00B667CB"/>
    <w:rsid w:val="00B70E2C"/>
    <w:rsid w:val="00B809C0"/>
    <w:rsid w:val="00B91684"/>
    <w:rsid w:val="00B923EB"/>
    <w:rsid w:val="00BB6819"/>
    <w:rsid w:val="00BB7B6C"/>
    <w:rsid w:val="00BC0CA2"/>
    <w:rsid w:val="00BC3443"/>
    <w:rsid w:val="00BD3439"/>
    <w:rsid w:val="00BE1649"/>
    <w:rsid w:val="00BF5EC4"/>
    <w:rsid w:val="00C0085D"/>
    <w:rsid w:val="00C0606F"/>
    <w:rsid w:val="00C24532"/>
    <w:rsid w:val="00C2586C"/>
    <w:rsid w:val="00C3430A"/>
    <w:rsid w:val="00C44235"/>
    <w:rsid w:val="00C53555"/>
    <w:rsid w:val="00C64929"/>
    <w:rsid w:val="00C700DC"/>
    <w:rsid w:val="00C81E3F"/>
    <w:rsid w:val="00C837CE"/>
    <w:rsid w:val="00C95516"/>
    <w:rsid w:val="00CB49ED"/>
    <w:rsid w:val="00CB4F05"/>
    <w:rsid w:val="00CD3FE0"/>
    <w:rsid w:val="00CE2A97"/>
    <w:rsid w:val="00CE346F"/>
    <w:rsid w:val="00CE595D"/>
    <w:rsid w:val="00CF687A"/>
    <w:rsid w:val="00CF6C0F"/>
    <w:rsid w:val="00D01E7A"/>
    <w:rsid w:val="00D04CA9"/>
    <w:rsid w:val="00D05163"/>
    <w:rsid w:val="00D1059B"/>
    <w:rsid w:val="00D13130"/>
    <w:rsid w:val="00D1716D"/>
    <w:rsid w:val="00D17939"/>
    <w:rsid w:val="00D242C3"/>
    <w:rsid w:val="00D24663"/>
    <w:rsid w:val="00D353E4"/>
    <w:rsid w:val="00D47154"/>
    <w:rsid w:val="00D527AC"/>
    <w:rsid w:val="00D61404"/>
    <w:rsid w:val="00D90E4A"/>
    <w:rsid w:val="00DA2B4C"/>
    <w:rsid w:val="00DA429C"/>
    <w:rsid w:val="00DB2FD9"/>
    <w:rsid w:val="00DB4D75"/>
    <w:rsid w:val="00DB69E6"/>
    <w:rsid w:val="00DC0327"/>
    <w:rsid w:val="00DC393B"/>
    <w:rsid w:val="00DD329C"/>
    <w:rsid w:val="00DD6130"/>
    <w:rsid w:val="00DE4B8A"/>
    <w:rsid w:val="00DF1A0B"/>
    <w:rsid w:val="00DF6ECE"/>
    <w:rsid w:val="00DF7036"/>
    <w:rsid w:val="00E056A1"/>
    <w:rsid w:val="00E142AF"/>
    <w:rsid w:val="00E31187"/>
    <w:rsid w:val="00E315E1"/>
    <w:rsid w:val="00E44119"/>
    <w:rsid w:val="00E46CA3"/>
    <w:rsid w:val="00E65D9F"/>
    <w:rsid w:val="00E751D4"/>
    <w:rsid w:val="00E80848"/>
    <w:rsid w:val="00E957C5"/>
    <w:rsid w:val="00E9736D"/>
    <w:rsid w:val="00EA2FF4"/>
    <w:rsid w:val="00EA6233"/>
    <w:rsid w:val="00EB415B"/>
    <w:rsid w:val="00ED0C11"/>
    <w:rsid w:val="00ED20DF"/>
    <w:rsid w:val="00ED398F"/>
    <w:rsid w:val="00EF0B23"/>
    <w:rsid w:val="00F075B4"/>
    <w:rsid w:val="00F1608A"/>
    <w:rsid w:val="00F22776"/>
    <w:rsid w:val="00F23E08"/>
    <w:rsid w:val="00F34221"/>
    <w:rsid w:val="00F42858"/>
    <w:rsid w:val="00F43E1B"/>
    <w:rsid w:val="00F45072"/>
    <w:rsid w:val="00F47D7C"/>
    <w:rsid w:val="00F83CA0"/>
    <w:rsid w:val="00F84F2E"/>
    <w:rsid w:val="00F85162"/>
    <w:rsid w:val="00F921F5"/>
    <w:rsid w:val="00F96061"/>
    <w:rsid w:val="00FA611E"/>
    <w:rsid w:val="00FA6915"/>
    <w:rsid w:val="00FA6C3C"/>
    <w:rsid w:val="00FB0D8B"/>
    <w:rsid w:val="00FB439B"/>
    <w:rsid w:val="00FC33F0"/>
    <w:rsid w:val="00FC711D"/>
    <w:rsid w:val="00FD3197"/>
    <w:rsid w:val="00FD6839"/>
    <w:rsid w:val="00FF416B"/>
    <w:rsid w:val="00FF5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87E5"/>
  <w15:docId w15:val="{5703399E-A2A9-4E4C-8C66-7ECDD0A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6D"/>
    <w:pPr>
      <w:spacing w:after="0" w:line="240" w:lineRule="auto"/>
    </w:pPr>
    <w:rPr>
      <w:rFonts w:ascii="Times New Roman" w:eastAsia="Times New Roman" w:hAnsi="Times New Roman" w:cs="Times New Roman"/>
      <w:sz w:val="24"/>
      <w:szCs w:val="24"/>
      <w:lang w:eastAsia="hr-HR"/>
    </w:rPr>
  </w:style>
  <w:style w:type="paragraph" w:styleId="Heading1">
    <w:name w:val="heading 1"/>
    <w:aliases w:val="Article Heading,Article Heading 1"/>
    <w:basedOn w:val="Normal"/>
    <w:next w:val="Heading2"/>
    <w:link w:val="Heading1Char"/>
    <w:uiPriority w:val="9"/>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jc w:val="center"/>
      <w:outlineLvl w:val="0"/>
    </w:pPr>
    <w:rPr>
      <w:b/>
      <w:caps/>
      <w:szCs w:val="20"/>
      <w:lang w:val="en-GB" w:eastAsia="en-GB"/>
    </w:rPr>
  </w:style>
  <w:style w:type="paragraph" w:styleId="Heading2">
    <w:name w:val="heading 2"/>
    <w:aliases w:val="Section Heading 2,Section Heading"/>
    <w:basedOn w:val="Normal"/>
    <w:next w:val="Paragrapha"/>
    <w:link w:val="Heading2Char"/>
    <w:uiPriority w:val="9"/>
    <w:qFormat/>
    <w:rsid w:val="00E80848"/>
    <w:pPr>
      <w:keepNext/>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ind w:left="1701" w:hanging="1701"/>
      <w:jc w:val="both"/>
      <w:outlineLvl w:val="1"/>
    </w:pPr>
    <w:rPr>
      <w:b/>
      <w:szCs w:val="20"/>
      <w:lang w:val="en-GB" w:eastAsia="en-GB"/>
    </w:rPr>
  </w:style>
  <w:style w:type="paragraph" w:styleId="Heading3">
    <w:name w:val="heading 3"/>
    <w:basedOn w:val="Normal"/>
    <w:next w:val="Normal"/>
    <w:link w:val="Heading3Char"/>
    <w:uiPriority w:val="9"/>
    <w:qFormat/>
    <w:rsid w:val="00E80848"/>
    <w:pPr>
      <w:keepNext/>
      <w:jc w:val="right"/>
      <w:outlineLvl w:val="2"/>
    </w:pPr>
    <w:rPr>
      <w:b/>
      <w:szCs w:val="20"/>
      <w:lang w:val="en-GB" w:eastAsia="en-GB"/>
    </w:rPr>
  </w:style>
  <w:style w:type="paragraph" w:styleId="Heading4">
    <w:name w:val="heading 4"/>
    <w:basedOn w:val="Normal"/>
    <w:next w:val="Normal"/>
    <w:link w:val="Heading4Char"/>
    <w:uiPriority w:val="9"/>
    <w:qFormat/>
    <w:rsid w:val="00E80848"/>
    <w:pPr>
      <w:keepNext/>
      <w:spacing w:before="240" w:after="60"/>
      <w:outlineLvl w:val="3"/>
    </w:pPr>
    <w:rPr>
      <w:b/>
      <w:bCs/>
      <w:sz w:val="28"/>
      <w:szCs w:val="28"/>
    </w:rPr>
  </w:style>
  <w:style w:type="paragraph" w:styleId="Heading5">
    <w:name w:val="heading 5"/>
    <w:basedOn w:val="BodyText"/>
    <w:next w:val="BodyText"/>
    <w:link w:val="Heading5Char"/>
    <w:uiPriority w:val="9"/>
    <w:qFormat/>
    <w:rsid w:val="00E80848"/>
    <w:pPr>
      <w:widowControl w:val="0"/>
      <w:tabs>
        <w:tab w:val="num" w:pos="1440"/>
      </w:tabs>
      <w:ind w:left="1440" w:hanging="720"/>
      <w:outlineLvl w:val="4"/>
    </w:pPr>
  </w:style>
  <w:style w:type="paragraph" w:styleId="Heading6">
    <w:name w:val="heading 6"/>
    <w:basedOn w:val="BodyText"/>
    <w:next w:val="BodyText"/>
    <w:link w:val="Heading6Char"/>
    <w:uiPriority w:val="9"/>
    <w:qFormat/>
    <w:rsid w:val="00E80848"/>
    <w:pPr>
      <w:widowControl w:val="0"/>
      <w:tabs>
        <w:tab w:val="num" w:pos="720"/>
      </w:tabs>
      <w:ind w:left="720" w:hanging="720"/>
      <w:outlineLvl w:val="5"/>
    </w:pPr>
  </w:style>
  <w:style w:type="paragraph" w:styleId="Heading7">
    <w:name w:val="heading 7"/>
    <w:basedOn w:val="BodyText"/>
    <w:next w:val="BodyText"/>
    <w:link w:val="Heading7Char"/>
    <w:uiPriority w:val="9"/>
    <w:qFormat/>
    <w:rsid w:val="00E80848"/>
    <w:pPr>
      <w:widowControl w:val="0"/>
      <w:tabs>
        <w:tab w:val="num" w:pos="1440"/>
      </w:tabs>
      <w:ind w:left="1440" w:hanging="720"/>
      <w:outlineLvl w:val="6"/>
    </w:pPr>
  </w:style>
  <w:style w:type="paragraph" w:styleId="Heading8">
    <w:name w:val="heading 8"/>
    <w:basedOn w:val="Normal"/>
    <w:next w:val="Normal"/>
    <w:link w:val="Heading8Char"/>
    <w:uiPriority w:val="9"/>
    <w:qFormat/>
    <w:rsid w:val="00E80848"/>
    <w:pPr>
      <w:spacing w:before="240" w:after="60"/>
      <w:outlineLvl w:val="7"/>
    </w:pPr>
    <w:rPr>
      <w:i/>
      <w:iCs/>
    </w:rPr>
  </w:style>
  <w:style w:type="paragraph" w:styleId="Heading9">
    <w:name w:val="heading 9"/>
    <w:basedOn w:val="Normal"/>
    <w:next w:val="Normal"/>
    <w:link w:val="Heading9Char"/>
    <w:uiPriority w:val="9"/>
    <w:semiHidden/>
    <w:unhideWhenUsed/>
    <w:qFormat/>
    <w:rsid w:val="00192A93"/>
    <w:pPr>
      <w:keepNext/>
      <w:keepLines/>
      <w:spacing w:before="40"/>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Heading2Char">
    <w:name w:val="Heading 2 Char"/>
    <w:aliases w:val="Section Heading 2 Char1,Section Heading Char"/>
    <w:basedOn w:val="DefaultParagraphFont"/>
    <w:link w:val="Heading2"/>
    <w:uiPriority w:val="9"/>
    <w:rsid w:val="00E80848"/>
    <w:rPr>
      <w:rFonts w:ascii="Times New Roman" w:eastAsia="Times New Roman" w:hAnsi="Times New Roman" w:cs="Times New Roman"/>
      <w:b/>
      <w:sz w:val="24"/>
      <w:szCs w:val="20"/>
      <w:lang w:val="en-GB" w:eastAsia="en-GB"/>
    </w:rPr>
  </w:style>
  <w:style w:type="character" w:customStyle="1" w:styleId="Heading1Char">
    <w:name w:val="Heading 1 Char"/>
    <w:aliases w:val="Article Heading Char1,Article Heading 1 Char"/>
    <w:basedOn w:val="DefaultParagraphFont"/>
    <w:link w:val="Heading1"/>
    <w:uiPriority w:val="9"/>
    <w:rsid w:val="00E80848"/>
    <w:rPr>
      <w:rFonts w:ascii="Times New Roman" w:eastAsia="Times New Roman" w:hAnsi="Times New Roman" w:cs="Times New Roman"/>
      <w:b/>
      <w:caps/>
      <w:sz w:val="24"/>
      <w:szCs w:val="20"/>
      <w:lang w:val="en-GB" w:eastAsia="en-GB"/>
    </w:rPr>
  </w:style>
  <w:style w:type="character" w:customStyle="1" w:styleId="Heading3Char">
    <w:name w:val="Heading 3 Char"/>
    <w:basedOn w:val="DefaultParagraphFont"/>
    <w:link w:val="Heading3"/>
    <w:uiPriority w:val="9"/>
    <w:rsid w:val="00E80848"/>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uiPriority w:val="9"/>
    <w:rsid w:val="00E80848"/>
    <w:rPr>
      <w:rFonts w:ascii="Times New Roman" w:eastAsia="Times New Roman" w:hAnsi="Times New Roman" w:cs="Times New Roman"/>
      <w:b/>
      <w:bCs/>
      <w:sz w:val="28"/>
      <w:szCs w:val="28"/>
      <w:lang w:eastAsia="hr-HR"/>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E80848"/>
    <w:pPr>
      <w:spacing w:after="240"/>
      <w:jc w:val="both"/>
    </w:pPr>
    <w:rPr>
      <w:szCs w:val="20"/>
      <w:lang w:val="en-GB" w:eastAsia="en-GB"/>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8084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uiPriority w:val="9"/>
    <w:rsid w:val="00E80848"/>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uiPriority w:val="9"/>
    <w:rsid w:val="00E80848"/>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uiPriority w:val="9"/>
    <w:rsid w:val="00E80848"/>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uiPriority w:val="9"/>
    <w:rsid w:val="00E80848"/>
    <w:rPr>
      <w:rFonts w:ascii="Times New Roman" w:eastAsia="Times New Roman" w:hAnsi="Times New Roman" w:cs="Times New Roman"/>
      <w:i/>
      <w:iCs/>
      <w:sz w:val="24"/>
      <w:szCs w:val="24"/>
      <w:lang w:eastAsia="hr-HR"/>
    </w:rPr>
  </w:style>
  <w:style w:type="paragraph" w:styleId="BodyTextIndent3">
    <w:name w:val="Body Text Indent 3"/>
    <w:aliases w:val=" uvlaka 3"/>
    <w:basedOn w:val="Normal"/>
    <w:link w:val="BodyTextIndent3Char"/>
    <w:rsid w:val="00E80848"/>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E80848"/>
    <w:rPr>
      <w:rFonts w:ascii="Times New Roman" w:eastAsia="Times New Roman" w:hAnsi="Times New Roman" w:cs="Times New Roman"/>
      <w:sz w:val="16"/>
      <w:szCs w:val="16"/>
      <w:lang w:val="en-GB" w:eastAsia="hr-HR"/>
    </w:rPr>
  </w:style>
  <w:style w:type="character" w:customStyle="1" w:styleId="uvlaka3CharChar">
    <w:name w:val="uvlaka 3 Char Char"/>
    <w:rsid w:val="00E80848"/>
    <w:rPr>
      <w:rFonts w:ascii="Times New Roman" w:eastAsia="Times New Roman" w:hAnsi="Times New Roman" w:cs="Times New Roman"/>
      <w:sz w:val="16"/>
      <w:szCs w:val="16"/>
      <w:lang w:val="en-GB" w:eastAsia="hr-HR"/>
    </w:rPr>
  </w:style>
  <w:style w:type="paragraph" w:styleId="TOC1">
    <w:name w:val="toc 1"/>
    <w:basedOn w:val="Normal"/>
    <w:next w:val="Normal"/>
    <w:autoRedefine/>
    <w:uiPriority w:val="39"/>
    <w:rsid w:val="00E80848"/>
    <w:pPr>
      <w:tabs>
        <w:tab w:val="right" w:leader="dot" w:pos="8505"/>
      </w:tabs>
      <w:spacing w:before="240"/>
      <w:ind w:right="567"/>
      <w:jc w:val="both"/>
    </w:pPr>
    <w:rPr>
      <w:caps/>
      <w:noProof/>
      <w:szCs w:val="20"/>
      <w:lang w:val="en-GB" w:eastAsia="en-GB"/>
    </w:rPr>
  </w:style>
  <w:style w:type="paragraph" w:styleId="TOC2">
    <w:name w:val="toc 2"/>
    <w:basedOn w:val="Normal"/>
    <w:next w:val="Normal"/>
    <w:autoRedefine/>
    <w:uiPriority w:val="39"/>
    <w:rsid w:val="00E80848"/>
    <w:pPr>
      <w:tabs>
        <w:tab w:val="left" w:pos="1985"/>
        <w:tab w:val="right" w:leader="dot" w:pos="8505"/>
      </w:tabs>
      <w:ind w:left="1985" w:right="566" w:hanging="1418"/>
      <w:jc w:val="both"/>
    </w:pPr>
    <w:rPr>
      <w:noProof/>
      <w:szCs w:val="20"/>
      <w:lang w:val="en-GB" w:eastAsia="en-GB"/>
    </w:rPr>
  </w:style>
  <w:style w:type="paragraph" w:styleId="Title">
    <w:name w:val="Title"/>
    <w:basedOn w:val="Normal"/>
    <w:next w:val="Normal"/>
    <w:link w:val="TitleChar"/>
    <w:uiPriority w:val="10"/>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jc w:val="center"/>
    </w:pPr>
    <w:rPr>
      <w:b/>
      <w:caps/>
      <w:szCs w:val="20"/>
      <w:lang w:val="en-GB" w:eastAsia="en-GB"/>
    </w:rPr>
  </w:style>
  <w:style w:type="character" w:customStyle="1" w:styleId="TitleChar">
    <w:name w:val="Title Char"/>
    <w:basedOn w:val="DefaultParagraphFont"/>
    <w:link w:val="Title"/>
    <w:uiPriority w:val="10"/>
    <w:rsid w:val="00E80848"/>
    <w:rPr>
      <w:rFonts w:ascii="Times New Roman" w:eastAsia="Times New Roman" w:hAnsi="Times New Roman" w:cs="Times New Roman"/>
      <w:b/>
      <w:caps/>
      <w:sz w:val="24"/>
      <w:szCs w:val="20"/>
      <w:lang w:val="en-GB" w:eastAsia="en-GB"/>
    </w:rPr>
  </w:style>
  <w:style w:type="character" w:customStyle="1" w:styleId="CharChar8">
    <w:name w:val="Char Char8"/>
    <w:rsid w:val="00E80848"/>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E80848"/>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E80848"/>
    <w:rPr>
      <w:rFonts w:ascii="Times New Roman" w:eastAsia="Times New Roman" w:hAnsi="Times New Roman" w:cs="Times New Roman"/>
      <w:b/>
      <w:sz w:val="24"/>
      <w:szCs w:val="20"/>
      <w:lang w:val="en-GB" w:eastAsia="en-GB"/>
    </w:rPr>
  </w:style>
  <w:style w:type="character" w:customStyle="1" w:styleId="CharChar14">
    <w:name w:val="Char Char14"/>
    <w:rsid w:val="00E80848"/>
    <w:rPr>
      <w:rFonts w:ascii="Times New Roman" w:eastAsia="Times New Roman" w:hAnsi="Times New Roman" w:cs="Times New Roman"/>
      <w:b/>
      <w:sz w:val="24"/>
      <w:szCs w:val="20"/>
      <w:lang w:val="en-GB" w:eastAsia="en-GB"/>
    </w:rPr>
  </w:style>
  <w:style w:type="character" w:customStyle="1" w:styleId="CharChar13">
    <w:name w:val="Char Char13"/>
    <w:rsid w:val="00E80848"/>
    <w:rPr>
      <w:rFonts w:ascii="Times New Roman" w:eastAsia="Times New Roman" w:hAnsi="Times New Roman" w:cs="Times New Roman"/>
      <w:b/>
      <w:bCs/>
      <w:sz w:val="28"/>
      <w:szCs w:val="28"/>
      <w:lang w:eastAsia="hr-HR"/>
    </w:rPr>
  </w:style>
  <w:style w:type="character" w:customStyle="1" w:styleId="CharChar12">
    <w:name w:val="Char Char12"/>
    <w:rsid w:val="00E80848"/>
    <w:rPr>
      <w:rFonts w:ascii="Times New Roman" w:eastAsia="Times New Roman" w:hAnsi="Times New Roman" w:cs="Times New Roman"/>
      <w:sz w:val="24"/>
      <w:szCs w:val="20"/>
      <w:lang w:val="en-GB" w:eastAsia="en-GB"/>
    </w:rPr>
  </w:style>
  <w:style w:type="character" w:customStyle="1" w:styleId="CharChar11">
    <w:name w:val="Char Char11"/>
    <w:rsid w:val="00E80848"/>
    <w:rPr>
      <w:rFonts w:ascii="Times New Roman" w:eastAsia="Times New Roman" w:hAnsi="Times New Roman" w:cs="Times New Roman"/>
      <w:sz w:val="24"/>
      <w:szCs w:val="20"/>
      <w:lang w:val="en-GB" w:eastAsia="en-GB"/>
    </w:rPr>
  </w:style>
  <w:style w:type="character" w:customStyle="1" w:styleId="CharChar10">
    <w:name w:val="Char Char10"/>
    <w:rsid w:val="00E80848"/>
    <w:rPr>
      <w:rFonts w:ascii="Times New Roman" w:eastAsia="Times New Roman" w:hAnsi="Times New Roman" w:cs="Times New Roman"/>
      <w:sz w:val="24"/>
      <w:szCs w:val="20"/>
      <w:lang w:val="en-GB" w:eastAsia="en-GB"/>
    </w:rPr>
  </w:style>
  <w:style w:type="character" w:customStyle="1" w:styleId="CharChar9">
    <w:name w:val="Char Char9"/>
    <w:rsid w:val="00E80848"/>
    <w:rPr>
      <w:rFonts w:ascii="Times New Roman" w:eastAsia="Times New Roman" w:hAnsi="Times New Roman" w:cs="Times New Roman"/>
      <w:i/>
      <w:iCs/>
      <w:sz w:val="24"/>
      <w:szCs w:val="24"/>
      <w:lang w:eastAsia="hr-HR"/>
    </w:rPr>
  </w:style>
  <w:style w:type="character" w:customStyle="1" w:styleId="CharChar7">
    <w:name w:val="Char Char7"/>
    <w:rsid w:val="00E80848"/>
    <w:rPr>
      <w:rFonts w:ascii="Times New Roman" w:eastAsia="Times New Roman" w:hAnsi="Times New Roman" w:cs="Times New Roman"/>
      <w:sz w:val="24"/>
      <w:szCs w:val="20"/>
      <w:lang w:val="en-GB" w:eastAsia="en-GB"/>
    </w:rPr>
  </w:style>
  <w:style w:type="character" w:customStyle="1" w:styleId="Content">
    <w:name w:val="Content"/>
    <w:rsid w:val="00E80848"/>
    <w:rPr>
      <w:rFonts w:ascii="Batang" w:hAnsi="Batang"/>
      <w:b w:val="0"/>
      <w:bCs/>
      <w:sz w:val="32"/>
    </w:rPr>
  </w:style>
  <w:style w:type="character" w:styleId="Strong">
    <w:name w:val="Strong"/>
    <w:qFormat/>
    <w:rsid w:val="00E80848"/>
    <w:rPr>
      <w:b/>
      <w:bCs/>
    </w:rPr>
  </w:style>
  <w:style w:type="paragraph" w:customStyle="1" w:styleId="Bullet">
    <w:name w:val="Bullet"/>
    <w:basedOn w:val="Normal"/>
    <w:rsid w:val="00E80848"/>
    <w:pPr>
      <w:ind w:left="1440" w:hanging="720"/>
    </w:pPr>
    <w:rPr>
      <w:lang w:val="en-US" w:eastAsia="en-US"/>
    </w:rPr>
  </w:style>
  <w:style w:type="paragraph" w:styleId="Header">
    <w:name w:val="header"/>
    <w:basedOn w:val="Normal"/>
    <w:link w:val="HeaderChar"/>
    <w:uiPriority w:val="99"/>
    <w:rsid w:val="00E80848"/>
    <w:pPr>
      <w:tabs>
        <w:tab w:val="center" w:pos="4536"/>
        <w:tab w:val="right" w:pos="9072"/>
      </w:tabs>
    </w:pPr>
  </w:style>
  <w:style w:type="character" w:customStyle="1" w:styleId="HeaderChar">
    <w:name w:val="Header Char"/>
    <w:basedOn w:val="DefaultParagraphFont"/>
    <w:link w:val="Header"/>
    <w:uiPriority w:val="99"/>
    <w:rsid w:val="00E80848"/>
    <w:rPr>
      <w:rFonts w:ascii="Times New Roman" w:eastAsia="Times New Roman" w:hAnsi="Times New Roman" w:cs="Times New Roman"/>
      <w:sz w:val="24"/>
      <w:szCs w:val="24"/>
      <w:lang w:eastAsia="hr-HR"/>
    </w:rPr>
  </w:style>
  <w:style w:type="character" w:customStyle="1" w:styleId="CharChar6">
    <w:name w:val="Char Char6"/>
    <w:rsid w:val="00E80848"/>
    <w:rPr>
      <w:rFonts w:ascii="Times New Roman" w:eastAsia="Times New Roman" w:hAnsi="Times New Roman" w:cs="Times New Roman"/>
      <w:sz w:val="24"/>
      <w:szCs w:val="24"/>
      <w:lang w:eastAsia="hr-HR"/>
    </w:rPr>
  </w:style>
  <w:style w:type="character" w:styleId="PageNumber">
    <w:name w:val="page number"/>
    <w:basedOn w:val="DefaultParagraphFont"/>
    <w:rsid w:val="00E80848"/>
  </w:style>
  <w:style w:type="paragraph" w:styleId="Footer">
    <w:name w:val="footer"/>
    <w:basedOn w:val="Normal"/>
    <w:link w:val="FooterChar"/>
    <w:uiPriority w:val="99"/>
    <w:rsid w:val="00E8084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80848"/>
    <w:rPr>
      <w:rFonts w:ascii="Times New Roman" w:eastAsia="Times New Roman" w:hAnsi="Times New Roman" w:cs="Times New Roman"/>
      <w:sz w:val="24"/>
      <w:szCs w:val="24"/>
      <w:lang w:val="x-none" w:eastAsia="x-none"/>
    </w:rPr>
  </w:style>
  <w:style w:type="character" w:customStyle="1" w:styleId="CharChar5">
    <w:name w:val="Char Char5"/>
    <w:rsid w:val="00E80848"/>
    <w:rPr>
      <w:rFonts w:ascii="Times New Roman" w:eastAsia="Times New Roman" w:hAnsi="Times New Roman" w:cs="Times New Roman"/>
      <w:sz w:val="24"/>
      <w:szCs w:val="24"/>
      <w:lang w:eastAsia="hr-HR"/>
    </w:rPr>
  </w:style>
  <w:style w:type="character" w:customStyle="1" w:styleId="CharChar4">
    <w:name w:val="Char Char4"/>
    <w:semiHidden/>
    <w:rsid w:val="00E80848"/>
    <w:rPr>
      <w:rFonts w:ascii="Times New Roman" w:eastAsia="Times New Roman" w:hAnsi="Times New Roman"/>
    </w:rPr>
  </w:style>
  <w:style w:type="paragraph" w:styleId="CommentText">
    <w:name w:val="annotation text"/>
    <w:basedOn w:val="Normal"/>
    <w:link w:val="CommentTextChar"/>
    <w:rsid w:val="00E80848"/>
    <w:rPr>
      <w:sz w:val="22"/>
      <w:szCs w:val="22"/>
      <w:lang w:eastAsia="en-US"/>
    </w:rPr>
  </w:style>
  <w:style w:type="character" w:customStyle="1" w:styleId="CommentTextChar">
    <w:name w:val="Comment Text Char"/>
    <w:basedOn w:val="DefaultParagraphFont"/>
    <w:link w:val="CommentText"/>
    <w:rsid w:val="00E80848"/>
    <w:rPr>
      <w:rFonts w:ascii="Times New Roman" w:eastAsia="Times New Roman" w:hAnsi="Times New Roman" w:cs="Times New Roman"/>
    </w:rPr>
  </w:style>
  <w:style w:type="character" w:customStyle="1" w:styleId="CommentTextChar1">
    <w:name w:val="Comment Text Char1"/>
    <w:semiHidden/>
    <w:rsid w:val="00E80848"/>
    <w:rPr>
      <w:rFonts w:ascii="Times New Roman" w:eastAsia="Times New Roman" w:hAnsi="Times New Roman" w:cs="Times New Roman"/>
      <w:sz w:val="20"/>
      <w:szCs w:val="20"/>
      <w:lang w:eastAsia="hr-HR"/>
    </w:rPr>
  </w:style>
  <w:style w:type="character" w:customStyle="1" w:styleId="CharChar3">
    <w:name w:val="Char Char3"/>
    <w:semiHidden/>
    <w:rsid w:val="00E80848"/>
    <w:rPr>
      <w:rFonts w:ascii="Times New Roman" w:eastAsia="Times New Roman" w:hAnsi="Times New Roman"/>
      <w:b/>
      <w:bCs/>
    </w:rPr>
  </w:style>
  <w:style w:type="paragraph" w:styleId="CommentSubject">
    <w:name w:val="annotation subject"/>
    <w:basedOn w:val="CommentText"/>
    <w:next w:val="CommentText"/>
    <w:link w:val="CommentSubjectChar"/>
    <w:rsid w:val="00E80848"/>
    <w:rPr>
      <w:b/>
      <w:bCs/>
    </w:rPr>
  </w:style>
  <w:style w:type="character" w:customStyle="1" w:styleId="CommentSubjectChar">
    <w:name w:val="Comment Subject Char"/>
    <w:basedOn w:val="CommentTextChar"/>
    <w:link w:val="CommentSubject"/>
    <w:rsid w:val="00E80848"/>
    <w:rPr>
      <w:rFonts w:ascii="Times New Roman" w:eastAsia="Times New Roman" w:hAnsi="Times New Roman" w:cs="Times New Roman"/>
      <w:b/>
      <w:bCs/>
    </w:rPr>
  </w:style>
  <w:style w:type="character" w:customStyle="1" w:styleId="CommentSubjectChar1">
    <w:name w:val="Comment Subject Char1"/>
    <w:semiHidden/>
    <w:rsid w:val="00E80848"/>
    <w:rPr>
      <w:rFonts w:ascii="Times New Roman" w:eastAsia="Times New Roman" w:hAnsi="Times New Roman" w:cs="Times New Roman"/>
      <w:b/>
      <w:bCs/>
      <w:sz w:val="20"/>
      <w:szCs w:val="20"/>
      <w:lang w:eastAsia="hr-HR"/>
    </w:rPr>
  </w:style>
  <w:style w:type="character" w:customStyle="1" w:styleId="CharChar2">
    <w:name w:val="Char Char2"/>
    <w:semiHidden/>
    <w:rsid w:val="00E80848"/>
    <w:rPr>
      <w:rFonts w:ascii="Tahoma" w:eastAsia="Times New Roman" w:hAnsi="Tahoma" w:cs="Tahoma"/>
      <w:sz w:val="16"/>
      <w:szCs w:val="16"/>
    </w:rPr>
  </w:style>
  <w:style w:type="paragraph" w:styleId="BalloonText">
    <w:name w:val="Balloon Text"/>
    <w:basedOn w:val="Normal"/>
    <w:link w:val="BalloonTextChar"/>
    <w:uiPriority w:val="99"/>
    <w:semiHidden/>
    <w:rsid w:val="00E8084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80848"/>
    <w:rPr>
      <w:rFonts w:ascii="Tahoma" w:eastAsia="Times New Roman" w:hAnsi="Tahoma" w:cs="Tahoma"/>
      <w:sz w:val="16"/>
      <w:szCs w:val="16"/>
    </w:rPr>
  </w:style>
  <w:style w:type="character" w:customStyle="1" w:styleId="BalloonTextChar1">
    <w:name w:val="Balloon Text Char1"/>
    <w:semiHidden/>
    <w:rsid w:val="00E80848"/>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 Char1,Footnote Text Char1 Char Char2,Footnote Text Char Char Char Char1,ADB Char1,ft Char Char"/>
    <w:semiHidden/>
    <w:rsid w:val="00E80848"/>
    <w:rPr>
      <w:rFonts w:ascii="Times New Roman" w:eastAsia="Times New Roman" w:hAnsi="Times New Roman"/>
    </w:rPr>
  </w:style>
  <w:style w:type="paragraph" w:styleId="FootnoteText">
    <w:name w:val="footnote text"/>
    <w:aliases w:val="single space,footnote text,FOOTNOTES,fn,Geneva 9,Font: Geneva 9,Boston 10,f,Font,Footnote Text Char1 Char,Footnote Text Char Char Char,ADB,Footnote Text Char2 Char,Footnote Text Char1 Char Char,Fußnotentext Char,ft,Char,Footnote Text1 Char"/>
    <w:basedOn w:val="Normal"/>
    <w:link w:val="FootnoteTextChar"/>
    <w:uiPriority w:val="99"/>
    <w:qFormat/>
    <w:rsid w:val="00E80848"/>
    <w:rPr>
      <w:sz w:val="22"/>
      <w:szCs w:val="22"/>
      <w:lang w:eastAsia="en-US"/>
    </w:rPr>
  </w:style>
  <w:style w:type="character" w:customStyle="1" w:styleId="FootnoteTextChar">
    <w:name w:val="Footnote Text Char"/>
    <w:aliases w:val="single space Char2,footnote text Char2,FOOTNOTES Char2,fn Char2,Geneva 9 Char2,Font: Geneva 9 Char2,Boston 10 Char2,f Char2,Font Char2,Footnote Text Char1 Char Char3,Footnote Text Char Char Char Char2,ADB Char2,Fußnotentext Char Char"/>
    <w:basedOn w:val="DefaultParagraphFont"/>
    <w:link w:val="FootnoteText"/>
    <w:uiPriority w:val="99"/>
    <w:rsid w:val="00E80848"/>
    <w:rPr>
      <w:rFonts w:ascii="Times New Roman" w:eastAsia="Times New Roman" w:hAnsi="Times New Roman" w:cs="Times New Roman"/>
    </w:rPr>
  </w:style>
  <w:style w:type="character" w:customStyle="1" w:styleId="FootnoteTextChar1">
    <w:name w:val="Footnote Text Char1"/>
    <w:aliases w:val="ft Char1"/>
    <w:uiPriority w:val="99"/>
    <w:rsid w:val="00E80848"/>
    <w:rPr>
      <w:rFonts w:ascii="Times New Roman" w:eastAsia="Times New Roman" w:hAnsi="Times New Roman" w:cs="Times New Roman"/>
      <w:sz w:val="20"/>
      <w:szCs w:val="20"/>
      <w:lang w:eastAsia="hr-HR"/>
    </w:rPr>
  </w:style>
  <w:style w:type="paragraph" w:styleId="EndnoteText">
    <w:name w:val="endnote text"/>
    <w:basedOn w:val="Normal"/>
    <w:link w:val="EndnoteTextChar"/>
    <w:semiHidden/>
    <w:rsid w:val="00E80848"/>
    <w:rPr>
      <w:sz w:val="20"/>
      <w:szCs w:val="20"/>
    </w:rPr>
  </w:style>
  <w:style w:type="character" w:customStyle="1" w:styleId="EndnoteTextChar">
    <w:name w:val="Endnote Text Char"/>
    <w:basedOn w:val="DefaultParagraphFont"/>
    <w:link w:val="EndnoteText"/>
    <w:semiHidden/>
    <w:rsid w:val="00E80848"/>
    <w:rPr>
      <w:rFonts w:ascii="Times New Roman" w:eastAsia="Times New Roman" w:hAnsi="Times New Roman" w:cs="Times New Roman"/>
      <w:sz w:val="20"/>
      <w:szCs w:val="20"/>
      <w:lang w:eastAsia="hr-HR"/>
    </w:rPr>
  </w:style>
  <w:style w:type="character" w:customStyle="1" w:styleId="CharChar1">
    <w:name w:val="Char Char1"/>
    <w:semiHidden/>
    <w:rsid w:val="00E80848"/>
    <w:rPr>
      <w:rFonts w:ascii="Times New Roman" w:eastAsia="Times New Roman" w:hAnsi="Times New Roman" w:cs="Times New Roman"/>
      <w:sz w:val="20"/>
      <w:szCs w:val="20"/>
      <w:lang w:eastAsia="hr-HR"/>
    </w:rPr>
  </w:style>
  <w:style w:type="character" w:styleId="EndnoteReference">
    <w:name w:val="endnote reference"/>
    <w:semiHidden/>
    <w:rsid w:val="00E80848"/>
    <w:rPr>
      <w:vertAlign w:val="superscript"/>
    </w:rPr>
  </w:style>
  <w:style w:type="paragraph" w:customStyle="1" w:styleId="Definition1a">
    <w:name w:val="Definition 1a"/>
    <w:basedOn w:val="Normal"/>
    <w:next w:val="Definition1b"/>
    <w:rsid w:val="00E80848"/>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Definition1b">
    <w:name w:val="Definition 1b"/>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szCs w:val="20"/>
      <w:lang w:val="en-GB" w:eastAsia="en-GB"/>
    </w:rPr>
  </w:style>
  <w:style w:type="paragraph" w:customStyle="1" w:styleId="Paragraph1">
    <w:name w:val="Paragraph (1)"/>
    <w:basedOn w:val="Normal"/>
    <w:rsid w:val="00E808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szCs w:val="20"/>
      <w:lang w:val="en-GB" w:eastAsia="en-GB"/>
    </w:rPr>
  </w:style>
  <w:style w:type="paragraph" w:customStyle="1" w:styleId="Definition">
    <w:name w:val="Definition"/>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ParagraphA0">
    <w:name w:val="Paragraph (A)"/>
    <w:basedOn w:val="Normal"/>
    <w:rsid w:val="00E8084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szCs w:val="20"/>
      <w:lang w:val="en-GB" w:eastAsia="en-GB"/>
    </w:rPr>
  </w:style>
  <w:style w:type="paragraph" w:customStyle="1" w:styleId="Definition2">
    <w:name w:val="Definition 2"/>
    <w:basedOn w:val="Definition"/>
    <w:rsid w:val="00E80848"/>
    <w:pPr>
      <w:tabs>
        <w:tab w:val="clear" w:pos="2835"/>
      </w:tabs>
      <w:ind w:firstLine="0"/>
    </w:pPr>
  </w:style>
  <w:style w:type="paragraph" w:customStyle="1" w:styleId="Definition3">
    <w:name w:val="Definition 3"/>
    <w:basedOn w:val="Definition2"/>
    <w:rsid w:val="00E80848"/>
    <w:pPr>
      <w:tabs>
        <w:tab w:val="clear" w:pos="3402"/>
      </w:tabs>
      <w:ind w:left="3402"/>
    </w:pPr>
  </w:style>
  <w:style w:type="paragraph" w:customStyle="1" w:styleId="Definition4">
    <w:name w:val="Definition 4"/>
    <w:basedOn w:val="Definition3"/>
    <w:rsid w:val="00E80848"/>
    <w:pPr>
      <w:tabs>
        <w:tab w:val="clear" w:pos="3969"/>
      </w:tabs>
      <w:ind w:left="3969"/>
    </w:pPr>
  </w:style>
  <w:style w:type="paragraph" w:customStyle="1" w:styleId="HangingIndenta">
    <w:name w:val="Hanging Indent (a)"/>
    <w:basedOn w:val="Normal"/>
    <w:rsid w:val="00E80848"/>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szCs w:val="20"/>
      <w:lang w:val="en-GB" w:eastAsia="en-GB"/>
    </w:rPr>
  </w:style>
  <w:style w:type="paragraph" w:styleId="BodyTextIndent">
    <w:name w:val="Body Text Indent"/>
    <w:basedOn w:val="Normal"/>
    <w:link w:val="BodyTextIndentChar"/>
    <w:rsid w:val="00E80848"/>
    <w:pPr>
      <w:tabs>
        <w:tab w:val="left" w:pos="2268"/>
        <w:tab w:val="left" w:pos="3969"/>
        <w:tab w:val="left" w:pos="4253"/>
        <w:tab w:val="left" w:pos="4536"/>
        <w:tab w:val="left" w:pos="5103"/>
        <w:tab w:val="left" w:pos="5670"/>
        <w:tab w:val="left" w:pos="6237"/>
        <w:tab w:val="left" w:pos="6804"/>
        <w:tab w:val="left" w:pos="7371"/>
        <w:tab w:val="left" w:pos="7938"/>
        <w:tab w:val="right" w:pos="8505"/>
      </w:tabs>
      <w:spacing w:line="240" w:lineRule="atLeast"/>
      <w:ind w:left="2694" w:hanging="2694"/>
      <w:jc w:val="both"/>
    </w:pPr>
    <w:rPr>
      <w:szCs w:val="20"/>
      <w:lang w:val="en-GB" w:eastAsia="en-GB"/>
    </w:rPr>
  </w:style>
  <w:style w:type="character" w:customStyle="1" w:styleId="BodyTextIndentChar">
    <w:name w:val="Body Text Indent Char"/>
    <w:basedOn w:val="DefaultParagraphFont"/>
    <w:link w:val="BodyTextIndent"/>
    <w:rsid w:val="00E80848"/>
    <w:rPr>
      <w:rFonts w:ascii="Times New Roman" w:eastAsia="Times New Roman" w:hAnsi="Times New Roman" w:cs="Times New Roman"/>
      <w:sz w:val="24"/>
      <w:szCs w:val="20"/>
      <w:lang w:val="en-GB" w:eastAsia="en-GB"/>
    </w:rPr>
  </w:style>
  <w:style w:type="character" w:customStyle="1" w:styleId="CharChar">
    <w:name w:val="Char Char"/>
    <w:rsid w:val="00E80848"/>
    <w:rPr>
      <w:rFonts w:ascii="Times New Roman" w:eastAsia="Times New Roman" w:hAnsi="Times New Roman" w:cs="Times New Roman"/>
      <w:sz w:val="24"/>
      <w:szCs w:val="20"/>
      <w:lang w:val="en-GB" w:eastAsia="en-GB"/>
    </w:rPr>
  </w:style>
  <w:style w:type="paragraph" w:customStyle="1" w:styleId="Indenti">
    <w:name w:val="Indent (i)"/>
    <w:basedOn w:val="Normal"/>
    <w:rsid w:val="00E80848"/>
    <w:pPr>
      <w:tabs>
        <w:tab w:val="left" w:pos="5040"/>
      </w:tabs>
      <w:ind w:left="4500" w:hanging="540"/>
      <w:jc w:val="both"/>
    </w:pPr>
    <w:rPr>
      <w:szCs w:val="20"/>
      <w:lang w:val="en-GB" w:eastAsia="en-GB"/>
    </w:rPr>
  </w:style>
  <w:style w:type="paragraph" w:customStyle="1" w:styleId="NormalLeft508cm">
    <w:name w:val="Normal + Left:  5.08 cm"/>
    <w:aliases w:val="Hanging:  1.92 cm"/>
    <w:basedOn w:val="Indenti"/>
    <w:rsid w:val="00E80848"/>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E8084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Cs w:val="20"/>
      <w:lang w:val="en-GB" w:eastAsia="en-GB"/>
    </w:rPr>
  </w:style>
  <w:style w:type="paragraph" w:customStyle="1" w:styleId="ScheduleHeading">
    <w:name w:val="Schedule Heading"/>
    <w:basedOn w:val="Title"/>
    <w:rsid w:val="00E80848"/>
  </w:style>
  <w:style w:type="paragraph" w:customStyle="1" w:styleId="Paragraphi">
    <w:name w:val="Paragraph (i)"/>
    <w:basedOn w:val="Normal"/>
    <w:rsid w:val="00E80848"/>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szCs w:val="20"/>
      <w:lang w:val="en-GB" w:eastAsia="en-GB"/>
    </w:rPr>
  </w:style>
  <w:style w:type="paragraph" w:customStyle="1" w:styleId="ParagraphaChar">
    <w:name w:val="Paragraph (a) Char"/>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Indenta">
    <w:name w:val="Indent (a)"/>
    <w:basedOn w:val="Normal"/>
    <w:rsid w:val="00E80848"/>
    <w:pPr>
      <w:tabs>
        <w:tab w:val="left" w:pos="4320"/>
      </w:tabs>
      <w:ind w:left="3960" w:hanging="360"/>
      <w:jc w:val="both"/>
    </w:pPr>
    <w:rPr>
      <w:szCs w:val="20"/>
      <w:lang w:val="en-GB" w:eastAsia="en-GB"/>
    </w:rPr>
  </w:style>
  <w:style w:type="character" w:styleId="Emphasis">
    <w:name w:val="Emphasis"/>
    <w:qFormat/>
    <w:rsid w:val="00E80848"/>
    <w:rPr>
      <w:i/>
      <w:iC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Footnote Reference Superscript,fr"/>
    <w:link w:val="ftrefCaracterCaracterCaracter"/>
    <w:qFormat/>
    <w:rsid w:val="00E80848"/>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40791F"/>
    <w:pPr>
      <w:spacing w:before="110" w:after="120" w:line="240" w:lineRule="exact"/>
      <w:jc w:val="both"/>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rsid w:val="00E80848"/>
    <w:rPr>
      <w:rFonts w:ascii="Courier New" w:hAnsi="Courier New" w:cs="Courier New"/>
      <w:sz w:val="20"/>
      <w:szCs w:val="20"/>
    </w:rPr>
  </w:style>
  <w:style w:type="character" w:customStyle="1" w:styleId="PlainTextChar">
    <w:name w:val="Plain Text Char"/>
    <w:basedOn w:val="DefaultParagraphFont"/>
    <w:link w:val="PlainText"/>
    <w:rsid w:val="00E80848"/>
    <w:rPr>
      <w:rFonts w:ascii="Courier New" w:eastAsia="Times New Roman" w:hAnsi="Courier New" w:cs="Courier New"/>
      <w:sz w:val="20"/>
      <w:szCs w:val="20"/>
      <w:lang w:eastAsia="hr-HR"/>
    </w:rPr>
  </w:style>
  <w:style w:type="paragraph" w:customStyle="1" w:styleId="ModelNrmlDouble">
    <w:name w:val="ModelNrmlDouble"/>
    <w:basedOn w:val="Normal"/>
    <w:rsid w:val="00E80848"/>
    <w:pPr>
      <w:spacing w:after="360" w:line="480" w:lineRule="auto"/>
      <w:ind w:firstLine="720"/>
      <w:jc w:val="both"/>
    </w:pPr>
    <w:rPr>
      <w:sz w:val="22"/>
      <w:szCs w:val="20"/>
      <w:lang w:val="en-US" w:eastAsia="en-US"/>
    </w:rPr>
  </w:style>
  <w:style w:type="paragraph" w:customStyle="1" w:styleId="Story">
    <w:name w:val="Story"/>
    <w:basedOn w:val="Normal"/>
    <w:rsid w:val="00E80848"/>
    <w:pPr>
      <w:spacing w:line="480" w:lineRule="auto"/>
    </w:pPr>
    <w:rPr>
      <w:szCs w:val="20"/>
      <w:lang w:val="en-US" w:eastAsia="en-US"/>
    </w:rPr>
  </w:style>
  <w:style w:type="paragraph" w:customStyle="1" w:styleId="ModelDoubleNoIndent">
    <w:name w:val="ModelDoubleNoIndent"/>
    <w:basedOn w:val="ModelNrmlDouble"/>
    <w:rsid w:val="00E80848"/>
    <w:pPr>
      <w:ind w:firstLine="0"/>
    </w:pPr>
    <w:rPr>
      <w:u w:val="single"/>
    </w:rPr>
  </w:style>
  <w:style w:type="paragraph" w:customStyle="1" w:styleId="ModelNrmlSingle">
    <w:name w:val="ModelNrmlSingle"/>
    <w:basedOn w:val="Normal"/>
    <w:rsid w:val="00E80848"/>
    <w:pPr>
      <w:spacing w:after="240"/>
      <w:ind w:firstLine="720"/>
      <w:jc w:val="both"/>
    </w:pPr>
    <w:rPr>
      <w:sz w:val="22"/>
      <w:szCs w:val="20"/>
      <w:lang w:val="en-US" w:eastAsia="en-US"/>
    </w:rPr>
  </w:style>
  <w:style w:type="paragraph" w:customStyle="1" w:styleId="Default">
    <w:name w:val="Default"/>
    <w:rsid w:val="00E808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odelNrmlDoubleChar">
    <w:name w:val="ModelNrmlDouble Char"/>
    <w:rsid w:val="00E80848"/>
    <w:rPr>
      <w:sz w:val="22"/>
      <w:lang w:val="en-US" w:eastAsia="en-US" w:bidi="ar-SA"/>
    </w:rPr>
  </w:style>
  <w:style w:type="paragraph" w:styleId="BodyText3">
    <w:name w:val="Body Text 3"/>
    <w:basedOn w:val="Normal"/>
    <w:link w:val="BodyText3Char"/>
    <w:rsid w:val="00E80848"/>
    <w:pPr>
      <w:spacing w:after="120" w:line="480" w:lineRule="auto"/>
    </w:pPr>
    <w:rPr>
      <w:sz w:val="16"/>
      <w:szCs w:val="16"/>
      <w:lang w:val="en-US" w:eastAsia="en-US"/>
    </w:rPr>
  </w:style>
  <w:style w:type="character" w:customStyle="1" w:styleId="BodyText3Char">
    <w:name w:val="Body Text 3 Char"/>
    <w:basedOn w:val="DefaultParagraphFont"/>
    <w:link w:val="BodyText3"/>
    <w:rsid w:val="00E80848"/>
    <w:rPr>
      <w:rFonts w:ascii="Times New Roman" w:eastAsia="Times New Roman" w:hAnsi="Times New Roman" w:cs="Times New Roman"/>
      <w:sz w:val="16"/>
      <w:szCs w:val="16"/>
      <w:lang w:val="en-US"/>
    </w:rPr>
  </w:style>
  <w:style w:type="character" w:styleId="CommentReference">
    <w:name w:val="annotation reference"/>
    <w:uiPriority w:val="99"/>
    <w:semiHidden/>
    <w:rsid w:val="00E80848"/>
    <w:rPr>
      <w:sz w:val="16"/>
      <w:szCs w:val="16"/>
    </w:rPr>
  </w:style>
  <w:style w:type="character" w:customStyle="1" w:styleId="singlespaceChar">
    <w:name w:val="single space Char"/>
    <w:aliases w:val="footnote text Char,FOOTNOTES Char,fn Char,Geneva 9 Char,Font: Geneva 9 Char,Boston 10 Char,f Char,Font Char,Footnote Text Char Char,Footnote Text Char1 Char Char1,Footnote Text Char Char Char Char,ADB Char,Footnote Text Char1 Char1"/>
    <w:uiPriority w:val="99"/>
    <w:semiHidden/>
    <w:rsid w:val="00E80848"/>
    <w:rPr>
      <w:lang w:val="en-US" w:eastAsia="en-US" w:bidi="ar-SA"/>
    </w:rPr>
  </w:style>
  <w:style w:type="paragraph" w:customStyle="1" w:styleId="ListParagraph1">
    <w:name w:val="List Paragraph1"/>
    <w:basedOn w:val="Normal"/>
    <w:qFormat/>
    <w:rsid w:val="00E80848"/>
    <w:pPr>
      <w:spacing w:line="480" w:lineRule="auto"/>
      <w:ind w:left="708"/>
    </w:pPr>
    <w:rPr>
      <w:szCs w:val="20"/>
      <w:lang w:val="en-US" w:eastAsia="en-US"/>
    </w:rPr>
  </w:style>
  <w:style w:type="paragraph" w:styleId="NormalWeb">
    <w:name w:val="Normal (Web)"/>
    <w:basedOn w:val="Normal"/>
    <w:rsid w:val="00E80848"/>
    <w:pPr>
      <w:spacing w:before="100" w:beforeAutospacing="1" w:after="100" w:afterAutospacing="1"/>
    </w:pPr>
  </w:style>
  <w:style w:type="paragraph" w:customStyle="1" w:styleId="CharCharCharCharCharChar">
    <w:name w:val="Char Char Char Char Char Char"/>
    <w:basedOn w:val="Normal"/>
    <w:rsid w:val="00E80848"/>
    <w:pPr>
      <w:spacing w:after="160" w:line="240" w:lineRule="exact"/>
    </w:pPr>
    <w:rPr>
      <w:rFonts w:ascii="Tahoma" w:hAnsi="Tahoma"/>
      <w:sz w:val="20"/>
      <w:szCs w:val="20"/>
      <w:lang w:val="en-US" w:eastAsia="en-US"/>
    </w:rPr>
  </w:style>
  <w:style w:type="paragraph" w:customStyle="1" w:styleId="Sub-Para1underXY">
    <w:name w:val="Sub-Para 1 under X.Y"/>
    <w:basedOn w:val="Normal"/>
    <w:rsid w:val="00E80848"/>
    <w:pPr>
      <w:tabs>
        <w:tab w:val="num" w:pos="360"/>
        <w:tab w:val="num" w:pos="720"/>
      </w:tabs>
      <w:spacing w:after="240"/>
      <w:outlineLvl w:val="2"/>
    </w:pPr>
    <w:rPr>
      <w:lang w:val="en-US" w:eastAsia="en-US"/>
    </w:rPr>
  </w:style>
  <w:style w:type="paragraph" w:styleId="BodyText2">
    <w:name w:val="Body Text 2"/>
    <w:basedOn w:val="Normal"/>
    <w:link w:val="BodyText2Char"/>
    <w:rsid w:val="00E80848"/>
    <w:pPr>
      <w:spacing w:after="120" w:line="480" w:lineRule="auto"/>
    </w:pPr>
    <w:rPr>
      <w:szCs w:val="20"/>
      <w:lang w:val="en-US" w:eastAsia="en-US"/>
    </w:rPr>
  </w:style>
  <w:style w:type="character" w:customStyle="1" w:styleId="BodyText2Char">
    <w:name w:val="Body Text 2 Char"/>
    <w:basedOn w:val="DefaultParagraphFont"/>
    <w:link w:val="BodyText2"/>
    <w:rsid w:val="00E80848"/>
    <w:rPr>
      <w:rFonts w:ascii="Times New Roman" w:eastAsia="Times New Roman" w:hAnsi="Times New Roman" w:cs="Times New Roman"/>
      <w:sz w:val="24"/>
      <w:szCs w:val="20"/>
      <w:lang w:val="en-US"/>
    </w:rPr>
  </w:style>
  <w:style w:type="character" w:styleId="Hyperlink">
    <w:name w:val="Hyperlink"/>
    <w:uiPriority w:val="99"/>
    <w:unhideWhenUsed/>
    <w:rsid w:val="00E80848"/>
    <w:rPr>
      <w:color w:val="0000FF"/>
      <w:u w:val="single"/>
    </w:rPr>
  </w:style>
  <w:style w:type="character" w:customStyle="1" w:styleId="DeltaViewInsertion">
    <w:name w:val="DeltaView Insertion"/>
    <w:rsid w:val="00E80848"/>
    <w:rPr>
      <w:color w:val="0000FF"/>
      <w:spacing w:val="0"/>
      <w:u w:val="double"/>
    </w:rPr>
  </w:style>
  <w:style w:type="paragraph" w:customStyle="1" w:styleId="crostyle">
    <w:name w:val="crostyle"/>
    <w:basedOn w:val="Normal"/>
    <w:rsid w:val="00E80848"/>
    <w:pPr>
      <w:spacing w:before="100" w:beforeAutospacing="1" w:after="100" w:afterAutospacing="1"/>
    </w:pPr>
  </w:style>
  <w:style w:type="character" w:customStyle="1" w:styleId="ModelNrmlSingleChar">
    <w:name w:val="ModelNrmlSingle Char"/>
    <w:locked/>
    <w:rsid w:val="00E80848"/>
    <w:rPr>
      <w:sz w:val="22"/>
      <w:lang w:val="en-US" w:eastAsia="en-US" w:bidi="ar-SA"/>
    </w:rPr>
  </w:style>
  <w:style w:type="character" w:customStyle="1" w:styleId="DefaultParagraphFont1">
    <w:name w:val="Default Paragraph Font1"/>
    <w:rsid w:val="00E80848"/>
  </w:style>
  <w:style w:type="character" w:customStyle="1" w:styleId="FootnoteCharacters">
    <w:name w:val="Footnote Characters"/>
    <w:rsid w:val="00E80848"/>
    <w:rPr>
      <w:vertAlign w:val="superscript"/>
    </w:rPr>
  </w:style>
  <w:style w:type="character" w:customStyle="1" w:styleId="EndnoteCharacters">
    <w:name w:val="Endnote Characters"/>
    <w:rsid w:val="00E80848"/>
  </w:style>
  <w:style w:type="paragraph" w:customStyle="1" w:styleId="Heading">
    <w:name w:val="Heading"/>
    <w:basedOn w:val="Normal"/>
    <w:next w:val="BodyText"/>
    <w:rsid w:val="00E80848"/>
    <w:pPr>
      <w:keepNext/>
      <w:widowControl w:val="0"/>
      <w:suppressAutoHyphens/>
      <w:spacing w:before="240" w:after="120"/>
    </w:pPr>
    <w:rPr>
      <w:rFonts w:ascii="Arial" w:eastAsia="Lucida Sans Unicode" w:hAnsi="Arial" w:cs="Tahoma"/>
      <w:sz w:val="28"/>
      <w:szCs w:val="28"/>
      <w:lang w:val="en-GB"/>
    </w:rPr>
  </w:style>
  <w:style w:type="paragraph" w:styleId="List">
    <w:name w:val="List"/>
    <w:basedOn w:val="BodyText"/>
    <w:rsid w:val="00E80848"/>
    <w:pPr>
      <w:widowControl w:val="0"/>
      <w:suppressAutoHyphens/>
      <w:spacing w:after="120"/>
      <w:jc w:val="left"/>
    </w:pPr>
    <w:rPr>
      <w:rFonts w:eastAsia="Lucida Sans Unicode" w:cs="Tahoma"/>
      <w:szCs w:val="24"/>
    </w:rPr>
  </w:style>
  <w:style w:type="paragraph" w:styleId="Caption">
    <w:name w:val="caption"/>
    <w:basedOn w:val="Normal"/>
    <w:uiPriority w:val="35"/>
    <w:qFormat/>
    <w:rsid w:val="00E80848"/>
    <w:pPr>
      <w:widowControl w:val="0"/>
      <w:suppressLineNumbers/>
      <w:suppressAutoHyphens/>
      <w:spacing w:before="120" w:after="120"/>
    </w:pPr>
    <w:rPr>
      <w:rFonts w:eastAsia="Lucida Sans Unicode" w:cs="Tahoma"/>
      <w:i/>
      <w:iCs/>
      <w:lang w:val="en-GB"/>
    </w:rPr>
  </w:style>
  <w:style w:type="paragraph" w:customStyle="1" w:styleId="Index">
    <w:name w:val="Index"/>
    <w:basedOn w:val="Normal"/>
    <w:rsid w:val="00E80848"/>
    <w:pPr>
      <w:widowControl w:val="0"/>
      <w:suppressLineNumbers/>
      <w:suppressAutoHyphens/>
    </w:pPr>
    <w:rPr>
      <w:rFonts w:eastAsia="Lucida Sans Unicode" w:cs="Tahoma"/>
      <w:lang w:val="en-GB"/>
    </w:rPr>
  </w:style>
  <w:style w:type="paragraph" w:customStyle="1" w:styleId="NoSpacing1">
    <w:name w:val="No Spacing1"/>
    <w:basedOn w:val="Normal"/>
    <w:link w:val="NoSpacingChar"/>
    <w:rsid w:val="00E80848"/>
    <w:pPr>
      <w:widowControl w:val="0"/>
      <w:suppressAutoHyphens/>
    </w:pPr>
    <w:rPr>
      <w:rFonts w:ascii="Cambria" w:eastAsia="Calibri" w:hAnsi="Cambria"/>
      <w:sz w:val="22"/>
      <w:szCs w:val="22"/>
      <w:lang w:val="en-GB" w:eastAsia="en-US" w:bidi="en-US"/>
    </w:rPr>
  </w:style>
  <w:style w:type="character" w:customStyle="1" w:styleId="NoSpacingChar">
    <w:name w:val="No Spacing Char"/>
    <w:link w:val="NoSpacing1"/>
    <w:rsid w:val="00E80848"/>
    <w:rPr>
      <w:rFonts w:ascii="Cambria" w:eastAsia="Calibri" w:hAnsi="Cambria" w:cs="Times New Roman"/>
      <w:lang w:val="en-GB" w:bidi="en-US"/>
    </w:rPr>
  </w:style>
  <w:style w:type="paragraph" w:customStyle="1" w:styleId="ColorfulList-Accent11">
    <w:name w:val="Colorful List - Accent 11"/>
    <w:basedOn w:val="Normal"/>
    <w:rsid w:val="00E80848"/>
    <w:pPr>
      <w:widowControl w:val="0"/>
      <w:suppressAutoHyphens/>
      <w:ind w:left="720"/>
    </w:pPr>
    <w:rPr>
      <w:rFonts w:eastAsia="Lucida Sans Unicode"/>
      <w:lang w:val="en-GB"/>
    </w:rPr>
  </w:style>
  <w:style w:type="paragraph" w:customStyle="1" w:styleId="WW-Default">
    <w:name w:val="WW-Default"/>
    <w:rsid w:val="00E8084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E80848"/>
    <w:pPr>
      <w:numPr>
        <w:numId w:val="3"/>
      </w:numPr>
    </w:pPr>
  </w:style>
  <w:style w:type="paragraph" w:styleId="ListParagraph">
    <w:name w:val="List Paragraph"/>
    <w:aliases w:val="Citation List,본문(내용),List Paragraph (numbered (a)),Akapit z listą BS,Bullet1,Bullets,Dot pt,IBL List Paragraph,List Paragraph 1,List Paragraph nowy,List Paragraph-ExecSummary,List_Paragraph,Multilevel para_II,References,Ha,lista_2,Welt L"/>
    <w:basedOn w:val="Normal"/>
    <w:link w:val="ListParagraphChar"/>
    <w:uiPriority w:val="34"/>
    <w:qFormat/>
    <w:rsid w:val="00E80848"/>
    <w:pPr>
      <w:spacing w:line="480" w:lineRule="auto"/>
      <w:ind w:left="720"/>
      <w:contextualSpacing/>
    </w:pPr>
    <w:rPr>
      <w:rFonts w:eastAsia="Calibri"/>
      <w:sz w:val="20"/>
      <w:szCs w:val="20"/>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E80848"/>
    <w:rPr>
      <w:rFonts w:ascii="Times New Roman" w:eastAsia="Calibri" w:hAnsi="Times New Roman" w:cs="Times New Roman"/>
      <w:sz w:val="20"/>
      <w:szCs w:val="20"/>
      <w:lang w:eastAsia="hr-HR"/>
    </w:rPr>
  </w:style>
  <w:style w:type="paragraph" w:customStyle="1" w:styleId="Heading1a">
    <w:name w:val="Heading 1a"/>
    <w:basedOn w:val="Normal"/>
    <w:next w:val="Normal"/>
    <w:uiPriority w:val="99"/>
    <w:rsid w:val="00E80848"/>
    <w:pPr>
      <w:keepNext/>
      <w:keepLines/>
      <w:numPr>
        <w:numId w:val="4"/>
      </w:numPr>
      <w:spacing w:before="1440" w:after="240"/>
      <w:jc w:val="center"/>
      <w:outlineLvl w:val="0"/>
    </w:pPr>
    <w:rPr>
      <w:b/>
      <w:caps/>
      <w:sz w:val="32"/>
      <w:lang w:val="en-US" w:eastAsia="en-US"/>
    </w:rPr>
  </w:style>
  <w:style w:type="paragraph" w:customStyle="1" w:styleId="MainParanoChapter">
    <w:name w:val="Main Para no Chapter #"/>
    <w:basedOn w:val="Normal"/>
    <w:uiPriority w:val="99"/>
    <w:rsid w:val="00E80848"/>
    <w:pPr>
      <w:numPr>
        <w:ilvl w:val="1"/>
        <w:numId w:val="4"/>
      </w:numPr>
      <w:spacing w:after="240"/>
      <w:outlineLvl w:val="1"/>
    </w:pPr>
    <w:rPr>
      <w:lang w:val="en-US" w:eastAsia="en-US"/>
    </w:rPr>
  </w:style>
  <w:style w:type="paragraph" w:customStyle="1" w:styleId="Sub-Para2underX">
    <w:name w:val="Sub-Para 2 under X."/>
    <w:basedOn w:val="Normal"/>
    <w:uiPriority w:val="99"/>
    <w:rsid w:val="00E80848"/>
    <w:pPr>
      <w:tabs>
        <w:tab w:val="num" w:pos="1800"/>
      </w:tabs>
      <w:spacing w:after="240"/>
      <w:ind w:left="1080" w:hanging="360"/>
      <w:outlineLvl w:val="3"/>
    </w:pPr>
    <w:rPr>
      <w:lang w:val="en-US" w:eastAsia="en-US"/>
    </w:rPr>
  </w:style>
  <w:style w:type="paragraph" w:customStyle="1" w:styleId="Sub-Para3underX">
    <w:name w:val="Sub-Para 3 under X."/>
    <w:basedOn w:val="Normal"/>
    <w:uiPriority w:val="99"/>
    <w:rsid w:val="00E80848"/>
    <w:pPr>
      <w:tabs>
        <w:tab w:val="num" w:pos="1440"/>
      </w:tabs>
      <w:spacing w:after="240"/>
      <w:ind w:left="1440" w:hanging="360"/>
      <w:outlineLvl w:val="4"/>
    </w:pPr>
    <w:rPr>
      <w:lang w:val="en-US" w:eastAsia="en-US"/>
    </w:rPr>
  </w:style>
  <w:style w:type="paragraph" w:customStyle="1" w:styleId="Sub-Para4underX">
    <w:name w:val="Sub-Para 4 under X."/>
    <w:basedOn w:val="Normal"/>
    <w:uiPriority w:val="99"/>
    <w:rsid w:val="00E80848"/>
    <w:pPr>
      <w:tabs>
        <w:tab w:val="num" w:pos="2160"/>
      </w:tabs>
      <w:spacing w:after="240"/>
      <w:ind w:left="1800" w:hanging="360"/>
      <w:outlineLvl w:val="5"/>
    </w:pPr>
    <w:rPr>
      <w:lang w:val="en-US" w:eastAsia="en-US"/>
    </w:rPr>
  </w:style>
  <w:style w:type="paragraph" w:customStyle="1" w:styleId="BankNormal">
    <w:name w:val="BankNormal"/>
    <w:basedOn w:val="Normal"/>
    <w:uiPriority w:val="99"/>
    <w:rsid w:val="00E80848"/>
    <w:pPr>
      <w:spacing w:after="240"/>
    </w:pPr>
    <w:rPr>
      <w:szCs w:val="20"/>
      <w:lang w:val="en-US" w:eastAsia="en-US"/>
    </w:rPr>
  </w:style>
  <w:style w:type="table" w:styleId="TableGrid">
    <w:name w:val="Table Grid"/>
    <w:basedOn w:val="TableNormal"/>
    <w:uiPriority w:val="39"/>
    <w:rsid w:val="00E808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848"/>
    <w:pPr>
      <w:spacing w:after="0" w:line="240" w:lineRule="auto"/>
    </w:pPr>
    <w:rPr>
      <w:rFonts w:ascii="Times New Roman" w:eastAsia="Times New Roman" w:hAnsi="Times New Roman" w:cs="Times New Roman"/>
      <w:sz w:val="24"/>
      <w:szCs w:val="20"/>
      <w:lang w:val="en-US"/>
    </w:rPr>
  </w:style>
  <w:style w:type="paragraph" w:customStyle="1" w:styleId="modeldoublenoindent0">
    <w:name w:val="modeldoublenoindent"/>
    <w:basedOn w:val="Normal"/>
    <w:uiPriority w:val="99"/>
    <w:rsid w:val="00E80848"/>
    <w:pPr>
      <w:spacing w:after="360" w:line="480" w:lineRule="auto"/>
      <w:jc w:val="both"/>
    </w:pPr>
    <w:rPr>
      <w:rFonts w:eastAsia="Calibri"/>
      <w:sz w:val="22"/>
      <w:szCs w:val="22"/>
      <w:u w:val="single"/>
    </w:rPr>
  </w:style>
  <w:style w:type="paragraph" w:customStyle="1" w:styleId="modelnrmlsingle0">
    <w:name w:val="modelnrmlsingle"/>
    <w:basedOn w:val="Normal"/>
    <w:uiPriority w:val="99"/>
    <w:rsid w:val="00E80848"/>
    <w:pPr>
      <w:spacing w:after="240"/>
      <w:ind w:firstLine="720"/>
      <w:jc w:val="both"/>
    </w:pPr>
    <w:rPr>
      <w:rFonts w:ascii="Calibri" w:eastAsia="Calibri" w:hAnsi="Calibri"/>
      <w:sz w:val="22"/>
      <w:szCs w:val="22"/>
    </w:rPr>
  </w:style>
  <w:style w:type="character" w:styleId="FollowedHyperlink">
    <w:name w:val="FollowedHyperlink"/>
    <w:basedOn w:val="DefaultParagraphFont"/>
    <w:semiHidden/>
    <w:unhideWhenUsed/>
    <w:rsid w:val="0040791F"/>
    <w:rPr>
      <w:color w:val="954F72" w:themeColor="followedHyperlink"/>
      <w:u w:val="single"/>
    </w:rPr>
  </w:style>
  <w:style w:type="character" w:styleId="PlaceholderText">
    <w:name w:val="Placeholder Text"/>
    <w:basedOn w:val="DefaultParagraphFont"/>
    <w:uiPriority w:val="99"/>
    <w:semiHidden/>
    <w:rsid w:val="0040791F"/>
    <w:rPr>
      <w:color w:val="808080"/>
    </w:rPr>
  </w:style>
  <w:style w:type="character" w:customStyle="1" w:styleId="Style1">
    <w:name w:val="Style1"/>
    <w:basedOn w:val="DefaultParagraphFont"/>
    <w:uiPriority w:val="1"/>
    <w:rsid w:val="0040791F"/>
    <w:rPr>
      <w:color w:val="FFFFFF" w:themeColor="background1"/>
    </w:rPr>
  </w:style>
  <w:style w:type="paragraph" w:customStyle="1" w:styleId="BVIfnrCarCarCarCar">
    <w:name w:val="BVI fnr Car Car Car Car"/>
    <w:basedOn w:val="Normal"/>
    <w:uiPriority w:val="99"/>
    <w:rsid w:val="0040791F"/>
    <w:pPr>
      <w:spacing w:after="160" w:line="240" w:lineRule="exact"/>
      <w:jc w:val="both"/>
    </w:pPr>
    <w:rPr>
      <w:sz w:val="20"/>
      <w:szCs w:val="20"/>
      <w:vertAlign w:val="superscript"/>
      <w:lang w:val="en-US" w:eastAsia="en-US"/>
    </w:rPr>
  </w:style>
  <w:style w:type="paragraph" w:styleId="NoSpacing">
    <w:name w:val="No Spacing"/>
    <w:uiPriority w:val="1"/>
    <w:qFormat/>
    <w:rsid w:val="00E9736D"/>
    <w:pPr>
      <w:spacing w:after="0"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33562"/>
  </w:style>
  <w:style w:type="character" w:customStyle="1" w:styleId="eop">
    <w:name w:val="eop"/>
    <w:basedOn w:val="DefaultParagraphFont"/>
    <w:rsid w:val="00033562"/>
  </w:style>
  <w:style w:type="character" w:customStyle="1" w:styleId="Heading9Char">
    <w:name w:val="Heading 9 Char"/>
    <w:basedOn w:val="DefaultParagraphFont"/>
    <w:link w:val="Heading9"/>
    <w:uiPriority w:val="9"/>
    <w:semiHidden/>
    <w:rsid w:val="00192A93"/>
    <w:rPr>
      <w:rFonts w:asciiTheme="majorHAnsi" w:eastAsiaTheme="majorEastAsia" w:hAnsiTheme="majorHAnsi" w:cstheme="majorBidi"/>
      <w:i/>
      <w:iCs/>
      <w:color w:val="272727" w:themeColor="text1" w:themeTint="D8"/>
      <w:sz w:val="21"/>
      <w:szCs w:val="21"/>
    </w:rPr>
  </w:style>
  <w:style w:type="paragraph" w:customStyle="1" w:styleId="NumListi">
    <w:name w:val="Num List (i)"/>
    <w:basedOn w:val="ListParagraph"/>
    <w:rsid w:val="00192A93"/>
    <w:pPr>
      <w:numPr>
        <w:numId w:val="7"/>
      </w:numPr>
      <w:autoSpaceDE w:val="0"/>
      <w:autoSpaceDN w:val="0"/>
      <w:adjustRightInd w:val="0"/>
      <w:snapToGrid w:val="0"/>
      <w:spacing w:line="240" w:lineRule="auto"/>
      <w:ind w:left="1134" w:right="49" w:hanging="567"/>
      <w:jc w:val="both"/>
    </w:pPr>
    <w:rPr>
      <w:rFonts w:asciiTheme="minorHAnsi" w:hAnsiTheme="minorHAnsi" w:cstheme="minorBidi"/>
      <w:sz w:val="22"/>
      <w:szCs w:val="22"/>
      <w:lang w:val="en-AU" w:eastAsia="en-US"/>
    </w:rPr>
  </w:style>
  <w:style w:type="paragraph" w:customStyle="1" w:styleId="NumLista">
    <w:name w:val="Num List (a)"/>
    <w:basedOn w:val="ListParagraph"/>
    <w:rsid w:val="00192A93"/>
    <w:pPr>
      <w:numPr>
        <w:numId w:val="6"/>
      </w:numPr>
      <w:autoSpaceDE w:val="0"/>
      <w:autoSpaceDN w:val="0"/>
      <w:adjustRightInd w:val="0"/>
      <w:snapToGrid w:val="0"/>
      <w:spacing w:line="240" w:lineRule="auto"/>
      <w:ind w:left="567" w:right="49" w:hanging="567"/>
      <w:jc w:val="both"/>
    </w:pPr>
    <w:rPr>
      <w:rFonts w:asciiTheme="minorHAnsi" w:hAnsiTheme="minorHAnsi" w:cstheme="minorBidi"/>
      <w:sz w:val="22"/>
      <w:szCs w:val="22"/>
      <w:lang w:val="en-AU" w:eastAsia="en-US"/>
    </w:rPr>
  </w:style>
  <w:style w:type="paragraph" w:styleId="TOC3">
    <w:name w:val="toc 3"/>
    <w:basedOn w:val="Normal"/>
    <w:next w:val="Normal"/>
    <w:autoRedefine/>
    <w:uiPriority w:val="39"/>
    <w:unhideWhenUsed/>
    <w:rsid w:val="00192A93"/>
    <w:pPr>
      <w:ind w:left="440"/>
    </w:pPr>
    <w:rPr>
      <w:rFonts w:asciiTheme="minorHAnsi" w:eastAsiaTheme="minorHAnsi" w:hAnsiTheme="minorHAnsi" w:cstheme="minorBidi"/>
      <w:i/>
      <w:iCs/>
      <w:sz w:val="20"/>
      <w:szCs w:val="20"/>
      <w:lang w:eastAsia="en-US"/>
    </w:rPr>
  </w:style>
  <w:style w:type="paragraph" w:styleId="TOC4">
    <w:name w:val="toc 4"/>
    <w:basedOn w:val="Normal"/>
    <w:next w:val="Normal"/>
    <w:autoRedefine/>
    <w:uiPriority w:val="39"/>
    <w:unhideWhenUsed/>
    <w:rsid w:val="00192A93"/>
    <w:pPr>
      <w:ind w:left="660"/>
    </w:pPr>
    <w:rPr>
      <w:rFonts w:asciiTheme="minorHAnsi" w:eastAsiaTheme="minorHAnsi" w:hAnsiTheme="minorHAnsi" w:cstheme="minorBidi"/>
      <w:sz w:val="18"/>
      <w:szCs w:val="18"/>
      <w:lang w:eastAsia="en-US"/>
    </w:rPr>
  </w:style>
  <w:style w:type="paragraph" w:styleId="TOC5">
    <w:name w:val="toc 5"/>
    <w:basedOn w:val="Normal"/>
    <w:next w:val="Normal"/>
    <w:autoRedefine/>
    <w:uiPriority w:val="39"/>
    <w:unhideWhenUsed/>
    <w:rsid w:val="00192A93"/>
    <w:pPr>
      <w:ind w:left="880"/>
    </w:pPr>
    <w:rPr>
      <w:rFonts w:asciiTheme="minorHAnsi" w:eastAsiaTheme="minorHAnsi" w:hAnsiTheme="minorHAnsi" w:cstheme="minorBidi"/>
      <w:sz w:val="18"/>
      <w:szCs w:val="18"/>
      <w:lang w:eastAsia="en-US"/>
    </w:rPr>
  </w:style>
  <w:style w:type="paragraph" w:styleId="TOC6">
    <w:name w:val="toc 6"/>
    <w:basedOn w:val="Normal"/>
    <w:next w:val="Normal"/>
    <w:autoRedefine/>
    <w:uiPriority w:val="39"/>
    <w:unhideWhenUsed/>
    <w:rsid w:val="00192A93"/>
    <w:pPr>
      <w:ind w:left="1100"/>
    </w:pPr>
    <w:rPr>
      <w:rFonts w:asciiTheme="minorHAnsi" w:eastAsiaTheme="minorHAnsi" w:hAnsiTheme="minorHAnsi" w:cstheme="minorBidi"/>
      <w:sz w:val="18"/>
      <w:szCs w:val="18"/>
      <w:lang w:eastAsia="en-US"/>
    </w:rPr>
  </w:style>
  <w:style w:type="paragraph" w:styleId="TOC7">
    <w:name w:val="toc 7"/>
    <w:basedOn w:val="Normal"/>
    <w:next w:val="Normal"/>
    <w:autoRedefine/>
    <w:uiPriority w:val="39"/>
    <w:unhideWhenUsed/>
    <w:rsid w:val="00192A93"/>
    <w:pPr>
      <w:ind w:left="1320"/>
    </w:pPr>
    <w:rPr>
      <w:rFonts w:asciiTheme="minorHAnsi" w:eastAsiaTheme="minorHAnsi" w:hAnsiTheme="minorHAnsi" w:cstheme="minorBidi"/>
      <w:sz w:val="18"/>
      <w:szCs w:val="18"/>
      <w:lang w:eastAsia="en-US"/>
    </w:rPr>
  </w:style>
  <w:style w:type="paragraph" w:styleId="TOC8">
    <w:name w:val="toc 8"/>
    <w:basedOn w:val="Normal"/>
    <w:next w:val="Normal"/>
    <w:autoRedefine/>
    <w:uiPriority w:val="39"/>
    <w:unhideWhenUsed/>
    <w:rsid w:val="00192A93"/>
    <w:pPr>
      <w:ind w:left="1540"/>
    </w:pPr>
    <w:rPr>
      <w:rFonts w:asciiTheme="minorHAnsi" w:eastAsiaTheme="minorHAnsi" w:hAnsiTheme="minorHAnsi" w:cstheme="minorBidi"/>
      <w:sz w:val="18"/>
      <w:szCs w:val="18"/>
      <w:lang w:eastAsia="en-US"/>
    </w:rPr>
  </w:style>
  <w:style w:type="paragraph" w:styleId="TOC9">
    <w:name w:val="toc 9"/>
    <w:basedOn w:val="Normal"/>
    <w:next w:val="Normal"/>
    <w:autoRedefine/>
    <w:uiPriority w:val="39"/>
    <w:unhideWhenUsed/>
    <w:rsid w:val="00192A93"/>
    <w:pPr>
      <w:ind w:left="1760"/>
    </w:pPr>
    <w:rPr>
      <w:rFonts w:asciiTheme="minorHAnsi" w:eastAsiaTheme="minorHAnsi" w:hAnsiTheme="minorHAnsi" w:cstheme="minorBidi"/>
      <w:sz w:val="18"/>
      <w:szCs w:val="18"/>
      <w:lang w:eastAsia="en-US"/>
    </w:rPr>
  </w:style>
  <w:style w:type="paragraph" w:customStyle="1" w:styleId="NumbParagraphe">
    <w:name w:val="Numb Paragraphe"/>
    <w:basedOn w:val="ListParagraph"/>
    <w:qFormat/>
    <w:rsid w:val="00192A93"/>
    <w:pPr>
      <w:numPr>
        <w:numId w:val="8"/>
      </w:numPr>
      <w:autoSpaceDE w:val="0"/>
      <w:autoSpaceDN w:val="0"/>
      <w:adjustRightInd w:val="0"/>
      <w:snapToGrid w:val="0"/>
      <w:spacing w:line="240" w:lineRule="auto"/>
      <w:ind w:right="49"/>
      <w:jc w:val="both"/>
    </w:pPr>
    <w:rPr>
      <w:rFonts w:asciiTheme="minorHAnsi" w:hAnsiTheme="minorHAnsi" w:cstheme="minorBidi"/>
      <w:sz w:val="22"/>
      <w:szCs w:val="22"/>
      <w:lang w:val="en-US" w:eastAsia="en-US"/>
    </w:rPr>
  </w:style>
  <w:style w:type="paragraph" w:customStyle="1" w:styleId="Annexe">
    <w:name w:val="Annexe"/>
    <w:basedOn w:val="Heading1"/>
    <w:next w:val="Normal"/>
    <w:qFormat/>
    <w:rsid w:val="00192A93"/>
    <w:pPr>
      <w:keepLines/>
      <w:numPr>
        <w:ilvl w:val="1"/>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120" w:after="120"/>
    </w:pPr>
    <w:rPr>
      <w:rFonts w:ascii="Calibri" w:eastAsiaTheme="majorEastAsia" w:hAnsi="Calibri" w:cstheme="majorBidi"/>
      <w:caps w:val="0"/>
      <w:sz w:val="22"/>
      <w:szCs w:val="22"/>
      <w:lang w:val="en-US" w:eastAsia="en-US"/>
    </w:rPr>
  </w:style>
  <w:style w:type="paragraph" w:customStyle="1" w:styleId="Style3">
    <w:name w:val="Style3"/>
    <w:basedOn w:val="Normal"/>
    <w:link w:val="Style3Car"/>
    <w:qFormat/>
    <w:rsid w:val="00192A93"/>
    <w:pPr>
      <w:numPr>
        <w:numId w:val="9"/>
      </w:numPr>
      <w:spacing w:before="240" w:line="260" w:lineRule="atLeast"/>
      <w:jc w:val="both"/>
      <w:outlineLvl w:val="2"/>
    </w:pPr>
    <w:rPr>
      <w:rFonts w:ascii="Calibri" w:eastAsia="SimSun" w:hAnsi="Calibri"/>
      <w:sz w:val="22"/>
      <w:szCs w:val="22"/>
      <w:lang w:val="en-GB" w:eastAsia="x-none"/>
    </w:rPr>
  </w:style>
  <w:style w:type="character" w:customStyle="1" w:styleId="Style3Car">
    <w:name w:val="Style3 Car"/>
    <w:link w:val="Style3"/>
    <w:rsid w:val="00192A93"/>
    <w:rPr>
      <w:rFonts w:ascii="Calibri" w:eastAsia="SimSun" w:hAnsi="Calibri" w:cs="Times New Roman"/>
      <w:lang w:val="en-GB" w:eastAsia="x-none"/>
    </w:rPr>
  </w:style>
  <w:style w:type="paragraph" w:customStyle="1" w:styleId="Style4">
    <w:name w:val="Style4"/>
    <w:basedOn w:val="Normal"/>
    <w:link w:val="Style4Car"/>
    <w:qFormat/>
    <w:rsid w:val="00192A93"/>
    <w:pPr>
      <w:numPr>
        <w:ilvl w:val="2"/>
        <w:numId w:val="10"/>
      </w:numPr>
      <w:spacing w:before="240" w:line="260" w:lineRule="atLeast"/>
      <w:jc w:val="both"/>
      <w:outlineLvl w:val="2"/>
    </w:pPr>
    <w:rPr>
      <w:rFonts w:ascii="Calibri" w:eastAsia="SimSun" w:hAnsi="Calibri"/>
      <w:sz w:val="22"/>
      <w:szCs w:val="22"/>
      <w:lang w:val="en-GB" w:eastAsia="x-none"/>
    </w:rPr>
  </w:style>
  <w:style w:type="character" w:customStyle="1" w:styleId="Style4Car">
    <w:name w:val="Style4 Car"/>
    <w:link w:val="Style4"/>
    <w:rsid w:val="00192A93"/>
    <w:rPr>
      <w:rFonts w:ascii="Calibri" w:eastAsia="SimSun" w:hAnsi="Calibri" w:cs="Times New Roman"/>
      <w:lang w:val="en-GB" w:eastAsia="x-none"/>
    </w:rPr>
  </w:style>
  <w:style w:type="paragraph" w:customStyle="1" w:styleId="t-9-8">
    <w:name w:val="t-9-8"/>
    <w:basedOn w:val="Normal"/>
    <w:rsid w:val="00192A93"/>
    <w:pPr>
      <w:spacing w:before="100" w:beforeAutospacing="1" w:after="225"/>
    </w:pPr>
    <w:rPr>
      <w:lang w:val="en-GB" w:eastAsia="en-GB"/>
    </w:rPr>
  </w:style>
  <w:style w:type="character" w:customStyle="1" w:styleId="kurziv">
    <w:name w:val="kurziv"/>
    <w:basedOn w:val="DefaultParagraphFont"/>
    <w:rsid w:val="00192A93"/>
  </w:style>
  <w:style w:type="paragraph" w:customStyle="1" w:styleId="t-10-9-kurz-s">
    <w:name w:val="t-10-9-kurz-s"/>
    <w:basedOn w:val="Normal"/>
    <w:rsid w:val="00192A93"/>
    <w:pPr>
      <w:spacing w:before="100" w:beforeAutospacing="1" w:after="225"/>
    </w:pPr>
    <w:rPr>
      <w:lang w:val="en-GB" w:eastAsia="en-GB"/>
    </w:rPr>
  </w:style>
  <w:style w:type="paragraph" w:customStyle="1" w:styleId="t-10-9-sred">
    <w:name w:val="t-10-9-sred"/>
    <w:basedOn w:val="Normal"/>
    <w:rsid w:val="00192A93"/>
    <w:pPr>
      <w:spacing w:before="100" w:beforeAutospacing="1" w:after="225"/>
    </w:pPr>
    <w:rPr>
      <w:lang w:val="en-GB" w:eastAsia="en-GB"/>
    </w:rPr>
  </w:style>
  <w:style w:type="character" w:customStyle="1" w:styleId="bold">
    <w:name w:val="bold"/>
    <w:basedOn w:val="DefaultParagraphFont"/>
    <w:rsid w:val="00192A93"/>
  </w:style>
  <w:style w:type="paragraph" w:customStyle="1" w:styleId="prilog">
    <w:name w:val="prilog"/>
    <w:basedOn w:val="Normal"/>
    <w:rsid w:val="00192A93"/>
    <w:pPr>
      <w:spacing w:before="100" w:beforeAutospacing="1" w:after="225"/>
    </w:pPr>
    <w:rPr>
      <w:lang w:val="en-GB" w:eastAsia="en-GB"/>
    </w:rPr>
  </w:style>
  <w:style w:type="paragraph" w:customStyle="1" w:styleId="t-11-9-sred">
    <w:name w:val="t-11-9-sred"/>
    <w:basedOn w:val="Normal"/>
    <w:rsid w:val="00192A93"/>
    <w:pPr>
      <w:spacing w:before="100" w:beforeAutospacing="1" w:after="225"/>
    </w:pPr>
    <w:rPr>
      <w:lang w:val="en-GB" w:eastAsia="en-GB"/>
    </w:rPr>
  </w:style>
  <w:style w:type="paragraph" w:customStyle="1" w:styleId="t-9-8-bez-uvl">
    <w:name w:val="t-9-8-bez-uvl"/>
    <w:basedOn w:val="Normal"/>
    <w:rsid w:val="00192A93"/>
    <w:pPr>
      <w:spacing w:before="100" w:beforeAutospacing="1" w:after="22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270">
      <w:bodyDiv w:val="1"/>
      <w:marLeft w:val="0"/>
      <w:marRight w:val="0"/>
      <w:marTop w:val="0"/>
      <w:marBottom w:val="0"/>
      <w:divBdr>
        <w:top w:val="none" w:sz="0" w:space="0" w:color="auto"/>
        <w:left w:val="none" w:sz="0" w:space="0" w:color="auto"/>
        <w:bottom w:val="none" w:sz="0" w:space="0" w:color="auto"/>
        <w:right w:val="none" w:sz="0" w:space="0" w:color="auto"/>
      </w:divBdr>
    </w:div>
    <w:div w:id="7247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oebank.org/en/about/member-countries/"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EA5F-AB8C-4703-A99D-E54481E2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20141</Words>
  <Characters>114806</Characters>
  <Application>Microsoft Office Word</Application>
  <DocSecurity>0</DocSecurity>
  <Lines>956</Lines>
  <Paragraphs>269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Zemljić</dc:creator>
  <cp:lastModifiedBy>Martina Krajačić</cp:lastModifiedBy>
  <cp:revision>4</cp:revision>
  <cp:lastPrinted>2020-07-22T07:45:00Z</cp:lastPrinted>
  <dcterms:created xsi:type="dcterms:W3CDTF">2020-07-22T10:27:00Z</dcterms:created>
  <dcterms:modified xsi:type="dcterms:W3CDTF">2020-07-23T11:43:00Z</dcterms:modified>
</cp:coreProperties>
</file>