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8425EF" wp14:editId="17B03FC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8D3D03" w:rsidRPr="008D3D03" w:rsidRDefault="008D3D03" w:rsidP="008D3D0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8D3D03" w:rsidRPr="008D3D03" w:rsidRDefault="008D3D03" w:rsidP="008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pnja 2020.</w:t>
      </w: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PREDLAGATELJ: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mora, prometa i infrastrukture</w:t>
      </w: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:rsidR="008D3D03" w:rsidRPr="008D3D03" w:rsidRDefault="008D3D03" w:rsidP="008D3D03">
      <w:pPr>
        <w:ind w:left="2124" w:hanging="20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3D03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Prijedlog odluke o koncesiji u svrhu gospodarskog korištenja pomorskog dobra radi obavljanja djelatnosti uzgoja školjaka u Novigradskom moru</w:t>
      </w: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:rsidR="008D3D03" w:rsidRPr="008D3D03" w:rsidRDefault="008D3D03" w:rsidP="008D3D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8D3D03" w:rsidRPr="008D3D03" w:rsidRDefault="008D3D03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DE24A8" w:rsidP="008D3D03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3., a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vezi s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17. stavkom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pom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orskom dobru i morskim lukama (Narodne novine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158/03, 100/04, 141/06, 38/09, 123/11 – Odluka Us</w:t>
      </w:r>
      <w:r w:rsidR="00C83181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tavnog suda Republike Hrvatske,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56/16</w:t>
      </w:r>
      <w:r w:rsidR="00C83181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) te u vezi s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36. 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koncesijama (Narodne novine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broj: 69/17), Vlada Republike Hrvatske je na sjed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nici održanoj _____________ 2020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:rsidR="00BC5075" w:rsidRPr="008D3D03" w:rsidRDefault="00BC5075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CF4FAE"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8D3D03" w:rsidRDefault="008D3D03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koncesiji u svrhu gospodarskog korištenja pomorskog dobra radi obavljanja djelatnosti uzgoja školjaka u Novigradskom moru</w:t>
      </w:r>
    </w:p>
    <w:p w:rsidR="003E65C0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D03" w:rsidRPr="008D3D03" w:rsidRDefault="008D3D03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Obavijesti o namjeri davanja koncesije u svrhu gospodarskog korištenja pomorskog dobra radi obavljanja djelatnosti uzgoja</w:t>
      </w:r>
      <w:r w:rsidR="00BC5075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 u Novigradskom moru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objavljenoj u Elektroničkom oglasniku javne nabave (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objave: 2020/S 01K-0007475) od 21. veljače 2020. 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ponude pristigle na Javno otvaranje ponuda </w:t>
      </w:r>
      <w:r w:rsidR="00BC5075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koncesije, održano 2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7. ožujka 2020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 u prostorijama Ministarstva mora, prometa i infrastrukture, te Nalaza i mišljenja Stručnog tijela za ocjenu ponuda za koncesije na pomorskom dobru, osnovanog i imenovanog Odl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ukom Vlade Republike Hrvatske (Narodne novine, br.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44/16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95/19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(u daljnjem tekstu: Davatelj koncesije) daje trgovačkom društvu 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BIVALVIA MARIS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iz Zadra OIB: 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63124034278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Ovlaštenik koncesije), ovla</w:t>
      </w:r>
      <w:r w:rsidR="00B338ED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štenje za gospodarsko korištenje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pomorskog dobra radi obavljanja djelatnosti uzgoja </w:t>
      </w:r>
      <w:r w:rsidR="00CF4FAE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 u Novigradskom moru.</w:t>
      </w:r>
    </w:p>
    <w:p w:rsidR="003E65C0" w:rsidRPr="008D3D03" w:rsidRDefault="003E65C0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Područje pomorskog dobra koje se daje u koncesiju, u svrhu gospodarskog korištenja radi obavljanja djelatnosti uzgoja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 u Novigradskom moru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omeđeno je poligonom određenim koordinatnim točkama izraženim u HTRS96 projekciji, kako slijedi:</w:t>
      </w:r>
    </w:p>
    <w:p w:rsidR="009928D6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559"/>
        <w:gridCol w:w="1701"/>
      </w:tblGrid>
      <w:tr w:rsidR="009928D6" w:rsidRPr="008D3D03" w:rsidTr="00BF18EA"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Točka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 </w:t>
            </w:r>
          </w:p>
        </w:tc>
      </w:tr>
      <w:tr w:rsidR="009928D6" w:rsidRPr="008D3D03" w:rsidTr="00BF18E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425098.690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4896483.173</w:t>
            </w:r>
          </w:p>
        </w:tc>
      </w:tr>
      <w:tr w:rsidR="009928D6" w:rsidRPr="008D3D03" w:rsidTr="00BF18E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59" w:type="dxa"/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425189.306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4896661.467</w:t>
            </w:r>
          </w:p>
        </w:tc>
      </w:tr>
      <w:tr w:rsidR="009928D6" w:rsidRPr="008D3D03" w:rsidTr="00BF18E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59" w:type="dxa"/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425724.188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4896389.619</w:t>
            </w:r>
          </w:p>
        </w:tc>
      </w:tr>
      <w:tr w:rsidR="009928D6" w:rsidRPr="008D3D03" w:rsidTr="00BF18EA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28D6" w:rsidRPr="008D3D03" w:rsidRDefault="009928D6" w:rsidP="008D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425633.572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28D6" w:rsidRPr="008D3D03" w:rsidRDefault="009928D6" w:rsidP="008D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D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4896211.325</w:t>
            </w:r>
          </w:p>
        </w:tc>
      </w:tr>
    </w:tbl>
    <w:p w:rsidR="009928D6" w:rsidRPr="008D3D03" w:rsidRDefault="009928D6" w:rsidP="008D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8D6" w:rsidRPr="00FA60C1" w:rsidRDefault="009928D6" w:rsidP="008D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III.</w:t>
      </w:r>
    </w:p>
    <w:p w:rsidR="009928D6" w:rsidRPr="008D3D03" w:rsidRDefault="009928D6" w:rsidP="008D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4A8" w:rsidRPr="008D3D03" w:rsidRDefault="009928D6" w:rsidP="00FA60C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Površina pomorskog dobra, morskog </w:t>
      </w:r>
      <w:proofErr w:type="spellStart"/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akvatorija</w:t>
      </w:r>
      <w:proofErr w:type="spellEnd"/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 se daje u ko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ncesiju ukupno iznosi 120.000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Pr="008D3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 prema grafičkoj podlozi koja čini Prilog 1. ove 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i ne objavljuje se u Narodnim novinama</w:t>
      </w:r>
      <w:r w:rsidR="00DE24A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 koncesije daje na gospodarsko korištenje pomorsko dobro navedeno u točki II. ove Odluke Ovlašteniku koncesije, na vremensko razdoblje od 20 godina, računajući od dana sklapanja ugovora o koncesiji pomorskog dobra iz točke VIII. ove Odluke.</w:t>
      </w:r>
    </w:p>
    <w:p w:rsidR="002500A8" w:rsidRPr="008D3D03" w:rsidRDefault="002500A8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Koncesija na pomorskom dobru iz točke II. ove Odluke daje se u svrhu gospodarskog korištenja radi obavljanja djelatnosti uzgoja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</w:t>
      </w:r>
      <w:r w:rsidR="002500A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u Novigradskom moru</w:t>
      </w:r>
      <w:r w:rsidR="002500A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0A8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Dozvoljena godišnja količina uzgoja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koju je Ovlaštenik koncesije ovlaš</w:t>
      </w:r>
      <w:r w:rsidR="00F951C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ten uzgajati ukupno iznosi 4</w:t>
      </w:r>
      <w:r w:rsidR="002500A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00 tona godišnje.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0A8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ovlašten je i dužan u roku od jedne godine od zaključenja ugovora o koncesiji iz točke VIII. ove Odluke postaviti uzgajalište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u Novigradskom moru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Lokacijskoj dozvoli izdanoj od</w:t>
      </w:r>
      <w:r w:rsidR="008C32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grad</w:t>
      </w:r>
      <w:r w:rsidR="00335A9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iteljstva i prostornog uređenja, Uprave za dozvole državnog značaja, Sektor lokaci</w:t>
      </w:r>
      <w:r w:rsidR="00F951C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jskih dozvola i investicija od 28. studenog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</w:t>
      </w:r>
      <w:r w:rsidR="00F951C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klase</w:t>
      </w:r>
      <w:r w:rsidR="00F951C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: UP/I-350-05/17-01/000150</w:t>
      </w:r>
      <w:r w:rsidR="00335A9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FA60C1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335A9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: 531-06-1-2-17-0006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čini Prilog 2. o</w:t>
      </w:r>
      <w:r w:rsidR="00B338ED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 i ne objavljuje se u Narodnim novinama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4EAB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u pomorsko dobro koje se daj</w:t>
      </w:r>
      <w:r w:rsidR="005D29E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koncesiju uložiti sveukupno </w:t>
      </w:r>
      <w:r w:rsidR="005D29E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090.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000,00 kuna</w:t>
      </w:r>
      <w:r w:rsidR="00AF112D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investicijsko ulaganje</w:t>
      </w:r>
      <w:r w:rsidR="00C24EAB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a sve u opsegu i na način opisan u Studiji gospodarske opravdanosti ulaganja, koja čini Prilog 3</w:t>
      </w:r>
      <w:r w:rsidR="00F951C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24EAB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 i ne objavljuje se u Narodnim novinama</w:t>
      </w:r>
      <w:r w:rsidR="00AF112D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500A8" w:rsidRPr="008D3D03" w:rsidRDefault="002500A8" w:rsidP="008D3D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za svaku daljnju izmjenu zahvata u prostoru na pomorskom dobru iz točke II. ove Odluke zatražiti suglasnost Davatelja koncesije, te dozvole sukladno propisima koji uređu</w:t>
      </w:r>
      <w:r w:rsidR="002B1581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ju prostorno uređenje i gradnju.</w:t>
      </w:r>
    </w:p>
    <w:p w:rsidR="00F951C8" w:rsidRPr="008D3D03" w:rsidRDefault="00F951C8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se obvezuje da pomorsko dobro koje ovom Odlukom dobiva na gospodarsko korištenje, koristi isključivo za obavljanje djelatnosti za koje je utvrđena namjena koncesije i koje su navedene u Studiji gospodarske opravdanosti ulaganja iz točke V. ove Odluke.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gospodarski koristiti pomorsko dobro iz točke II. ove Odluke sukladno Zakonu o pomorskom dobru i morskim lukama te drugim zakonima i </w:t>
      </w:r>
      <w:proofErr w:type="spellStart"/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aktima iz područja sigurnosti plovidbe i zaštite okoliša, i to na način koji će osigurati zaštitu okoliša.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Ovlaštenik koncesije ne može prava stečena koncesijom, niti djelomično, niti u cijelosti prenositi na drugoga, bez izričitog odobrenja Davatelja koncesije.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Za gospodarsko korištenje pomorskog dobra navedenog u točki II. ove Odluke, Ovlaštenik koncesije obvezuje se da će uredno plaćati Davatelju koncesije godišnju koncesijsku naknadu.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koju Ovlaštenik koncesije plaća za gospodarsko korištenje pomorskog dobra sastoji se od stalnog i promjenjivog dijela naknade, s tim da:</w:t>
      </w:r>
    </w:p>
    <w:p w:rsidR="00FA60C1" w:rsidRPr="008D3D03" w:rsidRDefault="00FA60C1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F951C8" w:rsidP="00FA60C1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FA60C1">
        <w:rPr>
          <w:sz w:val="24"/>
          <w:szCs w:val="24"/>
        </w:rPr>
        <w:t>stalni dio iznosi 0,2</w:t>
      </w:r>
      <w:r w:rsidR="003E65C0" w:rsidRPr="00FA60C1">
        <w:rPr>
          <w:sz w:val="24"/>
          <w:szCs w:val="24"/>
        </w:rPr>
        <w:t xml:space="preserve">0 kuna po </w:t>
      </w:r>
      <w:r w:rsidRPr="00FA60C1">
        <w:rPr>
          <w:sz w:val="24"/>
          <w:szCs w:val="24"/>
        </w:rPr>
        <w:t>m²</w:t>
      </w:r>
      <w:r w:rsidR="00FA60C1">
        <w:rPr>
          <w:sz w:val="24"/>
          <w:szCs w:val="24"/>
        </w:rPr>
        <w:t xml:space="preserve"> </w:t>
      </w:r>
      <w:r w:rsidR="003E65C0" w:rsidRPr="00FA60C1">
        <w:rPr>
          <w:sz w:val="24"/>
          <w:szCs w:val="24"/>
        </w:rPr>
        <w:t>zauzete ukupne površine pomo</w:t>
      </w:r>
      <w:r w:rsidRPr="00FA60C1">
        <w:rPr>
          <w:sz w:val="24"/>
          <w:szCs w:val="24"/>
        </w:rPr>
        <w:t>rskog dobra godišnje, odnosno 24</w:t>
      </w:r>
      <w:r w:rsidR="005D29E0" w:rsidRPr="00FA60C1">
        <w:rPr>
          <w:sz w:val="24"/>
          <w:szCs w:val="24"/>
        </w:rPr>
        <w:t>.0</w:t>
      </w:r>
      <w:r w:rsidR="003E65C0" w:rsidRPr="00FA60C1">
        <w:rPr>
          <w:sz w:val="24"/>
          <w:szCs w:val="24"/>
        </w:rPr>
        <w:t>00,00 kuna godišnje za pomorsko dobro iz točke II</w:t>
      </w:r>
      <w:r w:rsidR="00AF112D" w:rsidRPr="00FA60C1">
        <w:rPr>
          <w:sz w:val="24"/>
          <w:szCs w:val="24"/>
        </w:rPr>
        <w:t>., plativo u jednom obroku</w:t>
      </w:r>
      <w:r w:rsidRPr="00FA60C1">
        <w:rPr>
          <w:sz w:val="24"/>
          <w:szCs w:val="24"/>
        </w:rPr>
        <w:t>, s time da će se iznos stalnog dijela povećavati svakih 5 godina za 0,20 kuna po m² zauzetog pomorskog dobra</w:t>
      </w:r>
    </w:p>
    <w:p w:rsidR="00FA60C1" w:rsidRPr="00FA60C1" w:rsidRDefault="00FA60C1" w:rsidP="00FA60C1">
      <w:pPr>
        <w:pStyle w:val="ListParagraph"/>
        <w:spacing w:after="0" w:line="240" w:lineRule="auto"/>
        <w:ind w:left="1413"/>
        <w:jc w:val="both"/>
        <w:textAlignment w:val="baseline"/>
        <w:rPr>
          <w:sz w:val="24"/>
          <w:szCs w:val="24"/>
        </w:rPr>
      </w:pPr>
    </w:p>
    <w:p w:rsidR="00EC04D2" w:rsidRPr="008D3D03" w:rsidRDefault="00F951C8" w:rsidP="00FA60C1">
      <w:pPr>
        <w:spacing w:after="0" w:line="240" w:lineRule="auto"/>
        <w:ind w:left="1413" w:hanging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promjenjivi dio iznosi 0,2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ukupnog godišnjeg prihoda ostvarenog na </w:t>
      </w:r>
      <w:proofErr w:type="spellStart"/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koncesioniranom</w:t>
      </w:r>
      <w:proofErr w:type="spellEnd"/>
      <w:r w:rsidR="003E65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pomorskom dobru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s time da će se promjenjivi dio koncesijske naknade povećavati svakih 5 godina za 0,10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prihoda ostvarenog na </w:t>
      </w:r>
      <w:proofErr w:type="spellStart"/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koncesioniranom</w:t>
      </w:r>
      <w:proofErr w:type="spellEnd"/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području.</w:t>
      </w:r>
    </w:p>
    <w:p w:rsidR="00EC04D2" w:rsidRPr="008D3D03" w:rsidRDefault="00EC04D2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Default="003E65C0" w:rsidP="00FA60C1">
      <w:pPr>
        <w:spacing w:after="0" w:line="240" w:lineRule="auto"/>
        <w:ind w:left="70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koncesijska naknada plaća se na sljedeći način:</w:t>
      </w:r>
    </w:p>
    <w:p w:rsidR="00FA60C1" w:rsidRPr="008D3D03" w:rsidRDefault="00FA60C1" w:rsidP="00FA60C1">
      <w:pPr>
        <w:spacing w:after="0" w:line="240" w:lineRule="auto"/>
        <w:ind w:left="70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Default="003E65C0" w:rsidP="00FA60C1">
      <w:pPr>
        <w:pStyle w:val="ListParagraph"/>
        <w:numPr>
          <w:ilvl w:val="0"/>
          <w:numId w:val="3"/>
        </w:numPr>
        <w:spacing w:after="0" w:line="240" w:lineRule="auto"/>
        <w:ind w:left="1418" w:hanging="992"/>
        <w:jc w:val="both"/>
        <w:textAlignment w:val="baseline"/>
        <w:rPr>
          <w:sz w:val="24"/>
          <w:szCs w:val="24"/>
        </w:rPr>
      </w:pPr>
      <w:r w:rsidRPr="00FA60C1">
        <w:rPr>
          <w:sz w:val="24"/>
          <w:szCs w:val="24"/>
        </w:rPr>
        <w:t>Stalni dio naknade plaća se unaprijed za tekuću godinu, najkasnije do 1. ožujka:</w:t>
      </w:r>
    </w:p>
    <w:p w:rsidR="00FA60C1" w:rsidRPr="00FA60C1" w:rsidRDefault="00FA60C1" w:rsidP="00FA60C1">
      <w:pPr>
        <w:pStyle w:val="ListParagraph"/>
        <w:spacing w:after="0" w:line="240" w:lineRule="auto"/>
        <w:ind w:left="1418"/>
        <w:jc w:val="both"/>
        <w:textAlignment w:val="baseline"/>
        <w:rPr>
          <w:sz w:val="24"/>
          <w:szCs w:val="24"/>
        </w:rPr>
      </w:pPr>
    </w:p>
    <w:p w:rsidR="003E65C0" w:rsidRPr="008D3D03" w:rsidRDefault="003E65C0" w:rsidP="00FA60C1">
      <w:pPr>
        <w:spacing w:after="0" w:line="240" w:lineRule="auto"/>
        <w:ind w:left="1413" w:hanging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za godinu u kojoj je dana koncesija i za godinu u kojoj koncesija istječe, naknada se plaća razmjerno mjesecima korištenja</w:t>
      </w:r>
    </w:p>
    <w:p w:rsidR="003E65C0" w:rsidRDefault="003E65C0" w:rsidP="00FA60C1">
      <w:pPr>
        <w:spacing w:after="0" w:line="240" w:lineRule="auto"/>
        <w:ind w:left="1413" w:hanging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za početnu godinu koncesijskog perioda naknada se plaća u roku od 45 dana od dana sklapanja ugovora o koncesiji.</w:t>
      </w:r>
    </w:p>
    <w:p w:rsidR="00FA60C1" w:rsidRPr="008D3D03" w:rsidRDefault="00FA60C1" w:rsidP="00FA60C1">
      <w:pPr>
        <w:spacing w:after="0" w:line="240" w:lineRule="auto"/>
        <w:ind w:left="1413" w:hanging="10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FA60C1">
      <w:pPr>
        <w:pStyle w:val="ListParagraph"/>
        <w:numPr>
          <w:ilvl w:val="0"/>
          <w:numId w:val="3"/>
        </w:numPr>
        <w:spacing w:after="0" w:line="240" w:lineRule="auto"/>
        <w:ind w:left="1418" w:hanging="992"/>
        <w:jc w:val="both"/>
        <w:textAlignment w:val="baseline"/>
        <w:rPr>
          <w:sz w:val="24"/>
          <w:szCs w:val="24"/>
        </w:rPr>
      </w:pPr>
      <w:r w:rsidRPr="00FA60C1">
        <w:rPr>
          <w:sz w:val="24"/>
          <w:szCs w:val="24"/>
        </w:rPr>
        <w:t>Promjenjivi dio naknade plaća se unatrag u jednom obroku, i to do 30. travnja tekuće godine za ostvareni ukupni godišnji prihod prethodne godine.</w:t>
      </w:r>
    </w:p>
    <w:p w:rsidR="003E65C0" w:rsidRPr="008D3D03" w:rsidRDefault="003E65C0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4A8" w:rsidRDefault="00DE24A8" w:rsidP="00FA60C1">
      <w:pPr>
        <w:spacing w:after="0" w:line="240" w:lineRule="auto"/>
        <w:ind w:firstLine="1413"/>
        <w:jc w:val="both"/>
        <w:rPr>
          <w:rFonts w:ascii="Times New Roman" w:hAnsi="Times New Roman" w:cs="Times New Roman"/>
          <w:sz w:val="24"/>
          <w:szCs w:val="24"/>
        </w:rPr>
      </w:pPr>
      <w:r w:rsidRPr="008D3D03">
        <w:rPr>
          <w:rFonts w:ascii="Times New Roman" w:hAnsi="Times New Roman" w:cs="Times New Roman"/>
          <w:sz w:val="24"/>
          <w:szCs w:val="24"/>
        </w:rPr>
        <w:t>Promjene naknade za koncesiju (stalnog i promjenjivog dijela) moguće su temeljem:</w:t>
      </w:r>
    </w:p>
    <w:p w:rsidR="00FA60C1" w:rsidRPr="008D3D03" w:rsidRDefault="00FA60C1" w:rsidP="008D3D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24A8" w:rsidRPr="008D3D03" w:rsidRDefault="00DE24A8" w:rsidP="00FA60C1">
      <w:pPr>
        <w:pStyle w:val="ListParagraph"/>
        <w:numPr>
          <w:ilvl w:val="0"/>
          <w:numId w:val="1"/>
        </w:numPr>
        <w:spacing w:after="0" w:line="240" w:lineRule="auto"/>
        <w:ind w:hanging="987"/>
        <w:jc w:val="both"/>
        <w:rPr>
          <w:color w:val="auto"/>
          <w:sz w:val="24"/>
          <w:szCs w:val="24"/>
        </w:rPr>
      </w:pPr>
      <w:proofErr w:type="spellStart"/>
      <w:r w:rsidRPr="008D3D03">
        <w:rPr>
          <w:color w:val="auto"/>
          <w:sz w:val="24"/>
          <w:szCs w:val="24"/>
        </w:rPr>
        <w:t>indeksacije</w:t>
      </w:r>
      <w:proofErr w:type="spellEnd"/>
      <w:r w:rsidRPr="008D3D03">
        <w:rPr>
          <w:color w:val="auto"/>
          <w:sz w:val="24"/>
          <w:szCs w:val="24"/>
        </w:rPr>
        <w:t xml:space="preserve"> vezane uz promjenu tečaja kune i eura u odnosu na fluktuaciju tečaja</w:t>
      </w:r>
    </w:p>
    <w:p w:rsidR="00DE24A8" w:rsidRPr="008D3D03" w:rsidRDefault="00DE24A8" w:rsidP="00FA60C1">
      <w:pPr>
        <w:pStyle w:val="ListParagraph"/>
        <w:numPr>
          <w:ilvl w:val="0"/>
          <w:numId w:val="1"/>
        </w:numPr>
        <w:spacing w:after="0" w:line="240" w:lineRule="auto"/>
        <w:ind w:hanging="987"/>
        <w:jc w:val="both"/>
        <w:rPr>
          <w:color w:val="auto"/>
          <w:sz w:val="24"/>
          <w:szCs w:val="24"/>
        </w:rPr>
      </w:pPr>
      <w:r w:rsidRPr="008D3D03">
        <w:rPr>
          <w:color w:val="auto"/>
          <w:sz w:val="24"/>
          <w:szCs w:val="24"/>
        </w:rPr>
        <w:t>indeksa potrošačkih cijena, odnosno</w:t>
      </w:r>
    </w:p>
    <w:p w:rsidR="00DE24A8" w:rsidRPr="008D3D03" w:rsidRDefault="00DE24A8" w:rsidP="00FA60C1">
      <w:pPr>
        <w:pStyle w:val="ListParagraph"/>
        <w:numPr>
          <w:ilvl w:val="0"/>
          <w:numId w:val="1"/>
        </w:numPr>
        <w:spacing w:after="0" w:line="240" w:lineRule="auto"/>
        <w:ind w:hanging="987"/>
        <w:jc w:val="both"/>
        <w:rPr>
          <w:color w:val="auto"/>
          <w:sz w:val="24"/>
          <w:szCs w:val="24"/>
        </w:rPr>
      </w:pPr>
      <w:r w:rsidRPr="008D3D03">
        <w:rPr>
          <w:color w:val="auto"/>
          <w:sz w:val="24"/>
          <w:szCs w:val="24"/>
        </w:rPr>
        <w:t>izmjena posebnog propisa u dijelu kojim se uređuje visina i nači</w:t>
      </w:r>
      <w:r w:rsidR="00FA60C1">
        <w:rPr>
          <w:color w:val="auto"/>
          <w:sz w:val="24"/>
          <w:szCs w:val="24"/>
        </w:rPr>
        <w:t>n plaćanja naknade za koncesiju</w:t>
      </w:r>
    </w:p>
    <w:p w:rsidR="00DE24A8" w:rsidRPr="008D3D03" w:rsidRDefault="00DE24A8" w:rsidP="00FA60C1">
      <w:pPr>
        <w:pStyle w:val="ListParagraph"/>
        <w:numPr>
          <w:ilvl w:val="0"/>
          <w:numId w:val="1"/>
        </w:numPr>
        <w:spacing w:after="0" w:line="240" w:lineRule="auto"/>
        <w:ind w:hanging="987"/>
        <w:jc w:val="both"/>
        <w:rPr>
          <w:color w:val="auto"/>
          <w:sz w:val="24"/>
          <w:szCs w:val="24"/>
        </w:rPr>
      </w:pPr>
      <w:r w:rsidRPr="008D3D03">
        <w:rPr>
          <w:color w:val="auto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:rsidR="00DE24A8" w:rsidRPr="008D3D03" w:rsidRDefault="00DE24A8" w:rsidP="008D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A8" w:rsidRPr="008D3D03" w:rsidRDefault="00DE24A8" w:rsidP="00FA60C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D3D03">
        <w:rPr>
          <w:rFonts w:ascii="Times New Roman" w:hAnsi="Times New Roman" w:cs="Times New Roman"/>
          <w:sz w:val="24"/>
          <w:szCs w:val="24"/>
        </w:rPr>
        <w:t>Promjena naknade za koncesiju u skladu s prethodnim stavkom utvrđuje se ugovorom o koncesiji i posebnim zakonima, a obavlja se ovisno o nastanku okolnosti i/ili periodično u za to određenim vremenskim razdobljima ovisno u uvjetima fluktuacije tečaja ili promjena potrošačkih cijena.</w:t>
      </w: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VIII.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ove Odluke ovlašćuje se ministar mora, prometa i infrastrukture da u roku od 90 da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sklopi ugovor o koncesiji pomorskog dobra iz točke II. ove Odluke, kojim će se detaljno urediti ovlaštenja Davatelja koncesije, te prava i obveze Ovlaštenika koncesije, posebno u odnosu na zaštitu okoliša, sigurnost plovidbe, izgradnju i održavanje te nadzor nad gospodarskim korištenjem pomorskog dobra koje se daje u koncesiju.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204</w:t>
      </w:r>
      <w:r w:rsidR="008C32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C32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0,00</w:t>
      </w:r>
      <w:r w:rsidR="008C32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kuna, a što je 5</w:t>
      </w:r>
      <w:r w:rsidR="00FA6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ukupne vrijednosti investicije, koja prema Studiji gospodarske opravdanosti ulaganja iz točke V. </w:t>
      </w:r>
      <w:r w:rsidR="008C32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iznosi 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4.090</w:t>
      </w:r>
      <w:r w:rsidR="008C32C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kuna, s rokom važenja garancije do šest mjeseci od završetka planiranog investicijskog ciklusa, a koja garancija je bezuvjetna, bez prigovora i naplativa na prvi poziv.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prije sklapanja ugovora o koncesiji iz točke VIII. ove Odluke Davatelju koncesije dostaviti ovjerene zadužnice na iznos od dvije godišnje naknade za stalni dio koncesijske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naknade, u ukupnom iznosu od 48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kao instrumente osiguranja naplate naknade za koncesiju, te za naknadu štete koja može nastati zbog neispunjenja obveza iz ugovora.</w:t>
      </w:r>
    </w:p>
    <w:p w:rsidR="002500A8" w:rsidRPr="008D3D03" w:rsidRDefault="002500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Ako Ovlaštenik koncesije ne dostavi garanciju banke iz stavka 1. ove točke i ovjerene zadužnice iz stavka 2. ove točke, neće se potpisati ugovor o koncesiji iz točke VIII. ove Odluke, te Ovlaštenik koncesije gubi sva prava utvrđena ovom Odlukom.</w:t>
      </w:r>
    </w:p>
    <w:p w:rsidR="00DE24A8" w:rsidRPr="008D3D03" w:rsidRDefault="00DE24A8" w:rsidP="008D3D03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35A9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3E65C0"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ove Odluke žalba nije dopuštena, ali se može pokrenuti upravni spor podnošenjem tužbe Upravnom sudu u </w:t>
      </w:r>
      <w:r w:rsidR="002500A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Splitu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30 da</w:t>
      </w:r>
      <w:r w:rsidR="00B338ED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60C1" w:rsidRDefault="00FA60C1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35A9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3E65C0" w:rsidRPr="00FA6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E65C0" w:rsidRPr="008D3D03" w:rsidRDefault="003E65C0" w:rsidP="008D3D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FA60C1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B338ED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Narodnim novinama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3E65C0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A60C1" w:rsidRDefault="00FA60C1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3E65C0" w:rsidRPr="008D3D03" w:rsidRDefault="003E65C0" w:rsidP="008D3D03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FA60C1" w:rsidP="008D3D03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FA60C1" w:rsidRDefault="00FA60C1" w:rsidP="008D3D03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FA60C1" w:rsidRDefault="003E65C0" w:rsidP="008D3D03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A60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mr. </w:t>
      </w:r>
      <w:proofErr w:type="spellStart"/>
      <w:r w:rsidRPr="00FA60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 w:rsidRPr="00FA60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Andrej Plenković</w:t>
      </w:r>
    </w:p>
    <w:p w:rsidR="003E65C0" w:rsidRPr="008D3D03" w:rsidRDefault="003E65C0" w:rsidP="008D3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3E65C0" w:rsidRPr="008D3D03" w:rsidRDefault="003E65C0" w:rsidP="008D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:rsidR="003E65C0" w:rsidRPr="008D3D03" w:rsidRDefault="003E65C0" w:rsidP="008D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972B1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Obavijesti Vlade Republike Hrvatske o namjeri davanja koncesije u svrhu gospodarskog korištenja pomorskog dobra radi obavljanja djelatnosti uzgoja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</w:t>
      </w:r>
      <w:r w:rsidR="00050877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na dvadeset godina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uzgojnog kapaciteta do 4</w:t>
      </w:r>
      <w:r w:rsidR="009B3FF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00 tona godišnje,</w:t>
      </w:r>
      <w:r w:rsidR="00335A9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u Novigradskom moru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površine do 120</w:t>
      </w:r>
      <w:r w:rsidR="009B3FF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metara kvadratnih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objavljenoj u Elektroničkom oglasniku javne nabave (</w:t>
      </w:r>
      <w:r w:rsidR="00E972B1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objave: 2020/S 01K-0007475) od 21. veljače 2020. godine </w:t>
      </w:r>
      <w:r w:rsidR="009B3FF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uzgoj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</w:t>
      </w:r>
      <w:r w:rsidR="009B3FF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pristigla je jedna ponuda i to trgovačkog društva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BIVALVIA MARIS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iz Zadra.</w:t>
      </w:r>
      <w:r w:rsidR="00E972B1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972B1" w:rsidRPr="008D3D03" w:rsidRDefault="00E972B1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svojoj sjednici Stručno tijelo za ocjenu ponuda za koncesije na pomorskom dobru donijelo je Nalaz i mišljenje iz kojega slijedi kako je ponuda trgovačkog društva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BIVALVIA MARIS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dostavljena u propisanom vremenskom roku, kako sadrži svu dokumentaciju  koja je  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prihvatljiva.</w:t>
      </w:r>
    </w:p>
    <w:p w:rsidR="00335A90" w:rsidRPr="008D3D03" w:rsidRDefault="00335A9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Nalazu i mišljenju Stručnog tijela izrađen je predmetni prijedlog Odluke kojim se koncesija daje trgovačkom društvu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BIVALVIA MARIS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335A90" w:rsidRPr="008D3D03" w:rsidRDefault="00335A9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ponuđenog iznosa stalnog dijela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koncesiju iznosi 0,2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po metru kvadratnog zauzetog pomorskog do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bra, odnosno 24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 godišnje, dok ponuđeni apsolutni iznos promjenjiv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og dijela naknade za koncesiju iznosi 130.520</w:t>
      </w:r>
      <w:r w:rsidR="00E3062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12FD8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to jest, 0.2</w:t>
      </w:r>
      <w:r w:rsidR="00C24EAB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0% od ukupnog godišnjeg prihoda na području koje je dano u koncesiju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 Ukupno investicijsko ulag</w:t>
      </w:r>
      <w:r w:rsidR="00E3062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anje u pomorsko dobro izno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 </w:t>
      </w:r>
      <w:r w:rsidR="00E3062F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090.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000,00 kuna te se plani</w:t>
      </w:r>
      <w:r w:rsidR="00967D8C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ra zaposliti 2 zaposlenika</w:t>
      </w:r>
      <w:r w:rsidR="00EC04D2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 radno vrijeme</w:t>
      </w:r>
      <w:r w:rsidR="00967D8C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67D8C" w:rsidRPr="008D3D03" w:rsidRDefault="00967D8C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D8C" w:rsidRPr="008D3D03" w:rsidRDefault="00967D8C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izrađen je Prijedlog odluke o koncesiji pomorskog dobra u svrhu obavljanja djelatnosti uzgoja </w:t>
      </w:r>
      <w:r w:rsidR="00C06DF0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školjaka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28D6"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>u Novigradskom moru</w:t>
      </w:r>
      <w:r w:rsidRPr="008D3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E65C0" w:rsidRPr="008D3D03" w:rsidRDefault="003E65C0" w:rsidP="008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C0" w:rsidRPr="008D3D03" w:rsidRDefault="003E65C0" w:rsidP="008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D03" w:rsidRDefault="008D3D03" w:rsidP="00BC5075">
      <w:pPr>
        <w:rPr>
          <w:rFonts w:ascii="Times New Roman" w:hAnsi="Times New Roman" w:cs="Times New Roman"/>
          <w:sz w:val="24"/>
          <w:szCs w:val="24"/>
        </w:rPr>
      </w:pPr>
    </w:p>
    <w:p w:rsidR="008D3D03" w:rsidRP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8D3D03" w:rsidRP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8D3D03" w:rsidRP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8D3D03" w:rsidRP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8D3D03" w:rsidRP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8D3D03" w:rsidRP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8D3D03" w:rsidRDefault="008D3D03" w:rsidP="008D3D03">
      <w:pPr>
        <w:rPr>
          <w:rFonts w:ascii="Times New Roman" w:hAnsi="Times New Roman" w:cs="Times New Roman"/>
          <w:sz w:val="24"/>
          <w:szCs w:val="24"/>
        </w:rPr>
      </w:pPr>
    </w:p>
    <w:p w:rsidR="00CE694E" w:rsidRPr="008D3D03" w:rsidRDefault="00CE694E" w:rsidP="008D3D0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E694E" w:rsidRPr="008D3D03" w:rsidSect="008D3D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D6" w:rsidRDefault="00DD68D6">
      <w:pPr>
        <w:spacing w:after="0" w:line="240" w:lineRule="auto"/>
      </w:pPr>
      <w:r>
        <w:separator/>
      </w:r>
    </w:p>
  </w:endnote>
  <w:endnote w:type="continuationSeparator" w:id="0">
    <w:p w:rsidR="00DD68D6" w:rsidRDefault="00DD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8" w:rsidRPr="00BA5B8E" w:rsidRDefault="00DD68D6">
    <w:pPr>
      <w:pStyle w:val="Footer1"/>
      <w:jc w:val="right"/>
      <w:rPr>
        <w:rFonts w:ascii="Times New Roman" w:hAnsi="Times New Roman" w:cs="Times New Roman"/>
      </w:rPr>
    </w:pPr>
  </w:p>
  <w:p w:rsidR="00E06588" w:rsidRDefault="00DD68D6">
    <w:pPr>
      <w:pStyle w:val="Footer1"/>
    </w:pPr>
  </w:p>
  <w:p w:rsidR="00000000" w:rsidRDefault="00DD6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D6" w:rsidRDefault="00DD68D6">
      <w:pPr>
        <w:spacing w:after="0" w:line="240" w:lineRule="auto"/>
      </w:pPr>
      <w:r>
        <w:separator/>
      </w:r>
    </w:p>
  </w:footnote>
  <w:footnote w:type="continuationSeparator" w:id="0">
    <w:p w:rsidR="00DD68D6" w:rsidRDefault="00DD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7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D03" w:rsidRPr="008D3D03" w:rsidRDefault="008D3D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D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D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D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D3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D3D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0000" w:rsidRDefault="00DD6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0DC"/>
    <w:multiLevelType w:val="hybridMultilevel"/>
    <w:tmpl w:val="D5104890"/>
    <w:lvl w:ilvl="0" w:tplc="55E6E3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94806F4"/>
    <w:multiLevelType w:val="hybridMultilevel"/>
    <w:tmpl w:val="2A0A4350"/>
    <w:lvl w:ilvl="0" w:tplc="5EC62F2C">
      <w:start w:val="1"/>
      <w:numFmt w:val="lowerLetter"/>
      <w:lvlText w:val="%1)"/>
      <w:lvlJc w:val="left"/>
      <w:pPr>
        <w:ind w:left="14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0"/>
    <w:rsid w:val="00007ECA"/>
    <w:rsid w:val="00050877"/>
    <w:rsid w:val="0016282B"/>
    <w:rsid w:val="001D472B"/>
    <w:rsid w:val="00220907"/>
    <w:rsid w:val="002500A8"/>
    <w:rsid w:val="00285534"/>
    <w:rsid w:val="002B1581"/>
    <w:rsid w:val="00335A90"/>
    <w:rsid w:val="003E65C0"/>
    <w:rsid w:val="004348C7"/>
    <w:rsid w:val="004B3EBA"/>
    <w:rsid w:val="004C02F2"/>
    <w:rsid w:val="004C5D82"/>
    <w:rsid w:val="005C6F2E"/>
    <w:rsid w:val="005D29E0"/>
    <w:rsid w:val="00656647"/>
    <w:rsid w:val="00680BB1"/>
    <w:rsid w:val="006C08B3"/>
    <w:rsid w:val="006F02B2"/>
    <w:rsid w:val="00702ED9"/>
    <w:rsid w:val="00712FD8"/>
    <w:rsid w:val="00740FC2"/>
    <w:rsid w:val="00791219"/>
    <w:rsid w:val="007D68AD"/>
    <w:rsid w:val="00831F61"/>
    <w:rsid w:val="008434C3"/>
    <w:rsid w:val="008C32C0"/>
    <w:rsid w:val="008D3D03"/>
    <w:rsid w:val="00967D8C"/>
    <w:rsid w:val="009928D6"/>
    <w:rsid w:val="009B3FFF"/>
    <w:rsid w:val="00A61B9A"/>
    <w:rsid w:val="00AC4AAB"/>
    <w:rsid w:val="00AD7306"/>
    <w:rsid w:val="00AF112D"/>
    <w:rsid w:val="00B338BC"/>
    <w:rsid w:val="00B338ED"/>
    <w:rsid w:val="00B76D36"/>
    <w:rsid w:val="00BA5B8E"/>
    <w:rsid w:val="00BC5075"/>
    <w:rsid w:val="00BF0026"/>
    <w:rsid w:val="00C06DF0"/>
    <w:rsid w:val="00C24EAB"/>
    <w:rsid w:val="00C50616"/>
    <w:rsid w:val="00C83181"/>
    <w:rsid w:val="00CC2FD2"/>
    <w:rsid w:val="00CE09A1"/>
    <w:rsid w:val="00CE694E"/>
    <w:rsid w:val="00CF4FAE"/>
    <w:rsid w:val="00D447A4"/>
    <w:rsid w:val="00DD6714"/>
    <w:rsid w:val="00DD68D6"/>
    <w:rsid w:val="00DE24A8"/>
    <w:rsid w:val="00E3062F"/>
    <w:rsid w:val="00E972B1"/>
    <w:rsid w:val="00EC04D2"/>
    <w:rsid w:val="00F67558"/>
    <w:rsid w:val="00F93400"/>
    <w:rsid w:val="00F951C8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CF8D"/>
  <w15:docId w15:val="{330B69D3-9864-46B0-97B3-94B42708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65C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E65C0"/>
  </w:style>
  <w:style w:type="table" w:customStyle="1" w:styleId="TableGrid1">
    <w:name w:val="Table Grid1"/>
    <w:basedOn w:val="TableNormal"/>
    <w:next w:val="TableGrid"/>
    <w:uiPriority w:val="59"/>
    <w:rsid w:val="003E65C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E65C0"/>
  </w:style>
  <w:style w:type="paragraph" w:styleId="Footer">
    <w:name w:val="footer"/>
    <w:basedOn w:val="Normal"/>
    <w:link w:val="Foot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E65C0"/>
  </w:style>
  <w:style w:type="table" w:styleId="TableGrid">
    <w:name w:val="Table Grid"/>
    <w:basedOn w:val="TableNormal"/>
    <w:uiPriority w:val="59"/>
    <w:rsid w:val="003E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C0"/>
    <w:rPr>
      <w:rFonts w:ascii="Tahoma" w:hAnsi="Tahoma" w:cs="Tahoma"/>
      <w:sz w:val="16"/>
      <w:szCs w:val="16"/>
    </w:rPr>
  </w:style>
  <w:style w:type="paragraph" w:customStyle="1" w:styleId="box459805">
    <w:name w:val="box_459805"/>
    <w:basedOn w:val="Normal"/>
    <w:rsid w:val="00C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rsid w:val="007D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4A8"/>
    <w:pPr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customStyle="1" w:styleId="TableGrid3">
    <w:name w:val="Table Grid3"/>
    <w:basedOn w:val="TableNormal"/>
    <w:next w:val="TableGrid"/>
    <w:rsid w:val="008D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F5D8-44D7-4B07-B6DE-5CDCB1C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2</cp:revision>
  <cp:lastPrinted>2020-06-15T11:06:00Z</cp:lastPrinted>
  <dcterms:created xsi:type="dcterms:W3CDTF">2020-06-23T10:45:00Z</dcterms:created>
  <dcterms:modified xsi:type="dcterms:W3CDTF">2020-06-23T10:45:00Z</dcterms:modified>
</cp:coreProperties>
</file>