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21A83" w14:textId="77777777" w:rsidR="0089172D" w:rsidRPr="0089172D" w:rsidRDefault="0089172D" w:rsidP="0089172D">
      <w:pPr>
        <w:spacing w:after="0" w:line="240" w:lineRule="auto"/>
        <w:jc w:val="center"/>
        <w:rPr>
          <w:rFonts w:ascii="Times New Roman" w:eastAsia="Times New Roman" w:hAnsi="Times New Roman" w:cs="Times New Roman"/>
          <w:sz w:val="24"/>
          <w:szCs w:val="24"/>
          <w:lang w:eastAsia="hr-HR"/>
        </w:rPr>
      </w:pPr>
      <w:r w:rsidRPr="0089172D">
        <w:rPr>
          <w:rFonts w:ascii="Times New Roman" w:eastAsia="Times New Roman" w:hAnsi="Times New Roman" w:cs="Times New Roman"/>
          <w:noProof/>
          <w:sz w:val="24"/>
          <w:szCs w:val="24"/>
          <w:lang w:eastAsia="hr-HR"/>
        </w:rPr>
        <w:drawing>
          <wp:inline distT="0" distB="0" distL="0" distR="0" wp14:anchorId="1B9677BC" wp14:editId="767C36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9172D">
        <w:rPr>
          <w:rFonts w:ascii="Times New Roman" w:eastAsia="Times New Roman" w:hAnsi="Times New Roman" w:cs="Times New Roman"/>
          <w:sz w:val="24"/>
          <w:szCs w:val="24"/>
          <w:lang w:eastAsia="hr-HR"/>
        </w:rPr>
        <w:fldChar w:fldCharType="begin"/>
      </w:r>
      <w:r w:rsidRPr="0089172D">
        <w:rPr>
          <w:rFonts w:ascii="Times New Roman" w:eastAsia="Times New Roman" w:hAnsi="Times New Roman" w:cs="Times New Roman"/>
          <w:sz w:val="24"/>
          <w:szCs w:val="24"/>
          <w:lang w:eastAsia="hr-HR"/>
        </w:rPr>
        <w:instrText xml:space="preserve"> INCLUDEPICTURE "http://www.inet.hr/~box/images/grb-rh.gif" \* MERGEFORMATINET </w:instrText>
      </w:r>
      <w:r w:rsidRPr="0089172D">
        <w:rPr>
          <w:rFonts w:ascii="Times New Roman" w:eastAsia="Times New Roman" w:hAnsi="Times New Roman" w:cs="Times New Roman"/>
          <w:sz w:val="24"/>
          <w:szCs w:val="24"/>
          <w:lang w:eastAsia="hr-HR"/>
        </w:rPr>
        <w:fldChar w:fldCharType="end"/>
      </w:r>
    </w:p>
    <w:p w14:paraId="29F013F2" w14:textId="77777777" w:rsidR="0089172D" w:rsidRPr="0089172D" w:rsidRDefault="0089172D" w:rsidP="0089172D">
      <w:pPr>
        <w:spacing w:before="60" w:after="1680" w:line="240" w:lineRule="auto"/>
        <w:jc w:val="center"/>
        <w:rPr>
          <w:rFonts w:ascii="Times New Roman" w:eastAsia="Times New Roman" w:hAnsi="Times New Roman" w:cs="Times New Roman"/>
          <w:sz w:val="28"/>
          <w:szCs w:val="24"/>
          <w:lang w:eastAsia="hr-HR"/>
        </w:rPr>
      </w:pPr>
      <w:r w:rsidRPr="0089172D">
        <w:rPr>
          <w:rFonts w:ascii="Times New Roman" w:eastAsia="Times New Roman" w:hAnsi="Times New Roman" w:cs="Times New Roman"/>
          <w:sz w:val="28"/>
          <w:szCs w:val="24"/>
          <w:lang w:eastAsia="hr-HR"/>
        </w:rPr>
        <w:t>VLADA REPUBLIKE HRVATSKE</w:t>
      </w:r>
    </w:p>
    <w:p w14:paraId="7A39E43B"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19F5A9EA" w14:textId="77777777" w:rsidR="0089172D" w:rsidRPr="0089172D" w:rsidRDefault="0089172D" w:rsidP="0089172D">
      <w:pPr>
        <w:spacing w:after="2400" w:line="240" w:lineRule="auto"/>
        <w:jc w:val="right"/>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Zagreb, 2. srpnja 2020.</w:t>
      </w:r>
    </w:p>
    <w:p w14:paraId="008440DE" w14:textId="77777777" w:rsidR="0089172D" w:rsidRPr="0089172D" w:rsidRDefault="0089172D" w:rsidP="0089172D">
      <w:pPr>
        <w:spacing w:after="0" w:line="360" w:lineRule="auto"/>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__________________________________________________________________________</w:t>
      </w:r>
    </w:p>
    <w:p w14:paraId="15B914AB" w14:textId="77777777" w:rsidR="0089172D" w:rsidRPr="0089172D" w:rsidRDefault="0089172D" w:rsidP="0089172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89172D" w:rsidRPr="0089172D" w:rsidSect="0089172D">
          <w:headerReference w:type="default" r:id="rId9"/>
          <w:footerReference w:type="default" r:id="rId10"/>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9172D" w:rsidRPr="0089172D" w14:paraId="3B680EE8" w14:textId="77777777" w:rsidTr="004459F2">
        <w:tc>
          <w:tcPr>
            <w:tcW w:w="1951" w:type="dxa"/>
          </w:tcPr>
          <w:p w14:paraId="785A94F9" w14:textId="77777777" w:rsidR="0089172D" w:rsidRPr="0089172D" w:rsidRDefault="0089172D" w:rsidP="0089172D">
            <w:pPr>
              <w:spacing w:line="360" w:lineRule="auto"/>
              <w:jc w:val="right"/>
              <w:rPr>
                <w:sz w:val="24"/>
                <w:szCs w:val="24"/>
              </w:rPr>
            </w:pPr>
            <w:r w:rsidRPr="0089172D">
              <w:rPr>
                <w:b/>
                <w:smallCaps/>
                <w:sz w:val="24"/>
                <w:szCs w:val="24"/>
              </w:rPr>
              <w:t>Predlagatelj</w:t>
            </w:r>
            <w:r w:rsidRPr="0089172D">
              <w:rPr>
                <w:b/>
                <w:sz w:val="24"/>
                <w:szCs w:val="24"/>
              </w:rPr>
              <w:t>:</w:t>
            </w:r>
          </w:p>
        </w:tc>
        <w:tc>
          <w:tcPr>
            <w:tcW w:w="7229" w:type="dxa"/>
          </w:tcPr>
          <w:p w14:paraId="4611FEC8" w14:textId="77777777" w:rsidR="0089172D" w:rsidRPr="0089172D" w:rsidRDefault="0089172D" w:rsidP="0089172D">
            <w:pPr>
              <w:spacing w:line="360" w:lineRule="auto"/>
              <w:rPr>
                <w:sz w:val="24"/>
                <w:szCs w:val="24"/>
              </w:rPr>
            </w:pPr>
            <w:r w:rsidRPr="0089172D">
              <w:rPr>
                <w:sz w:val="24"/>
                <w:szCs w:val="24"/>
              </w:rPr>
              <w:t>Ministarstvo mora, prometa i infrastrukture</w:t>
            </w:r>
          </w:p>
        </w:tc>
      </w:tr>
    </w:tbl>
    <w:p w14:paraId="2210A25D" w14:textId="77777777" w:rsidR="0089172D" w:rsidRPr="0089172D" w:rsidRDefault="0089172D" w:rsidP="0089172D">
      <w:pPr>
        <w:spacing w:after="0" w:line="360" w:lineRule="auto"/>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__________________________________________________________________________</w:t>
      </w:r>
    </w:p>
    <w:p w14:paraId="73319995" w14:textId="77777777" w:rsidR="0089172D" w:rsidRPr="0089172D" w:rsidRDefault="0089172D" w:rsidP="0089172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89172D" w:rsidRPr="0089172D"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9172D" w:rsidRPr="0089172D" w14:paraId="00E8728F" w14:textId="77777777" w:rsidTr="004459F2">
        <w:tc>
          <w:tcPr>
            <w:tcW w:w="1951" w:type="dxa"/>
          </w:tcPr>
          <w:p w14:paraId="50DDD420" w14:textId="77777777" w:rsidR="0089172D" w:rsidRPr="0089172D" w:rsidRDefault="0089172D" w:rsidP="0089172D">
            <w:pPr>
              <w:spacing w:line="360" w:lineRule="auto"/>
              <w:jc w:val="right"/>
              <w:rPr>
                <w:sz w:val="24"/>
                <w:szCs w:val="24"/>
              </w:rPr>
            </w:pPr>
            <w:r w:rsidRPr="0089172D">
              <w:rPr>
                <w:b/>
                <w:smallCaps/>
                <w:sz w:val="24"/>
                <w:szCs w:val="24"/>
              </w:rPr>
              <w:t>Predmet</w:t>
            </w:r>
            <w:r w:rsidRPr="0089172D">
              <w:rPr>
                <w:b/>
                <w:sz w:val="24"/>
                <w:szCs w:val="24"/>
              </w:rPr>
              <w:t>:</w:t>
            </w:r>
          </w:p>
        </w:tc>
        <w:tc>
          <w:tcPr>
            <w:tcW w:w="7229" w:type="dxa"/>
          </w:tcPr>
          <w:p w14:paraId="691FB826" w14:textId="77777777" w:rsidR="0089172D" w:rsidRPr="0089172D" w:rsidRDefault="0089172D" w:rsidP="0089172D">
            <w:pPr>
              <w:spacing w:line="360" w:lineRule="auto"/>
              <w:rPr>
                <w:sz w:val="24"/>
                <w:szCs w:val="24"/>
              </w:rPr>
            </w:pPr>
            <w:r w:rsidRPr="0089172D">
              <w:rPr>
                <w:sz w:val="24"/>
                <w:szCs w:val="24"/>
              </w:rPr>
              <w:t>Prijedlog odluke o usvajanju Programa dodjele državnih potpora sektoru mora, prometa, prometne infrastrukture i povezanim djelatnostima u aktualnoj pandemiji COVID-a 19</w:t>
            </w:r>
          </w:p>
        </w:tc>
      </w:tr>
    </w:tbl>
    <w:p w14:paraId="707F88E0" w14:textId="77777777" w:rsidR="0089172D" w:rsidRPr="0089172D" w:rsidRDefault="0089172D" w:rsidP="0089172D">
      <w:pPr>
        <w:tabs>
          <w:tab w:val="left" w:pos="1843"/>
        </w:tabs>
        <w:spacing w:after="0" w:line="360" w:lineRule="auto"/>
        <w:ind w:left="1843" w:hanging="1843"/>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__________________________________________________________________________</w:t>
      </w:r>
    </w:p>
    <w:p w14:paraId="67B2EAAA"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55E179B6"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460721EB"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1AAD164E"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7D3D7152" w14:textId="77777777" w:rsidR="0089172D" w:rsidRDefault="0089172D" w:rsidP="0089172D">
      <w:pPr>
        <w:spacing w:after="0" w:line="240" w:lineRule="auto"/>
        <w:rPr>
          <w:rFonts w:ascii="Times New Roman" w:eastAsia="Times New Roman" w:hAnsi="Times New Roman" w:cs="Times New Roman"/>
          <w:sz w:val="24"/>
          <w:szCs w:val="24"/>
          <w:lang w:eastAsia="hr-HR"/>
        </w:rPr>
      </w:pPr>
    </w:p>
    <w:p w14:paraId="39313F77"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315C88A1"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45F25E82"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7E2068C8"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3C60AC67"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63C2CD0C"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43413933"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383C2C53"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777D3AF9"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1A4C65F5"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7FF03973" w14:textId="77777777" w:rsidR="001C07E9" w:rsidRDefault="001C07E9" w:rsidP="0089172D">
      <w:pPr>
        <w:spacing w:after="0" w:line="240" w:lineRule="auto"/>
        <w:rPr>
          <w:rFonts w:ascii="Times New Roman" w:eastAsia="Times New Roman" w:hAnsi="Times New Roman" w:cs="Times New Roman"/>
          <w:sz w:val="24"/>
          <w:szCs w:val="24"/>
          <w:lang w:eastAsia="hr-HR"/>
        </w:rPr>
      </w:pPr>
    </w:p>
    <w:p w14:paraId="3DD8DBA0" w14:textId="77777777" w:rsidR="001C07E9" w:rsidRPr="0089172D" w:rsidRDefault="001C07E9" w:rsidP="0089172D">
      <w:pPr>
        <w:spacing w:after="0" w:line="240" w:lineRule="auto"/>
        <w:rPr>
          <w:rFonts w:ascii="Times New Roman" w:eastAsia="Times New Roman" w:hAnsi="Times New Roman" w:cs="Times New Roman"/>
          <w:sz w:val="24"/>
          <w:szCs w:val="24"/>
          <w:lang w:eastAsia="hr-HR"/>
        </w:rPr>
      </w:pPr>
    </w:p>
    <w:p w14:paraId="436E63DD"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7CF9EDD9"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pPr>
    </w:p>
    <w:p w14:paraId="1B26927F" w14:textId="77777777" w:rsidR="0089172D" w:rsidRPr="0089172D" w:rsidRDefault="0089172D" w:rsidP="0089172D">
      <w:pPr>
        <w:spacing w:after="0" w:line="240" w:lineRule="auto"/>
        <w:rPr>
          <w:rFonts w:ascii="Times New Roman" w:eastAsia="Times New Roman" w:hAnsi="Times New Roman" w:cs="Times New Roman"/>
          <w:sz w:val="24"/>
          <w:szCs w:val="24"/>
          <w:lang w:eastAsia="hr-HR"/>
        </w:rPr>
        <w:sectPr w:rsidR="0089172D" w:rsidRPr="0089172D" w:rsidSect="000350D9">
          <w:type w:val="continuous"/>
          <w:pgSz w:w="11906" w:h="16838"/>
          <w:pgMar w:top="993" w:right="1417" w:bottom="1417" w:left="1417" w:header="709" w:footer="658" w:gutter="0"/>
          <w:cols w:space="708"/>
          <w:docGrid w:linePitch="360"/>
        </w:sectPr>
      </w:pPr>
    </w:p>
    <w:p w14:paraId="31CEE4EF" w14:textId="77777777" w:rsidR="0089172D" w:rsidRDefault="0089172D" w:rsidP="0089172D">
      <w:pPr>
        <w:spacing w:after="0" w:line="240" w:lineRule="auto"/>
        <w:jc w:val="both"/>
        <w:textAlignment w:val="baseline"/>
        <w:rPr>
          <w:rFonts w:ascii="Times New Roman" w:eastAsia="Times New Roman" w:hAnsi="Times New Roman" w:cs="Times New Roman"/>
          <w:sz w:val="24"/>
          <w:szCs w:val="24"/>
          <w:lang w:eastAsia="hr-HR"/>
        </w:rPr>
      </w:pPr>
    </w:p>
    <w:p w14:paraId="693173A6" w14:textId="77777777" w:rsidR="00802DCD" w:rsidRPr="0089172D" w:rsidRDefault="00802DCD" w:rsidP="0089172D">
      <w:pPr>
        <w:spacing w:after="0" w:line="240" w:lineRule="auto"/>
        <w:jc w:val="both"/>
        <w:textAlignment w:val="baseline"/>
        <w:rPr>
          <w:rFonts w:ascii="Times New Roman" w:eastAsia="Times New Roman" w:hAnsi="Times New Roman" w:cs="Times New Roman"/>
          <w:sz w:val="24"/>
          <w:szCs w:val="24"/>
          <w:lang w:eastAsia="hr-HR"/>
        </w:rPr>
      </w:pPr>
    </w:p>
    <w:p w14:paraId="292E8471" w14:textId="77777777" w:rsidR="0089172D" w:rsidRPr="0089172D" w:rsidRDefault="0089172D" w:rsidP="0089172D">
      <w:pPr>
        <w:spacing w:after="0" w:line="240" w:lineRule="auto"/>
        <w:jc w:val="right"/>
        <w:textAlignment w:val="baseline"/>
        <w:rPr>
          <w:rFonts w:ascii="Times New Roman" w:eastAsia="Times New Roman" w:hAnsi="Times New Roman" w:cs="Times New Roman"/>
          <w:b/>
          <w:sz w:val="24"/>
          <w:szCs w:val="24"/>
          <w:lang w:eastAsia="hr-HR"/>
        </w:rPr>
      </w:pPr>
      <w:r w:rsidRPr="0089172D">
        <w:rPr>
          <w:rFonts w:ascii="Times New Roman" w:eastAsia="Times New Roman" w:hAnsi="Times New Roman" w:cs="Times New Roman"/>
          <w:b/>
          <w:sz w:val="24"/>
          <w:szCs w:val="24"/>
          <w:lang w:eastAsia="hr-HR"/>
        </w:rPr>
        <w:t>Prijedlog</w:t>
      </w:r>
    </w:p>
    <w:p w14:paraId="789BB46B" w14:textId="77777777" w:rsidR="0089172D" w:rsidRPr="0089172D" w:rsidRDefault="0089172D" w:rsidP="0089172D">
      <w:pPr>
        <w:spacing w:after="0" w:line="240" w:lineRule="auto"/>
        <w:jc w:val="both"/>
        <w:textAlignment w:val="baseline"/>
        <w:rPr>
          <w:rFonts w:ascii="Times New Roman" w:eastAsia="Times New Roman" w:hAnsi="Times New Roman" w:cs="Times New Roman"/>
          <w:sz w:val="24"/>
          <w:szCs w:val="24"/>
          <w:lang w:eastAsia="hr-HR"/>
        </w:rPr>
      </w:pPr>
    </w:p>
    <w:p w14:paraId="0865771E" w14:textId="77777777" w:rsidR="0089172D" w:rsidRPr="0089172D" w:rsidRDefault="0089172D" w:rsidP="0089172D">
      <w:pPr>
        <w:spacing w:after="0" w:line="240" w:lineRule="auto"/>
        <w:jc w:val="both"/>
        <w:textAlignment w:val="baseline"/>
        <w:rPr>
          <w:rFonts w:ascii="Times New Roman" w:eastAsia="Times New Roman" w:hAnsi="Times New Roman" w:cs="Times New Roman"/>
          <w:sz w:val="24"/>
          <w:szCs w:val="24"/>
          <w:lang w:eastAsia="hr-HR"/>
        </w:rPr>
      </w:pPr>
    </w:p>
    <w:p w14:paraId="37977252" w14:textId="77777777" w:rsidR="0089172D" w:rsidRPr="0089172D" w:rsidRDefault="0089172D" w:rsidP="0089172D">
      <w:pPr>
        <w:spacing w:after="0" w:line="240" w:lineRule="auto"/>
        <w:jc w:val="both"/>
        <w:textAlignment w:val="baseline"/>
        <w:rPr>
          <w:rFonts w:ascii="Times New Roman" w:eastAsia="Times New Roman" w:hAnsi="Times New Roman" w:cs="Times New Roman"/>
          <w:sz w:val="24"/>
          <w:szCs w:val="24"/>
          <w:lang w:eastAsia="hr-HR"/>
        </w:rPr>
      </w:pPr>
    </w:p>
    <w:p w14:paraId="48098503" w14:textId="77777777" w:rsidR="0089172D" w:rsidRPr="0089172D" w:rsidRDefault="0089172D" w:rsidP="0089172D">
      <w:pPr>
        <w:spacing w:after="0" w:line="240" w:lineRule="auto"/>
        <w:jc w:val="both"/>
        <w:textAlignment w:val="baseline"/>
        <w:rPr>
          <w:rFonts w:ascii="Times New Roman" w:eastAsia="Times New Roman" w:hAnsi="Times New Roman" w:cs="Times New Roman"/>
          <w:sz w:val="24"/>
          <w:szCs w:val="24"/>
          <w:lang w:eastAsia="hr-HR"/>
        </w:rPr>
      </w:pPr>
    </w:p>
    <w:p w14:paraId="30409A09" w14:textId="77777777" w:rsidR="00454BB2" w:rsidRPr="0089172D" w:rsidRDefault="00B27B20" w:rsidP="0089172D">
      <w:pPr>
        <w:spacing w:after="0" w:line="240" w:lineRule="auto"/>
        <w:ind w:firstLine="1418"/>
        <w:jc w:val="both"/>
        <w:textAlignment w:val="baseline"/>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 xml:space="preserve">Na temelju </w:t>
      </w:r>
      <w:r w:rsidR="000377F2" w:rsidRPr="0089172D">
        <w:rPr>
          <w:rFonts w:ascii="Times New Roman" w:eastAsia="Times New Roman" w:hAnsi="Times New Roman" w:cs="Times New Roman"/>
          <w:sz w:val="24"/>
          <w:szCs w:val="24"/>
          <w:lang w:eastAsia="hr-HR"/>
        </w:rPr>
        <w:t>članka</w:t>
      </w:r>
      <w:r w:rsidR="000C1FDC" w:rsidRPr="0089172D">
        <w:rPr>
          <w:rFonts w:ascii="Times New Roman" w:eastAsia="Times New Roman" w:hAnsi="Times New Roman" w:cs="Times New Roman"/>
          <w:sz w:val="24"/>
          <w:szCs w:val="24"/>
          <w:lang w:eastAsia="hr-HR"/>
        </w:rPr>
        <w:t xml:space="preserve"> 80. stavka 1. Zakona o proračunu (N</w:t>
      </w:r>
      <w:r w:rsidR="00136E0B" w:rsidRPr="0089172D">
        <w:rPr>
          <w:rFonts w:ascii="Times New Roman" w:eastAsia="Times New Roman" w:hAnsi="Times New Roman" w:cs="Times New Roman"/>
          <w:sz w:val="24"/>
          <w:szCs w:val="24"/>
          <w:lang w:eastAsia="hr-HR"/>
        </w:rPr>
        <w:t>arodne novine, br</w:t>
      </w:r>
      <w:r w:rsidR="0089172D">
        <w:rPr>
          <w:rFonts w:ascii="Times New Roman" w:eastAsia="Times New Roman" w:hAnsi="Times New Roman" w:cs="Times New Roman"/>
          <w:sz w:val="24"/>
          <w:szCs w:val="24"/>
          <w:lang w:eastAsia="hr-HR"/>
        </w:rPr>
        <w:t>.</w:t>
      </w:r>
      <w:r w:rsidR="000C1FDC" w:rsidRPr="0089172D">
        <w:rPr>
          <w:rFonts w:ascii="Times New Roman" w:eastAsia="Times New Roman" w:hAnsi="Times New Roman" w:cs="Times New Roman"/>
          <w:sz w:val="24"/>
          <w:szCs w:val="24"/>
          <w:lang w:eastAsia="hr-HR"/>
        </w:rPr>
        <w:t xml:space="preserve"> 87/08, 136/12 i</w:t>
      </w:r>
      <w:r w:rsidR="00785A19" w:rsidRPr="0089172D">
        <w:rPr>
          <w:rFonts w:ascii="Times New Roman" w:eastAsia="Times New Roman" w:hAnsi="Times New Roman" w:cs="Times New Roman"/>
          <w:sz w:val="24"/>
          <w:szCs w:val="24"/>
          <w:lang w:eastAsia="hr-HR"/>
        </w:rPr>
        <w:t xml:space="preserve"> </w:t>
      </w:r>
      <w:r w:rsidR="000C1FDC" w:rsidRPr="0089172D">
        <w:rPr>
          <w:rFonts w:ascii="Times New Roman" w:eastAsia="Times New Roman" w:hAnsi="Times New Roman" w:cs="Times New Roman"/>
          <w:sz w:val="24"/>
          <w:szCs w:val="24"/>
          <w:lang w:eastAsia="hr-HR"/>
        </w:rPr>
        <w:t>15/15), članka 41. Zakona</w:t>
      </w:r>
      <w:r w:rsidR="000377F2" w:rsidRPr="0089172D">
        <w:rPr>
          <w:rFonts w:ascii="Times New Roman" w:eastAsia="Times New Roman" w:hAnsi="Times New Roman" w:cs="Times New Roman"/>
          <w:sz w:val="24"/>
          <w:szCs w:val="24"/>
          <w:lang w:eastAsia="hr-HR"/>
        </w:rPr>
        <w:t xml:space="preserve"> </w:t>
      </w:r>
      <w:r w:rsidR="000C1FDC" w:rsidRPr="0089172D">
        <w:rPr>
          <w:rFonts w:ascii="Times New Roman" w:eastAsia="Times New Roman" w:hAnsi="Times New Roman" w:cs="Times New Roman"/>
          <w:sz w:val="24"/>
          <w:szCs w:val="24"/>
          <w:lang w:eastAsia="hr-HR"/>
        </w:rPr>
        <w:t>o izvršavanju Državnog proračuna Republ</w:t>
      </w:r>
      <w:r w:rsidR="00785A19" w:rsidRPr="0089172D">
        <w:rPr>
          <w:rFonts w:ascii="Times New Roman" w:eastAsia="Times New Roman" w:hAnsi="Times New Roman" w:cs="Times New Roman"/>
          <w:sz w:val="24"/>
          <w:szCs w:val="24"/>
          <w:lang w:eastAsia="hr-HR"/>
        </w:rPr>
        <w:t>ike Hrvatske za 2020. godinu (Narodne novine, br</w:t>
      </w:r>
      <w:r w:rsidR="0089172D">
        <w:rPr>
          <w:rFonts w:ascii="Times New Roman" w:eastAsia="Times New Roman" w:hAnsi="Times New Roman" w:cs="Times New Roman"/>
          <w:sz w:val="24"/>
          <w:szCs w:val="24"/>
          <w:lang w:eastAsia="hr-HR"/>
        </w:rPr>
        <w:t>.</w:t>
      </w:r>
      <w:r w:rsidR="000C1FDC" w:rsidRPr="0089172D">
        <w:rPr>
          <w:rFonts w:ascii="Times New Roman" w:eastAsia="Times New Roman" w:hAnsi="Times New Roman" w:cs="Times New Roman"/>
          <w:sz w:val="24"/>
          <w:szCs w:val="24"/>
          <w:lang w:eastAsia="hr-HR"/>
        </w:rPr>
        <w:t xml:space="preserve"> 117/19, 32/20, 42/20 i 58/20)</w:t>
      </w:r>
      <w:r w:rsidR="00401BAD" w:rsidRPr="0089172D">
        <w:rPr>
          <w:rFonts w:ascii="Times New Roman" w:eastAsia="Times New Roman" w:hAnsi="Times New Roman" w:cs="Times New Roman"/>
          <w:sz w:val="24"/>
          <w:szCs w:val="24"/>
          <w:lang w:eastAsia="hr-HR"/>
        </w:rPr>
        <w:t xml:space="preserve">, </w:t>
      </w:r>
      <w:r w:rsidR="00266A3A" w:rsidRPr="0089172D">
        <w:rPr>
          <w:rFonts w:ascii="Times New Roman" w:eastAsia="Times New Roman" w:hAnsi="Times New Roman" w:cs="Times New Roman"/>
          <w:sz w:val="24"/>
          <w:szCs w:val="24"/>
          <w:lang w:eastAsia="hr-HR"/>
        </w:rPr>
        <w:t>članka 10.</w:t>
      </w:r>
      <w:r w:rsidR="000C1FDC" w:rsidRPr="0089172D">
        <w:rPr>
          <w:rFonts w:ascii="Times New Roman" w:eastAsia="Times New Roman" w:hAnsi="Times New Roman" w:cs="Times New Roman"/>
          <w:sz w:val="24"/>
          <w:szCs w:val="24"/>
          <w:lang w:eastAsia="hr-HR"/>
        </w:rPr>
        <w:t xml:space="preserve"> stavka 4.</w:t>
      </w:r>
      <w:r w:rsidR="00401BAD" w:rsidRPr="0089172D">
        <w:rPr>
          <w:rFonts w:ascii="Times New Roman" w:eastAsia="Times New Roman" w:hAnsi="Times New Roman" w:cs="Times New Roman"/>
          <w:sz w:val="24"/>
          <w:szCs w:val="24"/>
          <w:lang w:eastAsia="hr-HR"/>
        </w:rPr>
        <w:t xml:space="preserve"> Zakona o Hrvatskoj banci za obnovu </w:t>
      </w:r>
      <w:r w:rsidR="00785A19" w:rsidRPr="0089172D">
        <w:rPr>
          <w:rFonts w:ascii="Times New Roman" w:eastAsia="Times New Roman" w:hAnsi="Times New Roman" w:cs="Times New Roman"/>
          <w:sz w:val="24"/>
          <w:szCs w:val="24"/>
          <w:lang w:eastAsia="hr-HR"/>
        </w:rPr>
        <w:t>i razvitak (Narodne novine, br</w:t>
      </w:r>
      <w:r w:rsidR="0089172D">
        <w:rPr>
          <w:rFonts w:ascii="Times New Roman" w:eastAsia="Times New Roman" w:hAnsi="Times New Roman" w:cs="Times New Roman"/>
          <w:sz w:val="24"/>
          <w:szCs w:val="24"/>
          <w:lang w:eastAsia="hr-HR"/>
        </w:rPr>
        <w:t>.</w:t>
      </w:r>
      <w:r w:rsidR="000C1FDC" w:rsidRPr="0089172D">
        <w:rPr>
          <w:rFonts w:ascii="Times New Roman" w:eastAsia="Times New Roman" w:hAnsi="Times New Roman" w:cs="Times New Roman"/>
          <w:sz w:val="24"/>
          <w:szCs w:val="24"/>
          <w:lang w:eastAsia="hr-HR"/>
        </w:rPr>
        <w:t xml:space="preserve"> 138/06 i 25/13), </w:t>
      </w:r>
      <w:r w:rsidR="00266A3A" w:rsidRPr="0089172D">
        <w:rPr>
          <w:rFonts w:ascii="Times New Roman" w:eastAsia="Times New Roman" w:hAnsi="Times New Roman" w:cs="Times New Roman"/>
          <w:sz w:val="24"/>
          <w:szCs w:val="24"/>
          <w:lang w:eastAsia="hr-HR"/>
        </w:rPr>
        <w:t>članka 9. stavka 1.</w:t>
      </w:r>
      <w:r w:rsidR="00401BAD" w:rsidRPr="0089172D">
        <w:rPr>
          <w:rFonts w:ascii="Times New Roman" w:eastAsia="Times New Roman" w:hAnsi="Times New Roman" w:cs="Times New Roman"/>
          <w:sz w:val="24"/>
          <w:szCs w:val="24"/>
          <w:lang w:eastAsia="hr-HR"/>
        </w:rPr>
        <w:t xml:space="preserve"> Zakona o poticanju razvoja malog gospodarstva</w:t>
      </w:r>
      <w:r w:rsidR="00785A19" w:rsidRPr="0089172D">
        <w:rPr>
          <w:rFonts w:ascii="Times New Roman" w:eastAsia="Times New Roman" w:hAnsi="Times New Roman" w:cs="Times New Roman"/>
          <w:sz w:val="24"/>
          <w:szCs w:val="24"/>
          <w:lang w:eastAsia="hr-HR"/>
        </w:rPr>
        <w:t xml:space="preserve"> (Narodne novine</w:t>
      </w:r>
      <w:r w:rsidR="0089172D">
        <w:rPr>
          <w:rFonts w:ascii="Times New Roman" w:eastAsia="Times New Roman" w:hAnsi="Times New Roman" w:cs="Times New Roman"/>
          <w:sz w:val="24"/>
          <w:szCs w:val="24"/>
          <w:lang w:eastAsia="hr-HR"/>
        </w:rPr>
        <w:t>,</w:t>
      </w:r>
      <w:r w:rsidR="00785A19" w:rsidRPr="0089172D">
        <w:rPr>
          <w:rFonts w:ascii="Times New Roman" w:eastAsia="Times New Roman" w:hAnsi="Times New Roman" w:cs="Times New Roman"/>
          <w:sz w:val="24"/>
          <w:szCs w:val="24"/>
          <w:lang w:eastAsia="hr-HR"/>
        </w:rPr>
        <w:t xml:space="preserve"> br</w:t>
      </w:r>
      <w:r w:rsidR="0089172D">
        <w:rPr>
          <w:rFonts w:ascii="Times New Roman" w:eastAsia="Times New Roman" w:hAnsi="Times New Roman" w:cs="Times New Roman"/>
          <w:sz w:val="24"/>
          <w:szCs w:val="24"/>
          <w:lang w:eastAsia="hr-HR"/>
        </w:rPr>
        <w:t>.</w:t>
      </w:r>
      <w:r w:rsidR="00401BAD" w:rsidRPr="0089172D">
        <w:rPr>
          <w:rFonts w:ascii="Times New Roman" w:eastAsia="Times New Roman" w:hAnsi="Times New Roman" w:cs="Times New Roman"/>
          <w:sz w:val="24"/>
          <w:szCs w:val="24"/>
          <w:lang w:eastAsia="hr-HR"/>
        </w:rPr>
        <w:t xml:space="preserve"> 29/02, 63/07, 53/12, 56/13 i</w:t>
      </w:r>
      <w:r w:rsidR="00785A19" w:rsidRPr="0089172D">
        <w:rPr>
          <w:rFonts w:ascii="Times New Roman" w:eastAsia="Times New Roman" w:hAnsi="Times New Roman" w:cs="Times New Roman"/>
          <w:sz w:val="24"/>
          <w:szCs w:val="24"/>
          <w:lang w:eastAsia="hr-HR"/>
        </w:rPr>
        <w:t xml:space="preserve"> </w:t>
      </w:r>
      <w:r w:rsidR="00401BAD" w:rsidRPr="0089172D">
        <w:rPr>
          <w:rFonts w:ascii="Times New Roman" w:eastAsia="Times New Roman" w:hAnsi="Times New Roman" w:cs="Times New Roman"/>
          <w:sz w:val="24"/>
          <w:szCs w:val="24"/>
          <w:lang w:eastAsia="hr-HR"/>
        </w:rPr>
        <w:t xml:space="preserve">121/16) </w:t>
      </w:r>
      <w:r w:rsidR="0089172D">
        <w:rPr>
          <w:rFonts w:ascii="Times New Roman" w:eastAsia="Times New Roman" w:hAnsi="Times New Roman" w:cs="Times New Roman"/>
          <w:sz w:val="24"/>
          <w:szCs w:val="24"/>
          <w:lang w:eastAsia="hr-HR"/>
        </w:rPr>
        <w:t>i</w:t>
      </w:r>
      <w:r w:rsidR="000C1FDC" w:rsidRPr="0089172D">
        <w:rPr>
          <w:rFonts w:ascii="Times New Roman" w:eastAsia="Times New Roman" w:hAnsi="Times New Roman" w:cs="Times New Roman"/>
          <w:sz w:val="24"/>
          <w:szCs w:val="24"/>
          <w:lang w:eastAsia="hr-HR"/>
        </w:rPr>
        <w:t xml:space="preserve"> članka 31. stavk</w:t>
      </w:r>
      <w:r w:rsidR="0089172D">
        <w:rPr>
          <w:rFonts w:ascii="Times New Roman" w:eastAsia="Times New Roman" w:hAnsi="Times New Roman" w:cs="Times New Roman"/>
          <w:sz w:val="24"/>
          <w:szCs w:val="24"/>
          <w:lang w:eastAsia="hr-HR"/>
        </w:rPr>
        <w:t>a</w:t>
      </w:r>
      <w:r w:rsidR="000C1FDC" w:rsidRPr="0089172D">
        <w:rPr>
          <w:rFonts w:ascii="Times New Roman" w:eastAsia="Times New Roman" w:hAnsi="Times New Roman" w:cs="Times New Roman"/>
          <w:sz w:val="24"/>
          <w:szCs w:val="24"/>
          <w:lang w:eastAsia="hr-HR"/>
        </w:rPr>
        <w:t xml:space="preserve"> 2. Zakona</w:t>
      </w:r>
      <w:r w:rsidR="00785A19" w:rsidRPr="0089172D">
        <w:rPr>
          <w:rFonts w:ascii="Times New Roman" w:eastAsia="Times New Roman" w:hAnsi="Times New Roman" w:cs="Times New Roman"/>
          <w:sz w:val="24"/>
          <w:szCs w:val="24"/>
          <w:lang w:eastAsia="hr-HR"/>
        </w:rPr>
        <w:t xml:space="preserve"> o Vladi Republike Hrvatske (Narodne novine</w:t>
      </w:r>
      <w:r w:rsidR="0089172D">
        <w:rPr>
          <w:rFonts w:ascii="Times New Roman" w:eastAsia="Times New Roman" w:hAnsi="Times New Roman" w:cs="Times New Roman"/>
          <w:sz w:val="24"/>
          <w:szCs w:val="24"/>
          <w:lang w:eastAsia="hr-HR"/>
        </w:rPr>
        <w:t>,</w:t>
      </w:r>
      <w:r w:rsidR="000C1FDC" w:rsidRPr="0089172D">
        <w:rPr>
          <w:rFonts w:ascii="Times New Roman" w:eastAsia="Times New Roman" w:hAnsi="Times New Roman" w:cs="Times New Roman"/>
          <w:sz w:val="24"/>
          <w:szCs w:val="24"/>
          <w:lang w:eastAsia="hr-HR"/>
        </w:rPr>
        <w:t xml:space="preserve"> </w:t>
      </w:r>
      <w:r w:rsidR="00785A19" w:rsidRPr="0089172D">
        <w:rPr>
          <w:rFonts w:ascii="Times New Roman" w:eastAsia="Times New Roman" w:hAnsi="Times New Roman" w:cs="Times New Roman"/>
          <w:sz w:val="24"/>
          <w:szCs w:val="24"/>
          <w:lang w:eastAsia="hr-HR"/>
        </w:rPr>
        <w:t>br</w:t>
      </w:r>
      <w:r w:rsidR="0089172D">
        <w:rPr>
          <w:rFonts w:ascii="Times New Roman" w:eastAsia="Times New Roman" w:hAnsi="Times New Roman" w:cs="Times New Roman"/>
          <w:sz w:val="24"/>
          <w:szCs w:val="24"/>
          <w:lang w:eastAsia="hr-HR"/>
        </w:rPr>
        <w:t>.</w:t>
      </w:r>
      <w:r w:rsidR="00785A19" w:rsidRPr="0089172D">
        <w:rPr>
          <w:rFonts w:ascii="Times New Roman" w:eastAsia="Times New Roman" w:hAnsi="Times New Roman" w:cs="Times New Roman"/>
          <w:sz w:val="24"/>
          <w:szCs w:val="24"/>
          <w:lang w:eastAsia="hr-HR"/>
        </w:rPr>
        <w:t xml:space="preserve"> </w:t>
      </w:r>
      <w:r w:rsidR="000C1FDC" w:rsidRPr="0089172D">
        <w:rPr>
          <w:rFonts w:ascii="Times New Roman" w:eastAsia="Times New Roman" w:hAnsi="Times New Roman" w:cs="Times New Roman"/>
          <w:sz w:val="24"/>
          <w:szCs w:val="24"/>
          <w:lang w:eastAsia="hr-HR"/>
        </w:rPr>
        <w:t>150/11, 119/14, 93/16 i 116/18)</w:t>
      </w:r>
      <w:r w:rsidR="0089172D">
        <w:rPr>
          <w:rFonts w:ascii="Times New Roman" w:eastAsia="Times New Roman" w:hAnsi="Times New Roman" w:cs="Times New Roman"/>
          <w:sz w:val="24"/>
          <w:szCs w:val="24"/>
          <w:lang w:eastAsia="hr-HR"/>
        </w:rPr>
        <w:t>,</w:t>
      </w:r>
      <w:r w:rsidR="000C1FDC" w:rsidRPr="0089172D">
        <w:rPr>
          <w:rFonts w:ascii="Times New Roman" w:eastAsia="Times New Roman" w:hAnsi="Times New Roman" w:cs="Times New Roman"/>
          <w:sz w:val="24"/>
          <w:szCs w:val="24"/>
          <w:lang w:eastAsia="hr-HR"/>
        </w:rPr>
        <w:t xml:space="preserve"> </w:t>
      </w:r>
      <w:r w:rsidR="000377F2" w:rsidRPr="0089172D">
        <w:rPr>
          <w:rFonts w:ascii="Times New Roman" w:eastAsia="Times New Roman" w:hAnsi="Times New Roman" w:cs="Times New Roman"/>
          <w:sz w:val="24"/>
          <w:szCs w:val="24"/>
          <w:lang w:eastAsia="hr-HR"/>
        </w:rPr>
        <w:t>Vlada Republike Hrvatske je na sjednici održanoj __________ 2020. donijela</w:t>
      </w:r>
    </w:p>
    <w:p w14:paraId="39620BDC" w14:textId="77777777" w:rsidR="0089172D" w:rsidRDefault="0089172D" w:rsidP="0089172D">
      <w:pPr>
        <w:spacing w:after="0" w:line="240" w:lineRule="auto"/>
        <w:jc w:val="center"/>
        <w:textAlignment w:val="baseline"/>
        <w:rPr>
          <w:rFonts w:ascii="Times New Roman" w:eastAsia="Times New Roman" w:hAnsi="Times New Roman" w:cs="Times New Roman"/>
          <w:b/>
          <w:sz w:val="24"/>
          <w:szCs w:val="24"/>
          <w:lang w:eastAsia="hr-HR"/>
        </w:rPr>
      </w:pPr>
    </w:p>
    <w:p w14:paraId="016DC06E" w14:textId="77777777" w:rsidR="0089172D" w:rsidRDefault="0089172D" w:rsidP="0089172D">
      <w:pPr>
        <w:spacing w:after="0" w:line="240" w:lineRule="auto"/>
        <w:jc w:val="center"/>
        <w:textAlignment w:val="baseline"/>
        <w:rPr>
          <w:rFonts w:ascii="Times New Roman" w:eastAsia="Times New Roman" w:hAnsi="Times New Roman" w:cs="Times New Roman"/>
          <w:b/>
          <w:sz w:val="24"/>
          <w:szCs w:val="24"/>
          <w:lang w:eastAsia="hr-HR"/>
        </w:rPr>
      </w:pPr>
    </w:p>
    <w:p w14:paraId="6A7BF6B4" w14:textId="77777777" w:rsidR="00802DCD" w:rsidRPr="0089172D" w:rsidRDefault="00802DCD" w:rsidP="0089172D">
      <w:pPr>
        <w:spacing w:after="0" w:line="240" w:lineRule="auto"/>
        <w:jc w:val="center"/>
        <w:textAlignment w:val="baseline"/>
        <w:rPr>
          <w:rFonts w:ascii="Times New Roman" w:eastAsia="Times New Roman" w:hAnsi="Times New Roman" w:cs="Times New Roman"/>
          <w:b/>
          <w:sz w:val="24"/>
          <w:szCs w:val="24"/>
          <w:lang w:eastAsia="hr-HR"/>
        </w:rPr>
      </w:pPr>
    </w:p>
    <w:p w14:paraId="30B440D1" w14:textId="77777777" w:rsidR="0090024C" w:rsidRDefault="0090024C" w:rsidP="0089172D">
      <w:pPr>
        <w:spacing w:after="0" w:line="240" w:lineRule="auto"/>
        <w:jc w:val="center"/>
        <w:textAlignment w:val="baseline"/>
        <w:rPr>
          <w:rFonts w:ascii="Times New Roman" w:eastAsia="Times New Roman" w:hAnsi="Times New Roman" w:cs="Times New Roman"/>
          <w:b/>
          <w:bCs/>
          <w:sz w:val="24"/>
          <w:szCs w:val="24"/>
          <w:lang w:eastAsia="hr-HR"/>
        </w:rPr>
      </w:pPr>
      <w:r w:rsidRPr="0089172D">
        <w:rPr>
          <w:rFonts w:ascii="Times New Roman" w:eastAsia="Times New Roman" w:hAnsi="Times New Roman" w:cs="Times New Roman"/>
          <w:b/>
          <w:bCs/>
          <w:sz w:val="24"/>
          <w:szCs w:val="24"/>
          <w:lang w:eastAsia="hr-HR"/>
        </w:rPr>
        <w:t>O</w:t>
      </w:r>
      <w:r w:rsidR="0089172D">
        <w:rPr>
          <w:rFonts w:ascii="Times New Roman" w:eastAsia="Times New Roman" w:hAnsi="Times New Roman" w:cs="Times New Roman"/>
          <w:b/>
          <w:bCs/>
          <w:sz w:val="24"/>
          <w:szCs w:val="24"/>
          <w:lang w:eastAsia="hr-HR"/>
        </w:rPr>
        <w:t xml:space="preserve"> </w:t>
      </w:r>
      <w:r w:rsidRPr="0089172D">
        <w:rPr>
          <w:rFonts w:ascii="Times New Roman" w:eastAsia="Times New Roman" w:hAnsi="Times New Roman" w:cs="Times New Roman"/>
          <w:b/>
          <w:bCs/>
          <w:sz w:val="24"/>
          <w:szCs w:val="24"/>
          <w:lang w:eastAsia="hr-HR"/>
        </w:rPr>
        <w:t>D</w:t>
      </w:r>
      <w:r w:rsidR="0089172D">
        <w:rPr>
          <w:rFonts w:ascii="Times New Roman" w:eastAsia="Times New Roman" w:hAnsi="Times New Roman" w:cs="Times New Roman"/>
          <w:b/>
          <w:bCs/>
          <w:sz w:val="24"/>
          <w:szCs w:val="24"/>
          <w:lang w:eastAsia="hr-HR"/>
        </w:rPr>
        <w:t xml:space="preserve"> </w:t>
      </w:r>
      <w:r w:rsidRPr="0089172D">
        <w:rPr>
          <w:rFonts w:ascii="Times New Roman" w:eastAsia="Times New Roman" w:hAnsi="Times New Roman" w:cs="Times New Roman"/>
          <w:b/>
          <w:bCs/>
          <w:sz w:val="24"/>
          <w:szCs w:val="24"/>
          <w:lang w:eastAsia="hr-HR"/>
        </w:rPr>
        <w:t>L</w:t>
      </w:r>
      <w:r w:rsidR="0089172D">
        <w:rPr>
          <w:rFonts w:ascii="Times New Roman" w:eastAsia="Times New Roman" w:hAnsi="Times New Roman" w:cs="Times New Roman"/>
          <w:b/>
          <w:bCs/>
          <w:sz w:val="24"/>
          <w:szCs w:val="24"/>
          <w:lang w:eastAsia="hr-HR"/>
        </w:rPr>
        <w:t xml:space="preserve"> </w:t>
      </w:r>
      <w:r w:rsidRPr="0089172D">
        <w:rPr>
          <w:rFonts w:ascii="Times New Roman" w:eastAsia="Times New Roman" w:hAnsi="Times New Roman" w:cs="Times New Roman"/>
          <w:b/>
          <w:bCs/>
          <w:sz w:val="24"/>
          <w:szCs w:val="24"/>
          <w:lang w:eastAsia="hr-HR"/>
        </w:rPr>
        <w:t>U</w:t>
      </w:r>
      <w:r w:rsidR="0089172D">
        <w:rPr>
          <w:rFonts w:ascii="Times New Roman" w:eastAsia="Times New Roman" w:hAnsi="Times New Roman" w:cs="Times New Roman"/>
          <w:b/>
          <w:bCs/>
          <w:sz w:val="24"/>
          <w:szCs w:val="24"/>
          <w:lang w:eastAsia="hr-HR"/>
        </w:rPr>
        <w:t xml:space="preserve"> </w:t>
      </w:r>
      <w:r w:rsidRPr="0089172D">
        <w:rPr>
          <w:rFonts w:ascii="Times New Roman" w:eastAsia="Times New Roman" w:hAnsi="Times New Roman" w:cs="Times New Roman"/>
          <w:b/>
          <w:bCs/>
          <w:sz w:val="24"/>
          <w:szCs w:val="24"/>
          <w:lang w:eastAsia="hr-HR"/>
        </w:rPr>
        <w:t>K</w:t>
      </w:r>
      <w:r w:rsidR="0089172D">
        <w:rPr>
          <w:rFonts w:ascii="Times New Roman" w:eastAsia="Times New Roman" w:hAnsi="Times New Roman" w:cs="Times New Roman"/>
          <w:b/>
          <w:bCs/>
          <w:sz w:val="24"/>
          <w:szCs w:val="24"/>
          <w:lang w:eastAsia="hr-HR"/>
        </w:rPr>
        <w:t xml:space="preserve"> </w:t>
      </w:r>
      <w:r w:rsidRPr="0089172D">
        <w:rPr>
          <w:rFonts w:ascii="Times New Roman" w:eastAsia="Times New Roman" w:hAnsi="Times New Roman" w:cs="Times New Roman"/>
          <w:b/>
          <w:bCs/>
          <w:sz w:val="24"/>
          <w:szCs w:val="24"/>
          <w:lang w:eastAsia="hr-HR"/>
        </w:rPr>
        <w:t>U</w:t>
      </w:r>
    </w:p>
    <w:p w14:paraId="0E2766AC" w14:textId="77777777" w:rsidR="0089172D" w:rsidRPr="0089172D" w:rsidRDefault="0089172D" w:rsidP="0089172D">
      <w:pPr>
        <w:spacing w:after="0" w:line="240" w:lineRule="auto"/>
        <w:jc w:val="center"/>
        <w:textAlignment w:val="baseline"/>
        <w:rPr>
          <w:rFonts w:ascii="Times New Roman" w:eastAsia="Times New Roman" w:hAnsi="Times New Roman" w:cs="Times New Roman"/>
          <w:b/>
          <w:bCs/>
          <w:sz w:val="24"/>
          <w:szCs w:val="24"/>
          <w:lang w:eastAsia="hr-HR"/>
        </w:rPr>
      </w:pPr>
    </w:p>
    <w:p w14:paraId="189A98AC" w14:textId="77777777" w:rsidR="0090024C" w:rsidRPr="0089172D" w:rsidRDefault="0089172D" w:rsidP="0089172D">
      <w:pPr>
        <w:spacing w:after="0" w:line="240" w:lineRule="auto"/>
        <w:jc w:val="center"/>
        <w:textAlignment w:val="baseline"/>
        <w:rPr>
          <w:rFonts w:ascii="Times New Roman" w:eastAsia="Times New Roman" w:hAnsi="Times New Roman" w:cs="Times New Roman"/>
          <w:b/>
          <w:bCs/>
          <w:sz w:val="24"/>
          <w:szCs w:val="24"/>
          <w:lang w:eastAsia="hr-HR"/>
        </w:rPr>
      </w:pPr>
      <w:r w:rsidRPr="0089172D">
        <w:rPr>
          <w:rFonts w:ascii="Times New Roman" w:eastAsia="Times New Roman" w:hAnsi="Times New Roman" w:cs="Times New Roman"/>
          <w:b/>
          <w:bCs/>
          <w:sz w:val="24"/>
          <w:szCs w:val="24"/>
          <w:lang w:eastAsia="hr-HR"/>
        </w:rPr>
        <w:t>o usvajanju Programa dodjele državnih potpora sektoru mora, prometa, prometne infrastrukture i povezanim djelatnostima u aktualnoj pandemiji COVID-a 19</w:t>
      </w:r>
    </w:p>
    <w:p w14:paraId="7DDFBD32" w14:textId="77777777" w:rsidR="0089172D" w:rsidRDefault="0089172D" w:rsidP="0089172D">
      <w:pPr>
        <w:spacing w:after="0" w:line="240" w:lineRule="auto"/>
        <w:jc w:val="center"/>
        <w:textAlignment w:val="baseline"/>
        <w:rPr>
          <w:rFonts w:ascii="Times New Roman" w:eastAsia="Times New Roman" w:hAnsi="Times New Roman" w:cs="Times New Roman"/>
          <w:b/>
          <w:sz w:val="24"/>
          <w:szCs w:val="24"/>
          <w:lang w:eastAsia="hr-HR"/>
        </w:rPr>
      </w:pPr>
    </w:p>
    <w:p w14:paraId="0B6A28A5" w14:textId="77777777" w:rsidR="0089172D" w:rsidRDefault="0089172D" w:rsidP="0089172D">
      <w:pPr>
        <w:spacing w:after="0" w:line="240" w:lineRule="auto"/>
        <w:jc w:val="center"/>
        <w:textAlignment w:val="baseline"/>
        <w:rPr>
          <w:rFonts w:ascii="Times New Roman" w:eastAsia="Times New Roman" w:hAnsi="Times New Roman" w:cs="Times New Roman"/>
          <w:b/>
          <w:sz w:val="24"/>
          <w:szCs w:val="24"/>
          <w:lang w:eastAsia="hr-HR"/>
        </w:rPr>
      </w:pPr>
    </w:p>
    <w:p w14:paraId="02A5F0A0" w14:textId="77777777" w:rsidR="00802DCD" w:rsidRPr="0089172D" w:rsidRDefault="00802DCD" w:rsidP="0089172D">
      <w:pPr>
        <w:spacing w:after="0" w:line="240" w:lineRule="auto"/>
        <w:jc w:val="center"/>
        <w:textAlignment w:val="baseline"/>
        <w:rPr>
          <w:rFonts w:ascii="Times New Roman" w:eastAsia="Times New Roman" w:hAnsi="Times New Roman" w:cs="Times New Roman"/>
          <w:b/>
          <w:sz w:val="24"/>
          <w:szCs w:val="24"/>
          <w:lang w:eastAsia="hr-HR"/>
        </w:rPr>
      </w:pPr>
    </w:p>
    <w:p w14:paraId="330CE3D2" w14:textId="77777777" w:rsidR="0090024C" w:rsidRDefault="00136E0B" w:rsidP="0089172D">
      <w:pPr>
        <w:spacing w:after="0" w:line="240" w:lineRule="auto"/>
        <w:jc w:val="center"/>
        <w:textAlignment w:val="baseline"/>
        <w:rPr>
          <w:rFonts w:ascii="Times New Roman" w:eastAsia="Times New Roman" w:hAnsi="Times New Roman" w:cs="Times New Roman"/>
          <w:b/>
          <w:sz w:val="24"/>
          <w:szCs w:val="24"/>
          <w:lang w:eastAsia="hr-HR"/>
        </w:rPr>
      </w:pPr>
      <w:r w:rsidRPr="0089172D">
        <w:rPr>
          <w:rFonts w:ascii="Times New Roman" w:eastAsia="Times New Roman" w:hAnsi="Times New Roman" w:cs="Times New Roman"/>
          <w:b/>
          <w:sz w:val="24"/>
          <w:szCs w:val="24"/>
          <w:lang w:eastAsia="hr-HR"/>
        </w:rPr>
        <w:t>I.</w:t>
      </w:r>
    </w:p>
    <w:p w14:paraId="108CC3E3" w14:textId="77777777" w:rsidR="0089172D" w:rsidRPr="0089172D" w:rsidRDefault="0089172D" w:rsidP="0089172D">
      <w:pPr>
        <w:spacing w:after="0" w:line="240" w:lineRule="auto"/>
        <w:jc w:val="center"/>
        <w:textAlignment w:val="baseline"/>
        <w:rPr>
          <w:rFonts w:ascii="Times New Roman" w:eastAsia="Times New Roman" w:hAnsi="Times New Roman" w:cs="Times New Roman"/>
          <w:b/>
          <w:sz w:val="24"/>
          <w:szCs w:val="24"/>
          <w:lang w:eastAsia="hr-HR"/>
        </w:rPr>
      </w:pPr>
    </w:p>
    <w:p w14:paraId="0343A8B8" w14:textId="77777777" w:rsidR="00E40A74" w:rsidRDefault="006E755A" w:rsidP="0089172D">
      <w:pPr>
        <w:spacing w:after="0" w:line="240" w:lineRule="auto"/>
        <w:ind w:firstLine="1418"/>
        <w:jc w:val="both"/>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Usvaja se</w:t>
      </w:r>
      <w:r w:rsidR="00266A3A" w:rsidRPr="0089172D">
        <w:rPr>
          <w:rFonts w:ascii="Times New Roman" w:eastAsia="Times New Roman" w:hAnsi="Times New Roman" w:cs="Times New Roman"/>
          <w:sz w:val="24"/>
          <w:szCs w:val="24"/>
          <w:lang w:eastAsia="hr-HR"/>
        </w:rPr>
        <w:t xml:space="preserve"> </w:t>
      </w:r>
      <w:r w:rsidRPr="0089172D">
        <w:rPr>
          <w:rFonts w:ascii="Times New Roman" w:eastAsia="Times New Roman" w:hAnsi="Times New Roman" w:cs="Times New Roman"/>
          <w:sz w:val="24"/>
          <w:szCs w:val="24"/>
          <w:lang w:eastAsia="hr-HR"/>
        </w:rPr>
        <w:t xml:space="preserve">Program </w:t>
      </w:r>
      <w:r w:rsidR="0058372B" w:rsidRPr="0089172D">
        <w:rPr>
          <w:rFonts w:ascii="Times New Roman" w:eastAsia="Times New Roman" w:hAnsi="Times New Roman" w:cs="Times New Roman"/>
          <w:sz w:val="24"/>
          <w:szCs w:val="24"/>
          <w:lang w:eastAsia="hr-HR"/>
        </w:rPr>
        <w:t>dodjele državnih potpora sektoru mora, prometa, prometne infrastrukture i povezanim djelatnostima u aktualnoj pandemiji COVID-a 19</w:t>
      </w:r>
      <w:r w:rsidR="00C32987" w:rsidRPr="0089172D">
        <w:rPr>
          <w:rFonts w:ascii="Times New Roman" w:eastAsia="Times New Roman" w:hAnsi="Times New Roman" w:cs="Times New Roman"/>
          <w:sz w:val="24"/>
          <w:szCs w:val="24"/>
          <w:lang w:eastAsia="hr-HR"/>
        </w:rPr>
        <w:t xml:space="preserve"> (</w:t>
      </w:r>
      <w:r w:rsidR="0089172D">
        <w:rPr>
          <w:rFonts w:ascii="Times New Roman" w:eastAsia="Times New Roman" w:hAnsi="Times New Roman" w:cs="Times New Roman"/>
          <w:sz w:val="24"/>
          <w:szCs w:val="24"/>
          <w:lang w:eastAsia="hr-HR"/>
        </w:rPr>
        <w:t xml:space="preserve">u </w:t>
      </w:r>
      <w:r w:rsidR="00C32987" w:rsidRPr="0089172D">
        <w:rPr>
          <w:rFonts w:ascii="Times New Roman" w:eastAsia="Times New Roman" w:hAnsi="Times New Roman" w:cs="Times New Roman"/>
          <w:sz w:val="24"/>
          <w:szCs w:val="24"/>
          <w:lang w:eastAsia="hr-HR"/>
        </w:rPr>
        <w:t>dalj</w:t>
      </w:r>
      <w:r w:rsidR="0089172D">
        <w:rPr>
          <w:rFonts w:ascii="Times New Roman" w:eastAsia="Times New Roman" w:hAnsi="Times New Roman" w:cs="Times New Roman"/>
          <w:sz w:val="24"/>
          <w:szCs w:val="24"/>
          <w:lang w:eastAsia="hr-HR"/>
        </w:rPr>
        <w:t>njem tekstu:</w:t>
      </w:r>
      <w:r w:rsidR="00C32987" w:rsidRPr="0089172D">
        <w:rPr>
          <w:rFonts w:ascii="Times New Roman" w:eastAsia="Times New Roman" w:hAnsi="Times New Roman" w:cs="Times New Roman"/>
          <w:sz w:val="24"/>
          <w:szCs w:val="24"/>
          <w:lang w:eastAsia="hr-HR"/>
        </w:rPr>
        <w:t xml:space="preserve"> Program)</w:t>
      </w:r>
      <w:r w:rsidR="0089172D">
        <w:rPr>
          <w:rFonts w:ascii="Times New Roman" w:eastAsia="Times New Roman" w:hAnsi="Times New Roman" w:cs="Times New Roman"/>
          <w:sz w:val="24"/>
          <w:szCs w:val="24"/>
          <w:lang w:eastAsia="hr-HR"/>
        </w:rPr>
        <w:t>,</w:t>
      </w:r>
      <w:r w:rsidR="000C1FDC" w:rsidRPr="0089172D">
        <w:rPr>
          <w:rFonts w:ascii="Times New Roman" w:eastAsia="Times New Roman" w:hAnsi="Times New Roman" w:cs="Times New Roman"/>
          <w:sz w:val="24"/>
          <w:szCs w:val="24"/>
          <w:lang w:eastAsia="hr-HR"/>
        </w:rPr>
        <w:t xml:space="preserve"> odobren od strane</w:t>
      </w:r>
      <w:r w:rsidRPr="0089172D">
        <w:rPr>
          <w:rFonts w:ascii="Times New Roman" w:eastAsia="Times New Roman" w:hAnsi="Times New Roman" w:cs="Times New Roman"/>
          <w:sz w:val="24"/>
          <w:szCs w:val="24"/>
          <w:lang w:eastAsia="hr-HR"/>
        </w:rPr>
        <w:t xml:space="preserve"> </w:t>
      </w:r>
      <w:r w:rsidR="000C1FDC" w:rsidRPr="0089172D">
        <w:rPr>
          <w:rFonts w:ascii="Times New Roman" w:eastAsia="Times New Roman" w:hAnsi="Times New Roman" w:cs="Times New Roman"/>
          <w:sz w:val="24"/>
          <w:szCs w:val="24"/>
          <w:lang w:eastAsia="hr-HR"/>
        </w:rPr>
        <w:t xml:space="preserve">Europske </w:t>
      </w:r>
      <w:r w:rsidR="0089172D">
        <w:rPr>
          <w:rFonts w:ascii="Times New Roman" w:eastAsia="Times New Roman" w:hAnsi="Times New Roman" w:cs="Times New Roman"/>
          <w:sz w:val="24"/>
          <w:szCs w:val="24"/>
          <w:lang w:eastAsia="hr-HR"/>
        </w:rPr>
        <w:t>k</w:t>
      </w:r>
      <w:r w:rsidR="000C1FDC" w:rsidRPr="0089172D">
        <w:rPr>
          <w:rFonts w:ascii="Times New Roman" w:eastAsia="Times New Roman" w:hAnsi="Times New Roman" w:cs="Times New Roman"/>
          <w:sz w:val="24"/>
          <w:szCs w:val="24"/>
          <w:lang w:eastAsia="hr-HR"/>
        </w:rPr>
        <w:t>omisi</w:t>
      </w:r>
      <w:r w:rsidR="00CC7107" w:rsidRPr="0089172D">
        <w:rPr>
          <w:rFonts w:ascii="Times New Roman" w:eastAsia="Times New Roman" w:hAnsi="Times New Roman" w:cs="Times New Roman"/>
          <w:sz w:val="24"/>
          <w:szCs w:val="24"/>
          <w:lang w:eastAsia="hr-HR"/>
        </w:rPr>
        <w:t xml:space="preserve">je </w:t>
      </w:r>
      <w:r w:rsidR="0089172D">
        <w:rPr>
          <w:rFonts w:ascii="Times New Roman" w:eastAsia="Times New Roman" w:hAnsi="Times New Roman" w:cs="Times New Roman"/>
          <w:sz w:val="24"/>
          <w:szCs w:val="24"/>
          <w:lang w:eastAsia="hr-HR"/>
        </w:rPr>
        <w:t>30. lipnja 2020., a</w:t>
      </w:r>
      <w:r w:rsidR="00CC7107" w:rsidRPr="0089172D">
        <w:rPr>
          <w:rFonts w:ascii="Times New Roman" w:eastAsia="Times New Roman" w:hAnsi="Times New Roman" w:cs="Times New Roman"/>
          <w:sz w:val="24"/>
          <w:szCs w:val="24"/>
          <w:lang w:eastAsia="hr-HR"/>
        </w:rPr>
        <w:t xml:space="preserve"> sukladn</w:t>
      </w:r>
      <w:r w:rsidR="0089172D">
        <w:rPr>
          <w:rFonts w:ascii="Times New Roman" w:eastAsia="Times New Roman" w:hAnsi="Times New Roman" w:cs="Times New Roman"/>
          <w:sz w:val="24"/>
          <w:szCs w:val="24"/>
          <w:lang w:eastAsia="hr-HR"/>
        </w:rPr>
        <w:t>o</w:t>
      </w:r>
      <w:r w:rsidR="00CC7107" w:rsidRPr="0089172D">
        <w:rPr>
          <w:rFonts w:ascii="Times New Roman" w:eastAsia="Times New Roman" w:hAnsi="Times New Roman" w:cs="Times New Roman"/>
          <w:sz w:val="24"/>
          <w:szCs w:val="24"/>
          <w:lang w:eastAsia="hr-HR"/>
        </w:rPr>
        <w:t xml:space="preserve"> Komunikaciji Komisije </w:t>
      </w:r>
      <w:r w:rsidR="0089172D">
        <w:rPr>
          <w:rFonts w:ascii="Times New Roman" w:eastAsia="Times New Roman" w:hAnsi="Times New Roman" w:cs="Times New Roman"/>
          <w:sz w:val="24"/>
          <w:szCs w:val="24"/>
          <w:lang w:eastAsia="hr-HR"/>
        </w:rPr>
        <w:t>-</w:t>
      </w:r>
      <w:r w:rsidR="00CC7107" w:rsidRPr="0089172D">
        <w:rPr>
          <w:rFonts w:ascii="Times New Roman" w:eastAsia="Times New Roman" w:hAnsi="Times New Roman" w:cs="Times New Roman"/>
          <w:sz w:val="24"/>
          <w:szCs w:val="24"/>
          <w:lang w:eastAsia="hr-HR"/>
        </w:rPr>
        <w:t xml:space="preserve"> Privremen</w:t>
      </w:r>
      <w:r w:rsidR="0089172D">
        <w:rPr>
          <w:rFonts w:ascii="Times New Roman" w:eastAsia="Times New Roman" w:hAnsi="Times New Roman" w:cs="Times New Roman"/>
          <w:sz w:val="24"/>
          <w:szCs w:val="24"/>
          <w:lang w:eastAsia="hr-HR"/>
        </w:rPr>
        <w:t>om</w:t>
      </w:r>
      <w:r w:rsidR="00CC7107" w:rsidRPr="0089172D">
        <w:rPr>
          <w:rFonts w:ascii="Times New Roman" w:eastAsia="Times New Roman" w:hAnsi="Times New Roman" w:cs="Times New Roman"/>
          <w:sz w:val="24"/>
          <w:szCs w:val="24"/>
          <w:lang w:eastAsia="hr-HR"/>
        </w:rPr>
        <w:t xml:space="preserve"> okvir</w:t>
      </w:r>
      <w:r w:rsidR="0089172D">
        <w:rPr>
          <w:rFonts w:ascii="Times New Roman" w:eastAsia="Times New Roman" w:hAnsi="Times New Roman" w:cs="Times New Roman"/>
          <w:sz w:val="24"/>
          <w:szCs w:val="24"/>
          <w:lang w:eastAsia="hr-HR"/>
        </w:rPr>
        <w:t>u</w:t>
      </w:r>
      <w:r w:rsidR="00CC7107" w:rsidRPr="0089172D">
        <w:rPr>
          <w:rFonts w:ascii="Times New Roman" w:eastAsia="Times New Roman" w:hAnsi="Times New Roman" w:cs="Times New Roman"/>
          <w:sz w:val="24"/>
          <w:szCs w:val="24"/>
          <w:lang w:eastAsia="hr-HR"/>
        </w:rPr>
        <w:t xml:space="preserve"> za mjere državne potpore u svrhu podrške gospodarstv</w:t>
      </w:r>
      <w:r w:rsidR="0089172D">
        <w:rPr>
          <w:rFonts w:ascii="Times New Roman" w:eastAsia="Times New Roman" w:hAnsi="Times New Roman" w:cs="Times New Roman"/>
          <w:sz w:val="24"/>
          <w:szCs w:val="24"/>
          <w:lang w:eastAsia="hr-HR"/>
        </w:rPr>
        <w:t xml:space="preserve">u </w:t>
      </w:r>
      <w:r w:rsidR="00CC7107" w:rsidRPr="0089172D">
        <w:rPr>
          <w:rFonts w:ascii="Times New Roman" w:eastAsia="Times New Roman" w:hAnsi="Times New Roman" w:cs="Times New Roman"/>
          <w:sz w:val="24"/>
          <w:szCs w:val="24"/>
          <w:lang w:eastAsia="hr-HR"/>
        </w:rPr>
        <w:t>u aktualno</w:t>
      </w:r>
      <w:r w:rsidR="004F05D5" w:rsidRPr="0089172D">
        <w:rPr>
          <w:rFonts w:ascii="Times New Roman" w:eastAsia="Times New Roman" w:hAnsi="Times New Roman" w:cs="Times New Roman"/>
          <w:sz w:val="24"/>
          <w:szCs w:val="24"/>
          <w:lang w:eastAsia="hr-HR"/>
        </w:rPr>
        <w:t>j pandemiji COVID</w:t>
      </w:r>
      <w:r w:rsidR="00E40A74">
        <w:rPr>
          <w:rFonts w:ascii="Times New Roman" w:eastAsia="Times New Roman" w:hAnsi="Times New Roman" w:cs="Times New Roman"/>
          <w:sz w:val="24"/>
          <w:szCs w:val="24"/>
          <w:lang w:eastAsia="hr-HR"/>
        </w:rPr>
        <w:t>-</w:t>
      </w:r>
      <w:r w:rsidR="004F05D5" w:rsidRPr="0089172D">
        <w:rPr>
          <w:rFonts w:ascii="Times New Roman" w:eastAsia="Times New Roman" w:hAnsi="Times New Roman" w:cs="Times New Roman"/>
          <w:sz w:val="24"/>
          <w:szCs w:val="24"/>
          <w:lang w:eastAsia="hr-HR"/>
        </w:rPr>
        <w:t>19</w:t>
      </w:r>
      <w:r w:rsidR="00E40A74">
        <w:rPr>
          <w:rFonts w:ascii="Times New Roman" w:eastAsia="Times New Roman" w:hAnsi="Times New Roman" w:cs="Times New Roman"/>
          <w:sz w:val="24"/>
          <w:szCs w:val="24"/>
          <w:lang w:eastAsia="hr-HR"/>
        </w:rPr>
        <w:t>,</w:t>
      </w:r>
      <w:r w:rsidR="004F05D5" w:rsidRPr="0089172D">
        <w:rPr>
          <w:rFonts w:ascii="Times New Roman" w:eastAsia="Times New Roman" w:hAnsi="Times New Roman" w:cs="Times New Roman"/>
          <w:sz w:val="24"/>
          <w:szCs w:val="24"/>
          <w:lang w:eastAsia="hr-HR"/>
        </w:rPr>
        <w:t xml:space="preserve"> od 19. ožujka </w:t>
      </w:r>
      <w:r w:rsidR="00CC7107" w:rsidRPr="0089172D">
        <w:rPr>
          <w:rFonts w:ascii="Times New Roman" w:eastAsia="Times New Roman" w:hAnsi="Times New Roman" w:cs="Times New Roman"/>
          <w:sz w:val="24"/>
          <w:szCs w:val="24"/>
          <w:lang w:eastAsia="hr-HR"/>
        </w:rPr>
        <w:t>2020</w:t>
      </w:r>
      <w:r w:rsidR="004F05D5" w:rsidRPr="0089172D">
        <w:rPr>
          <w:rFonts w:ascii="Times New Roman" w:eastAsia="Times New Roman" w:hAnsi="Times New Roman" w:cs="Times New Roman"/>
          <w:sz w:val="24"/>
          <w:szCs w:val="24"/>
          <w:lang w:eastAsia="hr-HR"/>
        </w:rPr>
        <w:t xml:space="preserve">. </w:t>
      </w:r>
      <w:r w:rsidR="00E40A74">
        <w:rPr>
          <w:rFonts w:ascii="Times New Roman" w:eastAsia="Times New Roman" w:hAnsi="Times New Roman" w:cs="Times New Roman"/>
          <w:sz w:val="24"/>
          <w:szCs w:val="24"/>
          <w:lang w:eastAsia="hr-HR"/>
        </w:rPr>
        <w:t>i njezinim i</w:t>
      </w:r>
      <w:r w:rsidR="004F05D5" w:rsidRPr="0089172D">
        <w:rPr>
          <w:rFonts w:ascii="Times New Roman" w:eastAsia="Times New Roman" w:hAnsi="Times New Roman" w:cs="Times New Roman"/>
          <w:sz w:val="24"/>
          <w:szCs w:val="24"/>
          <w:lang w:eastAsia="hr-HR"/>
        </w:rPr>
        <w:t>zmjenama od 3. travnja 2020. i 8. svibnja 2</w:t>
      </w:r>
      <w:r w:rsidR="00CC7107" w:rsidRPr="0089172D">
        <w:rPr>
          <w:rFonts w:ascii="Times New Roman" w:eastAsia="Times New Roman" w:hAnsi="Times New Roman" w:cs="Times New Roman"/>
          <w:sz w:val="24"/>
          <w:szCs w:val="24"/>
          <w:lang w:eastAsia="hr-HR"/>
        </w:rPr>
        <w:t>020.</w:t>
      </w:r>
    </w:p>
    <w:p w14:paraId="55AC58BC" w14:textId="77777777" w:rsidR="00CC7107" w:rsidRPr="0089172D" w:rsidRDefault="00CC7107" w:rsidP="0089172D">
      <w:pPr>
        <w:spacing w:after="0" w:line="240" w:lineRule="auto"/>
        <w:ind w:firstLine="1418"/>
        <w:jc w:val="both"/>
        <w:rPr>
          <w:rFonts w:ascii="Times New Roman" w:eastAsia="Times New Roman" w:hAnsi="Times New Roman" w:cs="Times New Roman"/>
          <w:sz w:val="24"/>
          <w:szCs w:val="24"/>
          <w:lang w:eastAsia="hr-HR"/>
        </w:rPr>
      </w:pPr>
    </w:p>
    <w:p w14:paraId="4FD4FF7C" w14:textId="77777777" w:rsidR="00075F9A" w:rsidRDefault="00075F9A" w:rsidP="00E40A74">
      <w:pPr>
        <w:spacing w:after="0" w:line="240" w:lineRule="auto"/>
        <w:ind w:firstLine="1418"/>
        <w:jc w:val="both"/>
        <w:rPr>
          <w:rFonts w:ascii="Times New Roman" w:eastAsia="Times New Roman" w:hAnsi="Times New Roman" w:cs="Times New Roman"/>
          <w:sz w:val="24"/>
          <w:szCs w:val="24"/>
          <w:lang w:eastAsia="hr-HR"/>
        </w:rPr>
      </w:pPr>
      <w:r w:rsidRPr="0089172D">
        <w:rPr>
          <w:rFonts w:ascii="Times New Roman" w:eastAsia="Times New Roman" w:hAnsi="Times New Roman" w:cs="Times New Roman"/>
          <w:sz w:val="24"/>
          <w:szCs w:val="24"/>
          <w:lang w:eastAsia="hr-HR"/>
        </w:rPr>
        <w:t>Program je sastavni dio ove Odluke.</w:t>
      </w:r>
    </w:p>
    <w:p w14:paraId="395A2B10" w14:textId="77777777" w:rsidR="00E40A74" w:rsidRPr="00802DCD" w:rsidRDefault="00E40A74" w:rsidP="00E40A74">
      <w:pPr>
        <w:spacing w:after="0" w:line="240" w:lineRule="auto"/>
        <w:jc w:val="both"/>
        <w:rPr>
          <w:rFonts w:ascii="Times New Roman" w:eastAsia="Times New Roman" w:hAnsi="Times New Roman" w:cs="Times New Roman"/>
          <w:b/>
          <w:sz w:val="24"/>
          <w:szCs w:val="24"/>
          <w:lang w:eastAsia="hr-HR"/>
        </w:rPr>
      </w:pPr>
    </w:p>
    <w:p w14:paraId="5332D7AF" w14:textId="77777777" w:rsidR="00AE0BC1" w:rsidRDefault="00AE0BC1" w:rsidP="00E40A74">
      <w:pPr>
        <w:spacing w:after="0" w:line="240" w:lineRule="auto"/>
        <w:jc w:val="center"/>
        <w:rPr>
          <w:rFonts w:ascii="Times New Roman" w:hAnsi="Times New Roman" w:cs="Times New Roman"/>
          <w:b/>
          <w:sz w:val="24"/>
          <w:szCs w:val="24"/>
        </w:rPr>
      </w:pPr>
      <w:r w:rsidRPr="0089172D">
        <w:rPr>
          <w:rFonts w:ascii="Times New Roman" w:hAnsi="Times New Roman" w:cs="Times New Roman"/>
          <w:b/>
          <w:sz w:val="24"/>
          <w:szCs w:val="24"/>
        </w:rPr>
        <w:t>II.</w:t>
      </w:r>
    </w:p>
    <w:p w14:paraId="60892A5E" w14:textId="77777777" w:rsidR="00E40A74" w:rsidRPr="0089172D" w:rsidRDefault="00E40A74" w:rsidP="00E40A74">
      <w:pPr>
        <w:spacing w:after="0" w:line="240" w:lineRule="auto"/>
        <w:jc w:val="both"/>
        <w:rPr>
          <w:rFonts w:ascii="Times New Roman" w:hAnsi="Times New Roman" w:cs="Times New Roman"/>
          <w:b/>
          <w:sz w:val="24"/>
          <w:szCs w:val="24"/>
        </w:rPr>
      </w:pPr>
    </w:p>
    <w:p w14:paraId="092B312B" w14:textId="77777777" w:rsidR="00AE0BC1" w:rsidRPr="0089172D" w:rsidRDefault="00AE0BC1" w:rsidP="00802DCD">
      <w:pPr>
        <w:spacing w:after="0" w:line="240" w:lineRule="auto"/>
        <w:ind w:firstLine="1418"/>
        <w:jc w:val="both"/>
        <w:rPr>
          <w:rFonts w:ascii="Times New Roman" w:hAnsi="Times New Roman" w:cs="Times New Roman"/>
          <w:sz w:val="24"/>
          <w:szCs w:val="24"/>
        </w:rPr>
      </w:pPr>
      <w:r w:rsidRPr="0089172D">
        <w:rPr>
          <w:rFonts w:ascii="Times New Roman" w:hAnsi="Times New Roman" w:cs="Times New Roman"/>
          <w:sz w:val="24"/>
          <w:szCs w:val="24"/>
        </w:rPr>
        <w:t>Ukupni iznos državnih jamstava</w:t>
      </w:r>
      <w:r w:rsidR="00802DCD">
        <w:rPr>
          <w:rFonts w:ascii="Times New Roman" w:hAnsi="Times New Roman" w:cs="Times New Roman"/>
          <w:sz w:val="24"/>
          <w:szCs w:val="24"/>
        </w:rPr>
        <w:t>,</w:t>
      </w:r>
      <w:r w:rsidRPr="0089172D">
        <w:rPr>
          <w:rFonts w:ascii="Times New Roman" w:hAnsi="Times New Roman" w:cs="Times New Roman"/>
          <w:sz w:val="24"/>
          <w:szCs w:val="24"/>
        </w:rPr>
        <w:t xml:space="preserve"> koje će odobravati </w:t>
      </w:r>
      <w:r w:rsidR="00131CCC" w:rsidRPr="0089172D">
        <w:rPr>
          <w:rFonts w:ascii="Times New Roman" w:hAnsi="Times New Roman" w:cs="Times New Roman"/>
          <w:sz w:val="24"/>
          <w:szCs w:val="24"/>
        </w:rPr>
        <w:t>Hrvatska banka za obnovu i razvitak (</w:t>
      </w:r>
      <w:r w:rsidR="00802DCD">
        <w:rPr>
          <w:rFonts w:ascii="Times New Roman" w:hAnsi="Times New Roman" w:cs="Times New Roman"/>
          <w:sz w:val="24"/>
          <w:szCs w:val="24"/>
        </w:rPr>
        <w:t xml:space="preserve">u </w:t>
      </w:r>
      <w:r w:rsidR="00131CCC" w:rsidRPr="0089172D">
        <w:rPr>
          <w:rFonts w:ascii="Times New Roman" w:hAnsi="Times New Roman" w:cs="Times New Roman"/>
          <w:sz w:val="24"/>
          <w:szCs w:val="24"/>
        </w:rPr>
        <w:t>dalj</w:t>
      </w:r>
      <w:r w:rsidR="00802DCD">
        <w:rPr>
          <w:rFonts w:ascii="Times New Roman" w:hAnsi="Times New Roman" w:cs="Times New Roman"/>
          <w:sz w:val="24"/>
          <w:szCs w:val="24"/>
        </w:rPr>
        <w:t>njem tekstu</w:t>
      </w:r>
      <w:r w:rsidR="00131CCC" w:rsidRPr="0089172D">
        <w:rPr>
          <w:rFonts w:ascii="Times New Roman" w:hAnsi="Times New Roman" w:cs="Times New Roman"/>
          <w:sz w:val="24"/>
          <w:szCs w:val="24"/>
        </w:rPr>
        <w:t xml:space="preserve">: </w:t>
      </w:r>
      <w:r w:rsidRPr="0089172D">
        <w:rPr>
          <w:rFonts w:ascii="Times New Roman" w:hAnsi="Times New Roman" w:cs="Times New Roman"/>
          <w:sz w:val="24"/>
          <w:szCs w:val="24"/>
        </w:rPr>
        <w:t>HBOR</w:t>
      </w:r>
      <w:r w:rsidR="00131CCC" w:rsidRPr="0089172D">
        <w:rPr>
          <w:rFonts w:ascii="Times New Roman" w:hAnsi="Times New Roman" w:cs="Times New Roman"/>
          <w:sz w:val="24"/>
          <w:szCs w:val="24"/>
        </w:rPr>
        <w:t>)</w:t>
      </w:r>
      <w:r w:rsidRPr="0089172D">
        <w:rPr>
          <w:rFonts w:ascii="Times New Roman" w:hAnsi="Times New Roman" w:cs="Times New Roman"/>
          <w:sz w:val="24"/>
          <w:szCs w:val="24"/>
        </w:rPr>
        <w:t xml:space="preserve"> i </w:t>
      </w:r>
      <w:r w:rsidR="00131CCC" w:rsidRPr="0089172D">
        <w:rPr>
          <w:rFonts w:ascii="Times New Roman" w:hAnsi="Times New Roman" w:cs="Times New Roman"/>
          <w:sz w:val="24"/>
          <w:szCs w:val="24"/>
        </w:rPr>
        <w:t>Hrvatska agencija za malo gospodarstvo, inovacije i investicije (</w:t>
      </w:r>
      <w:r w:rsidR="00802DCD">
        <w:rPr>
          <w:rFonts w:ascii="Times New Roman" w:hAnsi="Times New Roman" w:cs="Times New Roman"/>
          <w:sz w:val="24"/>
          <w:szCs w:val="24"/>
        </w:rPr>
        <w:t xml:space="preserve">u </w:t>
      </w:r>
      <w:r w:rsidR="00131CCC" w:rsidRPr="0089172D">
        <w:rPr>
          <w:rFonts w:ascii="Times New Roman" w:hAnsi="Times New Roman" w:cs="Times New Roman"/>
          <w:sz w:val="24"/>
          <w:szCs w:val="24"/>
        </w:rPr>
        <w:t>dalj</w:t>
      </w:r>
      <w:r w:rsidR="00802DCD">
        <w:rPr>
          <w:rFonts w:ascii="Times New Roman" w:hAnsi="Times New Roman" w:cs="Times New Roman"/>
          <w:sz w:val="24"/>
          <w:szCs w:val="24"/>
        </w:rPr>
        <w:t>nj</w:t>
      </w:r>
      <w:r w:rsidR="00131CCC" w:rsidRPr="0089172D">
        <w:rPr>
          <w:rFonts w:ascii="Times New Roman" w:hAnsi="Times New Roman" w:cs="Times New Roman"/>
          <w:sz w:val="24"/>
          <w:szCs w:val="24"/>
        </w:rPr>
        <w:t>e</w:t>
      </w:r>
      <w:r w:rsidR="00802DCD">
        <w:rPr>
          <w:rFonts w:ascii="Times New Roman" w:hAnsi="Times New Roman" w:cs="Times New Roman"/>
          <w:sz w:val="24"/>
          <w:szCs w:val="24"/>
        </w:rPr>
        <w:t>m tekstu</w:t>
      </w:r>
      <w:r w:rsidR="00131CCC" w:rsidRPr="0089172D">
        <w:rPr>
          <w:rFonts w:ascii="Times New Roman" w:hAnsi="Times New Roman" w:cs="Times New Roman"/>
          <w:sz w:val="24"/>
          <w:szCs w:val="24"/>
        </w:rPr>
        <w:t>:</w:t>
      </w:r>
      <w:r w:rsidR="00486145" w:rsidRPr="0089172D">
        <w:rPr>
          <w:rFonts w:ascii="Times New Roman" w:hAnsi="Times New Roman" w:cs="Times New Roman"/>
          <w:sz w:val="24"/>
          <w:szCs w:val="24"/>
        </w:rPr>
        <w:t xml:space="preserve"> </w:t>
      </w:r>
      <w:r w:rsidRPr="0089172D">
        <w:rPr>
          <w:rFonts w:ascii="Times New Roman" w:hAnsi="Times New Roman" w:cs="Times New Roman"/>
          <w:sz w:val="24"/>
          <w:szCs w:val="24"/>
        </w:rPr>
        <w:t>HAMAG</w:t>
      </w:r>
      <w:r w:rsidR="00802DCD">
        <w:rPr>
          <w:rFonts w:ascii="Times New Roman" w:hAnsi="Times New Roman" w:cs="Times New Roman"/>
          <w:sz w:val="24"/>
          <w:szCs w:val="24"/>
        </w:rPr>
        <w:t>-</w:t>
      </w:r>
      <w:r w:rsidRPr="0089172D">
        <w:rPr>
          <w:rFonts w:ascii="Times New Roman" w:hAnsi="Times New Roman" w:cs="Times New Roman"/>
          <w:sz w:val="24"/>
          <w:szCs w:val="24"/>
        </w:rPr>
        <w:t>BICRO</w:t>
      </w:r>
      <w:r w:rsidR="00131CCC" w:rsidRPr="0089172D">
        <w:rPr>
          <w:rFonts w:ascii="Times New Roman" w:hAnsi="Times New Roman" w:cs="Times New Roman"/>
          <w:sz w:val="24"/>
          <w:szCs w:val="24"/>
        </w:rPr>
        <w:t>)</w:t>
      </w:r>
      <w:r w:rsidR="00802DCD">
        <w:rPr>
          <w:rFonts w:ascii="Times New Roman" w:hAnsi="Times New Roman" w:cs="Times New Roman"/>
          <w:sz w:val="24"/>
          <w:szCs w:val="24"/>
        </w:rPr>
        <w:t>,</w:t>
      </w:r>
      <w:r w:rsidRPr="0089172D">
        <w:rPr>
          <w:rFonts w:ascii="Times New Roman" w:hAnsi="Times New Roman" w:cs="Times New Roman"/>
          <w:sz w:val="24"/>
          <w:szCs w:val="24"/>
        </w:rPr>
        <w:t xml:space="preserve"> iznosi 600.000.00</w:t>
      </w:r>
      <w:r w:rsidR="0058372B" w:rsidRPr="0089172D">
        <w:rPr>
          <w:rFonts w:ascii="Times New Roman" w:hAnsi="Times New Roman" w:cs="Times New Roman"/>
          <w:sz w:val="24"/>
          <w:szCs w:val="24"/>
        </w:rPr>
        <w:t>0,00</w:t>
      </w:r>
      <w:r w:rsidRPr="0089172D">
        <w:rPr>
          <w:rFonts w:ascii="Times New Roman" w:hAnsi="Times New Roman" w:cs="Times New Roman"/>
          <w:sz w:val="24"/>
          <w:szCs w:val="24"/>
        </w:rPr>
        <w:t xml:space="preserve"> </w:t>
      </w:r>
      <w:r w:rsidR="00802DCD">
        <w:rPr>
          <w:rFonts w:ascii="Times New Roman" w:hAnsi="Times New Roman" w:cs="Times New Roman"/>
          <w:sz w:val="24"/>
          <w:szCs w:val="24"/>
        </w:rPr>
        <w:t>kuna</w:t>
      </w:r>
      <w:r w:rsidRPr="0089172D">
        <w:rPr>
          <w:rFonts w:ascii="Times New Roman" w:hAnsi="Times New Roman" w:cs="Times New Roman"/>
          <w:sz w:val="24"/>
          <w:szCs w:val="24"/>
        </w:rPr>
        <w:t>.</w:t>
      </w:r>
      <w:r w:rsidR="00895A13" w:rsidRPr="0089172D">
        <w:rPr>
          <w:rFonts w:ascii="Times New Roman" w:hAnsi="Times New Roman" w:cs="Times New Roman"/>
          <w:sz w:val="24"/>
          <w:szCs w:val="24"/>
        </w:rPr>
        <w:t xml:space="preserve"> </w:t>
      </w:r>
    </w:p>
    <w:p w14:paraId="5909EA01" w14:textId="77777777" w:rsidR="00486145" w:rsidRPr="00802DCD" w:rsidRDefault="00486145" w:rsidP="0089172D">
      <w:pPr>
        <w:spacing w:after="0" w:line="240" w:lineRule="auto"/>
        <w:jc w:val="both"/>
        <w:rPr>
          <w:rFonts w:ascii="Times New Roman" w:hAnsi="Times New Roman" w:cs="Times New Roman"/>
          <w:b/>
          <w:sz w:val="24"/>
          <w:szCs w:val="24"/>
        </w:rPr>
      </w:pPr>
    </w:p>
    <w:p w14:paraId="6C6308B8" w14:textId="77777777" w:rsidR="00AE0BC1" w:rsidRDefault="00AE0BC1" w:rsidP="0089172D">
      <w:pPr>
        <w:spacing w:after="0" w:line="240" w:lineRule="auto"/>
        <w:jc w:val="center"/>
        <w:rPr>
          <w:rFonts w:ascii="Times New Roman" w:hAnsi="Times New Roman" w:cs="Times New Roman"/>
          <w:b/>
          <w:sz w:val="24"/>
          <w:szCs w:val="24"/>
        </w:rPr>
      </w:pPr>
      <w:r w:rsidRPr="0089172D">
        <w:rPr>
          <w:rFonts w:ascii="Times New Roman" w:hAnsi="Times New Roman" w:cs="Times New Roman"/>
          <w:b/>
          <w:sz w:val="24"/>
          <w:szCs w:val="24"/>
        </w:rPr>
        <w:t>III.</w:t>
      </w:r>
    </w:p>
    <w:p w14:paraId="2E526B50" w14:textId="77777777" w:rsidR="00802DCD" w:rsidRPr="0089172D" w:rsidRDefault="00802DCD" w:rsidP="0089172D">
      <w:pPr>
        <w:spacing w:after="0" w:line="240" w:lineRule="auto"/>
        <w:jc w:val="center"/>
        <w:rPr>
          <w:rFonts w:ascii="Times New Roman" w:hAnsi="Times New Roman" w:cs="Times New Roman"/>
          <w:b/>
          <w:sz w:val="24"/>
          <w:szCs w:val="24"/>
        </w:rPr>
      </w:pPr>
    </w:p>
    <w:p w14:paraId="2AEBA844" w14:textId="77777777" w:rsidR="00785A19" w:rsidRDefault="00AE0BC1" w:rsidP="00802DCD">
      <w:pPr>
        <w:spacing w:after="0" w:line="240" w:lineRule="auto"/>
        <w:ind w:firstLine="1418"/>
        <w:jc w:val="both"/>
        <w:rPr>
          <w:rFonts w:ascii="Times New Roman" w:hAnsi="Times New Roman" w:cs="Times New Roman"/>
          <w:sz w:val="24"/>
          <w:szCs w:val="24"/>
        </w:rPr>
      </w:pPr>
      <w:r w:rsidRPr="0089172D">
        <w:rPr>
          <w:rFonts w:ascii="Times New Roman" w:hAnsi="Times New Roman" w:cs="Times New Roman"/>
          <w:sz w:val="24"/>
          <w:szCs w:val="24"/>
        </w:rPr>
        <w:t>Ministarstvo mora, prometa i infrastrukture</w:t>
      </w:r>
      <w:r w:rsidR="00802DCD">
        <w:rPr>
          <w:rFonts w:ascii="Times New Roman" w:hAnsi="Times New Roman" w:cs="Times New Roman"/>
          <w:sz w:val="24"/>
          <w:szCs w:val="24"/>
        </w:rPr>
        <w:t>,</w:t>
      </w:r>
      <w:r w:rsidRPr="0089172D">
        <w:rPr>
          <w:rFonts w:ascii="Times New Roman" w:hAnsi="Times New Roman" w:cs="Times New Roman"/>
          <w:sz w:val="24"/>
          <w:szCs w:val="24"/>
        </w:rPr>
        <w:t xml:space="preserve"> HBOR</w:t>
      </w:r>
      <w:r w:rsidR="00075F9A" w:rsidRPr="0089172D">
        <w:rPr>
          <w:rFonts w:ascii="Times New Roman" w:hAnsi="Times New Roman" w:cs="Times New Roman"/>
          <w:sz w:val="24"/>
          <w:szCs w:val="24"/>
        </w:rPr>
        <w:t xml:space="preserve"> </w:t>
      </w:r>
      <w:r w:rsidR="00802DCD">
        <w:rPr>
          <w:rFonts w:ascii="Times New Roman" w:hAnsi="Times New Roman" w:cs="Times New Roman"/>
          <w:sz w:val="24"/>
          <w:szCs w:val="24"/>
        </w:rPr>
        <w:t>i</w:t>
      </w:r>
      <w:r w:rsidRPr="0089172D">
        <w:rPr>
          <w:rFonts w:ascii="Times New Roman" w:hAnsi="Times New Roman" w:cs="Times New Roman"/>
          <w:sz w:val="24"/>
          <w:szCs w:val="24"/>
        </w:rPr>
        <w:t xml:space="preserve"> HAMAG</w:t>
      </w:r>
      <w:r w:rsidR="00802DCD">
        <w:rPr>
          <w:rFonts w:ascii="Times New Roman" w:hAnsi="Times New Roman" w:cs="Times New Roman"/>
          <w:sz w:val="24"/>
          <w:szCs w:val="24"/>
        </w:rPr>
        <w:t>-</w:t>
      </w:r>
      <w:r w:rsidRPr="0089172D">
        <w:rPr>
          <w:rFonts w:ascii="Times New Roman" w:hAnsi="Times New Roman" w:cs="Times New Roman"/>
          <w:sz w:val="24"/>
          <w:szCs w:val="24"/>
        </w:rPr>
        <w:t>BICRO</w:t>
      </w:r>
      <w:r w:rsidR="00075F9A" w:rsidRPr="0089172D">
        <w:rPr>
          <w:rFonts w:ascii="Times New Roman" w:hAnsi="Times New Roman" w:cs="Times New Roman"/>
          <w:sz w:val="24"/>
          <w:szCs w:val="24"/>
        </w:rPr>
        <w:t xml:space="preserve"> će </w:t>
      </w:r>
      <w:r w:rsidRPr="0089172D">
        <w:rPr>
          <w:rFonts w:ascii="Times New Roman" w:hAnsi="Times New Roman" w:cs="Times New Roman"/>
          <w:sz w:val="24"/>
          <w:szCs w:val="24"/>
        </w:rPr>
        <w:t>s cilje</w:t>
      </w:r>
      <w:r w:rsidR="000377F2" w:rsidRPr="0089172D">
        <w:rPr>
          <w:rFonts w:ascii="Times New Roman" w:hAnsi="Times New Roman" w:cs="Times New Roman"/>
          <w:sz w:val="24"/>
          <w:szCs w:val="24"/>
        </w:rPr>
        <w:t>m</w:t>
      </w:r>
      <w:r w:rsidR="00075F9A" w:rsidRPr="0089172D">
        <w:rPr>
          <w:rFonts w:ascii="Times New Roman" w:hAnsi="Times New Roman" w:cs="Times New Roman"/>
          <w:sz w:val="24"/>
          <w:szCs w:val="24"/>
        </w:rPr>
        <w:t xml:space="preserve"> provedbe ove Odluke sklopiti s</w:t>
      </w:r>
      <w:r w:rsidRPr="0089172D">
        <w:rPr>
          <w:rFonts w:ascii="Times New Roman" w:hAnsi="Times New Roman" w:cs="Times New Roman"/>
          <w:sz w:val="24"/>
          <w:szCs w:val="24"/>
        </w:rPr>
        <w:t>porazum</w:t>
      </w:r>
      <w:r w:rsidR="00075F9A" w:rsidRPr="0089172D">
        <w:rPr>
          <w:rFonts w:ascii="Times New Roman" w:hAnsi="Times New Roman" w:cs="Times New Roman"/>
          <w:sz w:val="24"/>
          <w:szCs w:val="24"/>
        </w:rPr>
        <w:t>/protokol</w:t>
      </w:r>
      <w:r w:rsidRPr="0089172D">
        <w:rPr>
          <w:rFonts w:ascii="Times New Roman" w:hAnsi="Times New Roman" w:cs="Times New Roman"/>
          <w:sz w:val="24"/>
          <w:szCs w:val="24"/>
        </w:rPr>
        <w:t xml:space="preserve"> o suradnji najkasnije u roku od sedam dana</w:t>
      </w:r>
      <w:r w:rsidR="00802DCD">
        <w:rPr>
          <w:rFonts w:ascii="Times New Roman" w:hAnsi="Times New Roman" w:cs="Times New Roman"/>
          <w:sz w:val="24"/>
          <w:szCs w:val="24"/>
        </w:rPr>
        <w:t xml:space="preserve"> od dana donošenja ove Odluke.</w:t>
      </w:r>
    </w:p>
    <w:p w14:paraId="2DA30821" w14:textId="77777777" w:rsidR="00802DCD" w:rsidRDefault="00802DCD" w:rsidP="00802DCD">
      <w:pPr>
        <w:spacing w:after="0" w:line="240" w:lineRule="auto"/>
        <w:ind w:firstLine="1418"/>
        <w:jc w:val="both"/>
        <w:rPr>
          <w:rFonts w:ascii="Times New Roman" w:hAnsi="Times New Roman" w:cs="Times New Roman"/>
          <w:b/>
          <w:sz w:val="24"/>
          <w:szCs w:val="24"/>
        </w:rPr>
      </w:pPr>
    </w:p>
    <w:p w14:paraId="627BA224" w14:textId="77777777" w:rsidR="00802DCD" w:rsidRDefault="00802DCD" w:rsidP="00802DCD">
      <w:pPr>
        <w:spacing w:after="0" w:line="240" w:lineRule="auto"/>
        <w:ind w:firstLine="1418"/>
        <w:jc w:val="both"/>
        <w:rPr>
          <w:rFonts w:ascii="Times New Roman" w:hAnsi="Times New Roman" w:cs="Times New Roman"/>
          <w:b/>
          <w:sz w:val="24"/>
          <w:szCs w:val="24"/>
        </w:rPr>
      </w:pPr>
    </w:p>
    <w:p w14:paraId="3C083C35" w14:textId="77777777" w:rsidR="00802DCD" w:rsidRDefault="00802DCD" w:rsidP="00802DCD">
      <w:pPr>
        <w:spacing w:after="0" w:line="240" w:lineRule="auto"/>
        <w:ind w:firstLine="1418"/>
        <w:jc w:val="both"/>
        <w:rPr>
          <w:rFonts w:ascii="Times New Roman" w:hAnsi="Times New Roman" w:cs="Times New Roman"/>
          <w:b/>
          <w:sz w:val="24"/>
          <w:szCs w:val="24"/>
        </w:rPr>
      </w:pPr>
    </w:p>
    <w:p w14:paraId="22FAA422" w14:textId="77777777" w:rsidR="00802DCD" w:rsidRPr="00802DCD" w:rsidRDefault="00802DCD" w:rsidP="00802DCD">
      <w:pPr>
        <w:spacing w:after="0" w:line="240" w:lineRule="auto"/>
        <w:ind w:firstLine="1418"/>
        <w:jc w:val="both"/>
        <w:rPr>
          <w:rFonts w:ascii="Times New Roman" w:hAnsi="Times New Roman" w:cs="Times New Roman"/>
          <w:b/>
          <w:sz w:val="24"/>
          <w:szCs w:val="24"/>
        </w:rPr>
      </w:pPr>
    </w:p>
    <w:p w14:paraId="04776EE4" w14:textId="77777777" w:rsidR="00AE0BC1" w:rsidRDefault="00AE0BC1" w:rsidP="0089172D">
      <w:pPr>
        <w:spacing w:after="0" w:line="240" w:lineRule="auto"/>
        <w:jc w:val="center"/>
        <w:rPr>
          <w:rFonts w:ascii="Times New Roman" w:hAnsi="Times New Roman" w:cs="Times New Roman"/>
          <w:b/>
          <w:sz w:val="24"/>
          <w:szCs w:val="24"/>
        </w:rPr>
      </w:pPr>
      <w:r w:rsidRPr="0089172D">
        <w:rPr>
          <w:rFonts w:ascii="Times New Roman" w:hAnsi="Times New Roman" w:cs="Times New Roman"/>
          <w:b/>
          <w:sz w:val="24"/>
          <w:szCs w:val="24"/>
        </w:rPr>
        <w:t>I</w:t>
      </w:r>
      <w:r w:rsidR="0058372B" w:rsidRPr="0089172D">
        <w:rPr>
          <w:rFonts w:ascii="Times New Roman" w:hAnsi="Times New Roman" w:cs="Times New Roman"/>
          <w:b/>
          <w:sz w:val="24"/>
          <w:szCs w:val="24"/>
        </w:rPr>
        <w:t>V</w:t>
      </w:r>
      <w:r w:rsidRPr="0089172D">
        <w:rPr>
          <w:rFonts w:ascii="Times New Roman" w:hAnsi="Times New Roman" w:cs="Times New Roman"/>
          <w:b/>
          <w:sz w:val="24"/>
          <w:szCs w:val="24"/>
        </w:rPr>
        <w:t>.</w:t>
      </w:r>
    </w:p>
    <w:p w14:paraId="74E5DFB1" w14:textId="77777777" w:rsidR="00802DCD" w:rsidRPr="0089172D" w:rsidRDefault="00802DCD" w:rsidP="0089172D">
      <w:pPr>
        <w:spacing w:after="0" w:line="240" w:lineRule="auto"/>
        <w:jc w:val="center"/>
        <w:rPr>
          <w:rFonts w:ascii="Times New Roman" w:hAnsi="Times New Roman" w:cs="Times New Roman"/>
          <w:b/>
          <w:sz w:val="24"/>
          <w:szCs w:val="24"/>
        </w:rPr>
      </w:pPr>
    </w:p>
    <w:p w14:paraId="31C3725A" w14:textId="77777777" w:rsidR="006E755A" w:rsidRDefault="00075F9A" w:rsidP="00802DCD">
      <w:pPr>
        <w:spacing w:after="0" w:line="240" w:lineRule="auto"/>
        <w:ind w:firstLine="1418"/>
        <w:jc w:val="both"/>
        <w:rPr>
          <w:rFonts w:ascii="Times New Roman" w:hAnsi="Times New Roman" w:cs="Times New Roman"/>
          <w:sz w:val="24"/>
          <w:szCs w:val="24"/>
        </w:rPr>
      </w:pPr>
      <w:r w:rsidRPr="0089172D">
        <w:rPr>
          <w:rFonts w:ascii="Times New Roman" w:hAnsi="Times New Roman" w:cs="Times New Roman"/>
          <w:sz w:val="24"/>
          <w:szCs w:val="24"/>
        </w:rPr>
        <w:t xml:space="preserve">Zadužuje se </w:t>
      </w:r>
      <w:r w:rsidR="0049755B" w:rsidRPr="0089172D">
        <w:rPr>
          <w:rFonts w:ascii="Times New Roman" w:hAnsi="Times New Roman" w:cs="Times New Roman"/>
          <w:sz w:val="24"/>
          <w:szCs w:val="24"/>
        </w:rPr>
        <w:t>Ministarstvo mora, pro</w:t>
      </w:r>
      <w:r w:rsidR="00486145" w:rsidRPr="0089172D">
        <w:rPr>
          <w:rFonts w:ascii="Times New Roman" w:hAnsi="Times New Roman" w:cs="Times New Roman"/>
          <w:sz w:val="24"/>
          <w:szCs w:val="24"/>
        </w:rPr>
        <w:t>meta i infrastrukture da</w:t>
      </w:r>
      <w:r w:rsidRPr="0089172D">
        <w:rPr>
          <w:rFonts w:ascii="Times New Roman" w:hAnsi="Times New Roman" w:cs="Times New Roman"/>
          <w:sz w:val="24"/>
          <w:szCs w:val="24"/>
        </w:rPr>
        <w:t>, u suradnji</w:t>
      </w:r>
      <w:r w:rsidR="0049755B" w:rsidRPr="0089172D">
        <w:rPr>
          <w:rFonts w:ascii="Times New Roman" w:hAnsi="Times New Roman" w:cs="Times New Roman"/>
          <w:sz w:val="24"/>
          <w:szCs w:val="24"/>
        </w:rPr>
        <w:t xml:space="preserve"> s </w:t>
      </w:r>
      <w:r w:rsidR="000377F2" w:rsidRPr="0089172D">
        <w:rPr>
          <w:rFonts w:ascii="Times New Roman" w:hAnsi="Times New Roman" w:cs="Times New Roman"/>
          <w:sz w:val="24"/>
          <w:szCs w:val="24"/>
        </w:rPr>
        <w:t>HBOR</w:t>
      </w:r>
      <w:r w:rsidR="0049755B" w:rsidRPr="0089172D">
        <w:rPr>
          <w:rFonts w:ascii="Times New Roman" w:hAnsi="Times New Roman" w:cs="Times New Roman"/>
          <w:sz w:val="24"/>
          <w:szCs w:val="24"/>
        </w:rPr>
        <w:t>-om</w:t>
      </w:r>
      <w:r w:rsidR="000377F2" w:rsidRPr="0089172D">
        <w:rPr>
          <w:rFonts w:ascii="Times New Roman" w:hAnsi="Times New Roman" w:cs="Times New Roman"/>
          <w:sz w:val="24"/>
          <w:szCs w:val="24"/>
        </w:rPr>
        <w:t xml:space="preserve"> i HAMAG</w:t>
      </w:r>
      <w:r w:rsidR="006E6101">
        <w:rPr>
          <w:rFonts w:ascii="Times New Roman" w:hAnsi="Times New Roman" w:cs="Times New Roman"/>
          <w:sz w:val="24"/>
          <w:szCs w:val="24"/>
        </w:rPr>
        <w:t>-</w:t>
      </w:r>
      <w:r w:rsidR="00C32987" w:rsidRPr="0089172D">
        <w:rPr>
          <w:rFonts w:ascii="Times New Roman" w:hAnsi="Times New Roman" w:cs="Times New Roman"/>
          <w:sz w:val="24"/>
          <w:szCs w:val="24"/>
        </w:rPr>
        <w:t>BICRO</w:t>
      </w:r>
      <w:r w:rsidR="0049755B" w:rsidRPr="0089172D">
        <w:rPr>
          <w:rFonts w:ascii="Times New Roman" w:hAnsi="Times New Roman" w:cs="Times New Roman"/>
          <w:sz w:val="24"/>
          <w:szCs w:val="24"/>
        </w:rPr>
        <w:t>-om kao provedbenim tijelima</w:t>
      </w:r>
      <w:r w:rsidRPr="0089172D">
        <w:rPr>
          <w:rFonts w:ascii="Times New Roman" w:hAnsi="Times New Roman" w:cs="Times New Roman"/>
          <w:sz w:val="24"/>
          <w:szCs w:val="24"/>
        </w:rPr>
        <w:t>, sukladno Programu, procijeni moguće rizike koji mogu nastati u slučaju da korisnici zajmova, za koje će biti izdana jamstva, neće biti u mogućnosti izvršavati svoje obveze</w:t>
      </w:r>
      <w:r w:rsidR="006E6101">
        <w:rPr>
          <w:rFonts w:ascii="Times New Roman" w:hAnsi="Times New Roman" w:cs="Times New Roman"/>
          <w:sz w:val="24"/>
          <w:szCs w:val="24"/>
        </w:rPr>
        <w:t xml:space="preserve">, te na temelju </w:t>
      </w:r>
      <w:r w:rsidRPr="0089172D">
        <w:rPr>
          <w:rFonts w:ascii="Times New Roman" w:hAnsi="Times New Roman" w:cs="Times New Roman"/>
          <w:sz w:val="24"/>
          <w:szCs w:val="24"/>
        </w:rPr>
        <w:t>toga, a radi osiguranj</w:t>
      </w:r>
      <w:r w:rsidR="00131CCC" w:rsidRPr="0089172D">
        <w:rPr>
          <w:rFonts w:ascii="Times New Roman" w:hAnsi="Times New Roman" w:cs="Times New Roman"/>
          <w:sz w:val="24"/>
          <w:szCs w:val="24"/>
        </w:rPr>
        <w:t>a plaćanja potencijalnih obveza</w:t>
      </w:r>
      <w:r w:rsidR="006E6101">
        <w:rPr>
          <w:rFonts w:ascii="Times New Roman" w:hAnsi="Times New Roman" w:cs="Times New Roman"/>
          <w:sz w:val="24"/>
          <w:szCs w:val="24"/>
        </w:rPr>
        <w:t xml:space="preserve"> koje mogu nastati temeljem izdanih jamstava</w:t>
      </w:r>
      <w:r w:rsidR="00131CCC" w:rsidRPr="0089172D">
        <w:rPr>
          <w:rFonts w:ascii="Times New Roman" w:hAnsi="Times New Roman" w:cs="Times New Roman"/>
          <w:sz w:val="24"/>
          <w:szCs w:val="24"/>
        </w:rPr>
        <w:t xml:space="preserve">, planira sredstva u </w:t>
      </w:r>
      <w:r w:rsidR="006E6101">
        <w:rPr>
          <w:rFonts w:ascii="Times New Roman" w:hAnsi="Times New Roman" w:cs="Times New Roman"/>
          <w:sz w:val="24"/>
          <w:szCs w:val="24"/>
        </w:rPr>
        <w:t>okviru svog financijskog plana.</w:t>
      </w:r>
    </w:p>
    <w:p w14:paraId="3206B3A6" w14:textId="77777777" w:rsidR="006E6101" w:rsidRPr="006E6101" w:rsidRDefault="006E6101" w:rsidP="00802DCD">
      <w:pPr>
        <w:spacing w:after="0" w:line="240" w:lineRule="auto"/>
        <w:ind w:firstLine="1418"/>
        <w:jc w:val="both"/>
        <w:rPr>
          <w:rFonts w:ascii="Times New Roman" w:hAnsi="Times New Roman" w:cs="Times New Roman"/>
          <w:b/>
          <w:sz w:val="24"/>
          <w:szCs w:val="24"/>
        </w:rPr>
      </w:pPr>
    </w:p>
    <w:p w14:paraId="4626AFAF" w14:textId="77777777" w:rsidR="0049755B" w:rsidRDefault="00AE0BC1" w:rsidP="006E6101">
      <w:pPr>
        <w:tabs>
          <w:tab w:val="left" w:pos="4253"/>
          <w:tab w:val="left" w:pos="4395"/>
        </w:tabs>
        <w:spacing w:after="0" w:line="240" w:lineRule="auto"/>
        <w:jc w:val="center"/>
        <w:rPr>
          <w:rFonts w:ascii="Times New Roman" w:hAnsi="Times New Roman" w:cs="Times New Roman"/>
          <w:b/>
          <w:sz w:val="24"/>
          <w:szCs w:val="24"/>
        </w:rPr>
      </w:pPr>
      <w:r w:rsidRPr="0089172D">
        <w:rPr>
          <w:rFonts w:ascii="Times New Roman" w:hAnsi="Times New Roman" w:cs="Times New Roman"/>
          <w:b/>
          <w:sz w:val="24"/>
          <w:szCs w:val="24"/>
        </w:rPr>
        <w:t>V.</w:t>
      </w:r>
    </w:p>
    <w:p w14:paraId="552EB83F" w14:textId="77777777" w:rsidR="006E6101" w:rsidRPr="0089172D" w:rsidRDefault="006E6101" w:rsidP="006E6101">
      <w:pPr>
        <w:tabs>
          <w:tab w:val="left" w:pos="4253"/>
          <w:tab w:val="left" w:pos="4395"/>
        </w:tabs>
        <w:spacing w:after="0" w:line="240" w:lineRule="auto"/>
        <w:rPr>
          <w:rFonts w:ascii="Times New Roman" w:hAnsi="Times New Roman" w:cs="Times New Roman"/>
          <w:b/>
          <w:sz w:val="24"/>
          <w:szCs w:val="24"/>
        </w:rPr>
      </w:pPr>
    </w:p>
    <w:p w14:paraId="7C5F2366" w14:textId="77777777" w:rsidR="00AE0BC1" w:rsidRDefault="00131CCC" w:rsidP="006E6101">
      <w:pPr>
        <w:spacing w:after="0" w:line="240" w:lineRule="auto"/>
        <w:ind w:firstLine="1418"/>
        <w:jc w:val="both"/>
        <w:rPr>
          <w:rFonts w:ascii="Times New Roman" w:hAnsi="Times New Roman" w:cs="Times New Roman"/>
          <w:sz w:val="24"/>
          <w:szCs w:val="24"/>
        </w:rPr>
      </w:pPr>
      <w:r w:rsidRPr="0089172D">
        <w:rPr>
          <w:rFonts w:ascii="Times New Roman" w:hAnsi="Times New Roman" w:cs="Times New Roman"/>
          <w:sz w:val="24"/>
          <w:szCs w:val="24"/>
        </w:rPr>
        <w:t>Zadužuje se Ministarstvo mora, prometa i infrastrukture da</w:t>
      </w:r>
      <w:r w:rsidR="006E6101">
        <w:rPr>
          <w:rFonts w:ascii="Times New Roman" w:hAnsi="Times New Roman" w:cs="Times New Roman"/>
          <w:sz w:val="24"/>
          <w:szCs w:val="24"/>
        </w:rPr>
        <w:t>,</w:t>
      </w:r>
      <w:r w:rsidRPr="0089172D">
        <w:rPr>
          <w:rFonts w:ascii="Times New Roman" w:hAnsi="Times New Roman" w:cs="Times New Roman"/>
          <w:sz w:val="24"/>
          <w:szCs w:val="24"/>
        </w:rPr>
        <w:t xml:space="preserve"> u suradnji s HBOR-om </w:t>
      </w:r>
      <w:r w:rsidR="006E6101">
        <w:rPr>
          <w:rFonts w:ascii="Times New Roman" w:hAnsi="Times New Roman" w:cs="Times New Roman"/>
          <w:sz w:val="24"/>
          <w:szCs w:val="24"/>
        </w:rPr>
        <w:t>i</w:t>
      </w:r>
      <w:r w:rsidRPr="0089172D">
        <w:rPr>
          <w:rFonts w:ascii="Times New Roman" w:hAnsi="Times New Roman" w:cs="Times New Roman"/>
          <w:sz w:val="24"/>
          <w:szCs w:val="24"/>
        </w:rPr>
        <w:t xml:space="preserve"> HAMAG</w:t>
      </w:r>
      <w:r w:rsidR="006E6101">
        <w:rPr>
          <w:rFonts w:ascii="Times New Roman" w:hAnsi="Times New Roman" w:cs="Times New Roman"/>
          <w:sz w:val="24"/>
          <w:szCs w:val="24"/>
        </w:rPr>
        <w:t>-</w:t>
      </w:r>
      <w:r w:rsidRPr="0089172D">
        <w:rPr>
          <w:rFonts w:ascii="Times New Roman" w:hAnsi="Times New Roman" w:cs="Times New Roman"/>
          <w:sz w:val="24"/>
          <w:szCs w:val="24"/>
        </w:rPr>
        <w:t>BICRO-om</w:t>
      </w:r>
      <w:r w:rsidR="006E6101">
        <w:rPr>
          <w:rFonts w:ascii="Times New Roman" w:hAnsi="Times New Roman" w:cs="Times New Roman"/>
          <w:sz w:val="24"/>
          <w:szCs w:val="24"/>
        </w:rPr>
        <w:t>,</w:t>
      </w:r>
      <w:r w:rsidRPr="0089172D">
        <w:rPr>
          <w:rFonts w:ascii="Times New Roman" w:hAnsi="Times New Roman" w:cs="Times New Roman"/>
          <w:sz w:val="24"/>
          <w:szCs w:val="24"/>
        </w:rPr>
        <w:t xml:space="preserve"> osigura provedbu ove Odluke.</w:t>
      </w:r>
    </w:p>
    <w:p w14:paraId="68DDEA13" w14:textId="77777777" w:rsidR="006E6101" w:rsidRPr="006E6101" w:rsidRDefault="006E6101" w:rsidP="006E6101">
      <w:pPr>
        <w:spacing w:after="0" w:line="240" w:lineRule="auto"/>
        <w:ind w:firstLine="1418"/>
        <w:jc w:val="both"/>
        <w:rPr>
          <w:rFonts w:ascii="Times New Roman" w:hAnsi="Times New Roman" w:cs="Times New Roman"/>
          <w:b/>
          <w:sz w:val="24"/>
          <w:szCs w:val="24"/>
        </w:rPr>
      </w:pPr>
    </w:p>
    <w:p w14:paraId="2469DC01" w14:textId="77777777" w:rsidR="00AE0BC1" w:rsidRDefault="00AE0BC1" w:rsidP="0089172D">
      <w:pPr>
        <w:spacing w:after="0" w:line="240" w:lineRule="auto"/>
        <w:jc w:val="center"/>
        <w:rPr>
          <w:rFonts w:ascii="Times New Roman" w:hAnsi="Times New Roman" w:cs="Times New Roman"/>
          <w:b/>
          <w:sz w:val="24"/>
          <w:szCs w:val="24"/>
        </w:rPr>
      </w:pPr>
      <w:r w:rsidRPr="0089172D">
        <w:rPr>
          <w:rFonts w:ascii="Times New Roman" w:hAnsi="Times New Roman" w:cs="Times New Roman"/>
          <w:b/>
          <w:sz w:val="24"/>
          <w:szCs w:val="24"/>
        </w:rPr>
        <w:t>VI.</w:t>
      </w:r>
    </w:p>
    <w:p w14:paraId="0C29EAEF" w14:textId="77777777" w:rsidR="006E6101" w:rsidRPr="0089172D" w:rsidRDefault="006E6101" w:rsidP="0089172D">
      <w:pPr>
        <w:spacing w:after="0" w:line="240" w:lineRule="auto"/>
        <w:jc w:val="center"/>
        <w:rPr>
          <w:rFonts w:ascii="Times New Roman" w:hAnsi="Times New Roman" w:cs="Times New Roman"/>
          <w:b/>
          <w:sz w:val="24"/>
          <w:szCs w:val="24"/>
        </w:rPr>
      </w:pPr>
    </w:p>
    <w:p w14:paraId="3F267AC3" w14:textId="361C499B" w:rsidR="00D3110E" w:rsidRDefault="0049755B" w:rsidP="003B4F89">
      <w:pPr>
        <w:spacing w:after="0" w:line="240" w:lineRule="auto"/>
        <w:ind w:firstLine="1418"/>
        <w:jc w:val="both"/>
        <w:rPr>
          <w:rFonts w:ascii="Times New Roman" w:hAnsi="Times New Roman" w:cs="Times New Roman"/>
          <w:sz w:val="24"/>
          <w:szCs w:val="24"/>
        </w:rPr>
      </w:pPr>
      <w:r w:rsidRPr="0089172D">
        <w:rPr>
          <w:rFonts w:ascii="Times New Roman" w:hAnsi="Times New Roman" w:cs="Times New Roman"/>
          <w:sz w:val="24"/>
          <w:szCs w:val="24"/>
        </w:rPr>
        <w:t>Zadužuju se</w:t>
      </w:r>
      <w:r w:rsidR="008722EF" w:rsidRPr="0089172D">
        <w:rPr>
          <w:rFonts w:ascii="Times New Roman" w:hAnsi="Times New Roman" w:cs="Times New Roman"/>
          <w:sz w:val="24"/>
          <w:szCs w:val="24"/>
        </w:rPr>
        <w:t xml:space="preserve"> </w:t>
      </w:r>
      <w:r w:rsidR="00131CCC" w:rsidRPr="0089172D">
        <w:rPr>
          <w:rFonts w:ascii="Times New Roman" w:hAnsi="Times New Roman" w:cs="Times New Roman"/>
          <w:sz w:val="24"/>
          <w:szCs w:val="24"/>
        </w:rPr>
        <w:t>HBOR i HAMAG</w:t>
      </w:r>
      <w:r w:rsidR="003B4F89">
        <w:rPr>
          <w:rFonts w:ascii="Times New Roman" w:hAnsi="Times New Roman" w:cs="Times New Roman"/>
          <w:sz w:val="24"/>
          <w:szCs w:val="24"/>
        </w:rPr>
        <w:t>-</w:t>
      </w:r>
      <w:r w:rsidR="00131CCC" w:rsidRPr="0089172D">
        <w:rPr>
          <w:rFonts w:ascii="Times New Roman" w:hAnsi="Times New Roman" w:cs="Times New Roman"/>
          <w:sz w:val="24"/>
          <w:szCs w:val="24"/>
        </w:rPr>
        <w:t>BICRO da o proved</w:t>
      </w:r>
      <w:bookmarkStart w:id="0" w:name="_GoBack"/>
      <w:bookmarkEnd w:id="0"/>
      <w:r w:rsidR="00131CCC" w:rsidRPr="0089172D">
        <w:rPr>
          <w:rFonts w:ascii="Times New Roman" w:hAnsi="Times New Roman" w:cs="Times New Roman"/>
          <w:sz w:val="24"/>
          <w:szCs w:val="24"/>
        </w:rPr>
        <w:t>enim programima uz državno jamstvo iz ove Odluke mjesečno izvještava Ministarstvo mora, prometa i infrastrukture kao nositelja Programa i Ministarstvo financija</w:t>
      </w:r>
      <w:r w:rsidR="008722EF" w:rsidRPr="0089172D">
        <w:rPr>
          <w:rFonts w:ascii="Times New Roman" w:hAnsi="Times New Roman" w:cs="Times New Roman"/>
          <w:sz w:val="24"/>
          <w:szCs w:val="24"/>
        </w:rPr>
        <w:t>.</w:t>
      </w:r>
    </w:p>
    <w:p w14:paraId="42405D90" w14:textId="77777777" w:rsidR="003B4F89" w:rsidRPr="003B4F89" w:rsidRDefault="003B4F89" w:rsidP="003B4F89">
      <w:pPr>
        <w:spacing w:after="0" w:line="240" w:lineRule="auto"/>
        <w:ind w:firstLine="1418"/>
        <w:jc w:val="both"/>
        <w:rPr>
          <w:rFonts w:ascii="Times New Roman" w:hAnsi="Times New Roman" w:cs="Times New Roman"/>
          <w:b/>
          <w:sz w:val="24"/>
          <w:szCs w:val="24"/>
        </w:rPr>
      </w:pPr>
    </w:p>
    <w:p w14:paraId="3A52252B" w14:textId="77777777" w:rsidR="00AE0BC1" w:rsidRDefault="00AE0BC1" w:rsidP="0089172D">
      <w:pPr>
        <w:spacing w:after="0" w:line="240" w:lineRule="auto"/>
        <w:jc w:val="center"/>
        <w:rPr>
          <w:rFonts w:ascii="Times New Roman" w:hAnsi="Times New Roman" w:cs="Times New Roman"/>
          <w:b/>
          <w:sz w:val="24"/>
          <w:szCs w:val="24"/>
        </w:rPr>
      </w:pPr>
      <w:r w:rsidRPr="0089172D">
        <w:rPr>
          <w:rFonts w:ascii="Times New Roman" w:hAnsi="Times New Roman" w:cs="Times New Roman"/>
          <w:b/>
          <w:sz w:val="24"/>
          <w:szCs w:val="24"/>
        </w:rPr>
        <w:t>VII.</w:t>
      </w:r>
    </w:p>
    <w:p w14:paraId="7C68C3E0" w14:textId="77777777" w:rsidR="003B4F89" w:rsidRPr="0089172D" w:rsidRDefault="003B4F89" w:rsidP="0089172D">
      <w:pPr>
        <w:spacing w:after="0" w:line="240" w:lineRule="auto"/>
        <w:jc w:val="center"/>
        <w:rPr>
          <w:rFonts w:ascii="Times New Roman" w:hAnsi="Times New Roman" w:cs="Times New Roman"/>
          <w:b/>
          <w:sz w:val="24"/>
          <w:szCs w:val="24"/>
        </w:rPr>
      </w:pPr>
    </w:p>
    <w:p w14:paraId="5A2F5FBC" w14:textId="77777777" w:rsidR="00D3110E" w:rsidRDefault="00AE0BC1" w:rsidP="003B4F89">
      <w:pPr>
        <w:spacing w:after="0" w:line="240" w:lineRule="auto"/>
        <w:ind w:firstLine="1418"/>
        <w:jc w:val="both"/>
        <w:rPr>
          <w:rFonts w:ascii="Times New Roman" w:hAnsi="Times New Roman" w:cs="Times New Roman"/>
          <w:sz w:val="24"/>
          <w:szCs w:val="24"/>
        </w:rPr>
      </w:pPr>
      <w:r w:rsidRPr="0089172D">
        <w:rPr>
          <w:rFonts w:ascii="Times New Roman" w:hAnsi="Times New Roman" w:cs="Times New Roman"/>
          <w:sz w:val="24"/>
          <w:szCs w:val="24"/>
        </w:rPr>
        <w:t>Ova Odluka stupa na snagu danom donošenja</w:t>
      </w:r>
      <w:r w:rsidR="008722EF" w:rsidRPr="0089172D">
        <w:rPr>
          <w:rFonts w:ascii="Times New Roman" w:hAnsi="Times New Roman" w:cs="Times New Roman"/>
          <w:sz w:val="24"/>
          <w:szCs w:val="24"/>
        </w:rPr>
        <w:t xml:space="preserve">, </w:t>
      </w:r>
      <w:r w:rsidR="00A063EA" w:rsidRPr="0089172D">
        <w:rPr>
          <w:rFonts w:ascii="Times New Roman" w:hAnsi="Times New Roman" w:cs="Times New Roman"/>
          <w:sz w:val="24"/>
          <w:szCs w:val="24"/>
        </w:rPr>
        <w:t>a objaviti će se u Narodnim n</w:t>
      </w:r>
      <w:r w:rsidR="00D3110E" w:rsidRPr="0089172D">
        <w:rPr>
          <w:rFonts w:ascii="Times New Roman" w:hAnsi="Times New Roman" w:cs="Times New Roman"/>
          <w:sz w:val="24"/>
          <w:szCs w:val="24"/>
        </w:rPr>
        <w:t>ovinama</w:t>
      </w:r>
      <w:r w:rsidRPr="0089172D">
        <w:rPr>
          <w:rFonts w:ascii="Times New Roman" w:hAnsi="Times New Roman" w:cs="Times New Roman"/>
          <w:sz w:val="24"/>
          <w:szCs w:val="24"/>
        </w:rPr>
        <w:t>.</w:t>
      </w:r>
    </w:p>
    <w:p w14:paraId="667896C5" w14:textId="77777777" w:rsidR="003B4F89" w:rsidRDefault="003B4F89" w:rsidP="0089172D">
      <w:pPr>
        <w:spacing w:after="0" w:line="240" w:lineRule="auto"/>
        <w:jc w:val="both"/>
        <w:rPr>
          <w:rFonts w:ascii="Times New Roman" w:hAnsi="Times New Roman" w:cs="Times New Roman"/>
          <w:sz w:val="24"/>
          <w:szCs w:val="24"/>
        </w:rPr>
      </w:pPr>
    </w:p>
    <w:p w14:paraId="3B3CFDDA" w14:textId="77777777" w:rsidR="003B4F89" w:rsidRDefault="003B4F89" w:rsidP="0089172D">
      <w:pPr>
        <w:spacing w:after="0" w:line="240" w:lineRule="auto"/>
        <w:jc w:val="both"/>
        <w:rPr>
          <w:rFonts w:ascii="Times New Roman" w:hAnsi="Times New Roman" w:cs="Times New Roman"/>
          <w:sz w:val="24"/>
          <w:szCs w:val="24"/>
        </w:rPr>
      </w:pPr>
    </w:p>
    <w:p w14:paraId="2DE35875" w14:textId="77777777" w:rsidR="001C07E9" w:rsidRDefault="001C07E9" w:rsidP="0089172D">
      <w:pPr>
        <w:spacing w:after="0" w:line="240" w:lineRule="auto"/>
        <w:jc w:val="both"/>
        <w:rPr>
          <w:rFonts w:ascii="Times New Roman" w:hAnsi="Times New Roman" w:cs="Times New Roman"/>
          <w:sz w:val="24"/>
          <w:szCs w:val="24"/>
        </w:rPr>
      </w:pPr>
    </w:p>
    <w:p w14:paraId="05C54631" w14:textId="77777777" w:rsidR="003B4F89" w:rsidRPr="0089172D" w:rsidRDefault="003B4F89" w:rsidP="0089172D">
      <w:pPr>
        <w:spacing w:after="0" w:line="240" w:lineRule="auto"/>
        <w:jc w:val="both"/>
        <w:rPr>
          <w:rFonts w:ascii="Times New Roman" w:hAnsi="Times New Roman" w:cs="Times New Roman"/>
          <w:sz w:val="24"/>
          <w:szCs w:val="24"/>
        </w:rPr>
      </w:pPr>
    </w:p>
    <w:p w14:paraId="7C22766D" w14:textId="77777777" w:rsidR="0089172D" w:rsidRPr="0089172D" w:rsidRDefault="0089172D" w:rsidP="0089172D">
      <w:pPr>
        <w:spacing w:after="0" w:line="240" w:lineRule="auto"/>
        <w:jc w:val="both"/>
        <w:rPr>
          <w:rFonts w:ascii="Times New Roman" w:hAnsi="Times New Roman"/>
          <w:sz w:val="24"/>
          <w:szCs w:val="24"/>
        </w:rPr>
      </w:pPr>
      <w:r w:rsidRPr="0089172D">
        <w:rPr>
          <w:rFonts w:ascii="Times New Roman" w:hAnsi="Times New Roman"/>
          <w:sz w:val="24"/>
          <w:szCs w:val="24"/>
        </w:rPr>
        <w:t xml:space="preserve">Klasa: </w:t>
      </w:r>
    </w:p>
    <w:p w14:paraId="51262F61" w14:textId="77777777" w:rsidR="0089172D" w:rsidRPr="0089172D" w:rsidRDefault="0089172D" w:rsidP="0089172D">
      <w:pPr>
        <w:spacing w:after="0" w:line="240" w:lineRule="auto"/>
        <w:jc w:val="both"/>
        <w:rPr>
          <w:rFonts w:ascii="Times New Roman" w:hAnsi="Times New Roman"/>
          <w:sz w:val="24"/>
          <w:szCs w:val="24"/>
        </w:rPr>
      </w:pPr>
      <w:r w:rsidRPr="0089172D">
        <w:rPr>
          <w:rFonts w:ascii="Times New Roman" w:hAnsi="Times New Roman"/>
          <w:sz w:val="24"/>
          <w:szCs w:val="24"/>
        </w:rPr>
        <w:t xml:space="preserve">Urbroj: </w:t>
      </w:r>
    </w:p>
    <w:p w14:paraId="40F478C6" w14:textId="77777777" w:rsidR="0089172D" w:rsidRPr="0089172D" w:rsidRDefault="0089172D" w:rsidP="0089172D">
      <w:pPr>
        <w:spacing w:after="0" w:line="240" w:lineRule="auto"/>
        <w:jc w:val="both"/>
        <w:rPr>
          <w:rFonts w:ascii="Times New Roman" w:hAnsi="Times New Roman"/>
          <w:sz w:val="24"/>
          <w:szCs w:val="24"/>
        </w:rPr>
      </w:pPr>
    </w:p>
    <w:p w14:paraId="7DCA2A47" w14:textId="77777777" w:rsidR="0089172D" w:rsidRPr="0089172D" w:rsidRDefault="0089172D" w:rsidP="0089172D">
      <w:pPr>
        <w:spacing w:after="0" w:line="240" w:lineRule="auto"/>
        <w:jc w:val="both"/>
        <w:rPr>
          <w:rFonts w:ascii="Times New Roman" w:hAnsi="Times New Roman"/>
          <w:sz w:val="24"/>
          <w:szCs w:val="24"/>
        </w:rPr>
      </w:pPr>
      <w:r w:rsidRPr="0089172D">
        <w:rPr>
          <w:rFonts w:ascii="Times New Roman" w:hAnsi="Times New Roman"/>
          <w:sz w:val="24"/>
          <w:szCs w:val="24"/>
        </w:rPr>
        <w:t xml:space="preserve">Zagreb, </w:t>
      </w:r>
    </w:p>
    <w:p w14:paraId="4FC4EAA4" w14:textId="77777777" w:rsidR="0089172D" w:rsidRPr="0089172D" w:rsidRDefault="0089172D" w:rsidP="0089172D">
      <w:pPr>
        <w:spacing w:after="0" w:line="240" w:lineRule="auto"/>
        <w:rPr>
          <w:rFonts w:ascii="Times New Roman" w:hAnsi="Times New Roman"/>
          <w:sz w:val="24"/>
          <w:szCs w:val="24"/>
        </w:rPr>
      </w:pPr>
    </w:p>
    <w:p w14:paraId="506A715D" w14:textId="77777777" w:rsidR="0089172D" w:rsidRPr="0089172D" w:rsidRDefault="0089172D" w:rsidP="0089172D">
      <w:pPr>
        <w:spacing w:after="0" w:line="240" w:lineRule="auto"/>
        <w:rPr>
          <w:rFonts w:ascii="Times New Roman" w:hAnsi="Times New Roman"/>
          <w:sz w:val="24"/>
          <w:szCs w:val="24"/>
        </w:rPr>
      </w:pPr>
    </w:p>
    <w:p w14:paraId="1E8BEA2F" w14:textId="77777777" w:rsidR="0089172D" w:rsidRPr="0089172D" w:rsidRDefault="0089172D" w:rsidP="0089172D">
      <w:pPr>
        <w:spacing w:after="0" w:line="240" w:lineRule="auto"/>
        <w:rPr>
          <w:rFonts w:ascii="Times New Roman" w:hAnsi="Times New Roman"/>
          <w:sz w:val="24"/>
          <w:szCs w:val="24"/>
        </w:rPr>
      </w:pPr>
    </w:p>
    <w:p w14:paraId="78A3C80A" w14:textId="77777777" w:rsidR="0089172D" w:rsidRPr="0089172D" w:rsidRDefault="0089172D" w:rsidP="0089172D">
      <w:pPr>
        <w:spacing w:after="0" w:line="240" w:lineRule="auto"/>
        <w:rPr>
          <w:rFonts w:ascii="Times New Roman" w:hAnsi="Times New Roman"/>
          <w:sz w:val="24"/>
          <w:szCs w:val="24"/>
        </w:rPr>
      </w:pPr>
    </w:p>
    <w:p w14:paraId="3E3E25F6" w14:textId="77777777" w:rsidR="0089172D" w:rsidRPr="0089172D" w:rsidRDefault="0089172D" w:rsidP="0089172D">
      <w:pPr>
        <w:spacing w:after="0" w:line="240" w:lineRule="auto"/>
        <w:ind w:left="5664" w:firstLine="708"/>
        <w:rPr>
          <w:rFonts w:ascii="Times New Roman" w:hAnsi="Times New Roman"/>
          <w:sz w:val="24"/>
          <w:szCs w:val="24"/>
        </w:rPr>
      </w:pPr>
      <w:r w:rsidRPr="0089172D">
        <w:rPr>
          <w:rFonts w:ascii="Times New Roman" w:hAnsi="Times New Roman"/>
          <w:sz w:val="24"/>
          <w:szCs w:val="24"/>
        </w:rPr>
        <w:t xml:space="preserve">PREDSJEDNIK </w:t>
      </w:r>
    </w:p>
    <w:p w14:paraId="714331CB" w14:textId="77777777" w:rsidR="0089172D" w:rsidRPr="0089172D" w:rsidRDefault="0089172D" w:rsidP="0089172D">
      <w:pPr>
        <w:spacing w:after="0" w:line="240" w:lineRule="auto"/>
        <w:rPr>
          <w:rFonts w:ascii="Times New Roman" w:hAnsi="Times New Roman"/>
          <w:sz w:val="24"/>
          <w:szCs w:val="24"/>
        </w:rPr>
      </w:pPr>
    </w:p>
    <w:p w14:paraId="39DA3A5F" w14:textId="77777777" w:rsidR="0089172D" w:rsidRPr="0089172D" w:rsidRDefault="0089172D" w:rsidP="0089172D">
      <w:pPr>
        <w:spacing w:after="0" w:line="240" w:lineRule="auto"/>
        <w:rPr>
          <w:rFonts w:ascii="Times New Roman" w:hAnsi="Times New Roman"/>
          <w:sz w:val="24"/>
          <w:szCs w:val="24"/>
        </w:rPr>
      </w:pPr>
    </w:p>
    <w:p w14:paraId="03FE31A5" w14:textId="77777777" w:rsidR="0089172D" w:rsidRPr="0089172D" w:rsidRDefault="0089172D" w:rsidP="0089172D">
      <w:pPr>
        <w:spacing w:after="0" w:line="240" w:lineRule="auto"/>
        <w:ind w:left="4956" w:firstLine="708"/>
        <w:rPr>
          <w:rFonts w:ascii="Times New Roman" w:hAnsi="Times New Roman"/>
          <w:sz w:val="24"/>
          <w:szCs w:val="24"/>
        </w:rPr>
      </w:pPr>
      <w:r w:rsidRPr="0089172D">
        <w:rPr>
          <w:rFonts w:ascii="Times New Roman" w:hAnsi="Times New Roman"/>
          <w:sz w:val="24"/>
          <w:szCs w:val="24"/>
        </w:rPr>
        <w:t xml:space="preserve">     mr. sc. Andrej Plenković</w:t>
      </w:r>
    </w:p>
    <w:p w14:paraId="49C34655" w14:textId="77777777" w:rsidR="0089172D" w:rsidRPr="0089172D" w:rsidRDefault="0089172D" w:rsidP="0089172D">
      <w:pPr>
        <w:rPr>
          <w:rFonts w:ascii="Times New Roman" w:hAnsi="Times New Roman"/>
          <w:sz w:val="24"/>
          <w:szCs w:val="24"/>
        </w:rPr>
      </w:pPr>
      <w:r w:rsidRPr="0089172D">
        <w:rPr>
          <w:rFonts w:ascii="Times New Roman" w:hAnsi="Times New Roman"/>
          <w:sz w:val="24"/>
          <w:szCs w:val="24"/>
        </w:rPr>
        <w:br w:type="page"/>
      </w:r>
    </w:p>
    <w:p w14:paraId="636DF7FA" w14:textId="77777777" w:rsidR="001C07E9" w:rsidRDefault="001C07E9" w:rsidP="00486145">
      <w:pPr>
        <w:spacing w:after="240" w:line="360" w:lineRule="auto"/>
        <w:jc w:val="center"/>
        <w:rPr>
          <w:rFonts w:ascii="Times New Roman" w:hAnsi="Times New Roman" w:cs="Times New Roman"/>
          <w:b/>
          <w:sz w:val="24"/>
          <w:szCs w:val="24"/>
        </w:rPr>
      </w:pPr>
    </w:p>
    <w:p w14:paraId="0CCF2E81" w14:textId="77777777" w:rsidR="008478E4" w:rsidRPr="0089172D" w:rsidRDefault="003B4F89"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PROGRAM DODJELE DRŽAVNIH POTPORA SEKTORU MORA, PROMETA, PROMETNE INFRASTRUKTURE I POVEZANIM DJELATNOSTIMA U AKTUALNOJ PANDEMIJI COVID-A 19</w:t>
      </w:r>
    </w:p>
    <w:p w14:paraId="0337C7EF" w14:textId="77777777" w:rsidR="00486145" w:rsidRPr="0089172D" w:rsidRDefault="00486145" w:rsidP="001C07E9">
      <w:pPr>
        <w:spacing w:after="120" w:line="360" w:lineRule="auto"/>
        <w:jc w:val="center"/>
        <w:rPr>
          <w:rFonts w:ascii="Times New Roman" w:hAnsi="Times New Roman" w:cs="Times New Roman"/>
          <w:b/>
          <w:sz w:val="24"/>
          <w:szCs w:val="24"/>
        </w:rPr>
      </w:pPr>
    </w:p>
    <w:p w14:paraId="0DFDD0BA" w14:textId="77777777" w:rsidR="008478E4" w:rsidRPr="0089172D" w:rsidRDefault="008478E4" w:rsidP="00486145">
      <w:pPr>
        <w:pStyle w:val="ListParagraph1"/>
        <w:spacing w:after="240" w:line="360" w:lineRule="auto"/>
        <w:ind w:left="0"/>
        <w:contextualSpacing w:val="0"/>
        <w:jc w:val="center"/>
        <w:rPr>
          <w:rStyle w:val="Bodytext285pt"/>
          <w:rFonts w:eastAsia="Calibri"/>
          <w:b/>
          <w:sz w:val="24"/>
          <w:szCs w:val="24"/>
          <w:lang w:val="hr-HR"/>
        </w:rPr>
      </w:pPr>
      <w:r w:rsidRPr="0089172D">
        <w:rPr>
          <w:rStyle w:val="Bodytext285pt"/>
          <w:rFonts w:eastAsia="Calibri"/>
          <w:b/>
          <w:sz w:val="24"/>
          <w:szCs w:val="24"/>
          <w:lang w:val="hr-HR"/>
        </w:rPr>
        <w:t>POGLAVLJE I.</w:t>
      </w:r>
    </w:p>
    <w:p w14:paraId="5D3D2C30" w14:textId="77777777" w:rsidR="008478E4" w:rsidRPr="0089172D" w:rsidRDefault="008478E4" w:rsidP="00486145">
      <w:pPr>
        <w:pStyle w:val="ListParagraph1"/>
        <w:spacing w:after="240" w:line="360" w:lineRule="auto"/>
        <w:ind w:left="0"/>
        <w:contextualSpacing w:val="0"/>
        <w:jc w:val="center"/>
        <w:rPr>
          <w:rFonts w:ascii="Times New Roman" w:hAnsi="Times New Roman"/>
          <w:b/>
          <w:sz w:val="24"/>
          <w:szCs w:val="24"/>
          <w:lang w:val="hr-HR"/>
        </w:rPr>
      </w:pPr>
      <w:r w:rsidRPr="0089172D">
        <w:rPr>
          <w:rStyle w:val="Bodytext285pt"/>
          <w:rFonts w:eastAsia="Calibri"/>
          <w:b/>
          <w:sz w:val="24"/>
          <w:szCs w:val="24"/>
          <w:lang w:val="hr-HR"/>
        </w:rPr>
        <w:t>Opće odredbe</w:t>
      </w:r>
    </w:p>
    <w:p w14:paraId="0ED51C43"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w:t>
      </w:r>
    </w:p>
    <w:p w14:paraId="20A9DC41"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 xml:space="preserve">Ciljevi </w:t>
      </w:r>
    </w:p>
    <w:p w14:paraId="2F738002"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U izvanrednim okolnostima i bitno pogoršanim uvjetima poslovanja koji su prouzročeni pandemijom COVID-a 19 cilj je mjera sadržanih u ovom Programu osigurati financijsku podršku poduzetnicima koji obavljaju djelatnosti u sektoru mora, prometa, prometne infrastrukture i s njima povezane djelatnostima radi ublažavanja posljedica ove krize na njihovo poslovanje. Pritom je naglasak na mjerama namijenjenim osiguranju likvidnosti i omogućavanju pristupa financiranju radi funkcioniranja ovog sektora odnosno osiguranja prometne povezanosti i nesmetanog odvijanja prometa, kako unutar Republike Hrvatske, tako i s inozemstvom tijekom i nakon prestanka pandemije COVID-a 19 te stvaranje uvjeta za što brži oporavak od trenutačne krize.</w:t>
      </w:r>
    </w:p>
    <w:p w14:paraId="7D0290C2"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II.</w:t>
      </w:r>
    </w:p>
    <w:p w14:paraId="66785FFB"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 xml:space="preserve">Pravni temelj </w:t>
      </w:r>
    </w:p>
    <w:p w14:paraId="3307039D"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Ovim Programom uređuje se dodjela državnih potpora (u daljnjem tekstu: potpora) na temelju Komunikacije Europske Komisije-Privremeni okvir za mjere državne potpore u svrhu podrške gospodarstvu u aktualnoj pandemiji COVID-a 19, Komunikacije Komisije- Izmjena privremenog okvira za mjere državne potpore u svrhu podrške </w:t>
      </w:r>
      <w:r w:rsidRPr="0089172D">
        <w:rPr>
          <w:rFonts w:ascii="Times New Roman" w:hAnsi="Times New Roman" w:cs="Times New Roman"/>
          <w:sz w:val="24"/>
          <w:szCs w:val="24"/>
        </w:rPr>
        <w:lastRenderedPageBreak/>
        <w:t xml:space="preserve">gospodarstvu u aktualnoj pandemiji COVID-a 19 i Komunikacije Komisije – Druga izmjena privremenog okvira za mjere državne potpore u svrhu podrške gospodarstvu u aktualnoj pandemiji COVID-a 19 (u daljnjem tekstu: Privremeni okvir-COVID 19). </w:t>
      </w:r>
    </w:p>
    <w:p w14:paraId="2F22794D" w14:textId="77777777" w:rsidR="001C07E9" w:rsidRDefault="001C07E9" w:rsidP="00486145">
      <w:pPr>
        <w:spacing w:after="240" w:line="360" w:lineRule="auto"/>
        <w:jc w:val="both"/>
        <w:rPr>
          <w:rFonts w:ascii="Times New Roman" w:hAnsi="Times New Roman" w:cs="Times New Roman"/>
          <w:sz w:val="24"/>
          <w:szCs w:val="24"/>
        </w:rPr>
      </w:pPr>
    </w:p>
    <w:p w14:paraId="58943B97"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Ovaj Program predstavlja akt na temelju kojeg će Vlada Republike Hrvatske – Ministarstvo mora, prometa i infrastrukture (u daljnjem tekstu: MMPI) putem provedbenih tijela Hrvatske banke za obnovu i razvitak (u daljnjem tekstu: HBOR) i Hrvatske agencije za malo gospodarstvo, inovacije i investicije (HAMAG-BICRO), bez potrebe za daljnjom obavijesti, dodjeljivati pojedinačne potpore korisnicima koji ispunjavaju uvjete iz ovog Programa i Privremenog okvira – COVID 19.</w:t>
      </w:r>
    </w:p>
    <w:p w14:paraId="49BEE7AC"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Instrument državne potpore uređen ovim Programom predstavlja državno jamstvo (u daljnjem tekstu: jamstvo) za nove zajmove poduzetnika kod poslovnih banaka te Hrvatske banke za obnovu i razvitak.</w:t>
      </w:r>
    </w:p>
    <w:p w14:paraId="3BCA86D4"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Davatelj potpore iz stavka 2. ove točke je MMPI, koji će osigurati sredstva za dodjelu potpora sukladno ovom Programu, kao i za plaćanja odnosno pokriće gubitaka po jamstvima koja će se izdavati na temelju ovog Programa, voditi evidenciju i nadzor dodijeljenih potpora u obliku jamstava te izvršavati obveze iz Privremenog okvira – COVID 19 koje se odnose na korištenje privremenih mjera potpore iz ovog Programa.</w:t>
      </w:r>
    </w:p>
    <w:p w14:paraId="63A34895"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Mjere iz ovog Programa provodit će i njima upravljati HBOR i HAMAG-BICRO na temelju ovlaštenja (odluke) Vlade Republike Hrvatske i u suradnji s MMPI.</w:t>
      </w:r>
    </w:p>
    <w:p w14:paraId="0A24669B"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Ovaj Program, osim što predstavlja akt na temelju kojeg će se dodjeljivati potpore sukladno Zakonu o državnim potporama</w:t>
      </w:r>
      <w:r w:rsidRPr="0089172D">
        <w:rPr>
          <w:rStyle w:val="FootnoteReference"/>
          <w:rFonts w:ascii="Times New Roman" w:hAnsi="Times New Roman" w:cs="Times New Roman"/>
          <w:sz w:val="24"/>
          <w:szCs w:val="24"/>
        </w:rPr>
        <w:footnoteReference w:id="1"/>
      </w:r>
      <w:r w:rsidRPr="0089172D">
        <w:rPr>
          <w:rFonts w:ascii="Times New Roman" w:hAnsi="Times New Roman" w:cs="Times New Roman"/>
          <w:sz w:val="24"/>
          <w:szCs w:val="24"/>
        </w:rPr>
        <w:t xml:space="preserve">, ujedno daje okvir i smjernice za rad stručnim službama MMPI, djelatnicima HBOR-a i HAMAG-BICRO-a u smislu prihvata zahtjeva prijavitelja, prikupljanja potrebne dokumentacije od podnositelja zahtjeva, </w:t>
      </w:r>
      <w:r w:rsidRPr="0089172D">
        <w:rPr>
          <w:rFonts w:ascii="Times New Roman" w:hAnsi="Times New Roman" w:cs="Times New Roman"/>
          <w:sz w:val="24"/>
          <w:szCs w:val="24"/>
        </w:rPr>
        <w:lastRenderedPageBreak/>
        <w:t>obrade zahtjeva, a sve zaključno do faze odnosa komitent – banka koji proizlazi iz međusobnih prava i obveza uređenih obvezno-pravnim ugovorom o zajmu.</w:t>
      </w:r>
    </w:p>
    <w:p w14:paraId="43A23675"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Nadzor nad provedbom plaćanja ili pozivima na plaćanje, izvješćivanje o istima u provedbi mjera kao i protestiranjima jamstava u provedbi mjera iz ovog Programa osigurat će Vlada Republike Hrvatske svojim i/ili odgovarajućim provedbenim aktima MMPI.</w:t>
      </w:r>
    </w:p>
    <w:p w14:paraId="41100A15"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Za vrijeme trajanje ovoga Programa MMPI u suradnji s HBOR i HAMAG-BICRO kao provedbenim tijelima, procjenjuje moguće rizike koji mogu nastati u slučaju da korisnici zajmova, za koje će biti izdana jamstva, neće biti u mogućnosti izvršavati svoje obveze te na temelju toga, a radi osiguranja plaćanja potencijalnih obveza koje mogu nastati temeljem izdanih jamstva, planira sredstva u okviru svog financijskog plana. </w:t>
      </w:r>
    </w:p>
    <w:p w14:paraId="1F5FB0D5"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MMPI će pratiti korištenje jamstava odobrenih iz ovog Programa, izvršavati pozive po plaćanjima u slučaju protestiranja jamstava, transparentno, objektivno i dosljedno voditi evidencije o izdanim jamstvima odnosno potencijalnim obvezama te potraživanjima koja mogu nastati temeljem izdanih jamstava.</w:t>
      </w:r>
    </w:p>
    <w:p w14:paraId="350F8FC1"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O evidencijama i drugim postupanjima iz stavka 7. ovog članka MMPI pravodobno će izvještavati Ministarstvo financija.</w:t>
      </w:r>
    </w:p>
    <w:p w14:paraId="310AB7AE"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Ukupan iznos proračuna planiran na temelju Programa iznosi 600.000.000,00 HRK.</w:t>
      </w:r>
    </w:p>
    <w:p w14:paraId="03355C84"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U slučaju povećanja planiranog proračuna Republika Hrvatska će o navedenom obavijestiti Europsku komisiju.</w:t>
      </w:r>
    </w:p>
    <w:p w14:paraId="312AE050"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Potpore iz ovog Programa spojive su s unutarnjim tržištem u smislu članka 107. stavka 3. točke (b) Ugovora o funkcioniranju Europske unije (u daljnjem tekstu: UFEU) te podliježu prijavi Europskoj komisiji na ocjenu u skladu sa člankom 108. stavkom 3. UFEU.</w:t>
      </w:r>
    </w:p>
    <w:p w14:paraId="54EC24EC"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lastRenderedPageBreak/>
        <w:t>Ovaj Program usklađen je i primjenjuje se u skladu sa odredbama Zakona o izvršavanju državnog proračuna Republike Hrvatske za 2020. godinu</w:t>
      </w:r>
      <w:r w:rsidRPr="0089172D">
        <w:rPr>
          <w:rStyle w:val="FootnoteReference"/>
          <w:rFonts w:ascii="Times New Roman" w:hAnsi="Times New Roman" w:cs="Times New Roman"/>
          <w:sz w:val="24"/>
          <w:szCs w:val="24"/>
        </w:rPr>
        <w:footnoteReference w:id="2"/>
      </w:r>
      <w:r w:rsidRPr="0089172D">
        <w:rPr>
          <w:rFonts w:ascii="Times New Roman" w:hAnsi="Times New Roman" w:cs="Times New Roman"/>
          <w:sz w:val="24"/>
          <w:szCs w:val="24"/>
        </w:rPr>
        <w:t>, Zakona o poticanju razvoja malog gospodarstva</w:t>
      </w:r>
      <w:r w:rsidRPr="0089172D">
        <w:rPr>
          <w:rStyle w:val="FootnoteReference"/>
          <w:rFonts w:ascii="Times New Roman" w:hAnsi="Times New Roman" w:cs="Times New Roman"/>
          <w:sz w:val="24"/>
          <w:szCs w:val="24"/>
        </w:rPr>
        <w:footnoteReference w:id="3"/>
      </w:r>
      <w:r w:rsidRPr="0089172D">
        <w:rPr>
          <w:rFonts w:ascii="Times New Roman" w:hAnsi="Times New Roman" w:cs="Times New Roman"/>
          <w:sz w:val="24"/>
          <w:szCs w:val="24"/>
        </w:rPr>
        <w:t xml:space="preserve"> i Zakona o hrvatskoj banci za obnovu i razvitak</w:t>
      </w:r>
      <w:r w:rsidRPr="0089172D">
        <w:rPr>
          <w:rStyle w:val="FootnoteReference"/>
          <w:rFonts w:ascii="Times New Roman" w:hAnsi="Times New Roman" w:cs="Times New Roman"/>
          <w:sz w:val="24"/>
          <w:szCs w:val="24"/>
        </w:rPr>
        <w:footnoteReference w:id="4"/>
      </w:r>
      <w:r w:rsidRPr="0089172D">
        <w:rPr>
          <w:rFonts w:ascii="Times New Roman" w:hAnsi="Times New Roman" w:cs="Times New Roman"/>
          <w:sz w:val="24"/>
          <w:szCs w:val="24"/>
        </w:rPr>
        <w:t>.</w:t>
      </w:r>
    </w:p>
    <w:p w14:paraId="355E6EFA"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III.</w:t>
      </w:r>
    </w:p>
    <w:p w14:paraId="02D443E4"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 xml:space="preserve">Prihvatljivi korisnici </w:t>
      </w:r>
    </w:p>
    <w:p w14:paraId="243D37DA"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Ovaj Program primjenjuje se na cijelom teritoriju Republike Hrvatske i odnosi se na sljedeće djelatnosti (prema Nacionalnoj klasifikaciji djelatnosti – NKD/NACE Rev2</w:t>
      </w:r>
      <w:r w:rsidRPr="0089172D">
        <w:rPr>
          <w:rStyle w:val="FootnoteReference"/>
          <w:rFonts w:ascii="Times New Roman" w:hAnsi="Times New Roman" w:cs="Times New Roman"/>
          <w:sz w:val="24"/>
          <w:szCs w:val="24"/>
        </w:rPr>
        <w:footnoteReference w:id="5"/>
      </w:r>
      <w:r w:rsidRPr="0089172D">
        <w:rPr>
          <w:rFonts w:ascii="Times New Roman" w:hAnsi="Times New Roman" w:cs="Times New Roman"/>
          <w:sz w:val="24"/>
          <w:szCs w:val="24"/>
        </w:rPr>
        <w:t xml:space="preserve">): </w:t>
      </w:r>
    </w:p>
    <w:p w14:paraId="6ACA2466"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42.91 Gradnja vodnih građevina</w:t>
      </w:r>
    </w:p>
    <w:p w14:paraId="67E35550"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49.10 Željeznički prijevoz putnika, međugradski</w:t>
      </w:r>
    </w:p>
    <w:p w14:paraId="174CCC6F"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49.20 Željeznički prijevoz robe</w:t>
      </w:r>
    </w:p>
    <w:p w14:paraId="784B8727"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49.31 Gradski i prigradski kopneni prijevoz putnika </w:t>
      </w:r>
    </w:p>
    <w:p w14:paraId="048CD24A"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49.39 Ostali kopneni prijevoz (ne obuhvaća taksi službu)</w:t>
      </w:r>
    </w:p>
    <w:p w14:paraId="296C22BF"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50.10 Pomorski i obalni prijevoz putnika</w:t>
      </w:r>
    </w:p>
    <w:p w14:paraId="347DC644"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50.30 Prijevoz putnika unutarnjim vodnim putovima</w:t>
      </w:r>
    </w:p>
    <w:p w14:paraId="582BE01D"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50.40 Prijevoz robe unutarnjim vodnim putovima</w:t>
      </w:r>
    </w:p>
    <w:p w14:paraId="2641A854"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51.10 Zračni prijevoz putnika</w:t>
      </w:r>
    </w:p>
    <w:p w14:paraId="3FE378A8"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51.21 Zračni prijevoz robe</w:t>
      </w:r>
    </w:p>
    <w:p w14:paraId="14988C37"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lastRenderedPageBreak/>
        <w:t>50.20 Pomorski i obalni prijevoz robe</w:t>
      </w:r>
    </w:p>
    <w:p w14:paraId="3B47E2E3"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52.10 Skladištenje robe</w:t>
      </w:r>
    </w:p>
    <w:p w14:paraId="4FD7EE30"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52.2 Uslužne djelatnosti u prometu</w:t>
      </w:r>
    </w:p>
    <w:p w14:paraId="29D98B78"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77.34 Iznajmljivanje i davanje u zakup (leasing) plovnih prijevoznih sredstava</w:t>
      </w:r>
    </w:p>
    <w:p w14:paraId="19C840E1"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79.11 Djelatnost putničkih agencija (povezane s nautičkim prometom)</w:t>
      </w:r>
    </w:p>
    <w:p w14:paraId="326DB9C0"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79.12 Djelatnost organizatora putovanja (turoperatori) ako su povezane s nautičkim prometom</w:t>
      </w:r>
    </w:p>
    <w:p w14:paraId="367BD590"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93</w:t>
      </w:r>
      <w:r w:rsidR="00A4148C" w:rsidRPr="0089172D">
        <w:rPr>
          <w:rFonts w:ascii="Times New Roman" w:hAnsi="Times New Roman" w:cs="Times New Roman"/>
          <w:sz w:val="24"/>
          <w:szCs w:val="24"/>
        </w:rPr>
        <w:t>.</w:t>
      </w:r>
      <w:r w:rsidRPr="0089172D">
        <w:rPr>
          <w:rFonts w:ascii="Times New Roman" w:hAnsi="Times New Roman" w:cs="Times New Roman"/>
          <w:sz w:val="24"/>
          <w:szCs w:val="24"/>
        </w:rPr>
        <w:t>29 Luke nautičkog turizma.</w:t>
      </w:r>
    </w:p>
    <w:p w14:paraId="47BCD4D9"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Program se primjenjuje i na djelatnosti koje se odnose na gradnju, tehničko unapređenje, prometno-tehničku modernizaciju vodnih putova, tehničko održavanje i osposobljavanje vodnih putova i objekata sigurnosti plovidbe onesposobljenih zbog elementarnih nepogoda (NKD 08.1, 30.11, 33.15, 43.1). </w:t>
      </w:r>
    </w:p>
    <w:p w14:paraId="323E5303" w14:textId="77777777" w:rsidR="008478E4" w:rsidRPr="0089172D" w:rsidRDefault="008478E4" w:rsidP="00486145">
      <w:pPr>
        <w:pStyle w:val="ListParagraph3"/>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Prihvatljivi korisnici potpora iz ovog Programa su poduzetnici koji obavljaju djelatnosti iz stavka 1. ove točke, a svrstani su u mala, srednja i velika poduzeća prema kategorijama poduzeća iz Priloga 1. Uredbe Komisije (EU) br. 651/2014 оd 17. lipnja 2014. o ocjenjivanju određenih kategorija potpora spojivima s unutarnjim tržištem u primjeni članaka 107. i 108. Ugovora</w:t>
      </w:r>
      <w:r w:rsidRPr="0089172D">
        <w:rPr>
          <w:rStyle w:val="FootnoteReference"/>
          <w:rFonts w:ascii="Times New Roman" w:hAnsi="Times New Roman"/>
          <w:sz w:val="24"/>
          <w:szCs w:val="24"/>
          <w:lang w:val="hr-HR"/>
        </w:rPr>
        <w:footnoteReference w:id="6"/>
      </w:r>
      <w:r w:rsidRPr="0089172D">
        <w:rPr>
          <w:rFonts w:ascii="Times New Roman" w:hAnsi="Times New Roman"/>
          <w:sz w:val="24"/>
          <w:szCs w:val="24"/>
          <w:lang w:val="hr-HR"/>
        </w:rPr>
        <w:t xml:space="preserve"> (u daljnjem tekstu: Uredba Komisije br. 651/2014).</w:t>
      </w:r>
    </w:p>
    <w:p w14:paraId="4A808EC6"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t>Prihvatljivi korisnici potpora iz stavka 2. ove točke mogu ostvariti pravo na potporu pod uvjetom da su suočeni s manjkom likvidnosti jer je njihova poslovna aktivnost smanjena ili u cijelosti obustavljena zbog izvanrednih okolnosti prouzročenih pandemijom COVID-a 19, odnosno ako su suočeni s poteškoćama u poslovanju koje su posljedica te pandemije.</w:t>
      </w:r>
    </w:p>
    <w:p w14:paraId="40F20E95"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lastRenderedPageBreak/>
        <w:t>Smatra se da poteškoće u poslovanju koje su posljedica pandemije COVID-a19 imaju poduzetnici koji su:</w:t>
      </w:r>
    </w:p>
    <w:p w14:paraId="21263D00" w14:textId="77777777" w:rsidR="008478E4" w:rsidRPr="0089172D" w:rsidRDefault="00C548F5" w:rsidP="00B12D59">
      <w:pPr>
        <w:pStyle w:val="ListParagraph3"/>
        <w:spacing w:after="240" w:line="360" w:lineRule="auto"/>
        <w:ind w:left="709" w:hanging="425"/>
        <w:contextualSpacing w:val="0"/>
        <w:jc w:val="both"/>
        <w:rPr>
          <w:rFonts w:ascii="Times New Roman" w:hAnsi="Times New Roman"/>
          <w:bCs/>
          <w:sz w:val="24"/>
          <w:szCs w:val="24"/>
          <w:lang w:val="hr-HR"/>
        </w:rPr>
      </w:pPr>
      <w:r w:rsidRPr="0089172D">
        <w:rPr>
          <w:rFonts w:ascii="Times New Roman" w:hAnsi="Times New Roman"/>
          <w:sz w:val="24"/>
          <w:szCs w:val="24"/>
          <w:lang w:val="hr-HR"/>
        </w:rPr>
        <w:t>-</w:t>
      </w:r>
      <w:r w:rsidR="00B12D59">
        <w:rPr>
          <w:rFonts w:ascii="Times New Roman" w:hAnsi="Times New Roman"/>
          <w:sz w:val="24"/>
          <w:szCs w:val="24"/>
          <w:lang w:val="hr-HR"/>
        </w:rPr>
        <w:tab/>
      </w:r>
      <w:r w:rsidR="008478E4" w:rsidRPr="0089172D">
        <w:rPr>
          <w:rFonts w:ascii="Times New Roman" w:hAnsi="Times New Roman"/>
          <w:sz w:val="24"/>
          <w:szCs w:val="24"/>
          <w:lang w:val="hr-HR"/>
        </w:rPr>
        <w:t>ostvarili značajan pad poslovnih prihoda u odgovarajućem razdoblju 2020. godine u odnosu na isto razdoblje 2019. godine i/ili kod kojih se na temelju pokazatelja poslovanja u prvih šest mjeseci 2020. može očekivati ostvarenje poslovnih prihoda za 2020. godinu na razini koja je značajno niža (najmanje 20%) od poslovnih prihoda ostvarenih u 2019. godini;</w:t>
      </w:r>
    </w:p>
    <w:p w14:paraId="52FEFECB" w14:textId="77777777" w:rsidR="008478E4" w:rsidRPr="0089172D" w:rsidRDefault="00C548F5" w:rsidP="00B12D59">
      <w:pPr>
        <w:pStyle w:val="ListParagraph3"/>
        <w:spacing w:after="240" w:line="360" w:lineRule="auto"/>
        <w:ind w:left="709" w:hanging="425"/>
        <w:contextualSpacing w:val="0"/>
        <w:jc w:val="both"/>
        <w:rPr>
          <w:rFonts w:ascii="Times New Roman" w:hAnsi="Times New Roman"/>
          <w:bCs/>
          <w:sz w:val="24"/>
          <w:szCs w:val="24"/>
          <w:lang w:val="hr-HR"/>
        </w:rPr>
      </w:pPr>
      <w:r w:rsidRPr="0089172D">
        <w:rPr>
          <w:rFonts w:ascii="Times New Roman" w:hAnsi="Times New Roman"/>
          <w:bCs/>
          <w:sz w:val="24"/>
          <w:szCs w:val="24"/>
          <w:lang w:val="hr-HR"/>
        </w:rPr>
        <w:t>-</w:t>
      </w:r>
      <w:r w:rsidR="00B12D59">
        <w:rPr>
          <w:rFonts w:ascii="Times New Roman" w:hAnsi="Times New Roman"/>
          <w:bCs/>
          <w:sz w:val="24"/>
          <w:szCs w:val="24"/>
          <w:lang w:val="hr-HR"/>
        </w:rPr>
        <w:tab/>
      </w:r>
      <w:r w:rsidR="008478E4" w:rsidRPr="0089172D">
        <w:rPr>
          <w:rFonts w:ascii="Times New Roman" w:hAnsi="Times New Roman"/>
          <w:bCs/>
          <w:sz w:val="24"/>
          <w:szCs w:val="24"/>
          <w:lang w:val="hr-HR"/>
        </w:rPr>
        <w:t>ostvarili fizički pad prometa i/ili prijevoza putnika i robe, rezervacija putovanja i turističkih posjeta i slično u 2020. godini u odnosu na isto razdoblje 2019. godine i/ili su im otkazani ili na duže vrijeme odgođeni (na najmanje godinu dana) ranije ugovoreni i planirani poslovi i/ili druge poslovne aktivnosti sukladno poslovnim planovima za 2020. godinu.</w:t>
      </w:r>
    </w:p>
    <w:p w14:paraId="1B818AC3"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IV.</w:t>
      </w:r>
    </w:p>
    <w:p w14:paraId="53B52C96"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Neprihvatljivi korisnici</w:t>
      </w:r>
    </w:p>
    <w:p w14:paraId="687C56D9"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t xml:space="preserve">Neprihvatljivim korisnicima potpora iz ovog Programa smatraju se </w:t>
      </w:r>
      <w:r w:rsidRPr="0089172D">
        <w:rPr>
          <w:rFonts w:ascii="Times New Roman" w:hAnsi="Times New Roman"/>
          <w:bCs/>
          <w:sz w:val="24"/>
          <w:szCs w:val="24"/>
          <w:lang w:val="hr-HR"/>
        </w:rPr>
        <w:t>poduzetnici koji su bili u teškoćama na dan 31. prosinca 2019. godine.</w:t>
      </w:r>
    </w:p>
    <w:p w14:paraId="051CB34E"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Poduzetnikom u teškoćama iz stavka 1. ove točke smatra se poduzetnik koji ispunjava uvjete iz definicije poduzetnik u teškoćama iz članka 2. točke 18. Uredbe </w:t>
      </w:r>
      <w:r w:rsidRPr="0089172D">
        <w:rPr>
          <w:rFonts w:ascii="Times New Roman" w:hAnsi="Times New Roman"/>
          <w:sz w:val="24"/>
          <w:szCs w:val="24"/>
          <w:lang w:val="hr-HR"/>
        </w:rPr>
        <w:t>Komisije br. 651/2014 odnosno točke VII. podtočke 10) ovog Programa.</w:t>
      </w:r>
    </w:p>
    <w:p w14:paraId="39175D1A"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sz w:val="24"/>
          <w:szCs w:val="24"/>
          <w:lang w:val="hr-HR"/>
        </w:rPr>
        <w:t>Potpore iz ovog Programa ne mogu se dodijeliti poduzetnicima koji podliježu neizvršenom nalogu za povrat potpore na temelju prethodne odluke Europske komisije kojom se potpora ocjenjuje nezakonitom i nespojivom s unutarnjim tržištem.</w:t>
      </w:r>
    </w:p>
    <w:p w14:paraId="505B76E6"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Potpore iz ovog Programa ne mogu se dodijeliti poduzetnicima koji su u 2020. godini isplatili dobit/dividendu iz prethodnih razdoblja, osim ako se ne radi o zakonskoj obvezi. </w:t>
      </w:r>
    </w:p>
    <w:p w14:paraId="5FED4831"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lastRenderedPageBreak/>
        <w:t>Ovaj se Program ne odnosi na poduzetnike koji obavljaju djelatnost primarne poljoprivredne proizvodnje</w:t>
      </w:r>
      <w:r w:rsidRPr="0089172D">
        <w:rPr>
          <w:rStyle w:val="FootnoteReference"/>
          <w:rFonts w:ascii="Times New Roman" w:hAnsi="Times New Roman" w:cs="Times New Roman"/>
          <w:sz w:val="24"/>
          <w:szCs w:val="24"/>
        </w:rPr>
        <w:footnoteReference w:id="7"/>
      </w:r>
      <w:r w:rsidRPr="0089172D">
        <w:rPr>
          <w:rFonts w:ascii="Times New Roman" w:hAnsi="Times New Roman" w:cs="Times New Roman"/>
          <w:sz w:val="24"/>
          <w:szCs w:val="24"/>
        </w:rPr>
        <w:t xml:space="preserve"> i djelatnosti u sektoru ribarstva i akvakulture</w:t>
      </w:r>
      <w:r w:rsidRPr="0089172D">
        <w:rPr>
          <w:rStyle w:val="FootnoteReference"/>
          <w:rFonts w:ascii="Times New Roman" w:hAnsi="Times New Roman" w:cs="Times New Roman"/>
          <w:sz w:val="24"/>
          <w:szCs w:val="24"/>
        </w:rPr>
        <w:footnoteReference w:id="8"/>
      </w:r>
      <w:r w:rsidRPr="0089172D">
        <w:rPr>
          <w:rFonts w:ascii="Times New Roman" w:hAnsi="Times New Roman" w:cs="Times New Roman"/>
          <w:sz w:val="24"/>
          <w:szCs w:val="24"/>
        </w:rPr>
        <w:t>.</w:t>
      </w:r>
    </w:p>
    <w:p w14:paraId="12C0C3B1"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Potpore iz ovog Programa se ne mogu dodijeliti kreditnim i financijskim institucijama, osim u slučaju ako ih one izravno usmjere na korisnike potpora iz točke III. ovog Programa, a u skladu s odredbama točke V. stavka 3. ovog Programa odnosno odjeljaka 3.1. i 3.2. Privremenog okvira – COVID 19, u skladu sa zaštitnim mjerama iz odjeljka 3.4. Privremenog okvira – COVID 19.</w:t>
      </w:r>
    </w:p>
    <w:p w14:paraId="08201A4C" w14:textId="77777777" w:rsidR="008478E4" w:rsidRPr="0089172D" w:rsidRDefault="008478E4" w:rsidP="00486145">
      <w:pPr>
        <w:pStyle w:val="ListParagraph"/>
        <w:spacing w:after="240" w:line="360" w:lineRule="auto"/>
        <w:ind w:left="0"/>
        <w:jc w:val="center"/>
        <w:rPr>
          <w:b/>
          <w:lang w:val="hr-HR"/>
        </w:rPr>
      </w:pPr>
      <w:r w:rsidRPr="0089172D">
        <w:rPr>
          <w:b/>
          <w:lang w:val="hr-HR"/>
        </w:rPr>
        <w:t>V.</w:t>
      </w:r>
    </w:p>
    <w:p w14:paraId="529D838A" w14:textId="77777777" w:rsidR="008478E4" w:rsidRPr="0089172D" w:rsidRDefault="008478E4" w:rsidP="00486145">
      <w:pPr>
        <w:pStyle w:val="ListParagraph"/>
        <w:spacing w:line="360" w:lineRule="auto"/>
        <w:ind w:left="0"/>
        <w:jc w:val="center"/>
        <w:rPr>
          <w:b/>
          <w:lang w:val="hr-HR"/>
        </w:rPr>
      </w:pPr>
      <w:r w:rsidRPr="0089172D">
        <w:rPr>
          <w:b/>
          <w:lang w:val="hr-HR"/>
        </w:rPr>
        <w:t>Oblici (instrumenti) potpora</w:t>
      </w:r>
    </w:p>
    <w:p w14:paraId="7FCC2C3B" w14:textId="77777777" w:rsidR="00486145" w:rsidRPr="0089172D" w:rsidRDefault="00486145" w:rsidP="00486145">
      <w:pPr>
        <w:pStyle w:val="ListParagraph"/>
        <w:spacing w:line="360" w:lineRule="auto"/>
        <w:ind w:left="0"/>
        <w:jc w:val="center"/>
        <w:rPr>
          <w:b/>
          <w:lang w:val="hr-HR"/>
        </w:rPr>
      </w:pPr>
    </w:p>
    <w:p w14:paraId="56C9D13D" w14:textId="77777777" w:rsidR="008478E4" w:rsidRPr="0089172D" w:rsidRDefault="008478E4" w:rsidP="00486145">
      <w:pPr>
        <w:spacing w:line="360" w:lineRule="auto"/>
        <w:jc w:val="both"/>
        <w:rPr>
          <w:rStyle w:val="Bodytext285pt"/>
          <w:rFonts w:eastAsia="Calibri"/>
          <w:b/>
          <w:sz w:val="24"/>
          <w:szCs w:val="24"/>
          <w:lang w:val="hr-HR"/>
        </w:rPr>
      </w:pPr>
      <w:r w:rsidRPr="0089172D">
        <w:rPr>
          <w:rStyle w:val="Bodytext285pt"/>
          <w:rFonts w:eastAsiaTheme="minorHAnsi"/>
          <w:sz w:val="24"/>
          <w:szCs w:val="24"/>
          <w:lang w:val="hr-HR"/>
        </w:rPr>
        <w:t>Na temelju ovog Programa dodjeljivat će se privremene mjere u skladu s Privremenim okvirom – COVID 19, i to:</w:t>
      </w:r>
    </w:p>
    <w:p w14:paraId="176CEA1A" w14:textId="77777777" w:rsidR="008478E4" w:rsidRPr="0089172D" w:rsidRDefault="00C548F5" w:rsidP="00B12D59">
      <w:pPr>
        <w:spacing w:after="240" w:line="360" w:lineRule="auto"/>
        <w:ind w:left="709" w:hanging="425"/>
        <w:jc w:val="both"/>
        <w:rPr>
          <w:rFonts w:ascii="Times New Roman" w:hAnsi="Times New Roman" w:cs="Times New Roman"/>
          <w:b/>
          <w:sz w:val="24"/>
          <w:szCs w:val="24"/>
        </w:rPr>
      </w:pPr>
      <w:r w:rsidRPr="0089172D">
        <w:rPr>
          <w:rFonts w:ascii="Times New Roman" w:hAnsi="Times New Roman" w:cs="Times New Roman"/>
          <w:sz w:val="24"/>
          <w:szCs w:val="24"/>
        </w:rPr>
        <w:t>1)</w:t>
      </w:r>
      <w:r w:rsidR="00B12D59">
        <w:rPr>
          <w:rFonts w:ascii="Times New Roman" w:hAnsi="Times New Roman" w:cs="Times New Roman"/>
          <w:sz w:val="24"/>
          <w:szCs w:val="24"/>
        </w:rPr>
        <w:tab/>
      </w:r>
      <w:r w:rsidR="008478E4" w:rsidRPr="0089172D">
        <w:rPr>
          <w:rFonts w:ascii="Times New Roman" w:hAnsi="Times New Roman" w:cs="Times New Roman"/>
          <w:sz w:val="24"/>
          <w:szCs w:val="24"/>
        </w:rPr>
        <w:t>potpore u obliku jamstava sukladno uvjetima iz odjeljka „3.1. Ograničeni iznosi potpore“;</w:t>
      </w:r>
    </w:p>
    <w:p w14:paraId="485DB239" w14:textId="77777777" w:rsidR="008478E4" w:rsidRPr="0089172D" w:rsidRDefault="00C548F5" w:rsidP="00B12D59">
      <w:pPr>
        <w:spacing w:after="240" w:line="360" w:lineRule="auto"/>
        <w:ind w:left="709" w:hanging="425"/>
        <w:jc w:val="both"/>
        <w:rPr>
          <w:rFonts w:ascii="Times New Roman" w:hAnsi="Times New Roman" w:cs="Times New Roman"/>
          <w:sz w:val="24"/>
          <w:szCs w:val="24"/>
        </w:rPr>
      </w:pPr>
      <w:r w:rsidRPr="0089172D">
        <w:rPr>
          <w:rFonts w:ascii="Times New Roman" w:hAnsi="Times New Roman" w:cs="Times New Roman"/>
          <w:sz w:val="24"/>
          <w:szCs w:val="24"/>
        </w:rPr>
        <w:t>2)</w:t>
      </w:r>
      <w:r w:rsidR="00B12D59">
        <w:rPr>
          <w:rFonts w:ascii="Times New Roman" w:hAnsi="Times New Roman" w:cs="Times New Roman"/>
          <w:sz w:val="24"/>
          <w:szCs w:val="24"/>
        </w:rPr>
        <w:tab/>
      </w:r>
      <w:r w:rsidR="008478E4" w:rsidRPr="0089172D">
        <w:rPr>
          <w:rFonts w:ascii="Times New Roman" w:hAnsi="Times New Roman" w:cs="Times New Roman"/>
          <w:sz w:val="24"/>
          <w:szCs w:val="24"/>
        </w:rPr>
        <w:t>potpore u obliku jamstava za zajmove sukladno uvjetima iz odjeljka „3.2.Potpora u obliku jamstava za zajmove“.</w:t>
      </w:r>
    </w:p>
    <w:p w14:paraId="4D8B192F"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Potpore u obliku jamstava iz stavka 1. ove točke izravno su usmjerene na korisnike iz točke III. ovog Programa koji su suočeni s iznenadnim manjkom likvidnosti, a ne na kreditne ili druge financijske institucije koje su davatelji zajma za koje se dodjeljuju jamstva. </w:t>
      </w:r>
    </w:p>
    <w:p w14:paraId="6C52102A"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 xml:space="preserve">Prilikom odobravanja jamstva za nove kredite poslovne banke će HBOR-u/HAMAG-BICRO-u nedvojbeno morati dokazati da su prednosti iz jamstva u najvećoj mogućoj </w:t>
      </w:r>
      <w:r w:rsidRPr="0089172D">
        <w:rPr>
          <w:rFonts w:ascii="Times New Roman" w:hAnsi="Times New Roman" w:cs="Times New Roman"/>
          <w:sz w:val="24"/>
          <w:szCs w:val="24"/>
        </w:rPr>
        <w:lastRenderedPageBreak/>
        <w:t xml:space="preserve">mjeri prenijele na korisnike i zaštitnim mjerama onemogućiti neizravne potpore poslovnim bankama te time ograničiti neopravdano narušavanje tržišnog natjecanja. U tom smislu, HBOR/HAMAG-BICRO će ugovornim odnosom s poslovnim bankama u provedbi ovog Programa osigurati uvjete zajma za korisnike mjere državne potpore iz ovog Programa po povoljnijim uvjetima (snižena kamatna stopa i/ili niži zahtjevi za instrumente osiguranja i slično). </w:t>
      </w:r>
    </w:p>
    <w:p w14:paraId="23431146" w14:textId="77777777" w:rsidR="008478E4" w:rsidRPr="0089172D" w:rsidRDefault="008478E4" w:rsidP="00486145">
      <w:pPr>
        <w:pStyle w:val="ListParagraph"/>
        <w:spacing w:after="240" w:line="360" w:lineRule="auto"/>
        <w:ind w:left="426"/>
        <w:jc w:val="center"/>
        <w:rPr>
          <w:b/>
          <w:lang w:val="hr-HR"/>
        </w:rPr>
      </w:pPr>
      <w:r w:rsidRPr="0089172D">
        <w:rPr>
          <w:b/>
          <w:lang w:val="hr-HR"/>
        </w:rPr>
        <w:t>VI.</w:t>
      </w:r>
    </w:p>
    <w:p w14:paraId="5EFA6133" w14:textId="77777777" w:rsidR="008478E4" w:rsidRPr="0089172D" w:rsidRDefault="008478E4" w:rsidP="00486145">
      <w:pPr>
        <w:spacing w:after="240" w:line="360" w:lineRule="auto"/>
        <w:jc w:val="center"/>
        <w:rPr>
          <w:rFonts w:ascii="Times New Roman" w:hAnsi="Times New Roman" w:cs="Times New Roman"/>
          <w:b/>
          <w:sz w:val="24"/>
          <w:szCs w:val="24"/>
        </w:rPr>
      </w:pPr>
      <w:r w:rsidRPr="0089172D">
        <w:rPr>
          <w:rFonts w:ascii="Times New Roman" w:hAnsi="Times New Roman" w:cs="Times New Roman"/>
          <w:b/>
          <w:sz w:val="24"/>
          <w:szCs w:val="24"/>
        </w:rPr>
        <w:t>Proračun i trajanje Programa</w:t>
      </w:r>
    </w:p>
    <w:p w14:paraId="466FD943"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Potpore sukladno ovom Programu mogu se dodjeljivati od dana njegova stupanja na snagu, a po odobrenju Europske komisije, pa sve do 31. prosinca 2020. godine.</w:t>
      </w:r>
    </w:p>
    <w:p w14:paraId="4BEEC338"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Ukupan iznos proračuna planiran na temelju ovog Programa iznosi 600.000.000,00 HRK, s time da za pojedine instrumente prema Privremenom Okviru – COVID 19 iznosi:</w:t>
      </w:r>
    </w:p>
    <w:p w14:paraId="21C41A0E" w14:textId="77777777" w:rsidR="00C548F5" w:rsidRPr="0089172D" w:rsidRDefault="00C548F5" w:rsidP="00B12D59">
      <w:pPr>
        <w:spacing w:after="240" w:line="360" w:lineRule="auto"/>
        <w:ind w:left="709" w:hanging="425"/>
        <w:rPr>
          <w:rFonts w:ascii="Times New Roman" w:hAnsi="Times New Roman" w:cs="Times New Roman"/>
          <w:sz w:val="24"/>
          <w:szCs w:val="24"/>
        </w:rPr>
      </w:pPr>
      <w:r w:rsidRPr="0089172D">
        <w:rPr>
          <w:rFonts w:ascii="Times New Roman" w:hAnsi="Times New Roman" w:cs="Times New Roman"/>
          <w:sz w:val="24"/>
          <w:szCs w:val="24"/>
        </w:rPr>
        <w:t>1)</w:t>
      </w:r>
      <w:r w:rsidR="00B12D59">
        <w:rPr>
          <w:rFonts w:ascii="Times New Roman" w:hAnsi="Times New Roman" w:cs="Times New Roman"/>
          <w:sz w:val="24"/>
          <w:szCs w:val="24"/>
        </w:rPr>
        <w:tab/>
      </w:r>
      <w:r w:rsidR="008478E4" w:rsidRPr="0089172D">
        <w:rPr>
          <w:rFonts w:ascii="Times New Roman" w:hAnsi="Times New Roman" w:cs="Times New Roman"/>
          <w:sz w:val="24"/>
          <w:szCs w:val="24"/>
        </w:rPr>
        <w:t>za dodjelu potpora u obliku jamstava za nove zajmove iz odjeljka „3.1. Ograničeni iznosi potpore“:</w:t>
      </w:r>
      <w:r w:rsidR="008478E4" w:rsidRPr="0089172D">
        <w:rPr>
          <w:rFonts w:ascii="Times New Roman" w:hAnsi="Times New Roman" w:cs="Times New Roman"/>
          <w:color w:val="FF0000"/>
          <w:sz w:val="24"/>
          <w:szCs w:val="24"/>
        </w:rPr>
        <w:t xml:space="preserve"> </w:t>
      </w:r>
      <w:r w:rsidR="008478E4" w:rsidRPr="0089172D">
        <w:rPr>
          <w:rFonts w:ascii="Times New Roman" w:hAnsi="Times New Roman" w:cs="Times New Roman"/>
          <w:sz w:val="24"/>
          <w:szCs w:val="24"/>
        </w:rPr>
        <w:t xml:space="preserve">200.000.000,00 HRK, </w:t>
      </w:r>
    </w:p>
    <w:p w14:paraId="7B285556" w14:textId="77777777" w:rsidR="008478E4" w:rsidRPr="0089172D" w:rsidRDefault="00C548F5" w:rsidP="00B12D59">
      <w:pPr>
        <w:spacing w:after="240" w:line="360" w:lineRule="auto"/>
        <w:ind w:left="709" w:hanging="425"/>
        <w:rPr>
          <w:rFonts w:ascii="Times New Roman" w:hAnsi="Times New Roman" w:cs="Times New Roman"/>
          <w:sz w:val="24"/>
          <w:szCs w:val="24"/>
        </w:rPr>
      </w:pPr>
      <w:r w:rsidRPr="0089172D">
        <w:rPr>
          <w:rFonts w:ascii="Times New Roman" w:hAnsi="Times New Roman" w:cs="Times New Roman"/>
          <w:sz w:val="24"/>
          <w:szCs w:val="24"/>
        </w:rPr>
        <w:t>2)</w:t>
      </w:r>
      <w:r w:rsidR="00B12D59">
        <w:rPr>
          <w:rFonts w:ascii="Times New Roman" w:hAnsi="Times New Roman" w:cs="Times New Roman"/>
          <w:sz w:val="24"/>
          <w:szCs w:val="24"/>
        </w:rPr>
        <w:tab/>
      </w:r>
      <w:r w:rsidR="008478E4" w:rsidRPr="0089172D">
        <w:rPr>
          <w:rFonts w:ascii="Times New Roman" w:hAnsi="Times New Roman" w:cs="Times New Roman"/>
          <w:sz w:val="24"/>
          <w:szCs w:val="24"/>
        </w:rPr>
        <w:t>za dodjelu potpora u obliku jamstava za nove zajmove iz odjeljka „3.2. Potpora u obliku jamstava za zajmove“: 400.000.000,00 HRK.</w:t>
      </w:r>
    </w:p>
    <w:p w14:paraId="555EC4AB" w14:textId="77777777" w:rsidR="008478E4" w:rsidRPr="0089172D" w:rsidRDefault="008478E4" w:rsidP="00486145">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VII.</w:t>
      </w:r>
    </w:p>
    <w:p w14:paraId="2FABBAD9" w14:textId="77777777" w:rsidR="008478E4" w:rsidRPr="0089172D" w:rsidRDefault="008478E4" w:rsidP="00486145">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Definicije</w:t>
      </w:r>
    </w:p>
    <w:p w14:paraId="6A2BF1CB"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Za potrebe ovog Programa primjenjuju se sljedeće definicije:</w:t>
      </w:r>
    </w:p>
    <w:p w14:paraId="32E7E638"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 xml:space="preserve">„potpora“ - </w:t>
      </w:r>
      <w:r w:rsidRPr="0089172D">
        <w:rPr>
          <w:rFonts w:ascii="Times New Roman" w:hAnsi="Times New Roman"/>
          <w:sz w:val="24"/>
          <w:szCs w:val="24"/>
          <w:lang w:val="hr-HR"/>
        </w:rPr>
        <w:t>svaka mjera koja ispunjava sve kriterije utvrđene u članku 107. stavku 1. Ugovora;</w:t>
      </w:r>
    </w:p>
    <w:p w14:paraId="0577B449"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 xml:space="preserve">„pojedinačna potpora“ </w:t>
      </w:r>
      <w:r w:rsidRPr="0089172D">
        <w:rPr>
          <w:rFonts w:ascii="Times New Roman" w:hAnsi="Times New Roman"/>
          <w:sz w:val="24"/>
          <w:szCs w:val="24"/>
          <w:lang w:val="hr-HR"/>
        </w:rPr>
        <w:t>znači:</w:t>
      </w:r>
    </w:p>
    <w:p w14:paraId="5C4C0200" w14:textId="77777777" w:rsidR="008478E4" w:rsidRPr="0089172D" w:rsidRDefault="00C548F5" w:rsidP="00B12D59">
      <w:pPr>
        <w:pStyle w:val="ListParagraph2"/>
        <w:spacing w:after="240" w:line="360" w:lineRule="auto"/>
        <w:ind w:left="709" w:hanging="425"/>
        <w:jc w:val="both"/>
        <w:rPr>
          <w:rFonts w:ascii="Times New Roman" w:hAnsi="Times New Roman"/>
          <w:sz w:val="24"/>
          <w:szCs w:val="24"/>
          <w:lang w:val="hr-HR"/>
        </w:rPr>
      </w:pPr>
      <w:r w:rsidRPr="0089172D">
        <w:rPr>
          <w:rFonts w:ascii="Times New Roman" w:hAnsi="Times New Roman"/>
          <w:sz w:val="24"/>
          <w:szCs w:val="24"/>
          <w:lang w:val="hr-HR"/>
        </w:rPr>
        <w:t>i.</w:t>
      </w:r>
      <w:r w:rsidR="00B12D59">
        <w:rPr>
          <w:rFonts w:ascii="Times New Roman" w:hAnsi="Times New Roman"/>
          <w:sz w:val="24"/>
          <w:szCs w:val="24"/>
          <w:lang w:val="hr-HR"/>
        </w:rPr>
        <w:tab/>
      </w:r>
      <w:r w:rsidR="008478E4" w:rsidRPr="0089172D">
        <w:rPr>
          <w:rFonts w:ascii="Times New Roman" w:hAnsi="Times New Roman"/>
          <w:sz w:val="24"/>
          <w:szCs w:val="24"/>
          <w:lang w:val="hr-HR"/>
        </w:rPr>
        <w:t>jednokratna potpora i</w:t>
      </w:r>
    </w:p>
    <w:p w14:paraId="6AF59DA7"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lastRenderedPageBreak/>
        <w:t>ii.</w:t>
      </w:r>
      <w:r w:rsidR="00B12D59">
        <w:rPr>
          <w:rFonts w:ascii="Times New Roman" w:hAnsi="Times New Roman"/>
          <w:sz w:val="24"/>
          <w:szCs w:val="24"/>
          <w:lang w:val="hr-HR"/>
        </w:rPr>
        <w:tab/>
      </w:r>
      <w:r w:rsidR="008478E4" w:rsidRPr="0089172D">
        <w:rPr>
          <w:rFonts w:ascii="Times New Roman" w:hAnsi="Times New Roman"/>
          <w:sz w:val="24"/>
          <w:szCs w:val="24"/>
          <w:lang w:val="hr-HR"/>
        </w:rPr>
        <w:t>potpora dodijeljena pojedinačnim korisnicima na temelju programa potpore;</w:t>
      </w:r>
    </w:p>
    <w:p w14:paraId="6BADFFD5" w14:textId="77777777" w:rsidR="008478E4"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„program potpora“</w:t>
      </w:r>
      <w:r w:rsidRPr="0089172D">
        <w:rPr>
          <w:rFonts w:ascii="Times New Roman" w:hAnsi="Times New Roman"/>
          <w:sz w:val="24"/>
          <w:szCs w:val="24"/>
          <w:lang w:val="hr-HR"/>
        </w:rPr>
        <w:t xml:space="preserve"> – 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 razdoblje i/ili u neodređenom iznosu;</w:t>
      </w:r>
    </w:p>
    <w:p w14:paraId="0D3C8B70"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„korisnik potpore“</w:t>
      </w:r>
      <w:r w:rsidRPr="0089172D">
        <w:rPr>
          <w:rFonts w:ascii="Times New Roman" w:hAnsi="Times New Roman"/>
          <w:sz w:val="24"/>
          <w:szCs w:val="24"/>
          <w:lang w:val="hr-HR"/>
        </w:rPr>
        <w:t xml:space="preserve"> – pravna osoba koja, obavljajući gospodarsku djelatnost, sudjeluje u prometu roba i usluga, a prima državnu potporu na temelju ovog Programa </w:t>
      </w:r>
      <w:r w:rsidRPr="0089172D">
        <w:rPr>
          <w:rFonts w:ascii="Times New Roman" w:eastAsia="Times New Roman" w:hAnsi="Times New Roman"/>
          <w:sz w:val="24"/>
          <w:szCs w:val="24"/>
          <w:lang w:val="hr-HR"/>
        </w:rPr>
        <w:t xml:space="preserve">bez obzira na njezin oblik i namjenu; </w:t>
      </w:r>
    </w:p>
    <w:p w14:paraId="66BE014E"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 xml:space="preserve">„poduzetnik“ </w:t>
      </w:r>
      <w:r w:rsidRPr="0089172D">
        <w:rPr>
          <w:rFonts w:ascii="Times New Roman" w:hAnsi="Times New Roman"/>
          <w:sz w:val="24"/>
          <w:szCs w:val="24"/>
          <w:lang w:val="hr-HR"/>
        </w:rPr>
        <w:t xml:space="preserve">– svaki subjekt koji provodi aktivnosti ekonomske naravi, bez obzira na njegov pravni status, odnosno je li osnovan u skladu s javnim ili privatnim pravom, na način financiranja te činjenicu stječe li profit ili ne; </w:t>
      </w:r>
    </w:p>
    <w:p w14:paraId="22450154"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„intenzitet potpore“</w:t>
      </w:r>
      <w:r w:rsidRPr="0089172D">
        <w:rPr>
          <w:rFonts w:ascii="Times New Roman" w:hAnsi="Times New Roman"/>
          <w:sz w:val="24"/>
          <w:szCs w:val="24"/>
          <w:lang w:val="hr-HR"/>
        </w:rPr>
        <w:t>– bruto iznos potpore izražen kao postotak prihvatljivih troškova, prije odbitka poreza ili drugih naknada;</w:t>
      </w:r>
    </w:p>
    <w:p w14:paraId="4C50ADE2"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„bruto ekvivalent potpore“</w:t>
      </w:r>
      <w:r w:rsidRPr="0089172D">
        <w:rPr>
          <w:rFonts w:ascii="Times New Roman" w:hAnsi="Times New Roman"/>
          <w:sz w:val="24"/>
          <w:szCs w:val="24"/>
          <w:lang w:val="hr-HR"/>
        </w:rPr>
        <w:t>– iznos potpore ako je korisniku dodijeljena u obliku bespovratnog sredstva, prije odbitka poreza ili drugih naknada;</w:t>
      </w:r>
    </w:p>
    <w:p w14:paraId="4E2BA40C"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 xml:space="preserve">„mikro, malo i srednje poduzeće (u daljnjem tekstu: MSP)“ </w:t>
      </w:r>
      <w:r w:rsidRPr="0089172D">
        <w:rPr>
          <w:rFonts w:ascii="Times New Roman" w:hAnsi="Times New Roman"/>
          <w:sz w:val="24"/>
          <w:szCs w:val="24"/>
          <w:lang w:val="hr-HR"/>
        </w:rPr>
        <w:t>su subjekti definirani Prilogom 1. Uredbe Komisije br. 651/2014;</w:t>
      </w:r>
    </w:p>
    <w:p w14:paraId="7B413E3E"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 xml:space="preserve">„veliko poduzeće“ </w:t>
      </w:r>
      <w:r w:rsidRPr="0089172D">
        <w:rPr>
          <w:rFonts w:ascii="Times New Roman" w:hAnsi="Times New Roman"/>
          <w:sz w:val="24"/>
          <w:szCs w:val="24"/>
          <w:lang w:val="hr-HR"/>
        </w:rPr>
        <w:t>– poduzeće koje ne ispunjava kriterije utvrđene u Prilogu 1. Uredbe Komisije br. 651/2014;</w:t>
      </w:r>
    </w:p>
    <w:p w14:paraId="10FDC138"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„poduzetnik u teškoćama“</w:t>
      </w:r>
      <w:r w:rsidRPr="0089172D">
        <w:rPr>
          <w:rFonts w:ascii="Times New Roman" w:hAnsi="Times New Roman"/>
          <w:sz w:val="24"/>
          <w:szCs w:val="24"/>
          <w:lang w:val="hr-HR"/>
        </w:rPr>
        <w:t xml:space="preserve"> – poduzetnik za kojeg vrijedi najmanje jedna od sljedećih okolnosti:</w:t>
      </w:r>
    </w:p>
    <w:p w14:paraId="71EA3C03"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a)</w:t>
      </w:r>
      <w:r w:rsidR="00B12D59">
        <w:rPr>
          <w:rFonts w:ascii="Times New Roman" w:hAnsi="Times New Roman"/>
          <w:sz w:val="24"/>
          <w:szCs w:val="24"/>
          <w:lang w:val="hr-HR"/>
        </w:rPr>
        <w:tab/>
      </w:r>
      <w:r w:rsidR="008478E4" w:rsidRPr="0089172D">
        <w:rPr>
          <w:rFonts w:ascii="Times New Roman" w:hAnsi="Times New Roman"/>
          <w:sz w:val="24"/>
          <w:szCs w:val="24"/>
          <w:lang w:val="hr-HR"/>
        </w:rPr>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w:t>
      </w:r>
      <w:r w:rsidR="008478E4" w:rsidRPr="0089172D">
        <w:rPr>
          <w:rFonts w:ascii="Times New Roman" w:hAnsi="Times New Roman"/>
          <w:sz w:val="24"/>
          <w:szCs w:val="24"/>
          <w:lang w:val="hr-HR"/>
        </w:rPr>
        <w:lastRenderedPageBreak/>
        <w:t>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Europskog Parlamenta i Vijeća od 26. lipnja 2013.(SL EU, L 182/19)</w:t>
      </w:r>
      <w:r w:rsidR="008478E4" w:rsidRPr="0089172D">
        <w:rPr>
          <w:rStyle w:val="FootnoteReference"/>
          <w:rFonts w:ascii="Times New Roman" w:hAnsi="Times New Roman"/>
          <w:sz w:val="24"/>
          <w:szCs w:val="24"/>
          <w:lang w:val="hr-HR"/>
        </w:rPr>
        <w:footnoteReference w:id="9"/>
      </w:r>
      <w:r w:rsidR="008478E4" w:rsidRPr="0089172D">
        <w:rPr>
          <w:rFonts w:ascii="Times New Roman" w:hAnsi="Times New Roman"/>
          <w:sz w:val="24"/>
          <w:szCs w:val="24"/>
          <w:lang w:val="hr-HR"/>
        </w:rPr>
        <w:t xml:space="preserve"> a „vlasnički kapital” obuhvaća, prema potrebi, sve premije na emitirane dionice;</w:t>
      </w:r>
    </w:p>
    <w:p w14:paraId="0CCCC56A"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b)</w:t>
      </w:r>
      <w:r w:rsidR="00B12D59">
        <w:rPr>
          <w:rFonts w:ascii="Times New Roman" w:hAnsi="Times New Roman"/>
          <w:sz w:val="24"/>
          <w:szCs w:val="24"/>
          <w:lang w:val="hr-HR"/>
        </w:rPr>
        <w:tab/>
      </w:r>
      <w:r w:rsidR="008478E4" w:rsidRPr="0089172D">
        <w:rPr>
          <w:rFonts w:ascii="Times New Roman" w:hAnsi="Times New Roman"/>
          <w:sz w:val="24"/>
          <w:szCs w:val="24"/>
          <w:lang w:val="hr-HR"/>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 Europskog Parlamenta i Vijeća od 26. lipnja 2013. (SL EU, L 182/19);</w:t>
      </w:r>
    </w:p>
    <w:p w14:paraId="26BE26E9"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c)</w:t>
      </w:r>
      <w:r w:rsidR="00B12D59">
        <w:rPr>
          <w:rFonts w:ascii="Times New Roman" w:hAnsi="Times New Roman"/>
          <w:sz w:val="24"/>
          <w:szCs w:val="24"/>
          <w:lang w:val="hr-HR"/>
        </w:rPr>
        <w:tab/>
      </w:r>
      <w:r w:rsidR="008478E4" w:rsidRPr="0089172D">
        <w:rPr>
          <w:rFonts w:ascii="Times New Roman" w:hAnsi="Times New Roman"/>
          <w:sz w:val="24"/>
          <w:szCs w:val="24"/>
          <w:lang w:val="hr-HR"/>
        </w:rPr>
        <w:t>ako se nad poduzetnikom provodi cjelokupni stečajni postupak ili on ispunjava kriterije u skladu s nacionalnim pravom da se nad njim provede cjelokupni stečajni postupak na zahtjev vjerovnika;</w:t>
      </w:r>
    </w:p>
    <w:p w14:paraId="67E78359"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lastRenderedPageBreak/>
        <w:t>d)</w:t>
      </w:r>
      <w:r w:rsidR="00B12D59">
        <w:rPr>
          <w:rFonts w:ascii="Times New Roman" w:hAnsi="Times New Roman"/>
          <w:sz w:val="24"/>
          <w:szCs w:val="24"/>
          <w:lang w:val="hr-HR"/>
        </w:rPr>
        <w:tab/>
      </w:r>
      <w:r w:rsidR="008478E4" w:rsidRPr="0089172D">
        <w:rPr>
          <w:rFonts w:ascii="Times New Roman" w:hAnsi="Times New Roman"/>
          <w:sz w:val="24"/>
          <w:szCs w:val="24"/>
          <w:lang w:val="hr-HR"/>
        </w:rPr>
        <w:t>ako je poduzetnik primio potporu za sanaciju, a još nije nadoknadio zajam ili okončao jamstvo, ili je primio potporu za restrukturiranje, a još je podložan planu restrukturiranja;</w:t>
      </w:r>
    </w:p>
    <w:p w14:paraId="37A6CAD8"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e)</w:t>
      </w:r>
      <w:r w:rsidR="00B12D59">
        <w:rPr>
          <w:rFonts w:ascii="Times New Roman" w:hAnsi="Times New Roman"/>
          <w:sz w:val="24"/>
          <w:szCs w:val="24"/>
          <w:lang w:val="hr-HR"/>
        </w:rPr>
        <w:tab/>
      </w:r>
      <w:r w:rsidR="008478E4" w:rsidRPr="0089172D">
        <w:rPr>
          <w:rFonts w:ascii="Times New Roman" w:hAnsi="Times New Roman"/>
          <w:sz w:val="24"/>
          <w:szCs w:val="24"/>
          <w:lang w:val="hr-HR"/>
        </w:rPr>
        <w:t>u slučaju poduzetnika koji nije MSP, ako je tijekom zadnje dvije godine:</w:t>
      </w:r>
    </w:p>
    <w:p w14:paraId="14C08E52" w14:textId="77777777" w:rsidR="008478E4" w:rsidRPr="0089172D" w:rsidRDefault="00C548F5" w:rsidP="00B12D59">
      <w:pPr>
        <w:pStyle w:val="ListParagraph2"/>
        <w:tabs>
          <w:tab w:val="left" w:pos="2127"/>
        </w:tabs>
        <w:spacing w:after="240" w:line="360" w:lineRule="auto"/>
        <w:ind w:left="1134" w:hanging="425"/>
        <w:jc w:val="both"/>
        <w:rPr>
          <w:rFonts w:ascii="Times New Roman" w:hAnsi="Times New Roman"/>
          <w:sz w:val="24"/>
          <w:szCs w:val="24"/>
          <w:lang w:val="hr-HR"/>
        </w:rPr>
      </w:pPr>
      <w:r w:rsidRPr="0089172D">
        <w:rPr>
          <w:rFonts w:ascii="Times New Roman" w:hAnsi="Times New Roman"/>
          <w:sz w:val="24"/>
          <w:szCs w:val="24"/>
          <w:lang w:val="hr-HR"/>
        </w:rPr>
        <w:t>i.</w:t>
      </w:r>
      <w:r w:rsidR="00B12D59">
        <w:rPr>
          <w:rFonts w:ascii="Times New Roman" w:hAnsi="Times New Roman"/>
          <w:sz w:val="24"/>
          <w:szCs w:val="24"/>
          <w:lang w:val="hr-HR"/>
        </w:rPr>
        <w:tab/>
      </w:r>
      <w:r w:rsidR="008478E4" w:rsidRPr="0089172D">
        <w:rPr>
          <w:rFonts w:ascii="Times New Roman" w:hAnsi="Times New Roman"/>
          <w:sz w:val="24"/>
          <w:szCs w:val="24"/>
          <w:lang w:val="hr-HR"/>
        </w:rPr>
        <w:t>omjer knjigovodstvenog duga i kapitala poduzetnika bio veći od 7,5 i</w:t>
      </w:r>
    </w:p>
    <w:p w14:paraId="3A20AF10" w14:textId="77777777" w:rsidR="008478E4" w:rsidRPr="0089172D" w:rsidRDefault="00C548F5" w:rsidP="00B12D59">
      <w:pPr>
        <w:pStyle w:val="ListParagraph2"/>
        <w:tabs>
          <w:tab w:val="left" w:pos="2127"/>
        </w:tabs>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sidR="00B12D59">
        <w:rPr>
          <w:rFonts w:ascii="Times New Roman" w:hAnsi="Times New Roman"/>
          <w:sz w:val="24"/>
          <w:szCs w:val="24"/>
          <w:lang w:val="hr-HR"/>
        </w:rPr>
        <w:tab/>
      </w:r>
      <w:r w:rsidR="008478E4" w:rsidRPr="0089172D">
        <w:rPr>
          <w:rFonts w:ascii="Times New Roman" w:hAnsi="Times New Roman"/>
          <w:sz w:val="24"/>
          <w:szCs w:val="24"/>
          <w:lang w:val="hr-HR"/>
        </w:rPr>
        <w:t>EBITDA koeficijent pokrića kamata poduzetnika bio je niži od 1,0.</w:t>
      </w:r>
    </w:p>
    <w:p w14:paraId="12E8D966"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„primarna poljoprivredna proizvodnja“</w:t>
      </w:r>
      <w:bookmarkStart w:id="1" w:name="_Hlk514158384"/>
      <w:r w:rsidRPr="0089172D">
        <w:rPr>
          <w:rFonts w:ascii="Times New Roman" w:hAnsi="Times New Roman"/>
          <w:sz w:val="24"/>
          <w:szCs w:val="24"/>
          <w:lang w:val="hr-HR"/>
        </w:rPr>
        <w:t>–</w:t>
      </w:r>
      <w:bookmarkEnd w:id="1"/>
      <w:r w:rsidRPr="0089172D">
        <w:rPr>
          <w:rFonts w:ascii="Times New Roman" w:hAnsi="Times New Roman"/>
          <w:sz w:val="24"/>
          <w:szCs w:val="24"/>
          <w:lang w:val="hr-HR"/>
        </w:rPr>
        <w:t xml:space="preserve"> proizvodnja proizvoda iz tla ili stočarstva navedenih u Prilogu I. Ugovora, uz iznimku proizvoda iz sektora ribarstva i akvakulture;</w:t>
      </w:r>
    </w:p>
    <w:p w14:paraId="09E8D6B4"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„sektor ribarstva i akvakulture“</w:t>
      </w:r>
      <w:r w:rsidRPr="0089172D">
        <w:rPr>
          <w:rFonts w:ascii="Times New Roman" w:hAnsi="Times New Roman"/>
          <w:sz w:val="24"/>
          <w:szCs w:val="24"/>
          <w:lang w:val="hr-HR"/>
        </w:rPr>
        <w:t xml:space="preserve"> – kako je definirano u Prilogu I. Uredbi br. 1379/2013 Europskog parlamenta i Vijeća od 11. prosinca 2013. o zajedničkom uređenju tržišta proizvodima ribarstva i akvakulture, izmjeni Uredbe Vijeća (EZ) br. 1184/2006 i br. 1224/2009 i stavljanju izvan snage Uredbe Vijeća (EZ) br. 104/2000, SL L 354, 28.12. 2013., str. 1.</w:t>
      </w:r>
    </w:p>
    <w:p w14:paraId="44817728"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b/>
          <w:sz w:val="24"/>
          <w:szCs w:val="24"/>
          <w:lang w:val="hr-HR"/>
        </w:rPr>
        <w:t>„dan dodjele potpore“</w:t>
      </w:r>
      <w:r w:rsidRPr="0089172D">
        <w:rPr>
          <w:rFonts w:ascii="Times New Roman" w:hAnsi="Times New Roman"/>
          <w:sz w:val="24"/>
          <w:szCs w:val="24"/>
          <w:lang w:val="hr-HR"/>
        </w:rPr>
        <w:t>– datum na koji je na temelju primjenjivog nacionalnog pravnog režima korisniku dodijeljeno zakonsko pravo na primanje potpore.</w:t>
      </w:r>
    </w:p>
    <w:p w14:paraId="35C5031D" w14:textId="77777777" w:rsidR="008478E4" w:rsidRPr="0089172D" w:rsidRDefault="008478E4" w:rsidP="00486145">
      <w:pPr>
        <w:pStyle w:val="ListParagraph2"/>
        <w:spacing w:after="240" w:line="360" w:lineRule="auto"/>
        <w:ind w:left="567"/>
        <w:contextualSpacing w:val="0"/>
        <w:jc w:val="center"/>
        <w:rPr>
          <w:rFonts w:ascii="Times New Roman" w:hAnsi="Times New Roman"/>
          <w:b/>
          <w:sz w:val="24"/>
          <w:szCs w:val="24"/>
          <w:lang w:val="hr-HR"/>
        </w:rPr>
      </w:pPr>
      <w:r w:rsidRPr="0089172D">
        <w:rPr>
          <w:rFonts w:ascii="Times New Roman" w:hAnsi="Times New Roman"/>
          <w:b/>
          <w:sz w:val="24"/>
          <w:szCs w:val="24"/>
          <w:lang w:val="hr-HR"/>
        </w:rPr>
        <w:t>POGLAVLJE II.</w:t>
      </w:r>
    </w:p>
    <w:p w14:paraId="6215313F" w14:textId="77777777" w:rsidR="008478E4" w:rsidRPr="0089172D" w:rsidRDefault="008478E4" w:rsidP="00486145">
      <w:pPr>
        <w:pStyle w:val="ListParagraph1"/>
        <w:spacing w:after="240" w:line="360" w:lineRule="auto"/>
        <w:ind w:left="360"/>
        <w:contextualSpacing w:val="0"/>
        <w:jc w:val="center"/>
        <w:rPr>
          <w:rStyle w:val="Bodytext285pt"/>
          <w:rFonts w:eastAsia="Calibri"/>
          <w:b/>
          <w:sz w:val="24"/>
          <w:szCs w:val="24"/>
          <w:lang w:val="hr-HR"/>
        </w:rPr>
      </w:pPr>
      <w:r w:rsidRPr="0089172D">
        <w:rPr>
          <w:rStyle w:val="Bodytext285pt"/>
          <w:rFonts w:eastAsia="Calibri"/>
          <w:b/>
          <w:sz w:val="24"/>
          <w:szCs w:val="24"/>
          <w:lang w:val="hr-HR"/>
        </w:rPr>
        <w:t>Pravila za primjenu mjere</w:t>
      </w:r>
    </w:p>
    <w:p w14:paraId="620F2330" w14:textId="77777777" w:rsidR="008478E4" w:rsidRPr="0089172D" w:rsidRDefault="008478E4" w:rsidP="00486145">
      <w:pPr>
        <w:pStyle w:val="ListParagraph1"/>
        <w:spacing w:after="240" w:line="360" w:lineRule="auto"/>
        <w:ind w:left="360"/>
        <w:contextualSpacing w:val="0"/>
        <w:jc w:val="center"/>
        <w:rPr>
          <w:rStyle w:val="Bodytext285pt"/>
          <w:rFonts w:eastAsia="Calibri"/>
          <w:b/>
          <w:sz w:val="24"/>
          <w:szCs w:val="24"/>
          <w:lang w:val="hr-HR"/>
        </w:rPr>
      </w:pPr>
      <w:r w:rsidRPr="0089172D">
        <w:rPr>
          <w:rStyle w:val="Bodytext285pt"/>
          <w:rFonts w:eastAsia="Calibri"/>
          <w:b/>
          <w:sz w:val="24"/>
          <w:szCs w:val="24"/>
          <w:lang w:val="hr-HR"/>
        </w:rPr>
        <w:t>VIII.</w:t>
      </w:r>
    </w:p>
    <w:p w14:paraId="79C5D874" w14:textId="77777777" w:rsidR="008478E4" w:rsidRPr="0089172D" w:rsidRDefault="008478E4" w:rsidP="00486145">
      <w:pPr>
        <w:pStyle w:val="ListParagraph1"/>
        <w:spacing w:after="240" w:line="360" w:lineRule="auto"/>
        <w:ind w:left="360"/>
        <w:contextualSpacing w:val="0"/>
        <w:jc w:val="center"/>
        <w:rPr>
          <w:rStyle w:val="Bodytext285pt"/>
          <w:rFonts w:eastAsia="Calibri"/>
          <w:b/>
          <w:sz w:val="24"/>
          <w:szCs w:val="24"/>
          <w:lang w:val="hr-HR"/>
        </w:rPr>
      </w:pPr>
      <w:r w:rsidRPr="0089172D">
        <w:rPr>
          <w:rFonts w:ascii="Times New Roman" w:hAnsi="Times New Roman"/>
          <w:b/>
          <w:sz w:val="24"/>
          <w:szCs w:val="24"/>
          <w:lang w:val="hr-HR"/>
        </w:rPr>
        <w:t>Jamstva za zajmove iz odjeljka „3.1. Ograničeni iznosi potpore“</w:t>
      </w:r>
    </w:p>
    <w:p w14:paraId="360DC92F"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HBOR i HAMAG-BICRO će izdavati jamstva za nove zajmove za obrtna sredstva korisnicima iz točke III. ovog Programa, koje će odobravati poslovne banke, a u skladu s ovim Programom i odredbama iz odjeljka „3.1. Ograničeni iznosi potpore“ Privremenog okvira – COVID 19.</w:t>
      </w:r>
    </w:p>
    <w:p w14:paraId="49EBF168"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lastRenderedPageBreak/>
        <w:t xml:space="preserve">Povoljnija premija za jamstva za zajmove iz stavka 1. ove točke iznosit će 0,2%. Jamstvo će pokrivati najviše 90% glavnice pojedinačnog zajma i izdavat će se na razdoblje koje ne može biti kraće od jedne ni duže od pet godina. </w:t>
      </w:r>
    </w:p>
    <w:p w14:paraId="7B98FABE"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Iznos pojedinačnog jamstva koje će izdavati HBOR i HAMAG-BICRO ne prelazi 800 000 EUR po poduzetniku preračunato u hrvatske kune prema srednjem tečaju Hrvatske narodne banke na dan dodjele potpore. Iznos od 800 000 EUR po poduzetniku odnosi se na sva poduzeća u okviru određene grupe između kojih postoji povezanost u smislu članka 3. stavka 3. Priloga 1. Uredbe br. 651/2014.</w:t>
      </w:r>
    </w:p>
    <w:p w14:paraId="36D854AB" w14:textId="77777777" w:rsidR="008478E4"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Gornja granica od 800 000 EUR iz stavka 3. ove točke se primjenjuje po poduzetniku neovisno o tome financira li se ta potpora u cijelosti ili djelomično državnim sredstvima Republike Hrvatske ili i iz sredstava europskih strukturnih, investicijskih i drugih fondova i neovisno o tome dodjeljuje li se potpora iz odjeljka „3.1. Ograničeni iznosi potpore“ u obliku izravnih bespovratnih sredstava, poreznih olakšica i povoljnijih uvjeta plaćanja ili u drugim oblicima, kao što su povratni predujmovi, jamstva, zajmovi i vlasnički kapital, pod uvjetom da ukupna nominalna vrijednost takvih mjera ne prelazi ukupnu gornju granicu od 800 000 EUR po poduzetniku sukladno ovom Programu ili bilo kojem drugom programu koji je Europska komisija odobrila na temelju odjeljka „3.1 Ograničeni iznosi potpore“ Privremenog okvira – COVID 19. Svi iznosi moraju biti bruto iznosi odnosno iznosi prije odbitka poreza ili drugih troškova.</w:t>
      </w:r>
    </w:p>
    <w:p w14:paraId="2434F186"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Potpore iz ove točke se ne mogu dodijeliti poduzetnicima koji su već bili u teškoćama u smislu definicije iz točke VII. podtočke 10) ovog Programa odnosno članka </w:t>
      </w:r>
      <w:r w:rsidRPr="0089172D">
        <w:rPr>
          <w:rFonts w:ascii="Times New Roman" w:hAnsi="Times New Roman"/>
          <w:bCs/>
          <w:sz w:val="24"/>
          <w:szCs w:val="24"/>
          <w:lang w:val="hr-HR"/>
        </w:rPr>
        <w:t xml:space="preserve">2. točke 18. Uredbe </w:t>
      </w:r>
      <w:r w:rsidRPr="0089172D">
        <w:rPr>
          <w:rFonts w:ascii="Times New Roman" w:hAnsi="Times New Roman"/>
          <w:sz w:val="24"/>
          <w:szCs w:val="24"/>
          <w:lang w:val="hr-HR"/>
        </w:rPr>
        <w:t>Komisije br. 651/2014 na dan 31. prosinca 2019.;</w:t>
      </w:r>
    </w:p>
    <w:p w14:paraId="1E226D82"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Jamstvo mora biti izdano do 31.12.2020.</w:t>
      </w:r>
    </w:p>
    <w:p w14:paraId="29CFE72D" w14:textId="77777777" w:rsidR="008478E4" w:rsidRPr="0089172D" w:rsidRDefault="008478E4" w:rsidP="0048614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Ako poduzetnik djeluje u više sektora na koje se u skladu s točkom 22. podtočkom (a) i točkom 23. podtočkom (a) Privremenog okvira – COVID 19 primjenjuju različiti maksimalni iznosi, taj je poduzetnik u obvezi na odgovarajući način tj. razdvajanjem računa osigurati da se za svaku od tih djelatnosti poštuje odgovarajuća gornja granica </w:t>
      </w:r>
      <w:r w:rsidRPr="0089172D">
        <w:rPr>
          <w:rFonts w:ascii="Times New Roman" w:hAnsi="Times New Roman"/>
          <w:sz w:val="24"/>
          <w:szCs w:val="24"/>
          <w:lang w:val="hr-HR"/>
        </w:rPr>
        <w:lastRenderedPageBreak/>
        <w:t xml:space="preserve">te da se ne premaši maksimalni iznos od 800 000 EUR po poduzetniku. Ako poduzetnik djeluje u sektorima iz točke 23. podtočke (a), nije dopušteno prekoračenje maksimalnog iznosa od 120 000 EUR po poduzetniku. </w:t>
      </w:r>
    </w:p>
    <w:p w14:paraId="27E45FBF" w14:textId="77777777" w:rsidR="008478E4" w:rsidRPr="0089172D" w:rsidRDefault="008478E4" w:rsidP="00C548F5">
      <w:pPr>
        <w:pStyle w:val="ListParagraph1"/>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HAMAG-BICRO će izdavati jamstva iz stavka 1. ove točke malim i srednjim poduzetnicima (MSP) u smislu definicije iz točke VII. podtočke 8) ovog Programa, a HBOR velikim poduzetnicima u smislu definicije iz točke VII. podtočke 9) ovog Programa.</w:t>
      </w:r>
    </w:p>
    <w:p w14:paraId="7F39F747" w14:textId="77777777" w:rsidR="008478E4" w:rsidRPr="0089172D" w:rsidRDefault="008478E4" w:rsidP="00486145">
      <w:pPr>
        <w:pStyle w:val="ListParagraph3"/>
        <w:spacing w:after="240" w:line="360" w:lineRule="auto"/>
        <w:ind w:left="0"/>
        <w:contextualSpacing w:val="0"/>
        <w:jc w:val="center"/>
        <w:rPr>
          <w:rFonts w:ascii="Times New Roman" w:hAnsi="Times New Roman"/>
          <w:b/>
          <w:bCs/>
          <w:sz w:val="24"/>
          <w:szCs w:val="24"/>
          <w:lang w:val="hr-HR"/>
        </w:rPr>
      </w:pPr>
      <w:r w:rsidRPr="0089172D">
        <w:rPr>
          <w:rFonts w:ascii="Times New Roman" w:hAnsi="Times New Roman"/>
          <w:b/>
          <w:bCs/>
          <w:sz w:val="24"/>
          <w:szCs w:val="24"/>
          <w:lang w:val="hr-HR"/>
        </w:rPr>
        <w:t>IX.</w:t>
      </w:r>
    </w:p>
    <w:p w14:paraId="6DD05746" w14:textId="77777777" w:rsidR="008478E4" w:rsidRPr="0089172D" w:rsidRDefault="008478E4" w:rsidP="00486145">
      <w:pPr>
        <w:pStyle w:val="ListParagraph3"/>
        <w:spacing w:after="240" w:line="360" w:lineRule="auto"/>
        <w:ind w:left="0"/>
        <w:contextualSpacing w:val="0"/>
        <w:jc w:val="center"/>
        <w:rPr>
          <w:rFonts w:ascii="Times New Roman" w:hAnsi="Times New Roman"/>
          <w:b/>
          <w:bCs/>
          <w:sz w:val="24"/>
          <w:szCs w:val="24"/>
          <w:lang w:val="hr-HR"/>
        </w:rPr>
      </w:pPr>
      <w:r w:rsidRPr="0089172D">
        <w:rPr>
          <w:rFonts w:ascii="Times New Roman" w:hAnsi="Times New Roman"/>
          <w:b/>
          <w:bCs/>
          <w:sz w:val="24"/>
          <w:szCs w:val="24"/>
          <w:lang w:val="hr-HR"/>
        </w:rPr>
        <w:t>Jamstva za zajmove iz odjeljka „3.2. Potpora u obliku jamstava za zajmove“</w:t>
      </w:r>
    </w:p>
    <w:p w14:paraId="6CB11BA0"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Ako se potpora u obliku jamstava za zajmove ne može dodijeliti sukladno točki VIII. ovog Programa jer ukupna nominalna vrijednost prelazi gornju granicu od 800 000 EUR, dodjeljivat će se u obliku jamstva u skladu s odjeljkom 3.2. Privremenog okvira – COVID 19. </w:t>
      </w:r>
    </w:p>
    <w:p w14:paraId="617DCB6C" w14:textId="77777777" w:rsidR="00295A0C"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 xml:space="preserve">Jamstva iz ove točke mogu se dodijeliti na ograničeno vrijeme i moraju biti prikladno, nužno i ciljano rješenje za rješavanje problema izazvanih krizom zbog pandemije COVID-a 19. </w:t>
      </w:r>
    </w:p>
    <w:p w14:paraId="31F1E9A4" w14:textId="77777777" w:rsidR="008478E4" w:rsidRPr="0089172D" w:rsidRDefault="008478E4" w:rsidP="0048614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Jamstva iz ove točke izdavat će HAMAG-BICRO za male i srednje poduzetnike (MSP) u smislu definicije iz točke VII. pod točke 8) ovog Programa, a HBOR za velike poduzetnike u smislu definicije iz točke VII. podtočke 9) ovog Programa.</w:t>
      </w:r>
    </w:p>
    <w:p w14:paraId="289D18A3" w14:textId="77777777" w:rsidR="00C548F5" w:rsidRDefault="008478E4" w:rsidP="00C548F5">
      <w:pPr>
        <w:pStyle w:val="ListParagraph2"/>
        <w:spacing w:after="240" w:line="360" w:lineRule="auto"/>
        <w:ind w:left="0"/>
        <w:contextualSpacing w:val="0"/>
        <w:jc w:val="both"/>
        <w:rPr>
          <w:rFonts w:ascii="Times New Roman" w:hAnsi="Times New Roman"/>
          <w:sz w:val="24"/>
          <w:szCs w:val="24"/>
          <w:lang w:val="hr-HR"/>
        </w:rPr>
      </w:pPr>
      <w:r w:rsidRPr="0089172D">
        <w:rPr>
          <w:rFonts w:ascii="Times New Roman" w:hAnsi="Times New Roman"/>
          <w:sz w:val="24"/>
          <w:szCs w:val="24"/>
          <w:lang w:val="hr-HR"/>
        </w:rPr>
        <w:t>Jamstva iz ove točke mogu se dodijeliti isključivo za nove zajmove za obrtni kapital, a mogu se izdavati uz ispunjenje sljedećih uvjeta:</w:t>
      </w:r>
    </w:p>
    <w:p w14:paraId="2DC6F9CF" w14:textId="77777777" w:rsidR="007412CE" w:rsidRPr="0089172D" w:rsidRDefault="007412CE" w:rsidP="00C548F5">
      <w:pPr>
        <w:pStyle w:val="ListParagraph2"/>
        <w:spacing w:after="240" w:line="360" w:lineRule="auto"/>
        <w:ind w:left="0"/>
        <w:contextualSpacing w:val="0"/>
        <w:jc w:val="both"/>
        <w:rPr>
          <w:rFonts w:ascii="Times New Roman" w:hAnsi="Times New Roman"/>
          <w:sz w:val="24"/>
          <w:szCs w:val="24"/>
          <w:lang w:val="hr-HR"/>
        </w:rPr>
      </w:pPr>
    </w:p>
    <w:p w14:paraId="456A56D0"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1)</w:t>
      </w:r>
      <w:r w:rsidR="00B12D59">
        <w:rPr>
          <w:rFonts w:ascii="Times New Roman" w:hAnsi="Times New Roman"/>
          <w:sz w:val="24"/>
          <w:szCs w:val="24"/>
          <w:lang w:val="hr-HR"/>
        </w:rPr>
        <w:tab/>
      </w:r>
      <w:r w:rsidR="008478E4" w:rsidRPr="0089172D">
        <w:rPr>
          <w:rFonts w:ascii="Times New Roman" w:hAnsi="Times New Roman"/>
          <w:sz w:val="24"/>
          <w:szCs w:val="24"/>
          <w:lang w:val="hr-HR"/>
        </w:rPr>
        <w:t>premije za jamstvo se utvrđuju za pojedinačne zajmove na najnižoj razini, koja se postupno povećava ovisno o trajanju zajma pokrivenog jamstvom, i to kako slijedi:</w:t>
      </w:r>
    </w:p>
    <w:p w14:paraId="1B913086" w14:textId="77777777" w:rsidR="008478E4"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lastRenderedPageBreak/>
        <w:t>i.</w:t>
      </w:r>
      <w:r w:rsidR="00B12D59">
        <w:rPr>
          <w:rFonts w:ascii="Times New Roman" w:hAnsi="Times New Roman"/>
          <w:sz w:val="24"/>
          <w:szCs w:val="24"/>
          <w:lang w:val="hr-HR"/>
        </w:rPr>
        <w:tab/>
      </w:r>
      <w:r w:rsidR="008478E4" w:rsidRPr="0089172D">
        <w:rPr>
          <w:rFonts w:ascii="Times New Roman" w:hAnsi="Times New Roman"/>
          <w:sz w:val="24"/>
          <w:szCs w:val="24"/>
          <w:lang w:val="hr-HR"/>
        </w:rPr>
        <w:t xml:space="preserve">za MSP-ove za prvu godinu 25 baznih bodova, od druge do treće godine 50 baznih bodova i od četvrte do šeste godine 100 baznih bodova; </w:t>
      </w:r>
    </w:p>
    <w:p w14:paraId="2BFF38AE" w14:textId="77777777" w:rsidR="008478E4"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sidR="00B12D59">
        <w:rPr>
          <w:rFonts w:ascii="Times New Roman" w:hAnsi="Times New Roman"/>
          <w:sz w:val="24"/>
          <w:szCs w:val="24"/>
          <w:lang w:val="hr-HR"/>
        </w:rPr>
        <w:tab/>
      </w:r>
      <w:r w:rsidR="008478E4" w:rsidRPr="0089172D">
        <w:rPr>
          <w:rFonts w:ascii="Times New Roman" w:hAnsi="Times New Roman"/>
          <w:sz w:val="24"/>
          <w:szCs w:val="24"/>
          <w:lang w:val="hr-HR"/>
        </w:rPr>
        <w:t>za velika poduzeća za prvu godinu 50 baznih bodova, od druge do treće godine 100 baznih bodova i od četvrte do šeste godine 200 baznih bodova;</w:t>
      </w:r>
    </w:p>
    <w:p w14:paraId="792E474B"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2)</w:t>
      </w:r>
      <w:r w:rsidR="00B12D59">
        <w:rPr>
          <w:rFonts w:ascii="Times New Roman" w:hAnsi="Times New Roman"/>
          <w:sz w:val="24"/>
          <w:szCs w:val="24"/>
          <w:lang w:val="hr-HR"/>
        </w:rPr>
        <w:tab/>
      </w:r>
      <w:r w:rsidR="008478E4" w:rsidRPr="0089172D">
        <w:rPr>
          <w:rFonts w:ascii="Times New Roman" w:hAnsi="Times New Roman"/>
          <w:sz w:val="24"/>
          <w:szCs w:val="24"/>
          <w:lang w:val="hr-HR"/>
        </w:rPr>
        <w:t>jamstvo će biti izdano najkasnije do 31. prosinca 2020.;</w:t>
      </w:r>
    </w:p>
    <w:p w14:paraId="7F721183"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3)</w:t>
      </w:r>
      <w:r w:rsidR="00B12D59">
        <w:rPr>
          <w:rFonts w:ascii="Times New Roman" w:hAnsi="Times New Roman"/>
          <w:sz w:val="24"/>
          <w:szCs w:val="24"/>
          <w:lang w:val="hr-HR"/>
        </w:rPr>
        <w:tab/>
      </w:r>
      <w:r w:rsidR="008478E4" w:rsidRPr="0089172D">
        <w:rPr>
          <w:rFonts w:ascii="Times New Roman" w:hAnsi="Times New Roman"/>
          <w:sz w:val="24"/>
          <w:szCs w:val="24"/>
          <w:lang w:val="hr-HR"/>
        </w:rPr>
        <w:t xml:space="preserve">za zajmove s rokom dospijeća do 31. prosinca 2020. i nakon tog datuma - ukupni iznos zajma po korisniku ne smije prijeći: </w:t>
      </w:r>
    </w:p>
    <w:p w14:paraId="5616C5CD" w14:textId="77777777" w:rsidR="008478E4"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w:t>
      </w:r>
      <w:r w:rsidR="00B12D59">
        <w:rPr>
          <w:rFonts w:ascii="Times New Roman" w:hAnsi="Times New Roman"/>
          <w:sz w:val="24"/>
          <w:szCs w:val="24"/>
          <w:lang w:val="hr-HR"/>
        </w:rPr>
        <w:tab/>
      </w:r>
      <w:r w:rsidR="008478E4" w:rsidRPr="0089172D">
        <w:rPr>
          <w:rFonts w:ascii="Times New Roman" w:hAnsi="Times New Roman"/>
          <w:sz w:val="24"/>
          <w:szCs w:val="24"/>
          <w:lang w:val="hr-HR"/>
        </w:rPr>
        <w:t>dvostruke godišnje rashode korisnika za plaće zaposlenika (uključujući doprinose za socijalno osiguranje i trošak osoblja zaposlenog na lokaciji poduzetnika, ali formalno na platnoj listi podugovaratelja) za 2019. ili za zadnju dostupnu godinu. U slučaju poduzetnika osnovanih 1. siječnja 2019. ili nakon tog datuma, najviši iznos zajma ne smije biti veći od procijenjenih godišnjih rashoda za plaće za prve dvije godine poslovanja ili</w:t>
      </w:r>
    </w:p>
    <w:p w14:paraId="42AF2303" w14:textId="77777777" w:rsidR="008478E4"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sidR="00B12D59">
        <w:rPr>
          <w:rFonts w:ascii="Times New Roman" w:hAnsi="Times New Roman"/>
          <w:sz w:val="24"/>
          <w:szCs w:val="24"/>
          <w:lang w:val="hr-HR"/>
        </w:rPr>
        <w:tab/>
      </w:r>
      <w:r w:rsidR="008478E4" w:rsidRPr="0089172D">
        <w:rPr>
          <w:rFonts w:ascii="Times New Roman" w:hAnsi="Times New Roman"/>
          <w:sz w:val="24"/>
          <w:szCs w:val="24"/>
          <w:lang w:val="hr-HR"/>
        </w:rPr>
        <w:t>25% ukupnog prometa korisnika u 2019.</w:t>
      </w:r>
    </w:p>
    <w:p w14:paraId="53DF0640"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4)</w:t>
      </w:r>
      <w:r w:rsidR="00B12D59">
        <w:rPr>
          <w:rFonts w:ascii="Times New Roman" w:hAnsi="Times New Roman"/>
          <w:sz w:val="24"/>
          <w:szCs w:val="24"/>
          <w:lang w:val="hr-HR"/>
        </w:rPr>
        <w:tab/>
      </w:r>
      <w:r w:rsidR="008478E4" w:rsidRPr="0089172D">
        <w:rPr>
          <w:rFonts w:ascii="Times New Roman" w:hAnsi="Times New Roman"/>
          <w:sz w:val="24"/>
          <w:szCs w:val="24"/>
          <w:lang w:val="hr-HR"/>
        </w:rPr>
        <w:t>trajanje jamstva na zajmove ograničeno je na najviše 6 godina, i državno jamstvo ne prelazi:</w:t>
      </w:r>
    </w:p>
    <w:p w14:paraId="2DFFAF20" w14:textId="77777777" w:rsidR="008478E4"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w:t>
      </w:r>
      <w:r w:rsidR="00B12D59">
        <w:rPr>
          <w:rFonts w:ascii="Times New Roman" w:hAnsi="Times New Roman"/>
          <w:sz w:val="24"/>
          <w:szCs w:val="24"/>
          <w:lang w:val="hr-HR"/>
        </w:rPr>
        <w:tab/>
      </w:r>
      <w:r w:rsidR="008478E4" w:rsidRPr="0089172D">
        <w:rPr>
          <w:rFonts w:ascii="Times New Roman" w:hAnsi="Times New Roman"/>
          <w:sz w:val="24"/>
          <w:szCs w:val="24"/>
          <w:lang w:val="hr-HR"/>
        </w:rPr>
        <w:t>90% glavnice pojedinačnog zajma ako gubitke proporcionalno i pod istim uvjetima snose kreditna institucija i HBOR/HAMAG-BICRO ili</w:t>
      </w:r>
    </w:p>
    <w:p w14:paraId="44EE2B5A" w14:textId="77777777" w:rsidR="008478E4"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w:t>
      </w:r>
      <w:r w:rsidR="00B12D59">
        <w:rPr>
          <w:rFonts w:ascii="Times New Roman" w:hAnsi="Times New Roman"/>
          <w:sz w:val="24"/>
          <w:szCs w:val="24"/>
          <w:lang w:val="hr-HR"/>
        </w:rPr>
        <w:tab/>
      </w:r>
      <w:r w:rsidR="008478E4" w:rsidRPr="0089172D">
        <w:rPr>
          <w:rFonts w:ascii="Times New Roman" w:hAnsi="Times New Roman"/>
          <w:sz w:val="24"/>
          <w:szCs w:val="24"/>
          <w:lang w:val="hr-HR"/>
        </w:rPr>
        <w:t>35% glavnice pojedinačnog zajma ako se gubici najprije pripisuju HBOR-u/HAMAG-BICRO-u i tek poslije kreditnoj instituciji (tj. jamstvo za prvi gubitak);</w:t>
      </w:r>
    </w:p>
    <w:p w14:paraId="0001F58A" w14:textId="77777777" w:rsidR="00C548F5" w:rsidRPr="0089172D" w:rsidRDefault="00C548F5" w:rsidP="00B12D59">
      <w:pPr>
        <w:pStyle w:val="ListParagraph2"/>
        <w:spacing w:after="240" w:line="360" w:lineRule="auto"/>
        <w:ind w:left="1134" w:hanging="425"/>
        <w:contextualSpacing w:val="0"/>
        <w:jc w:val="both"/>
        <w:rPr>
          <w:rFonts w:ascii="Times New Roman" w:hAnsi="Times New Roman"/>
          <w:sz w:val="24"/>
          <w:szCs w:val="24"/>
          <w:lang w:val="hr-HR"/>
        </w:rPr>
      </w:pPr>
      <w:r w:rsidRPr="0089172D">
        <w:rPr>
          <w:rFonts w:ascii="Times New Roman" w:hAnsi="Times New Roman"/>
          <w:sz w:val="24"/>
          <w:szCs w:val="24"/>
          <w:lang w:val="hr-HR"/>
        </w:rPr>
        <w:t>iii.</w:t>
      </w:r>
      <w:r w:rsidR="00B12D59">
        <w:rPr>
          <w:rFonts w:ascii="Times New Roman" w:hAnsi="Times New Roman"/>
          <w:sz w:val="24"/>
          <w:szCs w:val="24"/>
          <w:lang w:val="hr-HR"/>
        </w:rPr>
        <w:tab/>
      </w:r>
      <w:r w:rsidR="008478E4" w:rsidRPr="0089172D">
        <w:rPr>
          <w:rFonts w:ascii="Times New Roman" w:hAnsi="Times New Roman"/>
          <w:sz w:val="24"/>
          <w:szCs w:val="24"/>
          <w:lang w:val="hr-HR"/>
        </w:rPr>
        <w:t xml:space="preserve">u oba navedena slučaja, ako se iznos zajma s vremenom smanjuje npr. jer je započela otplata zajma, zajamčeni iznos proporcionalno se mora smanjivati. </w:t>
      </w:r>
    </w:p>
    <w:p w14:paraId="66355A70" w14:textId="77777777" w:rsidR="008478E4" w:rsidRPr="0089172D" w:rsidRDefault="00C548F5" w:rsidP="00B12D59">
      <w:pPr>
        <w:pStyle w:val="ListParagraph2"/>
        <w:spacing w:after="240" w:line="360" w:lineRule="auto"/>
        <w:ind w:left="709" w:hanging="425"/>
        <w:contextualSpacing w:val="0"/>
        <w:jc w:val="both"/>
        <w:rPr>
          <w:rFonts w:ascii="Times New Roman" w:hAnsi="Times New Roman"/>
          <w:sz w:val="24"/>
          <w:szCs w:val="24"/>
          <w:lang w:val="hr-HR"/>
        </w:rPr>
      </w:pPr>
      <w:r w:rsidRPr="0089172D">
        <w:rPr>
          <w:rFonts w:ascii="Times New Roman" w:hAnsi="Times New Roman"/>
          <w:sz w:val="24"/>
          <w:szCs w:val="24"/>
          <w:lang w:val="hr-HR"/>
        </w:rPr>
        <w:lastRenderedPageBreak/>
        <w:t>5)</w:t>
      </w:r>
      <w:r w:rsidR="00B12D59">
        <w:rPr>
          <w:rFonts w:ascii="Times New Roman" w:hAnsi="Times New Roman"/>
          <w:sz w:val="24"/>
          <w:szCs w:val="24"/>
          <w:lang w:val="hr-HR"/>
        </w:rPr>
        <w:tab/>
      </w:r>
      <w:r w:rsidR="008478E4" w:rsidRPr="0089172D">
        <w:rPr>
          <w:rFonts w:ascii="Times New Roman" w:hAnsi="Times New Roman"/>
          <w:sz w:val="24"/>
          <w:szCs w:val="24"/>
          <w:lang w:val="hr-HR"/>
        </w:rPr>
        <w:t xml:space="preserve">jamstvo se ne može dodijeliti poduzetnicima koji su već bili u teškoćama u smislu definicije poduzetnika u teškoćama iz točke VII. podtočke 10) ovog Programa odnosno članka </w:t>
      </w:r>
      <w:r w:rsidR="008478E4" w:rsidRPr="0089172D">
        <w:rPr>
          <w:rFonts w:ascii="Times New Roman" w:hAnsi="Times New Roman"/>
          <w:bCs/>
          <w:sz w:val="24"/>
          <w:szCs w:val="24"/>
          <w:lang w:val="hr-HR"/>
        </w:rPr>
        <w:t xml:space="preserve">2. točke 18. Uredbe </w:t>
      </w:r>
      <w:r w:rsidR="008478E4" w:rsidRPr="0089172D">
        <w:rPr>
          <w:rFonts w:ascii="Times New Roman" w:hAnsi="Times New Roman"/>
          <w:sz w:val="24"/>
          <w:szCs w:val="24"/>
          <w:lang w:val="hr-HR"/>
        </w:rPr>
        <w:t>Komisije br. 651/2014) na dan 31. prosinca 2019.</w:t>
      </w:r>
    </w:p>
    <w:p w14:paraId="27DB7A72" w14:textId="77777777" w:rsidR="008478E4" w:rsidRPr="0089172D" w:rsidRDefault="008478E4" w:rsidP="00486145">
      <w:pPr>
        <w:pStyle w:val="ListParagraph3"/>
        <w:spacing w:after="240" w:line="360" w:lineRule="auto"/>
        <w:ind w:left="0"/>
        <w:contextualSpacing w:val="0"/>
        <w:jc w:val="center"/>
        <w:rPr>
          <w:rFonts w:ascii="Times New Roman" w:hAnsi="Times New Roman"/>
          <w:b/>
          <w:bCs/>
          <w:sz w:val="24"/>
          <w:szCs w:val="24"/>
          <w:lang w:val="hr-HR"/>
        </w:rPr>
      </w:pPr>
      <w:r w:rsidRPr="0089172D">
        <w:rPr>
          <w:rFonts w:ascii="Times New Roman" w:hAnsi="Times New Roman"/>
          <w:b/>
          <w:bCs/>
          <w:sz w:val="24"/>
          <w:szCs w:val="24"/>
          <w:lang w:val="hr-HR"/>
        </w:rPr>
        <w:t>X.</w:t>
      </w:r>
    </w:p>
    <w:p w14:paraId="29F51D24" w14:textId="77777777" w:rsidR="008478E4" w:rsidRPr="0089172D" w:rsidRDefault="008478E4" w:rsidP="00486145">
      <w:pPr>
        <w:pStyle w:val="ListParagraph3"/>
        <w:spacing w:after="240" w:line="360" w:lineRule="auto"/>
        <w:ind w:left="0"/>
        <w:contextualSpacing w:val="0"/>
        <w:jc w:val="center"/>
        <w:rPr>
          <w:rFonts w:ascii="Times New Roman" w:hAnsi="Times New Roman"/>
          <w:b/>
          <w:bCs/>
          <w:sz w:val="24"/>
          <w:szCs w:val="24"/>
          <w:lang w:val="hr-HR"/>
        </w:rPr>
      </w:pPr>
      <w:r w:rsidRPr="0089172D">
        <w:rPr>
          <w:rFonts w:ascii="Times New Roman" w:hAnsi="Times New Roman"/>
          <w:b/>
          <w:bCs/>
          <w:sz w:val="24"/>
          <w:szCs w:val="24"/>
          <w:lang w:val="hr-HR"/>
        </w:rPr>
        <w:t>Zbrajanje (kumulacija) potpora</w:t>
      </w:r>
    </w:p>
    <w:p w14:paraId="3B6BAA9F"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Privremene mjere iz ovog Programa primjenjuju se neovisno o tome financira li se  potpora u cijelosti ili djelomično državnim sredstvima Republike Hrvatske ili i iz sredstava europskih strukturnih, investicijskih i drugih fondova.</w:t>
      </w:r>
    </w:p>
    <w:p w14:paraId="2C7D669C"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bCs/>
          <w:sz w:val="24"/>
          <w:szCs w:val="24"/>
        </w:rPr>
        <w:t xml:space="preserve">Privremene mjere potpore obuhvaćene ovim Programom mogu se zbrajati s potporama obuhvaćenim Privremenim okvirom – COVID 19 u skladu s odredbama u posebnim odjeljcima Privremenog okvira. </w:t>
      </w:r>
    </w:p>
    <w:p w14:paraId="61D64822" w14:textId="77777777" w:rsidR="00295A0C"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bCs/>
          <w:sz w:val="24"/>
          <w:szCs w:val="24"/>
        </w:rPr>
        <w:t xml:space="preserve">Privremene mjere potpore obuhvaćene ovim Programom mogu se zbrajati s potporom na temelju uredbi o </w:t>
      </w:r>
      <w:r w:rsidRPr="0089172D">
        <w:rPr>
          <w:rFonts w:ascii="Times New Roman" w:hAnsi="Times New Roman" w:cs="Times New Roman"/>
          <w:bCs/>
          <w:i/>
          <w:sz w:val="24"/>
          <w:szCs w:val="24"/>
        </w:rPr>
        <w:t>de minimis</w:t>
      </w:r>
      <w:r w:rsidRPr="0089172D">
        <w:rPr>
          <w:rFonts w:ascii="Times New Roman" w:hAnsi="Times New Roman" w:cs="Times New Roman"/>
          <w:bCs/>
          <w:sz w:val="24"/>
          <w:szCs w:val="24"/>
        </w:rPr>
        <w:t xml:space="preserve"> potporama</w:t>
      </w:r>
      <w:r w:rsidRPr="0089172D">
        <w:rPr>
          <w:rStyle w:val="FootnoteReference"/>
          <w:rFonts w:ascii="Times New Roman" w:hAnsi="Times New Roman" w:cs="Times New Roman"/>
          <w:bCs/>
          <w:sz w:val="24"/>
          <w:szCs w:val="24"/>
        </w:rPr>
        <w:footnoteReference w:id="10"/>
      </w:r>
      <w:r w:rsidRPr="0089172D">
        <w:rPr>
          <w:rFonts w:ascii="Times New Roman" w:hAnsi="Times New Roman" w:cs="Times New Roman"/>
          <w:bCs/>
          <w:sz w:val="24"/>
          <w:szCs w:val="24"/>
        </w:rPr>
        <w:t>ili s potporama na temelju uredbi o skupnom izuzeću</w:t>
      </w:r>
      <w:r w:rsidRPr="0089172D">
        <w:rPr>
          <w:rStyle w:val="FootnoteReference"/>
          <w:rFonts w:ascii="Times New Roman" w:hAnsi="Times New Roman" w:cs="Times New Roman"/>
          <w:bCs/>
          <w:sz w:val="24"/>
          <w:szCs w:val="24"/>
        </w:rPr>
        <w:footnoteReference w:id="11"/>
      </w:r>
      <w:r w:rsidRPr="0089172D">
        <w:rPr>
          <w:rFonts w:ascii="Times New Roman" w:hAnsi="Times New Roman" w:cs="Times New Roman"/>
          <w:bCs/>
          <w:sz w:val="24"/>
          <w:szCs w:val="24"/>
        </w:rPr>
        <w:t xml:space="preserve"> ako se poštuju odredbe i pravila o zbrajanju iz tih uredbi.</w:t>
      </w:r>
    </w:p>
    <w:p w14:paraId="7F7E6D24" w14:textId="77777777" w:rsidR="00295A0C"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lastRenderedPageBreak/>
        <w:t>Potpora dodijeljena u skladu s točkom IX. ovog Programa tj. u skladu s odjeljkom 3.2. Privremenog okvira – COVID 19 ne zbraja se s potporom dodijeljenom za glavnicu istog temeljnog zajma u skladu s odjeljkom 3.3. Privremenog okvira – COVID 19 i obrnuto.</w:t>
      </w:r>
    </w:p>
    <w:p w14:paraId="302E01CE" w14:textId="77777777" w:rsidR="008478E4" w:rsidRPr="0089172D" w:rsidRDefault="008478E4" w:rsidP="00486145">
      <w:pPr>
        <w:spacing w:after="240" w:line="360" w:lineRule="auto"/>
        <w:jc w:val="both"/>
        <w:rPr>
          <w:rFonts w:ascii="Times New Roman" w:hAnsi="Times New Roman" w:cs="Times New Roman"/>
          <w:b/>
          <w:sz w:val="24"/>
          <w:szCs w:val="24"/>
        </w:rPr>
      </w:pPr>
      <w:r w:rsidRPr="0089172D">
        <w:rPr>
          <w:rFonts w:ascii="Times New Roman" w:hAnsi="Times New Roman" w:cs="Times New Roman"/>
          <w:sz w:val="24"/>
          <w:szCs w:val="24"/>
        </w:rPr>
        <w:t>Potpore dodijeljene u skladu s odjeljcima 3.2. i 3.3. Privremenog okvira – COVID 19 mogu se zbrajati za različite zajmove ako ukupni iznos zajmova po korisniku ne prelazi gornje granice utvrđene u točki 25. podtočki (d) ili u točki 27. podtočki (d).</w:t>
      </w:r>
    </w:p>
    <w:p w14:paraId="7007FBE6" w14:textId="77777777" w:rsidR="008478E4" w:rsidRPr="0089172D" w:rsidRDefault="008478E4" w:rsidP="00486145">
      <w:pPr>
        <w:spacing w:after="240" w:line="360" w:lineRule="auto"/>
        <w:jc w:val="both"/>
        <w:rPr>
          <w:rFonts w:ascii="Times New Roman" w:hAnsi="Times New Roman" w:cs="Times New Roman"/>
          <w:sz w:val="24"/>
          <w:szCs w:val="24"/>
        </w:rPr>
      </w:pPr>
      <w:r w:rsidRPr="0089172D">
        <w:rPr>
          <w:rFonts w:ascii="Times New Roman" w:hAnsi="Times New Roman" w:cs="Times New Roman"/>
          <w:sz w:val="24"/>
          <w:szCs w:val="24"/>
        </w:rPr>
        <w:t xml:space="preserve">Korisnik može istodobno koristiti više mjera iz odjeljka 3.2. ako ukupni iznos zajmova po korisniku ne prelazi gornje granice utvrđene u točki 25. podtočki (d). </w:t>
      </w:r>
    </w:p>
    <w:p w14:paraId="7D578C01" w14:textId="77777777" w:rsidR="008478E4" w:rsidRPr="0089172D" w:rsidRDefault="00B12D59" w:rsidP="00486145">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 xml:space="preserve">POGLAVLJE </w:t>
      </w:r>
      <w:r w:rsidR="008478E4" w:rsidRPr="0089172D">
        <w:rPr>
          <w:rFonts w:ascii="Times New Roman" w:hAnsi="Times New Roman"/>
          <w:b/>
          <w:sz w:val="24"/>
          <w:szCs w:val="24"/>
          <w:lang w:val="hr-HR"/>
        </w:rPr>
        <w:t>III.</w:t>
      </w:r>
    </w:p>
    <w:p w14:paraId="22A30078" w14:textId="77777777" w:rsidR="008478E4" w:rsidRPr="0089172D" w:rsidRDefault="008478E4" w:rsidP="00486145">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Prijelazne i završne odredbe</w:t>
      </w:r>
    </w:p>
    <w:p w14:paraId="6255CA0B" w14:textId="77777777" w:rsidR="008478E4" w:rsidRPr="0089172D" w:rsidRDefault="008478E4" w:rsidP="00486145">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XI.</w:t>
      </w:r>
    </w:p>
    <w:p w14:paraId="1034E8A8" w14:textId="77777777" w:rsidR="008478E4" w:rsidRPr="0089172D" w:rsidRDefault="008478E4" w:rsidP="00486145">
      <w:pPr>
        <w:pStyle w:val="ListParagraph3"/>
        <w:spacing w:after="240" w:line="360" w:lineRule="auto"/>
        <w:ind w:left="0"/>
        <w:contextualSpacing w:val="0"/>
        <w:jc w:val="center"/>
        <w:rPr>
          <w:rFonts w:ascii="Times New Roman" w:hAnsi="Times New Roman"/>
          <w:b/>
          <w:sz w:val="24"/>
          <w:szCs w:val="24"/>
          <w:lang w:val="hr-HR"/>
        </w:rPr>
      </w:pPr>
      <w:r w:rsidRPr="0089172D">
        <w:rPr>
          <w:rFonts w:ascii="Times New Roman" w:hAnsi="Times New Roman"/>
          <w:b/>
          <w:sz w:val="24"/>
          <w:szCs w:val="24"/>
          <w:lang w:val="hr-HR"/>
        </w:rPr>
        <w:t>Nadzor i izvještavanje</w:t>
      </w:r>
    </w:p>
    <w:p w14:paraId="58CE34A5" w14:textId="77777777" w:rsidR="008478E4" w:rsidRPr="0089172D" w:rsidRDefault="008478E4" w:rsidP="005472C7">
      <w:pPr>
        <w:pStyle w:val="ListParagraph3"/>
        <w:spacing w:after="240" w:line="360" w:lineRule="auto"/>
        <w:ind w:left="0"/>
        <w:contextualSpacing w:val="0"/>
        <w:jc w:val="both"/>
        <w:rPr>
          <w:rFonts w:ascii="Times New Roman" w:hAnsi="Times New Roman"/>
          <w:b/>
          <w:i/>
          <w:sz w:val="24"/>
          <w:szCs w:val="24"/>
          <w:lang w:val="hr-HR"/>
        </w:rPr>
      </w:pPr>
      <w:r w:rsidRPr="0089172D">
        <w:rPr>
          <w:rFonts w:ascii="Times New Roman" w:hAnsi="Times New Roman"/>
          <w:sz w:val="24"/>
          <w:szCs w:val="24"/>
          <w:lang w:val="hr-HR"/>
        </w:rPr>
        <w:t>MMPI će u skladu s obvezama iz Privremenog okvira – COVID 19 os</w:t>
      </w:r>
      <w:r w:rsidR="00295A0C" w:rsidRPr="0089172D">
        <w:rPr>
          <w:rFonts w:ascii="Times New Roman" w:hAnsi="Times New Roman"/>
          <w:sz w:val="24"/>
          <w:szCs w:val="24"/>
          <w:lang w:val="hr-HR"/>
        </w:rPr>
        <w:t>igurati objavu svih relevantnih</w:t>
      </w:r>
      <w:r w:rsidR="005472C7">
        <w:rPr>
          <w:rFonts w:ascii="Times New Roman" w:hAnsi="Times New Roman"/>
          <w:sz w:val="24"/>
          <w:szCs w:val="24"/>
          <w:lang w:val="hr-HR"/>
        </w:rPr>
        <w:t xml:space="preserve"> </w:t>
      </w:r>
      <w:r w:rsidRPr="0089172D">
        <w:rPr>
          <w:rFonts w:ascii="Times New Roman" w:hAnsi="Times New Roman"/>
          <w:sz w:val="24"/>
          <w:szCs w:val="24"/>
          <w:lang w:val="hr-HR"/>
        </w:rPr>
        <w:t>informacija</w:t>
      </w:r>
      <w:r w:rsidRPr="0089172D">
        <w:rPr>
          <w:rStyle w:val="FootnoteReference"/>
          <w:rFonts w:ascii="Times New Roman" w:hAnsi="Times New Roman"/>
          <w:sz w:val="24"/>
          <w:szCs w:val="24"/>
          <w:lang w:val="hr-HR"/>
        </w:rPr>
        <w:footnoteReference w:id="12"/>
      </w:r>
      <w:r w:rsidRPr="0089172D">
        <w:rPr>
          <w:rFonts w:ascii="Times New Roman" w:hAnsi="Times New Roman"/>
          <w:sz w:val="24"/>
          <w:szCs w:val="24"/>
          <w:lang w:val="hr-HR"/>
        </w:rPr>
        <w:t xml:space="preserve"> o svakoj pojedinačnoj potpori dodijeljen</w:t>
      </w:r>
      <w:r w:rsidR="00295A0C" w:rsidRPr="0089172D">
        <w:rPr>
          <w:rFonts w:ascii="Times New Roman" w:hAnsi="Times New Roman"/>
          <w:sz w:val="24"/>
          <w:szCs w:val="24"/>
          <w:lang w:val="hr-HR"/>
        </w:rPr>
        <w:t xml:space="preserve">oj u skladu s ovim Programom na </w:t>
      </w:r>
      <w:r w:rsidRPr="0089172D">
        <w:rPr>
          <w:rFonts w:ascii="Times New Roman" w:hAnsi="Times New Roman"/>
          <w:sz w:val="24"/>
          <w:szCs w:val="24"/>
          <w:lang w:val="hr-HR"/>
        </w:rPr>
        <w:t>sveobuhvatnim mrežnim stranicama o državnim potporama ili s pomoću IT alata Komisije</w:t>
      </w:r>
      <w:r w:rsidRPr="0089172D">
        <w:rPr>
          <w:rStyle w:val="FootnoteReference"/>
          <w:rFonts w:ascii="Times New Roman" w:hAnsi="Times New Roman"/>
          <w:sz w:val="24"/>
          <w:szCs w:val="24"/>
          <w:lang w:val="hr-HR"/>
        </w:rPr>
        <w:footnoteReference w:id="13"/>
      </w:r>
      <w:r w:rsidR="00295A0C" w:rsidRPr="0089172D">
        <w:rPr>
          <w:rFonts w:ascii="Times New Roman" w:hAnsi="Times New Roman"/>
          <w:sz w:val="24"/>
          <w:szCs w:val="24"/>
          <w:lang w:val="hr-HR"/>
        </w:rPr>
        <w:t xml:space="preserve"> u </w:t>
      </w:r>
      <w:r w:rsidRPr="0089172D">
        <w:rPr>
          <w:rFonts w:ascii="Times New Roman" w:hAnsi="Times New Roman"/>
          <w:sz w:val="24"/>
          <w:szCs w:val="24"/>
          <w:lang w:val="hr-HR"/>
        </w:rPr>
        <w:t>roku od 12 mjeseci od trenutka dodjele.</w:t>
      </w:r>
    </w:p>
    <w:p w14:paraId="334A5710" w14:textId="77777777" w:rsidR="00E555A1"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lastRenderedPageBreak/>
        <w:t>Godišnja izvješća o dodijeljenim potporama dostavljat će se Komisiji u skladu s Uredbom Komisije (EU) broj 794/2004 od 21. travnja 2004. o primjeni Uredbe Vijeća (EU) broj 659/1999 o pravilima za primjenu članka 93. Ugovora</w:t>
      </w:r>
      <w:r w:rsidRPr="0089172D">
        <w:rPr>
          <w:rStyle w:val="FootnoteReference"/>
          <w:rFonts w:ascii="Times New Roman" w:hAnsi="Times New Roman"/>
          <w:bCs/>
          <w:sz w:val="24"/>
          <w:szCs w:val="24"/>
          <w:lang w:val="hr-HR"/>
        </w:rPr>
        <w:footnoteReference w:id="14"/>
      </w:r>
      <w:r w:rsidRPr="0089172D">
        <w:rPr>
          <w:rFonts w:ascii="Times New Roman" w:hAnsi="Times New Roman"/>
          <w:bCs/>
          <w:sz w:val="24"/>
          <w:szCs w:val="24"/>
          <w:lang w:val="hr-HR"/>
        </w:rPr>
        <w:t>.</w:t>
      </w:r>
    </w:p>
    <w:p w14:paraId="434FAE17" w14:textId="77777777" w:rsidR="00E555A1"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MMPI će Ministarstvu financija dostaviti popis mjera</w:t>
      </w:r>
      <w:r w:rsidR="00295A0C" w:rsidRPr="0089172D">
        <w:rPr>
          <w:rFonts w:ascii="Times New Roman" w:hAnsi="Times New Roman"/>
          <w:bCs/>
          <w:sz w:val="24"/>
          <w:szCs w:val="24"/>
          <w:lang w:val="hr-HR"/>
        </w:rPr>
        <w:t xml:space="preserve"> uvedenih na temelju ovog Programa odobrenog na temelju Privremenog okvira – COVID 19 radi  dostave tog popisa Europskoj komisiji do 31. prosinca 2020.</w:t>
      </w:r>
    </w:p>
    <w:p w14:paraId="62D6862A" w14:textId="77777777" w:rsidR="00E555A1"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MMPI će osigurati detaljno vođenje evidencije o dodjeli potpora sukladno ovom Programu i Privremenom okviru – COVID 19. Takva evidencija, koja mora sadržavati sve informacije da bi se utvrdilo da su ispunjeni potrebni uvjeti, mora se čuvati 10 godina nakon dodjele potpore i na zahtjev dostaviti Komisiji.</w:t>
      </w:r>
    </w:p>
    <w:p w14:paraId="5AE5E2FB" w14:textId="77777777" w:rsidR="008478E4" w:rsidRPr="0089172D" w:rsidRDefault="008478E4" w:rsidP="00486145">
      <w:pPr>
        <w:pStyle w:val="ListParagraph3"/>
        <w:spacing w:after="240" w:line="360" w:lineRule="auto"/>
        <w:ind w:left="0"/>
        <w:contextualSpacing w:val="0"/>
        <w:jc w:val="both"/>
        <w:rPr>
          <w:rFonts w:ascii="Times New Roman" w:hAnsi="Times New Roman"/>
          <w:bCs/>
          <w:sz w:val="24"/>
          <w:szCs w:val="24"/>
          <w:lang w:val="hr-HR"/>
        </w:rPr>
      </w:pPr>
      <w:r w:rsidRPr="0089172D">
        <w:rPr>
          <w:rFonts w:ascii="Times New Roman" w:hAnsi="Times New Roman"/>
          <w:bCs/>
          <w:sz w:val="24"/>
          <w:szCs w:val="24"/>
          <w:lang w:val="hr-HR"/>
        </w:rPr>
        <w:t xml:space="preserve">Na njezin zahtjev, MMPI dostavit će Komisiji dodatne informacije o dodijeljenim potporama kako bi ona provjerila jesu li se poštovali uvjeti utvrđeni u odluci Komisije kojom je odobrila potporu. </w:t>
      </w:r>
    </w:p>
    <w:p w14:paraId="40419C56" w14:textId="77777777" w:rsidR="005472C7" w:rsidRDefault="005472C7">
      <w:pPr>
        <w:rPr>
          <w:rFonts w:ascii="Times New Roman" w:eastAsia="Calibri" w:hAnsi="Times New Roman" w:cs="Times New Roman"/>
          <w:bCs/>
          <w:sz w:val="24"/>
          <w:szCs w:val="24"/>
        </w:rPr>
      </w:pPr>
      <w:r>
        <w:rPr>
          <w:rFonts w:ascii="Times New Roman" w:hAnsi="Times New Roman"/>
          <w:bCs/>
          <w:sz w:val="24"/>
          <w:szCs w:val="24"/>
        </w:rPr>
        <w:br w:type="page"/>
      </w:r>
    </w:p>
    <w:p w14:paraId="30177153" w14:textId="77777777" w:rsidR="008478E4" w:rsidRPr="0089172D" w:rsidRDefault="008478E4" w:rsidP="007412CE">
      <w:pPr>
        <w:pStyle w:val="ListParagraph3"/>
        <w:spacing w:after="0" w:line="240" w:lineRule="auto"/>
        <w:ind w:left="425" w:hanging="425"/>
        <w:contextualSpacing w:val="0"/>
        <w:jc w:val="both"/>
        <w:rPr>
          <w:rFonts w:ascii="Times New Roman" w:hAnsi="Times New Roman"/>
          <w:bCs/>
          <w:sz w:val="24"/>
          <w:szCs w:val="24"/>
          <w:lang w:val="hr-HR"/>
        </w:rPr>
      </w:pPr>
    </w:p>
    <w:p w14:paraId="0E634E14" w14:textId="77777777" w:rsidR="00886875" w:rsidRDefault="00886875" w:rsidP="001C07E9">
      <w:pPr>
        <w:spacing w:after="0" w:line="240" w:lineRule="auto"/>
        <w:jc w:val="center"/>
        <w:textAlignment w:val="baseline"/>
        <w:rPr>
          <w:rFonts w:ascii="Times New Roman" w:hAnsi="Times New Roman" w:cs="Times New Roman"/>
          <w:b/>
          <w:sz w:val="24"/>
          <w:szCs w:val="24"/>
        </w:rPr>
      </w:pPr>
      <w:r w:rsidRPr="0089172D">
        <w:rPr>
          <w:rFonts w:ascii="Times New Roman" w:hAnsi="Times New Roman" w:cs="Times New Roman"/>
          <w:b/>
          <w:sz w:val="24"/>
          <w:szCs w:val="24"/>
        </w:rPr>
        <w:t>O</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B</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R</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A</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Z</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L</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O</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Ž</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E</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N</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J</w:t>
      </w:r>
      <w:r w:rsidR="007412CE">
        <w:rPr>
          <w:rFonts w:ascii="Times New Roman" w:hAnsi="Times New Roman" w:cs="Times New Roman"/>
          <w:b/>
          <w:sz w:val="24"/>
          <w:szCs w:val="24"/>
        </w:rPr>
        <w:t xml:space="preserve"> </w:t>
      </w:r>
      <w:r w:rsidRPr="0089172D">
        <w:rPr>
          <w:rFonts w:ascii="Times New Roman" w:hAnsi="Times New Roman" w:cs="Times New Roman"/>
          <w:b/>
          <w:sz w:val="24"/>
          <w:szCs w:val="24"/>
        </w:rPr>
        <w:t>E</w:t>
      </w:r>
    </w:p>
    <w:p w14:paraId="12B70F57" w14:textId="77777777" w:rsidR="007412CE" w:rsidRPr="0089172D" w:rsidRDefault="007412CE" w:rsidP="001C07E9">
      <w:pPr>
        <w:spacing w:after="0" w:line="240" w:lineRule="auto"/>
        <w:jc w:val="center"/>
        <w:textAlignment w:val="baseline"/>
        <w:rPr>
          <w:rFonts w:ascii="Times New Roman" w:eastAsia="Times New Roman" w:hAnsi="Times New Roman" w:cs="Times New Roman"/>
          <w:sz w:val="24"/>
          <w:szCs w:val="24"/>
          <w:lang w:eastAsia="hr-HR"/>
        </w:rPr>
      </w:pPr>
    </w:p>
    <w:p w14:paraId="13D42751"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 xml:space="preserve">U svrhu ublažavanja poteškoća s kojima se susreću poduzetnici uslijed poremećaja u gospodarstvu nastalih zbog izbijanja pandemije </w:t>
      </w:r>
      <w:r w:rsidR="005472C7" w:rsidRPr="0089172D">
        <w:rPr>
          <w:rFonts w:ascii="Times New Roman" w:eastAsia="Calibri" w:hAnsi="Times New Roman" w:cs="Times New Roman"/>
          <w:sz w:val="24"/>
          <w:szCs w:val="24"/>
        </w:rPr>
        <w:t>COVID</w:t>
      </w:r>
      <w:r w:rsidRPr="0089172D">
        <w:rPr>
          <w:rFonts w:ascii="Times New Roman" w:eastAsia="Calibri" w:hAnsi="Times New Roman" w:cs="Times New Roman"/>
          <w:sz w:val="24"/>
          <w:szCs w:val="24"/>
        </w:rPr>
        <w:t xml:space="preserve">-19, Europska komisija je pored već postojećih mehanizama dodjele državnih potpora, propisala i dodatna, fleksibilnija, pravila za dodjelu državnih potpora tijekom ograničenog razdoblja, a kako bi se nadoknadio manjak likvidnosti s kojim su suočeni poduzetnici te kako bi se osigurala njihova održivost. </w:t>
      </w:r>
    </w:p>
    <w:p w14:paraId="4CF5166E"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716A6927"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 xml:space="preserve">Iz tog razloga predlaže se donošenje predmetne </w:t>
      </w:r>
      <w:r w:rsidR="007412CE">
        <w:rPr>
          <w:rFonts w:ascii="Times New Roman" w:eastAsia="Calibri" w:hAnsi="Times New Roman" w:cs="Times New Roman"/>
          <w:sz w:val="24"/>
          <w:szCs w:val="24"/>
        </w:rPr>
        <w:t>o</w:t>
      </w:r>
      <w:r w:rsidRPr="0089172D">
        <w:rPr>
          <w:rFonts w:ascii="Times New Roman" w:eastAsia="Calibri" w:hAnsi="Times New Roman" w:cs="Times New Roman"/>
          <w:sz w:val="24"/>
          <w:szCs w:val="24"/>
        </w:rPr>
        <w:t>dluke čiji je c</w:t>
      </w:r>
      <w:r w:rsidR="00D3110E" w:rsidRPr="0089172D">
        <w:rPr>
          <w:rFonts w:ascii="Times New Roman" w:eastAsia="Calibri" w:hAnsi="Times New Roman" w:cs="Times New Roman"/>
          <w:sz w:val="24"/>
          <w:szCs w:val="24"/>
        </w:rPr>
        <w:t>ilj vezan uz P</w:t>
      </w:r>
      <w:r w:rsidRPr="0089172D">
        <w:rPr>
          <w:rFonts w:ascii="Times New Roman" w:eastAsia="Calibri" w:hAnsi="Times New Roman" w:cs="Times New Roman"/>
          <w:sz w:val="24"/>
          <w:szCs w:val="24"/>
        </w:rPr>
        <w:t xml:space="preserve">rovedbu programa državnih potpora u svrhu podrške gospodarstvu u aktualnoj pandemiji </w:t>
      </w:r>
      <w:r w:rsidR="005472C7" w:rsidRPr="0089172D">
        <w:rPr>
          <w:rFonts w:ascii="Times New Roman" w:eastAsia="Calibri" w:hAnsi="Times New Roman" w:cs="Times New Roman"/>
          <w:sz w:val="24"/>
          <w:szCs w:val="24"/>
        </w:rPr>
        <w:t>COVID</w:t>
      </w:r>
      <w:r w:rsidRPr="0089172D">
        <w:rPr>
          <w:rFonts w:ascii="Times New Roman" w:eastAsia="Calibri" w:hAnsi="Times New Roman" w:cs="Times New Roman"/>
          <w:sz w:val="24"/>
          <w:szCs w:val="24"/>
        </w:rPr>
        <w:t xml:space="preserve">-19. </w:t>
      </w:r>
    </w:p>
    <w:p w14:paraId="1A50EC4A"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2D8594BF"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 xml:space="preserve">Predmetna pravila sadržana su u Komunikaciji Komisije </w:t>
      </w:r>
      <w:r w:rsidR="007412CE">
        <w:rPr>
          <w:rFonts w:ascii="Times New Roman" w:eastAsia="Calibri" w:hAnsi="Times New Roman" w:cs="Times New Roman"/>
          <w:sz w:val="24"/>
          <w:szCs w:val="24"/>
        </w:rPr>
        <w:t>-</w:t>
      </w:r>
      <w:r w:rsidRPr="0089172D">
        <w:rPr>
          <w:rFonts w:ascii="Times New Roman" w:eastAsia="Calibri" w:hAnsi="Times New Roman" w:cs="Times New Roman"/>
          <w:sz w:val="24"/>
          <w:szCs w:val="24"/>
        </w:rPr>
        <w:t xml:space="preserve"> Privremenom okviru za mjere državne potpore u svrhu podrške gospodarstvu u aktualnoj pandemiji </w:t>
      </w:r>
      <w:r w:rsidR="005472C7" w:rsidRPr="0089172D">
        <w:rPr>
          <w:rFonts w:ascii="Times New Roman" w:eastAsia="Calibri" w:hAnsi="Times New Roman" w:cs="Times New Roman"/>
          <w:sz w:val="24"/>
          <w:szCs w:val="24"/>
        </w:rPr>
        <w:t>COVID</w:t>
      </w:r>
      <w:r w:rsidRPr="0089172D">
        <w:rPr>
          <w:rFonts w:ascii="Times New Roman" w:eastAsia="Calibri" w:hAnsi="Times New Roman" w:cs="Times New Roman"/>
          <w:sz w:val="24"/>
          <w:szCs w:val="24"/>
        </w:rPr>
        <w:t>-19</w:t>
      </w:r>
      <w:r w:rsidR="007412CE">
        <w:rPr>
          <w:rFonts w:ascii="Times New Roman" w:eastAsia="Calibri" w:hAnsi="Times New Roman" w:cs="Times New Roman"/>
          <w:sz w:val="24"/>
          <w:szCs w:val="24"/>
        </w:rPr>
        <w:t>,</w:t>
      </w:r>
      <w:r w:rsidRPr="0089172D">
        <w:rPr>
          <w:rFonts w:ascii="Times New Roman" w:eastAsia="Calibri" w:hAnsi="Times New Roman" w:cs="Times New Roman"/>
          <w:sz w:val="24"/>
          <w:szCs w:val="24"/>
        </w:rPr>
        <w:t xml:space="preserve"> od 19. ožujka 2020. i njezinim </w:t>
      </w:r>
      <w:r w:rsidR="007412CE">
        <w:rPr>
          <w:rFonts w:ascii="Times New Roman" w:eastAsia="Calibri" w:hAnsi="Times New Roman" w:cs="Times New Roman"/>
          <w:sz w:val="24"/>
          <w:szCs w:val="24"/>
        </w:rPr>
        <w:t>i</w:t>
      </w:r>
      <w:r w:rsidRPr="0089172D">
        <w:rPr>
          <w:rFonts w:ascii="Times New Roman" w:eastAsia="Calibri" w:hAnsi="Times New Roman" w:cs="Times New Roman"/>
          <w:sz w:val="24"/>
          <w:szCs w:val="24"/>
        </w:rPr>
        <w:t>zmjenama od 3. travnja 2020. i 8. svibnja 2020. (</w:t>
      </w:r>
      <w:r w:rsidR="007412CE">
        <w:rPr>
          <w:rFonts w:ascii="Times New Roman" w:eastAsia="Calibri" w:hAnsi="Times New Roman" w:cs="Times New Roman"/>
          <w:sz w:val="24"/>
          <w:szCs w:val="24"/>
        </w:rPr>
        <w:t xml:space="preserve">u </w:t>
      </w:r>
      <w:r w:rsidRPr="0089172D">
        <w:rPr>
          <w:rFonts w:ascii="Times New Roman" w:eastAsia="Calibri" w:hAnsi="Times New Roman" w:cs="Times New Roman"/>
          <w:sz w:val="24"/>
          <w:szCs w:val="24"/>
        </w:rPr>
        <w:t>dalj</w:t>
      </w:r>
      <w:r w:rsidR="007412CE">
        <w:rPr>
          <w:rFonts w:ascii="Times New Roman" w:eastAsia="Calibri" w:hAnsi="Times New Roman" w:cs="Times New Roman"/>
          <w:sz w:val="24"/>
          <w:szCs w:val="24"/>
        </w:rPr>
        <w:t>njem tekstu</w:t>
      </w:r>
      <w:r w:rsidRPr="0089172D">
        <w:rPr>
          <w:rFonts w:ascii="Times New Roman" w:eastAsia="Calibri" w:hAnsi="Times New Roman" w:cs="Times New Roman"/>
          <w:sz w:val="24"/>
          <w:szCs w:val="24"/>
        </w:rPr>
        <w:t>: Privremeni okvir). Navedena pravila omogućavaju državama članicama E</w:t>
      </w:r>
      <w:r w:rsidR="007412CE">
        <w:rPr>
          <w:rFonts w:ascii="Times New Roman" w:eastAsia="Calibri" w:hAnsi="Times New Roman" w:cs="Times New Roman"/>
          <w:sz w:val="24"/>
          <w:szCs w:val="24"/>
        </w:rPr>
        <w:t>uropske unije</w:t>
      </w:r>
      <w:r w:rsidRPr="0089172D">
        <w:rPr>
          <w:rFonts w:ascii="Times New Roman" w:eastAsia="Calibri" w:hAnsi="Times New Roman" w:cs="Times New Roman"/>
          <w:sz w:val="24"/>
          <w:szCs w:val="24"/>
        </w:rPr>
        <w:t xml:space="preserve"> donošenje odgovarajućih programa državnih potpora radi dodjele potpora u obliku izravnih bespovratnih sredstava, povratnih predujmova, poreznih olakšica, zajmova, jamstava za zajmove, subvencioniranih kamatnih stopa za zajmove, za kratkoročno osiguranje izvoznih kredita, za istraživanje i razvoj u području bolesti </w:t>
      </w:r>
      <w:r w:rsidR="005472C7" w:rsidRPr="0089172D">
        <w:rPr>
          <w:rFonts w:ascii="Times New Roman" w:eastAsia="Calibri" w:hAnsi="Times New Roman" w:cs="Times New Roman"/>
          <w:sz w:val="24"/>
          <w:szCs w:val="24"/>
        </w:rPr>
        <w:t>COVID</w:t>
      </w:r>
      <w:r w:rsidRPr="0089172D">
        <w:rPr>
          <w:rFonts w:ascii="Times New Roman" w:eastAsia="Calibri" w:hAnsi="Times New Roman" w:cs="Times New Roman"/>
          <w:sz w:val="24"/>
          <w:szCs w:val="24"/>
        </w:rPr>
        <w:t>-19, za ulaganje u izgradnju ili nadogradnju infrastruktura za ispitivanje i za unapr</w:t>
      </w:r>
      <w:r w:rsidR="007412CE">
        <w:rPr>
          <w:rFonts w:ascii="Times New Roman" w:eastAsia="Calibri" w:hAnsi="Times New Roman" w:cs="Times New Roman"/>
          <w:sz w:val="24"/>
          <w:szCs w:val="24"/>
        </w:rPr>
        <w:t>j</w:t>
      </w:r>
      <w:r w:rsidRPr="0089172D">
        <w:rPr>
          <w:rFonts w:ascii="Times New Roman" w:eastAsia="Calibri" w:hAnsi="Times New Roman" w:cs="Times New Roman"/>
          <w:sz w:val="24"/>
          <w:szCs w:val="24"/>
        </w:rPr>
        <w:t>eđenje procesa s laboratorijske na proizvodnu razinu, za ulaganje u proizvodnju proizvoda bitnih za suzbijanje širenja bolesti, za odgode plaćanja poreza i/ili doprinosa za socijalno osiguranje, za subvencioniranje plaća zaposlenika radi izbjegavanja otpuštanja te za mjere dokapitalizacije i podređenog duga. Navedene mjere mogu biti spojive s unutarnjim tržištem E</w:t>
      </w:r>
      <w:r w:rsidR="007412CE">
        <w:rPr>
          <w:rFonts w:ascii="Times New Roman" w:eastAsia="Calibri" w:hAnsi="Times New Roman" w:cs="Times New Roman"/>
          <w:sz w:val="24"/>
          <w:szCs w:val="24"/>
        </w:rPr>
        <w:t>uropske unije</w:t>
      </w:r>
      <w:r w:rsidRPr="0089172D">
        <w:rPr>
          <w:rFonts w:ascii="Times New Roman" w:eastAsia="Calibri" w:hAnsi="Times New Roman" w:cs="Times New Roman"/>
          <w:sz w:val="24"/>
          <w:szCs w:val="24"/>
        </w:rPr>
        <w:t xml:space="preserve"> temeljem članka 107. stavka 3. točke (b) Ugovora o funkcioniranju Europske unije (</w:t>
      </w:r>
      <w:r w:rsidR="007412CE">
        <w:rPr>
          <w:rFonts w:ascii="Times New Roman" w:eastAsia="Calibri" w:hAnsi="Times New Roman" w:cs="Times New Roman"/>
          <w:sz w:val="24"/>
          <w:szCs w:val="24"/>
        </w:rPr>
        <w:t xml:space="preserve">u </w:t>
      </w:r>
      <w:r w:rsidRPr="0089172D">
        <w:rPr>
          <w:rFonts w:ascii="Times New Roman" w:eastAsia="Calibri" w:hAnsi="Times New Roman" w:cs="Times New Roman"/>
          <w:sz w:val="24"/>
          <w:szCs w:val="24"/>
        </w:rPr>
        <w:t>dalj</w:t>
      </w:r>
      <w:r w:rsidR="007412CE">
        <w:rPr>
          <w:rFonts w:ascii="Times New Roman" w:eastAsia="Calibri" w:hAnsi="Times New Roman" w:cs="Times New Roman"/>
          <w:sz w:val="24"/>
          <w:szCs w:val="24"/>
        </w:rPr>
        <w:t>nj</w:t>
      </w:r>
      <w:r w:rsidRPr="0089172D">
        <w:rPr>
          <w:rFonts w:ascii="Times New Roman" w:eastAsia="Calibri" w:hAnsi="Times New Roman" w:cs="Times New Roman"/>
          <w:sz w:val="24"/>
          <w:szCs w:val="24"/>
        </w:rPr>
        <w:t>e</w:t>
      </w:r>
      <w:r w:rsidR="007412CE">
        <w:rPr>
          <w:rFonts w:ascii="Times New Roman" w:eastAsia="Calibri" w:hAnsi="Times New Roman" w:cs="Times New Roman"/>
          <w:sz w:val="24"/>
          <w:szCs w:val="24"/>
        </w:rPr>
        <w:t>m tekstu</w:t>
      </w:r>
      <w:r w:rsidRPr="0089172D">
        <w:rPr>
          <w:rFonts w:ascii="Times New Roman" w:eastAsia="Calibri" w:hAnsi="Times New Roman" w:cs="Times New Roman"/>
          <w:sz w:val="24"/>
          <w:szCs w:val="24"/>
        </w:rPr>
        <w:t>: UFEU).</w:t>
      </w:r>
    </w:p>
    <w:p w14:paraId="78A83043"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6750621D"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Europska komisija nakon službene prijave države članice donosi odluku o sukladnosti svakog pojedinog programa državne potpore s odredbama Privremenog okvira te isti može stupiti na snagu tek po donošenju odgovarajuće odluke Europske komisije o usklađenosti programa s pravilima propisanim Privremenim okvirom.</w:t>
      </w:r>
      <w:r w:rsidR="00D3110E" w:rsidRPr="0089172D">
        <w:rPr>
          <w:rFonts w:ascii="Times New Roman" w:eastAsia="Calibri" w:hAnsi="Times New Roman" w:cs="Times New Roman"/>
          <w:sz w:val="24"/>
          <w:szCs w:val="24"/>
        </w:rPr>
        <w:t xml:space="preserve"> </w:t>
      </w:r>
    </w:p>
    <w:p w14:paraId="11D0E268" w14:textId="77777777" w:rsidR="00D3110E" w:rsidRPr="0089172D" w:rsidRDefault="00D3110E" w:rsidP="001C07E9">
      <w:pPr>
        <w:spacing w:after="0" w:line="240" w:lineRule="auto"/>
        <w:jc w:val="both"/>
        <w:rPr>
          <w:rFonts w:ascii="Times New Roman" w:eastAsia="Calibri" w:hAnsi="Times New Roman" w:cs="Times New Roman"/>
          <w:sz w:val="24"/>
          <w:szCs w:val="24"/>
        </w:rPr>
      </w:pPr>
    </w:p>
    <w:p w14:paraId="158A6A87" w14:textId="77777777" w:rsidR="00D3110E" w:rsidRPr="0089172D" w:rsidRDefault="00D3110E"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Sukladno gore navedenom, Ministarstvo mora, prometa i infrastrukture zaprimilo je službenu obavijest</w:t>
      </w:r>
      <w:r w:rsidR="00C722C3" w:rsidRPr="0089172D">
        <w:rPr>
          <w:rFonts w:ascii="Times New Roman" w:eastAsia="Calibri" w:hAnsi="Times New Roman" w:cs="Times New Roman"/>
          <w:sz w:val="24"/>
          <w:szCs w:val="24"/>
        </w:rPr>
        <w:t xml:space="preserve"> 30. lipnja 2020. od</w:t>
      </w:r>
      <w:r w:rsidR="00486145" w:rsidRPr="0089172D">
        <w:rPr>
          <w:rFonts w:ascii="Times New Roman" w:eastAsia="Calibri" w:hAnsi="Times New Roman" w:cs="Times New Roman"/>
          <w:sz w:val="24"/>
          <w:szCs w:val="24"/>
        </w:rPr>
        <w:t xml:space="preserve"> Europske k</w:t>
      </w:r>
      <w:r w:rsidRPr="0089172D">
        <w:rPr>
          <w:rFonts w:ascii="Times New Roman" w:eastAsia="Calibri" w:hAnsi="Times New Roman" w:cs="Times New Roman"/>
          <w:sz w:val="24"/>
          <w:szCs w:val="24"/>
        </w:rPr>
        <w:t>omisije, a kojom je donesena pozitivna odluka o Programu dodjele državnih potpora sektoru mora, prometa, prometne infrastrukture i povezanim djelatnostima u aktualnoj pandemiji COVID-a 19.</w:t>
      </w:r>
    </w:p>
    <w:p w14:paraId="7A25801A"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0BB05518"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U svrhu donošenja Programa državnih potpora sukladno pravnim temeljima prethodno navedenima, ovim se omogućava odobravanje državnih jamstava HBOR-u i HAMAG</w:t>
      </w:r>
      <w:r w:rsidR="007412CE">
        <w:rPr>
          <w:rFonts w:ascii="Times New Roman" w:eastAsia="Calibri" w:hAnsi="Times New Roman" w:cs="Times New Roman"/>
          <w:sz w:val="24"/>
          <w:szCs w:val="24"/>
        </w:rPr>
        <w:t>-BICRO</w:t>
      </w:r>
      <w:r w:rsidRPr="0089172D">
        <w:rPr>
          <w:rFonts w:ascii="Times New Roman" w:eastAsia="Calibri" w:hAnsi="Times New Roman" w:cs="Times New Roman"/>
          <w:sz w:val="24"/>
          <w:szCs w:val="24"/>
        </w:rPr>
        <w:t>-u</w:t>
      </w:r>
      <w:r w:rsidR="006E755A" w:rsidRPr="0089172D">
        <w:rPr>
          <w:rFonts w:ascii="Times New Roman" w:eastAsia="Calibri" w:hAnsi="Times New Roman" w:cs="Times New Roman"/>
          <w:sz w:val="24"/>
          <w:szCs w:val="24"/>
        </w:rPr>
        <w:t xml:space="preserve"> kao provedbenim tijelima</w:t>
      </w:r>
      <w:r w:rsidRPr="0089172D">
        <w:rPr>
          <w:rFonts w:ascii="Times New Roman" w:eastAsia="Calibri" w:hAnsi="Times New Roman" w:cs="Times New Roman"/>
          <w:sz w:val="24"/>
          <w:szCs w:val="24"/>
        </w:rPr>
        <w:t xml:space="preserve"> koji će u ime i za račun Republike Hrvatske odobravati državna jamstva korisnicima sukladno odobrenom Programu od strane Europske komisije. </w:t>
      </w:r>
    </w:p>
    <w:p w14:paraId="06BD1FB6"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2076401E"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Program državnih potpora uključuje sve aspekte prometa te predviđa pomoć malim, srednjim i velikim poduzetnicima na teritoriju Republi</w:t>
      </w:r>
      <w:r w:rsidR="004554D8" w:rsidRPr="0089172D">
        <w:rPr>
          <w:rFonts w:ascii="Times New Roman" w:eastAsia="Calibri" w:hAnsi="Times New Roman" w:cs="Times New Roman"/>
          <w:sz w:val="24"/>
          <w:szCs w:val="24"/>
        </w:rPr>
        <w:t>ke Hrvatske. Navedeni poduzetnici</w:t>
      </w:r>
      <w:r w:rsidRPr="0089172D">
        <w:rPr>
          <w:rFonts w:ascii="Times New Roman" w:eastAsia="Calibri" w:hAnsi="Times New Roman" w:cs="Times New Roman"/>
          <w:sz w:val="24"/>
          <w:szCs w:val="24"/>
        </w:rPr>
        <w:t xml:space="preserve"> </w:t>
      </w:r>
      <w:r w:rsidR="004554D8" w:rsidRPr="0089172D">
        <w:rPr>
          <w:rFonts w:ascii="Times New Roman" w:eastAsia="Calibri" w:hAnsi="Times New Roman" w:cs="Times New Roman"/>
          <w:sz w:val="24"/>
          <w:szCs w:val="24"/>
        </w:rPr>
        <w:t xml:space="preserve">mogu ostvariti pravo na potporu pod uvjetom da su suočeni s manjkom likvidnosti jer je njihova poslovna aktivnost smanjena ili u cijelosti obustavljena zbog izvanrednih okolnosti prouzročenih pandemijom </w:t>
      </w:r>
      <w:r w:rsidR="00DD3C2E" w:rsidRPr="0089172D">
        <w:rPr>
          <w:rFonts w:ascii="Times New Roman" w:eastAsia="Calibri" w:hAnsi="Times New Roman" w:cs="Times New Roman"/>
          <w:sz w:val="24"/>
          <w:szCs w:val="24"/>
        </w:rPr>
        <w:t>COVID</w:t>
      </w:r>
      <w:r w:rsidR="00DD3C2E">
        <w:rPr>
          <w:rFonts w:ascii="Times New Roman" w:eastAsia="Calibri" w:hAnsi="Times New Roman" w:cs="Times New Roman"/>
          <w:sz w:val="24"/>
          <w:szCs w:val="24"/>
        </w:rPr>
        <w:t>-</w:t>
      </w:r>
      <w:r w:rsidR="004554D8" w:rsidRPr="0089172D">
        <w:rPr>
          <w:rFonts w:ascii="Times New Roman" w:eastAsia="Calibri" w:hAnsi="Times New Roman" w:cs="Times New Roman"/>
          <w:sz w:val="24"/>
          <w:szCs w:val="24"/>
        </w:rPr>
        <w:t>19, odnosno ako su suočeni s poteškoćama u poslovanju koje su posljedica te pandemije.</w:t>
      </w:r>
    </w:p>
    <w:p w14:paraId="73867ECF" w14:textId="77777777" w:rsidR="004554D8" w:rsidRPr="0089172D" w:rsidRDefault="004554D8" w:rsidP="001C07E9">
      <w:pPr>
        <w:spacing w:after="0" w:line="240" w:lineRule="auto"/>
        <w:jc w:val="both"/>
        <w:rPr>
          <w:rFonts w:ascii="Times New Roman" w:eastAsia="Calibri" w:hAnsi="Times New Roman" w:cs="Times New Roman"/>
          <w:sz w:val="24"/>
          <w:szCs w:val="24"/>
        </w:rPr>
      </w:pPr>
    </w:p>
    <w:p w14:paraId="09BBC915" w14:textId="77777777" w:rsidR="004554D8" w:rsidRPr="0089172D" w:rsidRDefault="004554D8"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 xml:space="preserve">Smatra se kako su poteškoće u poslovanju koje su posljedica pandemije </w:t>
      </w:r>
      <w:r w:rsidR="00DD3C2E" w:rsidRPr="0089172D">
        <w:rPr>
          <w:rFonts w:ascii="Times New Roman" w:eastAsia="Calibri" w:hAnsi="Times New Roman" w:cs="Times New Roman"/>
          <w:sz w:val="24"/>
          <w:szCs w:val="24"/>
        </w:rPr>
        <w:t>COVID</w:t>
      </w:r>
      <w:r w:rsidRPr="0089172D">
        <w:rPr>
          <w:rFonts w:ascii="Times New Roman" w:eastAsia="Calibri" w:hAnsi="Times New Roman" w:cs="Times New Roman"/>
          <w:sz w:val="24"/>
          <w:szCs w:val="24"/>
        </w:rPr>
        <w:t>-19 imali poduzetnici koji su ostvarili značajan pad poslovnih prihoda u odgovarajućem razdoblju 2020. u odnosu na isto razdoblje 2019. i/ili kod kojih se na temelju pokazatelja poslovanja u prvih šest mjeseci 2020. može očekivati ostvarenje poslovnih prihoda za 2020. na razini koja je značajno niža (najmanje 20</w:t>
      </w:r>
      <w:r w:rsidR="00081C56">
        <w:rPr>
          <w:rFonts w:ascii="Times New Roman" w:eastAsia="Calibri" w:hAnsi="Times New Roman" w:cs="Times New Roman"/>
          <w:sz w:val="24"/>
          <w:szCs w:val="24"/>
        </w:rPr>
        <w:t xml:space="preserve"> </w:t>
      </w:r>
      <w:r w:rsidRPr="0089172D">
        <w:rPr>
          <w:rFonts w:ascii="Times New Roman" w:eastAsia="Calibri" w:hAnsi="Times New Roman" w:cs="Times New Roman"/>
          <w:sz w:val="24"/>
          <w:szCs w:val="24"/>
        </w:rPr>
        <w:t>%) od poslovnih prihoda ostvarenih u 2019. Kao i oni podu</w:t>
      </w:r>
      <w:r w:rsidR="00081C56">
        <w:rPr>
          <w:rFonts w:ascii="Times New Roman" w:eastAsia="Calibri" w:hAnsi="Times New Roman" w:cs="Times New Roman"/>
          <w:sz w:val="24"/>
          <w:szCs w:val="24"/>
        </w:rPr>
        <w:t>z</w:t>
      </w:r>
      <w:r w:rsidRPr="0089172D">
        <w:rPr>
          <w:rFonts w:ascii="Times New Roman" w:eastAsia="Calibri" w:hAnsi="Times New Roman" w:cs="Times New Roman"/>
          <w:sz w:val="24"/>
          <w:szCs w:val="24"/>
        </w:rPr>
        <w:t>etnici koji su ostvarili fizički pad prometa i/ili prijevoza putnika i robe, rezervacija putovanja i turističkih posjeta i slično u 2020. u odnosu na isto razdoblje 2019. i/ili su im otkazani ili na duže vrijeme odgođeni (na najmanje godinu dana) ranije ugovoreni i planirani poslovi i/ili druge poslovne aktivnosti sukladno poslovnim planovima za 2020.</w:t>
      </w:r>
    </w:p>
    <w:p w14:paraId="041DE41A"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09C47923"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Iznos potrebnih sredstava, odnosno iznos jamstava pokrivenih odredbama ovog</w:t>
      </w:r>
      <w:r w:rsidR="00081C56">
        <w:rPr>
          <w:rFonts w:ascii="Times New Roman" w:eastAsia="Calibri" w:hAnsi="Times New Roman" w:cs="Times New Roman"/>
          <w:sz w:val="24"/>
          <w:szCs w:val="24"/>
        </w:rPr>
        <w:t>a</w:t>
      </w:r>
      <w:r w:rsidRPr="0089172D">
        <w:rPr>
          <w:rFonts w:ascii="Times New Roman" w:eastAsia="Calibri" w:hAnsi="Times New Roman" w:cs="Times New Roman"/>
          <w:sz w:val="24"/>
          <w:szCs w:val="24"/>
        </w:rPr>
        <w:t xml:space="preserve"> Programa iznosi 600.000.000,00 kuna</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 xml:space="preserve"> </w:t>
      </w:r>
    </w:p>
    <w:p w14:paraId="5167F653" w14:textId="77777777" w:rsidR="004554D8" w:rsidRPr="0089172D" w:rsidRDefault="004554D8" w:rsidP="001C07E9">
      <w:pPr>
        <w:spacing w:after="0" w:line="240" w:lineRule="auto"/>
        <w:jc w:val="both"/>
        <w:rPr>
          <w:rFonts w:ascii="Times New Roman" w:eastAsia="Calibri" w:hAnsi="Times New Roman" w:cs="Times New Roman"/>
          <w:sz w:val="24"/>
          <w:szCs w:val="24"/>
        </w:rPr>
      </w:pPr>
    </w:p>
    <w:p w14:paraId="1C61BA5A" w14:textId="77777777" w:rsidR="004554D8" w:rsidRPr="0089172D" w:rsidRDefault="004554D8"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Na temelju Programa dodjeljivat će se privremene mjere u skladu s Privremen</w:t>
      </w:r>
      <w:r w:rsidR="00081C56">
        <w:rPr>
          <w:rFonts w:ascii="Times New Roman" w:eastAsia="Calibri" w:hAnsi="Times New Roman" w:cs="Times New Roman"/>
          <w:sz w:val="24"/>
          <w:szCs w:val="24"/>
        </w:rPr>
        <w:t>im okvirom</w:t>
      </w:r>
      <w:r w:rsidRPr="0089172D">
        <w:rPr>
          <w:rFonts w:ascii="Times New Roman" w:eastAsia="Calibri" w:hAnsi="Times New Roman" w:cs="Times New Roman"/>
          <w:sz w:val="24"/>
          <w:szCs w:val="24"/>
        </w:rPr>
        <w:t xml:space="preserve">, i to: potpore u obliku jamstava sukladno uvjetima iz odjeljka </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3.1. Ograničeni iznosi potpore</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 xml:space="preserve"> te potpore u obliku jamstava za zajmove sukladno uvjetima iz odjeljka </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3.2.Potpora u obliku jamstava za zajmove</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w:t>
      </w:r>
    </w:p>
    <w:p w14:paraId="6C36CD42"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0D6D5085"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Ovom odlukom zadužuje se Ministarstvo mora, prometa i infrastrukture</w:t>
      </w:r>
      <w:r w:rsidR="00D3110E" w:rsidRPr="0089172D">
        <w:rPr>
          <w:rFonts w:ascii="Times New Roman" w:eastAsia="Calibri" w:hAnsi="Times New Roman" w:cs="Times New Roman"/>
          <w:sz w:val="24"/>
          <w:szCs w:val="24"/>
        </w:rPr>
        <w:t xml:space="preserve"> da</w:t>
      </w:r>
      <w:r w:rsidR="00081C56">
        <w:rPr>
          <w:rFonts w:ascii="Times New Roman" w:eastAsia="Calibri" w:hAnsi="Times New Roman" w:cs="Times New Roman"/>
          <w:sz w:val="24"/>
          <w:szCs w:val="24"/>
        </w:rPr>
        <w:t>,</w:t>
      </w:r>
      <w:r w:rsidR="00D3110E" w:rsidRPr="0089172D">
        <w:rPr>
          <w:rFonts w:ascii="Times New Roman" w:eastAsia="Calibri" w:hAnsi="Times New Roman" w:cs="Times New Roman"/>
          <w:sz w:val="24"/>
          <w:szCs w:val="24"/>
        </w:rPr>
        <w:t xml:space="preserve"> sukladno </w:t>
      </w:r>
      <w:r w:rsidR="00081C56">
        <w:rPr>
          <w:rFonts w:ascii="Times New Roman" w:eastAsia="Calibri" w:hAnsi="Times New Roman" w:cs="Times New Roman"/>
          <w:sz w:val="24"/>
          <w:szCs w:val="24"/>
        </w:rPr>
        <w:t xml:space="preserve">predmetnom </w:t>
      </w:r>
      <w:r w:rsidR="00D3110E" w:rsidRPr="0089172D">
        <w:rPr>
          <w:rFonts w:ascii="Times New Roman" w:eastAsia="Calibri" w:hAnsi="Times New Roman" w:cs="Times New Roman"/>
          <w:sz w:val="24"/>
          <w:szCs w:val="24"/>
        </w:rPr>
        <w:t>Programu</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 xml:space="preserve"> procijen</w:t>
      </w:r>
      <w:r w:rsidR="00081C56">
        <w:rPr>
          <w:rFonts w:ascii="Times New Roman" w:eastAsia="Calibri" w:hAnsi="Times New Roman" w:cs="Times New Roman"/>
          <w:sz w:val="24"/>
          <w:szCs w:val="24"/>
        </w:rPr>
        <w:t>i</w:t>
      </w:r>
      <w:r w:rsidRPr="0089172D">
        <w:rPr>
          <w:rFonts w:ascii="Times New Roman" w:eastAsia="Calibri" w:hAnsi="Times New Roman" w:cs="Times New Roman"/>
          <w:sz w:val="24"/>
          <w:szCs w:val="24"/>
        </w:rPr>
        <w:t xml:space="preserve"> moguće rizike koji mogu nastati u slučaju da korisnici zajmova, za koje će biti izdana jamstva, neće biti u mogućnosti izvršavati svoje obveze te na temelju toga, a radi osiguranja plaćanja potencijalnih obveza koje mogu nastati temeljem izdanih jamstava, planiraju sredstva u o</w:t>
      </w:r>
      <w:r w:rsidR="00081C56">
        <w:rPr>
          <w:rFonts w:ascii="Times New Roman" w:eastAsia="Calibri" w:hAnsi="Times New Roman" w:cs="Times New Roman"/>
          <w:sz w:val="24"/>
          <w:szCs w:val="24"/>
        </w:rPr>
        <w:t>kviru svog financijskog plana.</w:t>
      </w:r>
    </w:p>
    <w:p w14:paraId="35B6B564"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3D598436" w14:textId="77777777" w:rsidR="006F26A3"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Ministarstvo mora, prometa i infrastrukture, HBOR i HAMAG</w:t>
      </w:r>
      <w:r w:rsidR="00081C56">
        <w:rPr>
          <w:rFonts w:ascii="Times New Roman" w:eastAsia="Calibri" w:hAnsi="Times New Roman" w:cs="Times New Roman"/>
          <w:sz w:val="24"/>
          <w:szCs w:val="24"/>
        </w:rPr>
        <w:t>-</w:t>
      </w:r>
      <w:r w:rsidRPr="0089172D">
        <w:rPr>
          <w:rFonts w:ascii="Times New Roman" w:eastAsia="Calibri" w:hAnsi="Times New Roman" w:cs="Times New Roman"/>
          <w:sz w:val="24"/>
          <w:szCs w:val="24"/>
        </w:rPr>
        <w:t>BICRO utvrdit će procedure i ostala pitanja koja se odnose na provedbu ovog</w:t>
      </w:r>
      <w:r w:rsidR="00B25258">
        <w:rPr>
          <w:rFonts w:ascii="Times New Roman" w:eastAsia="Calibri" w:hAnsi="Times New Roman" w:cs="Times New Roman"/>
          <w:sz w:val="24"/>
          <w:szCs w:val="24"/>
        </w:rPr>
        <w:t>a</w:t>
      </w:r>
      <w:r w:rsidRPr="0089172D">
        <w:rPr>
          <w:rFonts w:ascii="Times New Roman" w:eastAsia="Calibri" w:hAnsi="Times New Roman" w:cs="Times New Roman"/>
          <w:sz w:val="24"/>
          <w:szCs w:val="24"/>
        </w:rPr>
        <w:t xml:space="preserve"> Programa i </w:t>
      </w:r>
      <w:r w:rsidR="00B25258">
        <w:rPr>
          <w:rFonts w:ascii="Times New Roman" w:eastAsia="Calibri" w:hAnsi="Times New Roman" w:cs="Times New Roman"/>
          <w:sz w:val="24"/>
          <w:szCs w:val="24"/>
        </w:rPr>
        <w:t>ove o</w:t>
      </w:r>
      <w:r w:rsidRPr="0089172D">
        <w:rPr>
          <w:rFonts w:ascii="Times New Roman" w:eastAsia="Calibri" w:hAnsi="Times New Roman" w:cs="Times New Roman"/>
          <w:sz w:val="24"/>
          <w:szCs w:val="24"/>
        </w:rPr>
        <w:t>dluke kroz sporazum, odnosno protokol o suradnji koji će obuhvatiti sva pitanja nužna za operativnu provedbu Programa.</w:t>
      </w:r>
    </w:p>
    <w:p w14:paraId="2E31DF04" w14:textId="77777777" w:rsidR="006F26A3" w:rsidRPr="0089172D" w:rsidRDefault="006F26A3" w:rsidP="001C07E9">
      <w:pPr>
        <w:spacing w:after="0" w:line="240" w:lineRule="auto"/>
        <w:jc w:val="both"/>
        <w:rPr>
          <w:rFonts w:ascii="Times New Roman" w:eastAsia="Calibri" w:hAnsi="Times New Roman" w:cs="Times New Roman"/>
          <w:sz w:val="24"/>
          <w:szCs w:val="24"/>
        </w:rPr>
      </w:pPr>
    </w:p>
    <w:p w14:paraId="4A45564C" w14:textId="77777777" w:rsidR="00886875" w:rsidRPr="0089172D" w:rsidRDefault="006F26A3"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 xml:space="preserve">Na ovako predložen način, mjerama državne potpore u obliku izdavanja jamstava za zajmove omogućit će se doprinos otklanjanju poteškoća s kojima su suočeni poduzetnici uslijed pandemije </w:t>
      </w:r>
      <w:r w:rsidR="00B25258" w:rsidRPr="0089172D">
        <w:rPr>
          <w:rFonts w:ascii="Times New Roman" w:eastAsia="Calibri" w:hAnsi="Times New Roman" w:cs="Times New Roman"/>
          <w:sz w:val="24"/>
          <w:szCs w:val="24"/>
        </w:rPr>
        <w:t>COVID</w:t>
      </w:r>
      <w:r w:rsidRPr="0089172D">
        <w:rPr>
          <w:rFonts w:ascii="Times New Roman" w:eastAsia="Calibri" w:hAnsi="Times New Roman" w:cs="Times New Roman"/>
          <w:sz w:val="24"/>
          <w:szCs w:val="24"/>
        </w:rPr>
        <w:t>19 uz istovremeno poštivanje pravila Europske unije o državnim potporama i ravnopravnom tržišnom natjecanju.</w:t>
      </w:r>
    </w:p>
    <w:p w14:paraId="610C8423" w14:textId="77777777" w:rsidR="00C722C3" w:rsidRPr="0089172D" w:rsidRDefault="00C722C3" w:rsidP="001C07E9">
      <w:pPr>
        <w:spacing w:after="0" w:line="240" w:lineRule="auto"/>
        <w:jc w:val="both"/>
        <w:rPr>
          <w:rFonts w:ascii="Times New Roman" w:eastAsia="Calibri" w:hAnsi="Times New Roman" w:cs="Times New Roman"/>
          <w:sz w:val="24"/>
          <w:szCs w:val="24"/>
        </w:rPr>
      </w:pPr>
    </w:p>
    <w:p w14:paraId="38362D73" w14:textId="77777777" w:rsidR="00C722C3" w:rsidRPr="0089172D" w:rsidRDefault="00B25258" w:rsidP="001C07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Predmetna o</w:t>
      </w:r>
      <w:r w:rsidR="00C722C3" w:rsidRPr="0089172D">
        <w:rPr>
          <w:rFonts w:ascii="Times New Roman" w:eastAsia="Calibri" w:hAnsi="Times New Roman" w:cs="Times New Roman"/>
          <w:sz w:val="24"/>
          <w:szCs w:val="24"/>
        </w:rPr>
        <w:t>dluka sukladna je svim pravilima o mjerama državnih potpora sadržani</w:t>
      </w:r>
      <w:r>
        <w:rPr>
          <w:rFonts w:ascii="Times New Roman" w:eastAsia="Calibri" w:hAnsi="Times New Roman" w:cs="Times New Roman"/>
          <w:sz w:val="24"/>
          <w:szCs w:val="24"/>
        </w:rPr>
        <w:t>m</w:t>
      </w:r>
      <w:r w:rsidR="00C722C3" w:rsidRPr="0089172D">
        <w:rPr>
          <w:rFonts w:ascii="Times New Roman" w:eastAsia="Calibri" w:hAnsi="Times New Roman" w:cs="Times New Roman"/>
          <w:sz w:val="24"/>
          <w:szCs w:val="24"/>
        </w:rPr>
        <w:t xml:space="preserve"> u Privremenom okviru, a kao takva na adekvatan i učinkovit način pomaže gospodarstvenicima iz prometnog sektora te umanjuje i spr</w:t>
      </w:r>
      <w:r w:rsidR="004C32D4">
        <w:rPr>
          <w:rFonts w:ascii="Times New Roman" w:eastAsia="Calibri" w:hAnsi="Times New Roman" w:cs="Times New Roman"/>
          <w:sz w:val="24"/>
          <w:szCs w:val="24"/>
        </w:rPr>
        <w:t>j</w:t>
      </w:r>
      <w:r w:rsidR="00C722C3" w:rsidRPr="0089172D">
        <w:rPr>
          <w:rFonts w:ascii="Times New Roman" w:eastAsia="Calibri" w:hAnsi="Times New Roman" w:cs="Times New Roman"/>
          <w:sz w:val="24"/>
          <w:szCs w:val="24"/>
        </w:rPr>
        <w:t>ečava moguću gospodarsku štetu prouzrokovanu aktualnom pandemijom COVID-19.</w:t>
      </w:r>
    </w:p>
    <w:p w14:paraId="117A5C7D" w14:textId="77777777" w:rsidR="00A4148C" w:rsidRPr="0089172D" w:rsidRDefault="00A4148C" w:rsidP="001C07E9">
      <w:pPr>
        <w:spacing w:after="0" w:line="240" w:lineRule="auto"/>
        <w:jc w:val="both"/>
        <w:rPr>
          <w:rFonts w:ascii="Times New Roman" w:eastAsia="Calibri" w:hAnsi="Times New Roman" w:cs="Times New Roman"/>
          <w:sz w:val="24"/>
          <w:szCs w:val="24"/>
        </w:rPr>
      </w:pPr>
    </w:p>
    <w:p w14:paraId="1E3AD45F" w14:textId="77777777" w:rsidR="00A4148C" w:rsidRPr="0089172D" w:rsidRDefault="00A4148C" w:rsidP="001C07E9">
      <w:pPr>
        <w:spacing w:after="0" w:line="240" w:lineRule="auto"/>
        <w:jc w:val="both"/>
        <w:rPr>
          <w:rFonts w:ascii="Times New Roman" w:eastAsia="Calibri" w:hAnsi="Times New Roman" w:cs="Times New Roman"/>
          <w:sz w:val="24"/>
          <w:szCs w:val="24"/>
        </w:rPr>
      </w:pPr>
      <w:r w:rsidRPr="0089172D">
        <w:rPr>
          <w:rFonts w:ascii="Times New Roman" w:eastAsia="Calibri" w:hAnsi="Times New Roman" w:cs="Times New Roman"/>
          <w:sz w:val="24"/>
          <w:szCs w:val="24"/>
        </w:rPr>
        <w:t>Uzimajući u obzir odredbe Zakona o postupku primopredaje vlasti (Narodne novine, br</w:t>
      </w:r>
      <w:r w:rsidR="0057792F" w:rsidRPr="0089172D">
        <w:rPr>
          <w:rFonts w:ascii="Times New Roman" w:eastAsia="Calibri" w:hAnsi="Times New Roman" w:cs="Times New Roman"/>
          <w:sz w:val="24"/>
          <w:szCs w:val="24"/>
        </w:rPr>
        <w:t>.</w:t>
      </w:r>
      <w:r w:rsidRPr="0089172D">
        <w:rPr>
          <w:rFonts w:ascii="Times New Roman" w:eastAsia="Calibri" w:hAnsi="Times New Roman" w:cs="Times New Roman"/>
          <w:sz w:val="24"/>
          <w:szCs w:val="24"/>
        </w:rPr>
        <w:t xml:space="preserve"> 94/04, 17/07, 91/10 i 22/13), </w:t>
      </w:r>
      <w:r w:rsidR="0057792F" w:rsidRPr="0089172D">
        <w:rPr>
          <w:rFonts w:ascii="Times New Roman" w:hAnsi="Times New Roman" w:cs="Times New Roman"/>
          <w:sz w:val="24"/>
          <w:szCs w:val="24"/>
        </w:rPr>
        <w:t>a s obzirom na izvanredne okolnosti i bitno pogoršane uvjete poslovanja koji su prouzročeni pandemijom COVID-19, potrebno je osigurati financijsku podršku poduzetnicima koji obavljaju djelatnosti u sektoru mora, prometa, prometne infrastrukture i s njima povezane djelatnostima radi ublažavanja posljedica ove krize na njihovo poslovanje. Pritom je naglasak na mjerama namijenjenim osiguranju likvidnosti i omogućavanju pristupa financiranju radi funkcioniranja ovog</w:t>
      </w:r>
      <w:r w:rsidR="004C32D4">
        <w:rPr>
          <w:rFonts w:ascii="Times New Roman" w:hAnsi="Times New Roman" w:cs="Times New Roman"/>
          <w:sz w:val="24"/>
          <w:szCs w:val="24"/>
        </w:rPr>
        <w:t>a</w:t>
      </w:r>
      <w:r w:rsidR="0057792F" w:rsidRPr="0089172D">
        <w:rPr>
          <w:rFonts w:ascii="Times New Roman" w:hAnsi="Times New Roman" w:cs="Times New Roman"/>
          <w:sz w:val="24"/>
          <w:szCs w:val="24"/>
        </w:rPr>
        <w:t xml:space="preserve"> sektora</w:t>
      </w:r>
      <w:r w:rsidR="004C32D4">
        <w:rPr>
          <w:rFonts w:ascii="Times New Roman" w:hAnsi="Times New Roman" w:cs="Times New Roman"/>
          <w:sz w:val="24"/>
          <w:szCs w:val="24"/>
        </w:rPr>
        <w:t>,</w:t>
      </w:r>
      <w:r w:rsidR="0057792F" w:rsidRPr="0089172D">
        <w:rPr>
          <w:rFonts w:ascii="Times New Roman" w:hAnsi="Times New Roman" w:cs="Times New Roman"/>
          <w:sz w:val="24"/>
          <w:szCs w:val="24"/>
        </w:rPr>
        <w:t xml:space="preserve"> odnosno osiguranja prometne povezanosti i nesmetanog odvijanja prometa, kako unutar Republike Hrvatske, tako i s inozemstvom tijekom i nakon prestanka pandemije COVID-19 te stvaranje uvjeta za što brži oporavak od trenutačne krize. Slijedom navedenog</w:t>
      </w:r>
      <w:r w:rsidRPr="0089172D">
        <w:rPr>
          <w:rFonts w:ascii="Times New Roman" w:eastAsia="Calibri" w:hAnsi="Times New Roman" w:cs="Times New Roman"/>
          <w:sz w:val="24"/>
          <w:szCs w:val="24"/>
        </w:rPr>
        <w:t xml:space="preserve"> predlaže </w:t>
      </w:r>
      <w:r w:rsidR="0057792F" w:rsidRPr="0089172D">
        <w:rPr>
          <w:rFonts w:ascii="Times New Roman" w:eastAsia="Calibri" w:hAnsi="Times New Roman" w:cs="Times New Roman"/>
          <w:sz w:val="24"/>
          <w:szCs w:val="24"/>
        </w:rPr>
        <w:t xml:space="preserve">se </w:t>
      </w:r>
      <w:r w:rsidRPr="0089172D">
        <w:rPr>
          <w:rFonts w:ascii="Times New Roman" w:eastAsia="Calibri" w:hAnsi="Times New Roman" w:cs="Times New Roman"/>
          <w:sz w:val="24"/>
          <w:szCs w:val="24"/>
        </w:rPr>
        <w:t xml:space="preserve">donošenje predmetne </w:t>
      </w:r>
      <w:r w:rsidR="00B536C2">
        <w:rPr>
          <w:rFonts w:ascii="Times New Roman" w:eastAsia="Calibri" w:hAnsi="Times New Roman" w:cs="Times New Roman"/>
          <w:sz w:val="24"/>
          <w:szCs w:val="24"/>
        </w:rPr>
        <w:t>o</w:t>
      </w:r>
      <w:r w:rsidRPr="0089172D">
        <w:rPr>
          <w:rFonts w:ascii="Times New Roman" w:eastAsia="Calibri" w:hAnsi="Times New Roman" w:cs="Times New Roman"/>
          <w:sz w:val="24"/>
          <w:szCs w:val="24"/>
        </w:rPr>
        <w:t>dluke.</w:t>
      </w:r>
    </w:p>
    <w:p w14:paraId="51F1F363" w14:textId="77777777" w:rsidR="00A063EA" w:rsidRPr="0089172D" w:rsidRDefault="00A063EA" w:rsidP="00486145">
      <w:pPr>
        <w:spacing w:after="0" w:line="360" w:lineRule="auto"/>
        <w:jc w:val="both"/>
        <w:rPr>
          <w:rFonts w:ascii="Times New Roman" w:eastAsia="Calibri" w:hAnsi="Times New Roman" w:cs="Times New Roman"/>
          <w:sz w:val="24"/>
          <w:szCs w:val="24"/>
        </w:rPr>
      </w:pPr>
    </w:p>
    <w:sectPr w:rsidR="00A063EA" w:rsidRPr="0089172D" w:rsidSect="001C07E9">
      <w:headerReference w:type="default" r:id="rId1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9633E" w14:textId="77777777" w:rsidR="0070510C" w:rsidRDefault="0070510C" w:rsidP="00534EC7">
      <w:pPr>
        <w:spacing w:after="0" w:line="240" w:lineRule="auto"/>
      </w:pPr>
      <w:r>
        <w:separator/>
      </w:r>
    </w:p>
  </w:endnote>
  <w:endnote w:type="continuationSeparator" w:id="0">
    <w:p w14:paraId="15E11466" w14:textId="77777777" w:rsidR="0070510C" w:rsidRDefault="0070510C" w:rsidP="0053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1803" w14:textId="77777777" w:rsidR="0089172D" w:rsidRPr="0089172D" w:rsidRDefault="0089172D" w:rsidP="00CE78D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89172D">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904C" w14:textId="77777777" w:rsidR="004D7B98" w:rsidRPr="004D7B98" w:rsidRDefault="004D7B98">
    <w:pPr>
      <w:pStyle w:val="Footer"/>
      <w:jc w:val="center"/>
      <w:rPr>
        <w:rFonts w:ascii="Times New Roman" w:hAnsi="Times New Roman" w:cs="Times New Roman"/>
        <w:sz w:val="20"/>
        <w:szCs w:val="20"/>
      </w:rPr>
    </w:pPr>
  </w:p>
  <w:p w14:paraId="394C8AFA" w14:textId="77777777" w:rsidR="004D7B98" w:rsidRDefault="004D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8027" w14:textId="77777777" w:rsidR="0070510C" w:rsidRDefault="0070510C" w:rsidP="00534EC7">
      <w:pPr>
        <w:spacing w:after="0" w:line="240" w:lineRule="auto"/>
      </w:pPr>
      <w:r>
        <w:separator/>
      </w:r>
    </w:p>
  </w:footnote>
  <w:footnote w:type="continuationSeparator" w:id="0">
    <w:p w14:paraId="09E14B69" w14:textId="77777777" w:rsidR="0070510C" w:rsidRDefault="0070510C" w:rsidP="00534EC7">
      <w:pPr>
        <w:spacing w:after="0" w:line="240" w:lineRule="auto"/>
      </w:pPr>
      <w:r>
        <w:continuationSeparator/>
      </w:r>
    </w:p>
  </w:footnote>
  <w:footnote w:id="1">
    <w:p w14:paraId="2316BC8F" w14:textId="77777777" w:rsidR="008478E4" w:rsidRPr="00C360ED" w:rsidRDefault="008478E4" w:rsidP="008478E4">
      <w:pPr>
        <w:pStyle w:val="FootnoteText"/>
        <w:rPr>
          <w:lang w:val="hr-HR"/>
        </w:rPr>
      </w:pPr>
      <w:r>
        <w:rPr>
          <w:rStyle w:val="FootnoteReference"/>
        </w:rPr>
        <w:footnoteRef/>
      </w:r>
      <w:r>
        <w:rPr>
          <w:lang w:val="hr-HR"/>
        </w:rPr>
        <w:t>NN 47/14 i 69/17</w:t>
      </w:r>
    </w:p>
  </w:footnote>
  <w:footnote w:id="2">
    <w:p w14:paraId="3A4C8361" w14:textId="77777777" w:rsidR="008478E4" w:rsidRPr="00C82C2B" w:rsidRDefault="008478E4" w:rsidP="008478E4">
      <w:pPr>
        <w:pStyle w:val="FootnoteText"/>
        <w:rPr>
          <w:lang w:val="hr-HR"/>
        </w:rPr>
      </w:pPr>
      <w:r>
        <w:rPr>
          <w:rStyle w:val="FootnoteReference"/>
        </w:rPr>
        <w:footnoteRef/>
      </w:r>
      <w:r>
        <w:t xml:space="preserve"> </w:t>
      </w:r>
      <w:r w:rsidRPr="00351E23">
        <w:rPr>
          <w:rFonts w:asciiTheme="minorHAnsi" w:hAnsiTheme="minorHAnsi" w:cstheme="minorHAnsi"/>
          <w:lang w:val="hr-HR"/>
        </w:rPr>
        <w:t>NN</w:t>
      </w:r>
      <w:r>
        <w:rPr>
          <w:rFonts w:asciiTheme="minorHAnsi" w:hAnsiTheme="minorHAnsi" w:cstheme="minorHAnsi"/>
          <w:lang w:val="hr-HR"/>
        </w:rPr>
        <w:t xml:space="preserve"> </w:t>
      </w:r>
      <w:r w:rsidRPr="00351E23">
        <w:rPr>
          <w:rFonts w:asciiTheme="minorHAnsi" w:hAnsiTheme="minorHAnsi" w:cstheme="minorHAnsi"/>
          <w:lang w:val="hr-HR"/>
        </w:rPr>
        <w:t>117/19, 32/20, 42/20.</w:t>
      </w:r>
    </w:p>
  </w:footnote>
  <w:footnote w:id="3">
    <w:p w14:paraId="2458FA61" w14:textId="77777777" w:rsidR="008478E4" w:rsidRPr="00C82C2B" w:rsidRDefault="008478E4" w:rsidP="008478E4">
      <w:pPr>
        <w:pStyle w:val="FootnoteText"/>
        <w:rPr>
          <w:lang w:val="hr-HR"/>
        </w:rPr>
      </w:pPr>
      <w:r>
        <w:rPr>
          <w:rStyle w:val="FootnoteReference"/>
        </w:rPr>
        <w:footnoteRef/>
      </w:r>
      <w:r>
        <w:t xml:space="preserve"> </w:t>
      </w:r>
      <w:r>
        <w:rPr>
          <w:lang w:val="hr-HR"/>
        </w:rPr>
        <w:t>NN 29/02, 63/07, 53/12.</w:t>
      </w:r>
    </w:p>
  </w:footnote>
  <w:footnote w:id="4">
    <w:p w14:paraId="048A226D" w14:textId="77777777" w:rsidR="008478E4" w:rsidRPr="00E67B8B" w:rsidRDefault="008478E4" w:rsidP="008478E4">
      <w:pPr>
        <w:pStyle w:val="FootnoteText"/>
        <w:rPr>
          <w:lang w:val="hr-HR"/>
        </w:rPr>
      </w:pPr>
      <w:r>
        <w:rPr>
          <w:rStyle w:val="FootnoteReference"/>
        </w:rPr>
        <w:footnoteRef/>
      </w:r>
      <w:r>
        <w:t xml:space="preserve"> </w:t>
      </w:r>
      <w:r>
        <w:rPr>
          <w:lang w:val="hr-HR"/>
        </w:rPr>
        <w:t>NN 138/06, 25/13.</w:t>
      </w:r>
    </w:p>
  </w:footnote>
  <w:footnote w:id="5">
    <w:p w14:paraId="42575224" w14:textId="77777777" w:rsidR="008478E4" w:rsidRPr="003C78D6" w:rsidRDefault="008478E4" w:rsidP="008478E4">
      <w:pPr>
        <w:pStyle w:val="FootnoteText"/>
        <w:jc w:val="both"/>
        <w:rPr>
          <w:lang w:val="hr-HR"/>
        </w:rPr>
      </w:pPr>
      <w:r>
        <w:rPr>
          <w:rStyle w:val="FootnoteReference"/>
        </w:rPr>
        <w:footnoteRef/>
      </w:r>
      <w:r>
        <w:rPr>
          <w:lang w:val="hr-HR"/>
        </w:rPr>
        <w:t>Uredba (EZ) br. 1893/2006 Europskog parlamenta i Vijeća od 20. prosinca 2006. o utvrđivanju statističke klasifikacije ekonomskih djelatnosti NACE Revision 2 te izmjeni Uredbe Vijeća (EEZ) br. 037/90 kao i određenih uredbi EZ-a o posebnim statističkim područjima (SL L 393, 30.12.2006., str. 1)</w:t>
      </w:r>
    </w:p>
  </w:footnote>
  <w:footnote w:id="6">
    <w:p w14:paraId="2AF6FECE" w14:textId="77777777" w:rsidR="008478E4" w:rsidRPr="00EB166F" w:rsidRDefault="008478E4" w:rsidP="008478E4">
      <w:pPr>
        <w:pStyle w:val="FootnoteText"/>
        <w:rPr>
          <w:rFonts w:asciiTheme="minorHAnsi" w:hAnsiTheme="minorHAnsi" w:cstheme="minorHAnsi"/>
          <w:lang w:val="hr-HR"/>
        </w:rPr>
      </w:pPr>
      <w:r>
        <w:rPr>
          <w:rStyle w:val="FootnoteReference"/>
        </w:rPr>
        <w:footnoteRef/>
      </w:r>
      <w:r w:rsidRPr="00EB166F">
        <w:rPr>
          <w:rFonts w:asciiTheme="minorHAnsi" w:hAnsiTheme="minorHAnsi" w:cstheme="minorHAnsi"/>
          <w:lang w:val="hr-HR"/>
        </w:rPr>
        <w:t>S</w:t>
      </w:r>
      <w:r>
        <w:rPr>
          <w:rFonts w:asciiTheme="minorHAnsi" w:hAnsiTheme="minorHAnsi" w:cstheme="minorHAnsi"/>
          <w:lang w:val="hr-HR"/>
        </w:rPr>
        <w:t>L</w:t>
      </w:r>
      <w:r w:rsidRPr="00EB166F">
        <w:rPr>
          <w:rFonts w:asciiTheme="minorHAnsi" w:hAnsiTheme="minorHAnsi" w:cstheme="minorHAnsi"/>
          <w:lang w:val="hr-HR"/>
        </w:rPr>
        <w:t xml:space="preserve"> L 187, 26.6.2014.</w:t>
      </w:r>
    </w:p>
  </w:footnote>
  <w:footnote w:id="7">
    <w:p w14:paraId="6099E280" w14:textId="77777777" w:rsidR="008478E4" w:rsidRPr="00885864" w:rsidRDefault="008478E4" w:rsidP="008478E4">
      <w:pPr>
        <w:pStyle w:val="FootnoteText"/>
        <w:rPr>
          <w:lang w:val="hr-HR"/>
        </w:rPr>
      </w:pPr>
      <w:r>
        <w:rPr>
          <w:rStyle w:val="FootnoteReference"/>
        </w:rPr>
        <w:footnoteRef/>
      </w:r>
      <w:r>
        <w:rPr>
          <w:lang w:val="hr-HR"/>
        </w:rPr>
        <w:t>Odnosi se na proizvode iz Priloga I. UFEU uz iznimku proizvoda iz sektora ribarstva i akvakulture.</w:t>
      </w:r>
    </w:p>
  </w:footnote>
  <w:footnote w:id="8">
    <w:p w14:paraId="0A933526" w14:textId="77777777" w:rsidR="008478E4" w:rsidRPr="00885864" w:rsidRDefault="008478E4" w:rsidP="008478E4">
      <w:pPr>
        <w:pStyle w:val="FootnoteText"/>
        <w:jc w:val="both"/>
        <w:rPr>
          <w:lang w:val="hr-HR"/>
        </w:rPr>
      </w:pPr>
      <w:r>
        <w:rPr>
          <w:rStyle w:val="FootnoteReference"/>
        </w:rPr>
        <w:footnoteRef/>
      </w:r>
      <w:r>
        <w:rPr>
          <w:lang w:val="hr-HR"/>
        </w:rPr>
        <w:t>Proizvodi navedeni u Prilogu I. Uredbi br. 1379/2013 Europskog parlamenta i Vijeća od 11. prosinca 2013. o zajedničkom uređenju tržišta proizvodima ribarstva i akvakulture, izmjeni Uredbe Vijeća (EZ) br. 1184/2006 i br. 1224/2009 i stavljanju izvan snage Uredbe Vijeća (EZ) br. 104/2000, SL L 354, 28.12. 2013., str. 1</w:t>
      </w:r>
    </w:p>
  </w:footnote>
  <w:footnote w:id="9">
    <w:p w14:paraId="4C6AB4D1" w14:textId="77777777" w:rsidR="008478E4" w:rsidRPr="00EB166F" w:rsidRDefault="008478E4" w:rsidP="008478E4">
      <w:pPr>
        <w:pStyle w:val="FootnoteText"/>
        <w:jc w:val="both"/>
        <w:rPr>
          <w:rFonts w:asciiTheme="minorHAnsi" w:hAnsiTheme="minorHAnsi" w:cstheme="minorHAnsi"/>
          <w:lang w:val="hr-HR"/>
        </w:rPr>
      </w:pPr>
      <w:r>
        <w:rPr>
          <w:rStyle w:val="FootnoteReference"/>
        </w:rPr>
        <w:footnoteRef/>
      </w:r>
      <w:r w:rsidRPr="00EB166F">
        <w:rPr>
          <w:rFonts w:asciiTheme="minorHAnsi" w:hAnsiTheme="minorHAnsi" w:cstheme="minorHAnsi"/>
          <w:lang w:val="hr-HR"/>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w:t>
      </w:r>
    </w:p>
  </w:footnote>
  <w:footnote w:id="10">
    <w:p w14:paraId="34A790BD" w14:textId="77777777" w:rsidR="008478E4" w:rsidRPr="00B42518" w:rsidRDefault="008478E4" w:rsidP="008478E4">
      <w:pPr>
        <w:pStyle w:val="FootnoteText"/>
        <w:jc w:val="both"/>
        <w:rPr>
          <w:lang w:val="hr-HR"/>
        </w:rPr>
      </w:pPr>
      <w:r>
        <w:rPr>
          <w:rStyle w:val="FootnoteReference"/>
        </w:rPr>
        <w:footnoteRef/>
      </w:r>
      <w:r w:rsidRPr="00B42518">
        <w:rPr>
          <w:rFonts w:asciiTheme="minorHAnsi" w:hAnsiTheme="minorHAnsi" w:cstheme="minorHAnsi"/>
          <w:bCs/>
          <w:lang w:val="hr-HR"/>
        </w:rPr>
        <w:t xml:space="preserve">Uredbe Komisije (EU) br. 1407/2013 od 18. prosinca 2013. o primjeni članaka 107. i 108. Ugovora o funkcioniranju Europske unije na </w:t>
      </w:r>
      <w:r w:rsidRPr="00B42518">
        <w:rPr>
          <w:rFonts w:asciiTheme="minorHAnsi" w:hAnsiTheme="minorHAnsi" w:cstheme="minorHAnsi"/>
          <w:bCs/>
          <w:i/>
          <w:lang w:val="hr-HR"/>
        </w:rPr>
        <w:t>de minimis</w:t>
      </w:r>
      <w:r w:rsidRPr="00B42518">
        <w:rPr>
          <w:rFonts w:asciiTheme="minorHAnsi" w:hAnsiTheme="minorHAnsi" w:cstheme="minorHAnsi"/>
          <w:bCs/>
          <w:lang w:val="hr-HR"/>
        </w:rPr>
        <w:t xml:space="preserve"> potpore (SL L 352, 24. 12. 2013.</w:t>
      </w:r>
      <w:r>
        <w:rPr>
          <w:rFonts w:asciiTheme="minorHAnsi" w:hAnsiTheme="minorHAnsi" w:cstheme="minorHAnsi"/>
          <w:bCs/>
          <w:lang w:val="hr-HR"/>
        </w:rPr>
        <w:t>, str. 1</w:t>
      </w:r>
      <w:r w:rsidRPr="00B42518">
        <w:rPr>
          <w:rFonts w:asciiTheme="minorHAnsi" w:hAnsiTheme="minorHAnsi" w:cstheme="minorHAnsi"/>
          <w:bCs/>
          <w:lang w:val="hr-HR"/>
        </w:rPr>
        <w:t>)</w:t>
      </w:r>
      <w:r>
        <w:rPr>
          <w:rFonts w:asciiTheme="minorHAnsi" w:hAnsiTheme="minorHAnsi" w:cstheme="minorHAnsi"/>
          <w:bCs/>
          <w:lang w:val="hr-HR"/>
        </w:rPr>
        <w:t xml:space="preserve">, Uredba Komisije (EU) br. 1408/2013 od 18. Prosinca 2013. o primjeni članaka 107. i 108. Ugovora o funkcioniranju Europske unije na potpore </w:t>
      </w:r>
      <w:r w:rsidRPr="0060511B">
        <w:rPr>
          <w:rFonts w:asciiTheme="minorHAnsi" w:hAnsiTheme="minorHAnsi" w:cstheme="minorHAnsi"/>
          <w:bCs/>
          <w:i/>
          <w:lang w:val="hr-HR"/>
        </w:rPr>
        <w:t>de minimis</w:t>
      </w:r>
      <w:r>
        <w:rPr>
          <w:rFonts w:asciiTheme="minorHAnsi" w:hAnsiTheme="minorHAnsi" w:cstheme="minorHAnsi"/>
          <w:bCs/>
          <w:lang w:val="hr-HR"/>
        </w:rPr>
        <w:t xml:space="preserve"> u poljoprivrednom sektoru (SL L 352, 24.12.2013., str. 9.), Uredba Komisije (EU) br. 717/2014 od 27. lipnja 2014. o primjeni članaka 107. i 108. Ugovora o funkcioniranju Europske unije na </w:t>
      </w:r>
      <w:r w:rsidRPr="0060511B">
        <w:rPr>
          <w:rFonts w:asciiTheme="minorHAnsi" w:hAnsiTheme="minorHAnsi" w:cstheme="minorHAnsi"/>
          <w:bCs/>
          <w:i/>
          <w:lang w:val="hr-HR"/>
        </w:rPr>
        <w:t>de minimis</w:t>
      </w:r>
      <w:r>
        <w:rPr>
          <w:rFonts w:asciiTheme="minorHAnsi" w:hAnsiTheme="minorHAnsi" w:cstheme="minorHAnsi"/>
          <w:bCs/>
          <w:lang w:val="hr-HR"/>
        </w:rPr>
        <w:t xml:space="preserve"> potpore u sektoru ribarstva i akvakulture (SL L 190, 28.6.2014., str. 45.) i Uredba Komisije (EU) br. 360/2012. o primjeni članaka 107. i 108. Ugovora o funkcioniranju Europske unije na potpore </w:t>
      </w:r>
      <w:r w:rsidRPr="0060511B">
        <w:rPr>
          <w:rFonts w:asciiTheme="minorHAnsi" w:hAnsiTheme="minorHAnsi" w:cstheme="minorHAnsi"/>
          <w:bCs/>
          <w:i/>
          <w:lang w:val="hr-HR"/>
        </w:rPr>
        <w:t>de minimis</w:t>
      </w:r>
      <w:r>
        <w:rPr>
          <w:rFonts w:asciiTheme="minorHAnsi" w:hAnsiTheme="minorHAnsi" w:cstheme="minorHAnsi"/>
          <w:bCs/>
          <w:lang w:val="hr-HR"/>
        </w:rPr>
        <w:t xml:space="preserve"> koje se dodjeljuju poduzetnicima koji pružaju usluge od općeg gospodarskog interesa (SL L 114 od 26.4.2012., str. 8.).</w:t>
      </w:r>
    </w:p>
  </w:footnote>
  <w:footnote w:id="11">
    <w:p w14:paraId="1B688232" w14:textId="77777777" w:rsidR="008478E4" w:rsidRPr="00E34102" w:rsidRDefault="008478E4" w:rsidP="008478E4">
      <w:pPr>
        <w:pStyle w:val="FootnoteText"/>
        <w:jc w:val="both"/>
        <w:rPr>
          <w:lang w:val="hr-HR"/>
        </w:rPr>
      </w:pPr>
      <w:r>
        <w:rPr>
          <w:rStyle w:val="FootnoteReference"/>
        </w:rPr>
        <w:footnoteRef/>
      </w:r>
      <w:r w:rsidRPr="00330CDA">
        <w:rPr>
          <w:rFonts w:asciiTheme="minorHAnsi" w:hAnsiTheme="minorHAnsi" w:cstheme="minorHAnsi"/>
          <w:lang w:val="hr-HR"/>
        </w:rPr>
        <w:t>Uredb</w:t>
      </w:r>
      <w:r>
        <w:rPr>
          <w:rFonts w:asciiTheme="minorHAnsi" w:hAnsiTheme="minorHAnsi" w:cstheme="minorHAnsi"/>
          <w:lang w:val="hr-HR"/>
        </w:rPr>
        <w:t>a</w:t>
      </w:r>
      <w:r w:rsidRPr="00330CDA">
        <w:rPr>
          <w:rFonts w:asciiTheme="minorHAnsi" w:hAnsiTheme="minorHAnsi" w:cstheme="minorHAnsi"/>
          <w:lang w:val="hr-HR"/>
        </w:rPr>
        <w:t xml:space="preserve"> Komisije (EU) br. 651/2014 оd 17. lipnja 2014. o ocjenjivanju određenih kategorija potpora spojivima s unutarnjim tržištem u primjeni članaka 107. i 108. Ugovora</w:t>
      </w:r>
      <w:r>
        <w:rPr>
          <w:rFonts w:asciiTheme="minorHAnsi" w:hAnsiTheme="minorHAnsi" w:cstheme="minorHAnsi"/>
          <w:lang w:val="hr-HR"/>
        </w:rPr>
        <w:t xml:space="preserve"> (Opća uredba o skupnom izuzeću, Uredba Komisije (EZ) br. 702/2014 od 25. lipnja 2014. o proglašenju određenih kategorija potpora u sektoru poljoprivrede i šumarstva te ruralnim područjima spojivima s unutarnjim tržištem u primjeni članaka 107. i 108. Ugovora o funkcioniranju Europske unije, SL L 193, 1.7.2014., str. 1. i Uredba Komisije (EU) br. 1388/2014 od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 12. 2014., str. 37</w:t>
      </w:r>
    </w:p>
  </w:footnote>
  <w:footnote w:id="12">
    <w:p w14:paraId="13578259" w14:textId="77777777" w:rsidR="008478E4" w:rsidRPr="00687F1B" w:rsidRDefault="008478E4" w:rsidP="008478E4">
      <w:pPr>
        <w:pStyle w:val="FootnoteText"/>
        <w:jc w:val="both"/>
        <w:rPr>
          <w:lang w:val="hr-HR"/>
        </w:rPr>
      </w:pPr>
      <w:r>
        <w:rPr>
          <w:rStyle w:val="FootnoteReference"/>
        </w:rPr>
        <w:footnoteRef/>
      </w:r>
      <w:r w:rsidRPr="00687F1B">
        <w:rPr>
          <w:lang w:val="hr-HR"/>
        </w:rPr>
        <w:t xml:space="preserve">Radi se o informacijama propisanim u Prilogu III. Uredbe Komisije (EU) br. 651/2014 </w:t>
      </w:r>
      <w:r w:rsidRPr="00687F1B">
        <w:rPr>
          <w:rFonts w:asciiTheme="minorHAnsi" w:hAnsiTheme="minorHAnsi" w:cstheme="minorHAnsi"/>
          <w:lang w:val="hr-HR"/>
        </w:rPr>
        <w:t>оd 17. lipnja 2014. o ocjenjivanju određenih kategorija potpora spojivima s unutarnjim tržištem u primjeni članaka 107. i 108. Ugovora</w:t>
      </w:r>
      <w:r>
        <w:rPr>
          <w:rFonts w:asciiTheme="minorHAnsi" w:hAnsiTheme="minorHAnsi" w:cstheme="minorHAnsi"/>
          <w:lang w:val="hr-HR"/>
        </w:rPr>
        <w:t>. Za povratne predujmove, jamstva, zajmove, podređene zajmove i druge oblike potpore nominalna vrijednost temeljnog instrumenta navodi se po korisniku. Za porezne olakšice i povoljnije uvjete plaćanja iznos potpore za pojedinačnu potporu može se navesti u rasponima.</w:t>
      </w:r>
    </w:p>
  </w:footnote>
  <w:footnote w:id="13">
    <w:p w14:paraId="1F303D11" w14:textId="77777777" w:rsidR="008478E4" w:rsidRPr="007412CE" w:rsidRDefault="008478E4" w:rsidP="008478E4">
      <w:pPr>
        <w:pStyle w:val="FootnoteText"/>
        <w:jc w:val="both"/>
        <w:rPr>
          <w:spacing w:val="-2"/>
          <w:lang w:val="hr-HR"/>
        </w:rPr>
      </w:pPr>
      <w:r w:rsidRPr="007412CE">
        <w:rPr>
          <w:rStyle w:val="FootnoteReference"/>
          <w:spacing w:val="-2"/>
        </w:rPr>
        <w:footnoteRef/>
      </w:r>
      <w:r w:rsidRPr="007412CE">
        <w:rPr>
          <w:spacing w:val="-2"/>
          <w:lang w:val="hr-HR"/>
        </w:rPr>
        <w:t xml:space="preserve">Stranica za javno pretraživanje baze podataka “Transparentnost državnih potpora” omogućuje pristup relevantnim podacima </w:t>
      </w:r>
      <w:r w:rsidR="007412CE">
        <w:rPr>
          <w:spacing w:val="-2"/>
          <w:lang w:val="hr-HR"/>
        </w:rPr>
        <w:t>i</w:t>
      </w:r>
      <w:r w:rsidRPr="007412CE">
        <w:rPr>
          <w:spacing w:val="-2"/>
          <w:lang w:val="hr-HR"/>
        </w:rPr>
        <w:t xml:space="preserve"> dostupna je na https://webgate.ec.europa.eu/competition/transparency/public?lang=en.</w:t>
      </w:r>
    </w:p>
  </w:footnote>
  <w:footnote w:id="14">
    <w:p w14:paraId="18A37983" w14:textId="77777777" w:rsidR="008478E4" w:rsidRPr="00DF1E20" w:rsidRDefault="008478E4" w:rsidP="008478E4">
      <w:pPr>
        <w:pStyle w:val="FootnoteText"/>
        <w:jc w:val="both"/>
        <w:rPr>
          <w:lang w:val="hr-HR"/>
        </w:rPr>
      </w:pPr>
      <w:r>
        <w:rPr>
          <w:rStyle w:val="FootnoteReference"/>
        </w:rPr>
        <w:footnoteRef/>
      </w:r>
      <w:r>
        <w:rPr>
          <w:lang w:val="hr-HR"/>
        </w:rPr>
        <w:t>SL L 140, 30.4.2004., str. 1-134.</w:t>
      </w:r>
      <w:r w:rsidR="007412CE">
        <w:rPr>
          <w:lang w:val="hr-H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79728"/>
      <w:docPartObj>
        <w:docPartGallery w:val="Page Numbers (Top of Page)"/>
        <w:docPartUnique/>
      </w:docPartObj>
    </w:sdtPr>
    <w:sdtEndPr>
      <w:rPr>
        <w:rFonts w:ascii="Times New Roman" w:hAnsi="Times New Roman" w:cs="Times New Roman"/>
        <w:noProof/>
        <w:sz w:val="24"/>
        <w:szCs w:val="24"/>
      </w:rPr>
    </w:sdtEndPr>
    <w:sdtContent>
      <w:p w14:paraId="158EB920" w14:textId="77777777" w:rsidR="001C07E9" w:rsidRPr="001C07E9" w:rsidRDefault="00D76094" w:rsidP="001C07E9">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50708"/>
      <w:docPartObj>
        <w:docPartGallery w:val="Page Numbers (Top of Page)"/>
        <w:docPartUnique/>
      </w:docPartObj>
    </w:sdtPr>
    <w:sdtEndPr>
      <w:rPr>
        <w:rFonts w:ascii="Times New Roman" w:hAnsi="Times New Roman" w:cs="Times New Roman"/>
        <w:noProof/>
        <w:sz w:val="24"/>
        <w:szCs w:val="24"/>
      </w:rPr>
    </w:sdtEndPr>
    <w:sdtContent>
      <w:p w14:paraId="567E9864" w14:textId="50E10FA0" w:rsidR="001C07E9" w:rsidRPr="001C07E9" w:rsidRDefault="001C07E9" w:rsidP="001C07E9">
        <w:pPr>
          <w:pStyle w:val="Header"/>
          <w:jc w:val="center"/>
          <w:rPr>
            <w:rFonts w:ascii="Times New Roman" w:hAnsi="Times New Roman" w:cs="Times New Roman"/>
            <w:sz w:val="24"/>
            <w:szCs w:val="24"/>
          </w:rPr>
        </w:pPr>
        <w:r w:rsidRPr="001C07E9">
          <w:rPr>
            <w:rFonts w:ascii="Times New Roman" w:hAnsi="Times New Roman" w:cs="Times New Roman"/>
            <w:sz w:val="24"/>
            <w:szCs w:val="24"/>
          </w:rPr>
          <w:fldChar w:fldCharType="begin"/>
        </w:r>
        <w:r w:rsidRPr="001C07E9">
          <w:rPr>
            <w:rFonts w:ascii="Times New Roman" w:hAnsi="Times New Roman" w:cs="Times New Roman"/>
            <w:sz w:val="24"/>
            <w:szCs w:val="24"/>
          </w:rPr>
          <w:instrText xml:space="preserve"> PAGE   \* MERGEFORMAT </w:instrText>
        </w:r>
        <w:r w:rsidRPr="001C07E9">
          <w:rPr>
            <w:rFonts w:ascii="Times New Roman" w:hAnsi="Times New Roman" w:cs="Times New Roman"/>
            <w:sz w:val="24"/>
            <w:szCs w:val="24"/>
          </w:rPr>
          <w:fldChar w:fldCharType="separate"/>
        </w:r>
        <w:r w:rsidR="00D76094">
          <w:rPr>
            <w:rFonts w:ascii="Times New Roman" w:hAnsi="Times New Roman" w:cs="Times New Roman"/>
            <w:noProof/>
            <w:sz w:val="24"/>
            <w:szCs w:val="24"/>
          </w:rPr>
          <w:t>2</w:t>
        </w:r>
        <w:r w:rsidRPr="001C07E9">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DCC6" w14:textId="77777777" w:rsidR="001C07E9" w:rsidRDefault="001C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D92"/>
    <w:multiLevelType w:val="hybridMultilevel"/>
    <w:tmpl w:val="34225976"/>
    <w:lvl w:ilvl="0" w:tplc="F2F8AC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3B7A5E"/>
    <w:multiLevelType w:val="hybridMultilevel"/>
    <w:tmpl w:val="F860161C"/>
    <w:lvl w:ilvl="0" w:tplc="6EC28E3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E6166F"/>
    <w:multiLevelType w:val="hybridMultilevel"/>
    <w:tmpl w:val="9F4C932E"/>
    <w:lvl w:ilvl="0" w:tplc="0809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0D116D69"/>
    <w:multiLevelType w:val="multilevel"/>
    <w:tmpl w:val="79DAFBC4"/>
    <w:lvl w:ilvl="0">
      <w:start w:val="1"/>
      <w:numFmt w:val="decimal"/>
      <w:lvlText w:val="%1)"/>
      <w:lvlJc w:val="left"/>
      <w:pPr>
        <w:ind w:left="928" w:hanging="360"/>
      </w:pPr>
      <w:rPr>
        <w:b w:val="0"/>
      </w:rPr>
    </w:lvl>
    <w:lvl w:ilvl="1">
      <w:start w:val="1"/>
      <w:numFmt w:val="decimal"/>
      <w:lvlText w:val="%2."/>
      <w:lvlJc w:val="left"/>
      <w:pPr>
        <w:ind w:left="28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15:restartNumberingAfterBreak="0">
    <w:nsid w:val="14AD6993"/>
    <w:multiLevelType w:val="hybridMultilevel"/>
    <w:tmpl w:val="076E577C"/>
    <w:lvl w:ilvl="0" w:tplc="96B64346">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6880ED4"/>
    <w:multiLevelType w:val="hybridMultilevel"/>
    <w:tmpl w:val="61F46C78"/>
    <w:lvl w:ilvl="0" w:tplc="B14E89B6">
      <w:start w:val="1"/>
      <w:numFmt w:val="decimal"/>
      <w:lvlText w:val="(%1)"/>
      <w:lvlJc w:val="left"/>
      <w:pPr>
        <w:ind w:left="720" w:hanging="360"/>
      </w:pPr>
      <w:rPr>
        <w:rFonts w:asciiTheme="minorHAnsi" w:hAnsiTheme="minorHAnsi"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2525B2"/>
    <w:multiLevelType w:val="hybridMultilevel"/>
    <w:tmpl w:val="DCB80156"/>
    <w:lvl w:ilvl="0" w:tplc="B9F2FEC2">
      <w:start w:val="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1F5236D7"/>
    <w:multiLevelType w:val="hybridMultilevel"/>
    <w:tmpl w:val="79A64F3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5058F"/>
    <w:multiLevelType w:val="hybridMultilevel"/>
    <w:tmpl w:val="B1F6A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C5924"/>
    <w:multiLevelType w:val="hybridMultilevel"/>
    <w:tmpl w:val="E9589C04"/>
    <w:lvl w:ilvl="0" w:tplc="041A001B">
      <w:start w:val="1"/>
      <w:numFmt w:val="lowerRoman"/>
      <w:lvlText w:val="%1."/>
      <w:lvlJc w:val="right"/>
      <w:pPr>
        <w:ind w:left="1287" w:hanging="360"/>
      </w:pPr>
    </w:lvl>
    <w:lvl w:ilvl="1" w:tplc="D5F8092A">
      <w:start w:val="1"/>
      <w:numFmt w:val="decimal"/>
      <w:lvlText w:val="%2)"/>
      <w:lvlJc w:val="left"/>
      <w:pPr>
        <w:ind w:left="2007"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2DB35B17"/>
    <w:multiLevelType w:val="hybridMultilevel"/>
    <w:tmpl w:val="219CDB68"/>
    <w:lvl w:ilvl="0" w:tplc="94E46D6C">
      <w:start w:val="1"/>
      <w:numFmt w:val="decimal"/>
      <w:lvlText w:val="(%1)"/>
      <w:lvlJc w:val="left"/>
      <w:pPr>
        <w:ind w:left="720" w:hanging="360"/>
      </w:pPr>
      <w:rPr>
        <w:rFonts w:eastAsiaTheme="minorHAnsi"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A53FA"/>
    <w:multiLevelType w:val="hybridMultilevel"/>
    <w:tmpl w:val="641C20AE"/>
    <w:lvl w:ilvl="0" w:tplc="041A001B">
      <w:start w:val="1"/>
      <w:numFmt w:val="lowerRoman"/>
      <w:lvlText w:val="%1."/>
      <w:lvlJc w:val="right"/>
      <w:pPr>
        <w:ind w:left="1996" w:hanging="360"/>
      </w:pPr>
    </w:lvl>
    <w:lvl w:ilvl="1" w:tplc="CDB6342E">
      <w:start w:val="1"/>
      <w:numFmt w:val="decimal"/>
      <w:lvlText w:val="%2)"/>
      <w:lvlJc w:val="left"/>
      <w:pPr>
        <w:ind w:left="2716" w:hanging="360"/>
      </w:pPr>
      <w:rPr>
        <w:rFonts w:hint="default"/>
      </w:rPr>
    </w:lvl>
    <w:lvl w:ilvl="2" w:tplc="041A001B">
      <w:start w:val="1"/>
      <w:numFmt w:val="lowerRoman"/>
      <w:lvlText w:val="%3."/>
      <w:lvlJc w:val="right"/>
      <w:pPr>
        <w:ind w:left="3436" w:hanging="180"/>
      </w:pPr>
    </w:lvl>
    <w:lvl w:ilvl="3" w:tplc="8FB0D8E0">
      <w:start w:val="1"/>
      <w:numFmt w:val="lowerLetter"/>
      <w:lvlText w:val="%4)"/>
      <w:lvlJc w:val="left"/>
      <w:pPr>
        <w:ind w:left="4156" w:hanging="360"/>
      </w:pPr>
      <w:rPr>
        <w:rFonts w:hint="default"/>
      </w:rPr>
    </w:lvl>
    <w:lvl w:ilvl="4" w:tplc="0C80D9DE">
      <w:start w:val="1"/>
      <w:numFmt w:val="decimal"/>
      <w:lvlText w:val="(%5)"/>
      <w:lvlJc w:val="left"/>
      <w:pPr>
        <w:ind w:left="4876" w:hanging="360"/>
      </w:pPr>
      <w:rPr>
        <w:rFonts w:hint="default"/>
      </w:r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2" w15:restartNumberingAfterBreak="0">
    <w:nsid w:val="39C86592"/>
    <w:multiLevelType w:val="hybridMultilevel"/>
    <w:tmpl w:val="1DA21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380"/>
    <w:multiLevelType w:val="hybridMultilevel"/>
    <w:tmpl w:val="8D4E5246"/>
    <w:lvl w:ilvl="0" w:tplc="0809001B">
      <w:start w:val="1"/>
      <w:numFmt w:val="lowerRoman"/>
      <w:lvlText w:val="%1."/>
      <w:lvlJc w:val="right"/>
      <w:pPr>
        <w:ind w:left="2138" w:hanging="360"/>
      </w:pPr>
    </w:lvl>
    <w:lvl w:ilvl="1" w:tplc="041A0019" w:tentative="1">
      <w:start w:val="1"/>
      <w:numFmt w:val="lowerLetter"/>
      <w:lvlText w:val="%2."/>
      <w:lvlJc w:val="left"/>
      <w:pPr>
        <w:ind w:left="2858" w:hanging="360"/>
      </w:pPr>
    </w:lvl>
    <w:lvl w:ilvl="2" w:tplc="041A001B">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4" w15:restartNumberingAfterBreak="0">
    <w:nsid w:val="453E22B5"/>
    <w:multiLevelType w:val="hybridMultilevel"/>
    <w:tmpl w:val="69288A98"/>
    <w:lvl w:ilvl="0" w:tplc="0809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BA427DA"/>
    <w:multiLevelType w:val="hybridMultilevel"/>
    <w:tmpl w:val="8326E3FC"/>
    <w:lvl w:ilvl="0" w:tplc="E640E4A8">
      <w:start w:val="1"/>
      <w:numFmt w:val="decimal"/>
      <w:lvlText w:val="(%1)"/>
      <w:lvlJc w:val="left"/>
      <w:pPr>
        <w:ind w:left="426" w:hanging="360"/>
      </w:pPr>
      <w:rPr>
        <w:rFonts w:hint="default"/>
        <w:b w:val="0"/>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16" w15:restartNumberingAfterBreak="0">
    <w:nsid w:val="511A1AA4"/>
    <w:multiLevelType w:val="multilevel"/>
    <w:tmpl w:val="0E2AD704"/>
    <w:lvl w:ilvl="0">
      <w:start w:val="1"/>
      <w:numFmt w:val="decimal"/>
      <w:lvlText w:val="%1)"/>
      <w:lvlJc w:val="left"/>
      <w:pPr>
        <w:ind w:left="786" w:hanging="360"/>
      </w:pPr>
      <w:rPr>
        <w:rFonts w:asciiTheme="minorHAnsi" w:eastAsia="Calibri" w:hAnsiTheme="minorHAnsi" w:cstheme="minorHAnsi"/>
        <w:b w:val="0"/>
        <w:u w:val="none"/>
      </w:rPr>
    </w:lvl>
    <w:lvl w:ilvl="1">
      <w:start w:val="1"/>
      <w:numFmt w:val="lowerLetter"/>
      <w:lvlText w:val="%2)"/>
      <w:lvlJc w:val="left"/>
      <w:pPr>
        <w:ind w:left="1070" w:hanging="360"/>
      </w:pPr>
    </w:lvl>
    <w:lvl w:ilvl="2">
      <w:start w:val="1"/>
      <w:numFmt w:val="decimal"/>
      <w:lvlText w:val="(%3)"/>
      <w:lvlJc w:val="left"/>
      <w:pPr>
        <w:ind w:left="2487" w:hanging="360"/>
      </w:pPr>
      <w:rPr>
        <w:rFonts w:hint="default"/>
        <w:b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66F3592"/>
    <w:multiLevelType w:val="hybridMultilevel"/>
    <w:tmpl w:val="E5881B5A"/>
    <w:lvl w:ilvl="0" w:tplc="C1EACB08">
      <w:start w:val="1"/>
      <w:numFmt w:val="decimal"/>
      <w:lvlText w:val="%1)"/>
      <w:lvlJc w:val="left"/>
      <w:pPr>
        <w:ind w:left="1440" w:hanging="360"/>
      </w:pPr>
      <w:rPr>
        <w:rFonts w:asciiTheme="minorHAnsi" w:eastAsiaTheme="minorHAnsi" w:hAnsiTheme="minorHAnsi" w:cstheme="minorBidi"/>
        <w:b w:val="0"/>
        <w:color w:val="00000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98921C6"/>
    <w:multiLevelType w:val="hybridMultilevel"/>
    <w:tmpl w:val="03BCA17A"/>
    <w:lvl w:ilvl="0" w:tplc="59C697A4">
      <w:start w:val="1"/>
      <w:numFmt w:val="decimal"/>
      <w:lvlText w:val="(%1)"/>
      <w:lvlJc w:val="left"/>
      <w:pPr>
        <w:ind w:left="928" w:hanging="360"/>
      </w:pPr>
      <w:rPr>
        <w:rFonts w:asciiTheme="minorHAnsi" w:eastAsiaTheme="minorHAnsi" w:hAnsiTheme="minorHAnsi" w:cstheme="minorHAnsi"/>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0BE2C5F"/>
    <w:multiLevelType w:val="hybridMultilevel"/>
    <w:tmpl w:val="CC7EA53C"/>
    <w:lvl w:ilvl="0" w:tplc="96B64346">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491C5A"/>
    <w:multiLevelType w:val="hybridMultilevel"/>
    <w:tmpl w:val="73446A1A"/>
    <w:lvl w:ilvl="0" w:tplc="08090011">
      <w:start w:val="1"/>
      <w:numFmt w:val="decimal"/>
      <w:lvlText w:val="%1)"/>
      <w:lvlJc w:val="left"/>
      <w:pPr>
        <w:ind w:left="1287" w:hanging="360"/>
      </w:pPr>
    </w:lvl>
    <w:lvl w:ilvl="1" w:tplc="08090011">
      <w:start w:val="1"/>
      <w:numFmt w:val="decimal"/>
      <w:lvlText w:val="%2)"/>
      <w:lvlJc w:val="left"/>
      <w:pPr>
        <w:ind w:left="2007" w:hanging="360"/>
      </w:pPr>
    </w:lvl>
    <w:lvl w:ilvl="2" w:tplc="C68201C8">
      <w:start w:val="1"/>
      <w:numFmt w:val="lowerRoman"/>
      <w:lvlText w:val="%3."/>
      <w:lvlJc w:val="left"/>
      <w:pPr>
        <w:ind w:left="3267" w:hanging="72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15:restartNumberingAfterBreak="0">
    <w:nsid w:val="7C1A47E9"/>
    <w:multiLevelType w:val="hybridMultilevel"/>
    <w:tmpl w:val="F8B4C23C"/>
    <w:lvl w:ilvl="0" w:tplc="04090011">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3"/>
  </w:num>
  <w:num w:numId="5">
    <w:abstractNumId w:val="9"/>
  </w:num>
  <w:num w:numId="6">
    <w:abstractNumId w:val="11"/>
  </w:num>
  <w:num w:numId="7">
    <w:abstractNumId w:val="16"/>
  </w:num>
  <w:num w:numId="8">
    <w:abstractNumId w:val="0"/>
  </w:num>
  <w:num w:numId="9">
    <w:abstractNumId w:val="15"/>
  </w:num>
  <w:num w:numId="10">
    <w:abstractNumId w:val="4"/>
  </w:num>
  <w:num w:numId="11">
    <w:abstractNumId w:val="18"/>
  </w:num>
  <w:num w:numId="12">
    <w:abstractNumId w:val="10"/>
  </w:num>
  <w:num w:numId="13">
    <w:abstractNumId w:val="1"/>
  </w:num>
  <w:num w:numId="14">
    <w:abstractNumId w:val="20"/>
  </w:num>
  <w:num w:numId="15">
    <w:abstractNumId w:val="13"/>
  </w:num>
  <w:num w:numId="16">
    <w:abstractNumId w:val="2"/>
  </w:num>
  <w:num w:numId="17">
    <w:abstractNumId w:val="14"/>
  </w:num>
  <w:num w:numId="18">
    <w:abstractNumId w:val="19"/>
  </w:num>
  <w:num w:numId="19">
    <w:abstractNumId w:val="8"/>
  </w:num>
  <w:num w:numId="20">
    <w:abstractNumId w:val="2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C"/>
    <w:rsid w:val="00000894"/>
    <w:rsid w:val="00001B1F"/>
    <w:rsid w:val="000209FE"/>
    <w:rsid w:val="0002110E"/>
    <w:rsid w:val="0003649B"/>
    <w:rsid w:val="000377F2"/>
    <w:rsid w:val="00053E05"/>
    <w:rsid w:val="00063BA0"/>
    <w:rsid w:val="00067D38"/>
    <w:rsid w:val="00075F9A"/>
    <w:rsid w:val="00081C56"/>
    <w:rsid w:val="0009350C"/>
    <w:rsid w:val="000C1FDC"/>
    <w:rsid w:val="000D0F10"/>
    <w:rsid w:val="000D7C0B"/>
    <w:rsid w:val="00123171"/>
    <w:rsid w:val="00131CCC"/>
    <w:rsid w:val="00136E0B"/>
    <w:rsid w:val="00190350"/>
    <w:rsid w:val="00194B86"/>
    <w:rsid w:val="001A0CBB"/>
    <w:rsid w:val="001B7B2B"/>
    <w:rsid w:val="001C07E9"/>
    <w:rsid w:val="001C335E"/>
    <w:rsid w:val="001C76EE"/>
    <w:rsid w:val="001F1843"/>
    <w:rsid w:val="001F588A"/>
    <w:rsid w:val="00261A26"/>
    <w:rsid w:val="00266A3A"/>
    <w:rsid w:val="00292619"/>
    <w:rsid w:val="00293EBE"/>
    <w:rsid w:val="00295A0C"/>
    <w:rsid w:val="002A1E2B"/>
    <w:rsid w:val="002E2C8F"/>
    <w:rsid w:val="002E513F"/>
    <w:rsid w:val="002F6B2F"/>
    <w:rsid w:val="00300782"/>
    <w:rsid w:val="003364D0"/>
    <w:rsid w:val="00347694"/>
    <w:rsid w:val="00380DBB"/>
    <w:rsid w:val="003A0657"/>
    <w:rsid w:val="003B4F89"/>
    <w:rsid w:val="003C7997"/>
    <w:rsid w:val="003D46B0"/>
    <w:rsid w:val="00401BAD"/>
    <w:rsid w:val="00416DDE"/>
    <w:rsid w:val="00420C67"/>
    <w:rsid w:val="00441444"/>
    <w:rsid w:val="00454BB2"/>
    <w:rsid w:val="004554D8"/>
    <w:rsid w:val="004749B3"/>
    <w:rsid w:val="00476928"/>
    <w:rsid w:val="00486145"/>
    <w:rsid w:val="0049755B"/>
    <w:rsid w:val="004A63CF"/>
    <w:rsid w:val="004B64BF"/>
    <w:rsid w:val="004B6BB9"/>
    <w:rsid w:val="004C32D4"/>
    <w:rsid w:val="004D0C7D"/>
    <w:rsid w:val="004D55A9"/>
    <w:rsid w:val="004D7B98"/>
    <w:rsid w:val="004E19E7"/>
    <w:rsid w:val="004E3B46"/>
    <w:rsid w:val="004F05D5"/>
    <w:rsid w:val="004F739B"/>
    <w:rsid w:val="00534EC7"/>
    <w:rsid w:val="005361B7"/>
    <w:rsid w:val="005472C7"/>
    <w:rsid w:val="005524D1"/>
    <w:rsid w:val="005765A0"/>
    <w:rsid w:val="0057792F"/>
    <w:rsid w:val="0058372B"/>
    <w:rsid w:val="005A5960"/>
    <w:rsid w:val="005B6053"/>
    <w:rsid w:val="005C79F6"/>
    <w:rsid w:val="005E030C"/>
    <w:rsid w:val="00655789"/>
    <w:rsid w:val="0068318A"/>
    <w:rsid w:val="00695148"/>
    <w:rsid w:val="006E4B46"/>
    <w:rsid w:val="006E6101"/>
    <w:rsid w:val="006E755A"/>
    <w:rsid w:val="006F26A3"/>
    <w:rsid w:val="0070510C"/>
    <w:rsid w:val="007208F7"/>
    <w:rsid w:val="007213BA"/>
    <w:rsid w:val="007412CE"/>
    <w:rsid w:val="00746A73"/>
    <w:rsid w:val="0075320C"/>
    <w:rsid w:val="00756CCE"/>
    <w:rsid w:val="00765C8C"/>
    <w:rsid w:val="00767552"/>
    <w:rsid w:val="00785A19"/>
    <w:rsid w:val="00793500"/>
    <w:rsid w:val="007D25F1"/>
    <w:rsid w:val="007F7ED5"/>
    <w:rsid w:val="00802DCD"/>
    <w:rsid w:val="00805D5B"/>
    <w:rsid w:val="00811882"/>
    <w:rsid w:val="008269F0"/>
    <w:rsid w:val="00827EA9"/>
    <w:rsid w:val="00831EDA"/>
    <w:rsid w:val="0083436F"/>
    <w:rsid w:val="00840CF9"/>
    <w:rsid w:val="008478E4"/>
    <w:rsid w:val="00853CB0"/>
    <w:rsid w:val="008722EF"/>
    <w:rsid w:val="00877AB2"/>
    <w:rsid w:val="00886208"/>
    <w:rsid w:val="00886875"/>
    <w:rsid w:val="0089172D"/>
    <w:rsid w:val="00895A13"/>
    <w:rsid w:val="008A6DFD"/>
    <w:rsid w:val="008D2CD8"/>
    <w:rsid w:val="008D4DFC"/>
    <w:rsid w:val="008D68A0"/>
    <w:rsid w:val="0090024C"/>
    <w:rsid w:val="00901ECD"/>
    <w:rsid w:val="00910735"/>
    <w:rsid w:val="00941E4B"/>
    <w:rsid w:val="0094612F"/>
    <w:rsid w:val="00947B54"/>
    <w:rsid w:val="00950113"/>
    <w:rsid w:val="009523A7"/>
    <w:rsid w:val="00961A61"/>
    <w:rsid w:val="00996B8B"/>
    <w:rsid w:val="009B0E1C"/>
    <w:rsid w:val="009B57BB"/>
    <w:rsid w:val="009B586B"/>
    <w:rsid w:val="009C19F3"/>
    <w:rsid w:val="009D6514"/>
    <w:rsid w:val="009D6676"/>
    <w:rsid w:val="009F202D"/>
    <w:rsid w:val="009F4168"/>
    <w:rsid w:val="009F7195"/>
    <w:rsid w:val="00A01EBC"/>
    <w:rsid w:val="00A063EA"/>
    <w:rsid w:val="00A21079"/>
    <w:rsid w:val="00A4148C"/>
    <w:rsid w:val="00A47091"/>
    <w:rsid w:val="00A47A35"/>
    <w:rsid w:val="00AC71A5"/>
    <w:rsid w:val="00AE0BC1"/>
    <w:rsid w:val="00B12D59"/>
    <w:rsid w:val="00B25258"/>
    <w:rsid w:val="00B27B20"/>
    <w:rsid w:val="00B33056"/>
    <w:rsid w:val="00B536C2"/>
    <w:rsid w:val="00B81BBB"/>
    <w:rsid w:val="00BC1DF8"/>
    <w:rsid w:val="00BC715E"/>
    <w:rsid w:val="00BE7751"/>
    <w:rsid w:val="00BF2E10"/>
    <w:rsid w:val="00C12932"/>
    <w:rsid w:val="00C12C79"/>
    <w:rsid w:val="00C32987"/>
    <w:rsid w:val="00C47416"/>
    <w:rsid w:val="00C548F5"/>
    <w:rsid w:val="00C720B0"/>
    <w:rsid w:val="00C722C3"/>
    <w:rsid w:val="00C86A0E"/>
    <w:rsid w:val="00CC434A"/>
    <w:rsid w:val="00CC7107"/>
    <w:rsid w:val="00CF74EB"/>
    <w:rsid w:val="00D078C5"/>
    <w:rsid w:val="00D27342"/>
    <w:rsid w:val="00D27FA8"/>
    <w:rsid w:val="00D3110E"/>
    <w:rsid w:val="00D31F96"/>
    <w:rsid w:val="00D55B78"/>
    <w:rsid w:val="00D566FA"/>
    <w:rsid w:val="00D76094"/>
    <w:rsid w:val="00D9371D"/>
    <w:rsid w:val="00DA2C67"/>
    <w:rsid w:val="00DD3C2E"/>
    <w:rsid w:val="00DE4436"/>
    <w:rsid w:val="00DE5B25"/>
    <w:rsid w:val="00DE7F0D"/>
    <w:rsid w:val="00E35800"/>
    <w:rsid w:val="00E40A74"/>
    <w:rsid w:val="00E51B3E"/>
    <w:rsid w:val="00E555A1"/>
    <w:rsid w:val="00EC52F5"/>
    <w:rsid w:val="00EE24B5"/>
    <w:rsid w:val="00EE6195"/>
    <w:rsid w:val="00F03779"/>
    <w:rsid w:val="00F22A0C"/>
    <w:rsid w:val="00F249DE"/>
    <w:rsid w:val="00F47725"/>
    <w:rsid w:val="00F74143"/>
    <w:rsid w:val="00F75FF3"/>
    <w:rsid w:val="00F96022"/>
    <w:rsid w:val="00FC76F6"/>
    <w:rsid w:val="00FD1F3D"/>
    <w:rsid w:val="00FE3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3BDAE"/>
  <w15:docId w15:val="{E7E1F443-53CB-422A-BC4E-39799B60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60"/>
    <w:rPr>
      <w:rFonts w:ascii="Tahoma" w:hAnsi="Tahoma" w:cs="Tahoma"/>
      <w:sz w:val="16"/>
      <w:szCs w:val="16"/>
    </w:rPr>
  </w:style>
  <w:style w:type="paragraph" w:styleId="Header">
    <w:name w:val="header"/>
    <w:basedOn w:val="Normal"/>
    <w:link w:val="HeaderChar"/>
    <w:uiPriority w:val="99"/>
    <w:unhideWhenUsed/>
    <w:rsid w:val="004D7B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7B98"/>
  </w:style>
  <w:style w:type="paragraph" w:styleId="Footer">
    <w:name w:val="footer"/>
    <w:basedOn w:val="Normal"/>
    <w:link w:val="FooterChar"/>
    <w:uiPriority w:val="99"/>
    <w:unhideWhenUsed/>
    <w:rsid w:val="004D7B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7B98"/>
  </w:style>
  <w:style w:type="character" w:styleId="Hyperlink">
    <w:name w:val="Hyperlink"/>
    <w:basedOn w:val="DefaultParagraphFont"/>
    <w:uiPriority w:val="99"/>
    <w:semiHidden/>
    <w:unhideWhenUsed/>
    <w:rsid w:val="009C19F3"/>
    <w:rPr>
      <w:color w:val="0000FF"/>
      <w:u w:val="single"/>
    </w:rPr>
  </w:style>
  <w:style w:type="character" w:customStyle="1" w:styleId="naziv13">
    <w:name w:val="naziv13"/>
    <w:basedOn w:val="DefaultParagraphFont"/>
    <w:rsid w:val="00EE24B5"/>
    <w:rPr>
      <w:b/>
      <w:bCs/>
      <w:sz w:val="23"/>
      <w:szCs w:val="23"/>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
    <w:basedOn w:val="Normal"/>
    <w:link w:val="ListParagraphChar"/>
    <w:uiPriority w:val="99"/>
    <w:qFormat/>
    <w:rsid w:val="008478E4"/>
    <w:pPr>
      <w:spacing w:after="0" w:line="240" w:lineRule="auto"/>
      <w:ind w:left="720"/>
      <w:contextualSpacing/>
    </w:pPr>
    <w:rPr>
      <w:rFonts w:ascii="Times New Roman" w:eastAsia="Times New Roman" w:hAnsi="Times New Roman" w:cs="Times New Roman"/>
      <w:sz w:val="24"/>
      <w:szCs w:val="24"/>
      <w:lang w:val="it-IT" w:eastAsia="it-IT"/>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basedOn w:val="DefaultParagraphFont"/>
    <w:link w:val="ListParagraph"/>
    <w:uiPriority w:val="99"/>
    <w:qFormat/>
    <w:locked/>
    <w:rsid w:val="008478E4"/>
    <w:rPr>
      <w:rFonts w:ascii="Times New Roman" w:eastAsia="Times New Roman" w:hAnsi="Times New Roman" w:cs="Times New Roman"/>
      <w:sz w:val="24"/>
      <w:szCs w:val="24"/>
      <w:lang w:val="it-IT" w:eastAsia="it-IT"/>
    </w:rPr>
  </w:style>
  <w:style w:type="character" w:customStyle="1" w:styleId="Bodytext285pt">
    <w:name w:val="Body text (2) + 8;5 pt"/>
    <w:basedOn w:val="DefaultParagraphFont"/>
    <w:rsid w:val="008478E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ListParagraph1">
    <w:name w:val="List Paragraph1"/>
    <w:basedOn w:val="Normal"/>
    <w:qFormat/>
    <w:rsid w:val="008478E4"/>
    <w:pPr>
      <w:ind w:left="720"/>
      <w:contextualSpacing/>
    </w:pPr>
    <w:rPr>
      <w:rFonts w:ascii="Calibri" w:eastAsia="Calibri" w:hAnsi="Calibri" w:cs="Times New Roman"/>
      <w:lang w:val="en-US"/>
    </w:rPr>
  </w:style>
  <w:style w:type="paragraph" w:customStyle="1" w:styleId="ListParagraph3">
    <w:name w:val="List Paragraph3"/>
    <w:basedOn w:val="Normal"/>
    <w:qFormat/>
    <w:rsid w:val="008478E4"/>
    <w:pPr>
      <w:ind w:left="720"/>
      <w:contextualSpacing/>
    </w:pPr>
    <w:rPr>
      <w:rFonts w:ascii="Calibri" w:eastAsia="Calibri" w:hAnsi="Calibri" w:cs="Times New Roman"/>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478E4"/>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478E4"/>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8478E4"/>
    <w:rPr>
      <w:vertAlign w:val="superscript"/>
    </w:rPr>
  </w:style>
  <w:style w:type="paragraph" w:customStyle="1" w:styleId="Char2">
    <w:name w:val="Char2"/>
    <w:basedOn w:val="Normal"/>
    <w:link w:val="FootnoteReference"/>
    <w:uiPriority w:val="99"/>
    <w:rsid w:val="008478E4"/>
    <w:pPr>
      <w:spacing w:after="160" w:line="240" w:lineRule="exact"/>
    </w:pPr>
    <w:rPr>
      <w:vertAlign w:val="superscript"/>
    </w:rPr>
  </w:style>
  <w:style w:type="paragraph" w:customStyle="1" w:styleId="ListParagraph2">
    <w:name w:val="List Paragraph2"/>
    <w:basedOn w:val="Normal"/>
    <w:qFormat/>
    <w:rsid w:val="008478E4"/>
    <w:pPr>
      <w:ind w:left="720"/>
      <w:contextualSpacing/>
    </w:pPr>
    <w:rPr>
      <w:rFonts w:ascii="Calibri" w:eastAsia="Calibri" w:hAnsi="Calibri" w:cs="Times New Roman"/>
      <w:lang w:val="en-US"/>
    </w:rPr>
  </w:style>
  <w:style w:type="table" w:styleId="TableGrid">
    <w:name w:val="Table Grid"/>
    <w:basedOn w:val="TableNormal"/>
    <w:rsid w:val="008917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3758">
      <w:bodyDiv w:val="1"/>
      <w:marLeft w:val="0"/>
      <w:marRight w:val="0"/>
      <w:marTop w:val="0"/>
      <w:marBottom w:val="0"/>
      <w:divBdr>
        <w:top w:val="none" w:sz="0" w:space="0" w:color="auto"/>
        <w:left w:val="none" w:sz="0" w:space="0" w:color="auto"/>
        <w:bottom w:val="none" w:sz="0" w:space="0" w:color="auto"/>
        <w:right w:val="none" w:sz="0" w:space="0" w:color="auto"/>
      </w:divBdr>
      <w:divsChild>
        <w:div w:id="226234018">
          <w:marLeft w:val="0"/>
          <w:marRight w:val="0"/>
          <w:marTop w:val="0"/>
          <w:marBottom w:val="0"/>
          <w:divBdr>
            <w:top w:val="none" w:sz="0" w:space="0" w:color="auto"/>
            <w:left w:val="none" w:sz="0" w:space="0" w:color="auto"/>
            <w:bottom w:val="none" w:sz="0" w:space="0" w:color="auto"/>
            <w:right w:val="none" w:sz="0" w:space="0" w:color="auto"/>
          </w:divBdr>
          <w:divsChild>
            <w:div w:id="1881433476">
              <w:marLeft w:val="0"/>
              <w:marRight w:val="0"/>
              <w:marTop w:val="0"/>
              <w:marBottom w:val="0"/>
              <w:divBdr>
                <w:top w:val="none" w:sz="0" w:space="0" w:color="auto"/>
                <w:left w:val="none" w:sz="0" w:space="0" w:color="auto"/>
                <w:bottom w:val="none" w:sz="0" w:space="0" w:color="auto"/>
                <w:right w:val="none" w:sz="0" w:space="0" w:color="auto"/>
              </w:divBdr>
              <w:divsChild>
                <w:div w:id="1115714227">
                  <w:marLeft w:val="0"/>
                  <w:marRight w:val="0"/>
                  <w:marTop w:val="0"/>
                  <w:marBottom w:val="0"/>
                  <w:divBdr>
                    <w:top w:val="none" w:sz="0" w:space="0" w:color="auto"/>
                    <w:left w:val="none" w:sz="0" w:space="0" w:color="auto"/>
                    <w:bottom w:val="none" w:sz="0" w:space="0" w:color="auto"/>
                    <w:right w:val="none" w:sz="0" w:space="0" w:color="auto"/>
                  </w:divBdr>
                  <w:divsChild>
                    <w:div w:id="138614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5D29-AD07-4F78-ABFA-E63702CF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5108</Words>
  <Characters>29117</Characters>
  <Application>Microsoft Office Word</Application>
  <DocSecurity>0</DocSecurity>
  <Lines>242</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Marija Pišonić</cp:lastModifiedBy>
  <cp:revision>15</cp:revision>
  <cp:lastPrinted>2020-07-02T08:41:00Z</cp:lastPrinted>
  <dcterms:created xsi:type="dcterms:W3CDTF">2020-07-02T07:37:00Z</dcterms:created>
  <dcterms:modified xsi:type="dcterms:W3CDTF">2020-07-02T10:50:00Z</dcterms:modified>
</cp:coreProperties>
</file>