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C58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F28225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1BA29F8" w14:textId="77777777" w:rsidR="00CD3EFA" w:rsidRDefault="00CD3EFA"/>
    <w:p w14:paraId="5DE8B1B6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14771">
        <w:t>12</w:t>
      </w:r>
      <w:r w:rsidR="009745AF">
        <w:t>. studenoga</w:t>
      </w:r>
      <w:r w:rsidR="00114AC3">
        <w:t xml:space="preserve"> </w:t>
      </w:r>
      <w:r w:rsidRPr="003A2F05">
        <w:t>20</w:t>
      </w:r>
      <w:r w:rsidR="001A66C5">
        <w:t>20</w:t>
      </w:r>
      <w:r w:rsidRPr="003A2F05">
        <w:t>.</w:t>
      </w:r>
    </w:p>
    <w:p w14:paraId="42F669D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46211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9AC578" w14:textId="77777777" w:rsidTr="000350D9">
        <w:tc>
          <w:tcPr>
            <w:tcW w:w="1951" w:type="dxa"/>
          </w:tcPr>
          <w:p w14:paraId="5771132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7F7984F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C96845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55F6E6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C64448C" w14:textId="77777777" w:rsidTr="000350D9">
        <w:tc>
          <w:tcPr>
            <w:tcW w:w="1951" w:type="dxa"/>
          </w:tcPr>
          <w:p w14:paraId="591AF76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A91F4AB" w14:textId="77777777" w:rsidR="000350D9" w:rsidRDefault="004B6EDB" w:rsidP="00E4407D">
            <w:pPr>
              <w:spacing w:line="360" w:lineRule="auto"/>
            </w:pPr>
            <w:r w:rsidRPr="004B6EDB">
              <w:t xml:space="preserve">Prijedlog odluke o davanju suglasnosti na davanje u potkoncesiju dijela pomorskog </w:t>
            </w:r>
            <w:r w:rsidR="00E4407D">
              <w:t>dobra u luci posebne namjene – b</w:t>
            </w:r>
            <w:r w:rsidRPr="004B6EDB">
              <w:t xml:space="preserve">rodogradilištu </w:t>
            </w:r>
            <w:r w:rsidR="00E4407D">
              <w:t>Brodotrogir d.d. Trogir</w:t>
            </w:r>
          </w:p>
        </w:tc>
      </w:tr>
    </w:tbl>
    <w:p w14:paraId="3DA695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AC57675" w14:textId="77777777" w:rsidR="00CE78D1" w:rsidRDefault="00CE78D1" w:rsidP="008F0DD4"/>
    <w:p w14:paraId="445E2D9C" w14:textId="77777777" w:rsidR="00CE78D1" w:rsidRPr="00CE78D1" w:rsidRDefault="00CE78D1" w:rsidP="00CE78D1"/>
    <w:p w14:paraId="6C08A1F8" w14:textId="77777777" w:rsidR="00CE78D1" w:rsidRPr="00CE78D1" w:rsidRDefault="00CE78D1" w:rsidP="00CE78D1"/>
    <w:p w14:paraId="223AA14E" w14:textId="77777777" w:rsidR="00CE78D1" w:rsidRPr="00CE78D1" w:rsidRDefault="00CE78D1" w:rsidP="00CE78D1"/>
    <w:p w14:paraId="3E4AEAB4" w14:textId="77777777" w:rsidR="00CE78D1" w:rsidRPr="00CE78D1" w:rsidRDefault="00CE78D1" w:rsidP="00CE78D1"/>
    <w:p w14:paraId="5B1ACC29" w14:textId="77777777" w:rsidR="00CE78D1" w:rsidRPr="00CE78D1" w:rsidRDefault="00CE78D1" w:rsidP="00CE78D1"/>
    <w:p w14:paraId="2E1739C1" w14:textId="77777777" w:rsidR="00CE78D1" w:rsidRPr="00CE78D1" w:rsidRDefault="00CE78D1" w:rsidP="00CE78D1"/>
    <w:p w14:paraId="4C0F7A6D" w14:textId="77777777" w:rsidR="00CE78D1" w:rsidRPr="00CE78D1" w:rsidRDefault="00CE78D1" w:rsidP="00CE78D1"/>
    <w:p w14:paraId="08D89539" w14:textId="77777777" w:rsidR="00CE78D1" w:rsidRPr="00CE78D1" w:rsidRDefault="00CE78D1" w:rsidP="00CE78D1"/>
    <w:p w14:paraId="77E15537" w14:textId="77777777" w:rsidR="00CE78D1" w:rsidRPr="00CE78D1" w:rsidRDefault="00CE78D1" w:rsidP="00CE78D1"/>
    <w:p w14:paraId="1A8F10F3" w14:textId="77777777" w:rsidR="00CE78D1" w:rsidRPr="00CE78D1" w:rsidRDefault="00CE78D1" w:rsidP="00CE78D1"/>
    <w:p w14:paraId="7D89F864" w14:textId="77777777" w:rsidR="00CE78D1" w:rsidRPr="00CE78D1" w:rsidRDefault="00CE78D1" w:rsidP="00CE78D1"/>
    <w:p w14:paraId="310B046C" w14:textId="67CDDE19" w:rsidR="00CE78D1" w:rsidRDefault="00CE78D1" w:rsidP="00CE78D1"/>
    <w:p w14:paraId="0EB572E3" w14:textId="77777777" w:rsidR="00CE78D1" w:rsidRDefault="00CE78D1" w:rsidP="00CE78D1">
      <w:bookmarkStart w:id="0" w:name="_GoBack"/>
      <w:bookmarkEnd w:id="0"/>
    </w:p>
    <w:p w14:paraId="62052529" w14:textId="77777777" w:rsidR="00CE78D1" w:rsidRDefault="00CE78D1" w:rsidP="00CE78D1"/>
    <w:p w14:paraId="7A6F86A9" w14:textId="77777777" w:rsidR="008F0DD4" w:rsidRDefault="008F0DD4" w:rsidP="00CE78D1"/>
    <w:p w14:paraId="238DE966" w14:textId="77777777" w:rsidR="00F31E0B" w:rsidRDefault="00F31E0B" w:rsidP="00CE78D1"/>
    <w:p w14:paraId="163FA607" w14:textId="77777777" w:rsidR="00F31E0B" w:rsidRDefault="00F31E0B" w:rsidP="00CE78D1"/>
    <w:p w14:paraId="109F9235" w14:textId="77777777" w:rsidR="003A0EC4" w:rsidRPr="00CE78D1" w:rsidRDefault="003A0EC4" w:rsidP="003A0EC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64D6928B" w14:textId="249FABE5" w:rsidR="003A0EC4" w:rsidRDefault="003A0EC4" w:rsidP="00CE78D1"/>
    <w:p w14:paraId="4D049A18" w14:textId="77777777" w:rsidR="00F31E0B" w:rsidRPr="00E14771" w:rsidRDefault="00E14771" w:rsidP="00E14771">
      <w:pPr>
        <w:jc w:val="right"/>
        <w:rPr>
          <w:b/>
        </w:rPr>
      </w:pPr>
      <w:r w:rsidRPr="00E14771">
        <w:rPr>
          <w:b/>
        </w:rPr>
        <w:lastRenderedPageBreak/>
        <w:t>Prijedlog</w:t>
      </w:r>
    </w:p>
    <w:p w14:paraId="44986F6C" w14:textId="77777777" w:rsidR="00F31E0B" w:rsidRDefault="00F31E0B" w:rsidP="00CE78D1"/>
    <w:p w14:paraId="26F760DF" w14:textId="77777777" w:rsidR="00E14771" w:rsidRDefault="00E14771" w:rsidP="00CE78D1"/>
    <w:p w14:paraId="7B4C0E4B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Na temelju članka 35. Zakona o pomorskom dobru i morskim lukama </w:t>
      </w:r>
      <w:r w:rsidRPr="002B1581">
        <w:t>(„Narodne novine“, br. 158/03, 100/04, 141/06, 38/09, 123/11 – Odluka Us</w:t>
      </w:r>
      <w:r>
        <w:t>tavnog suda Republike Hrvatske,</w:t>
      </w:r>
      <w:r w:rsidRPr="002B1581">
        <w:t xml:space="preserve"> 56/16</w:t>
      </w:r>
      <w:r>
        <w:t xml:space="preserve"> i 98/19)</w:t>
      </w:r>
      <w:r>
        <w:rPr>
          <w:color w:val="000000"/>
        </w:rPr>
        <w:t>, a u vezi s člankom 68</w:t>
      </w:r>
      <w:r w:rsidR="00114AC3">
        <w:rPr>
          <w:color w:val="000000"/>
        </w:rPr>
        <w:t>. stavkom 3</w:t>
      </w:r>
      <w:r w:rsidRPr="00070C74">
        <w:rPr>
          <w:color w:val="000000"/>
        </w:rPr>
        <w:t xml:space="preserve">. Zakona o koncesijama </w:t>
      </w:r>
      <w:r w:rsidR="00114AC3">
        <w:t xml:space="preserve">(„Narodne novine“, br. </w:t>
      </w:r>
      <w:r w:rsidRPr="002B1581">
        <w:t xml:space="preserve"> 69/17</w:t>
      </w:r>
      <w:r w:rsidR="00114AC3">
        <w:t xml:space="preserve"> i 107/20</w:t>
      </w:r>
      <w:r w:rsidRPr="002B1581">
        <w:t>)</w:t>
      </w:r>
      <w:r>
        <w:rPr>
          <w:color w:val="000000"/>
        </w:rPr>
        <w:t>,</w:t>
      </w:r>
      <w:r>
        <w:t xml:space="preserve"> člankom 31. stavkom 2. Zakona o Vladi Republike Hrvatske („Narodne novine“, br. 150/11, 119/14, 93/16 i 116/18) </w:t>
      </w:r>
      <w:r>
        <w:rPr>
          <w:rFonts w:ascii="Minion Pro" w:hAnsi="Minion Pro"/>
          <w:color w:val="000000"/>
          <w:shd w:val="clear" w:color="auto" w:fill="FFFFFF"/>
        </w:rPr>
        <w:t>te člankom 6. Uredbe o postupku davanja koncesije na pomorskom dobru („Narodne novine“, br. 23/04, 101/04, 39/06, 63/08, 125/10, 102/11, 83/12 i 10/17),</w:t>
      </w:r>
      <w:r w:rsidRPr="00070C74">
        <w:rPr>
          <w:color w:val="000000"/>
        </w:rPr>
        <w:t xml:space="preserve"> Vlada Republike Hrvatske je na sjednici održanoj </w:t>
      </w:r>
      <w:r>
        <w:rPr>
          <w:color w:val="000000"/>
        </w:rPr>
        <w:t>_______________ 2020</w:t>
      </w:r>
      <w:r w:rsidRPr="00070C74">
        <w:rPr>
          <w:color w:val="000000"/>
        </w:rPr>
        <w:t>. godine donijela</w:t>
      </w:r>
    </w:p>
    <w:p w14:paraId="2FCD57CC" w14:textId="77777777" w:rsidR="004B6EDB" w:rsidRPr="00070C74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73ADED05" w14:textId="77777777" w:rsidR="004B6EDB" w:rsidRPr="00070C74" w:rsidRDefault="004B6EDB" w:rsidP="004B6EDB">
      <w:pPr>
        <w:pStyle w:val="tb-na1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 w:rsidRPr="00070C74">
        <w:rPr>
          <w:b/>
          <w:bCs/>
          <w:color w:val="000000"/>
        </w:rPr>
        <w:t>ODLUKU</w:t>
      </w:r>
    </w:p>
    <w:p w14:paraId="726AD6B1" w14:textId="77777777" w:rsidR="004B6EDB" w:rsidRDefault="004B6EDB" w:rsidP="004B6EDB">
      <w:pPr>
        <w:pStyle w:val="t-12-9-fett-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 w:rsidRPr="00070C74">
        <w:rPr>
          <w:b/>
          <w:bCs/>
          <w:color w:val="000000"/>
        </w:rPr>
        <w:t xml:space="preserve">O DAVANJU SUGLASNOSTI NA DAVANJE U POTKONCESIJU DIJELA POMORSKOG DOBRA U LUCI POSEBNE NAMJENE – </w:t>
      </w:r>
      <w:r w:rsidR="00E4407D" w:rsidRPr="00E4407D">
        <w:rPr>
          <w:b/>
          <w:bCs/>
          <w:color w:val="000000"/>
        </w:rPr>
        <w:t>BRODOGRADILIŠTU BRODOTROGIR D.D. TROGIR</w:t>
      </w:r>
    </w:p>
    <w:p w14:paraId="07BB4A80" w14:textId="77777777" w:rsidR="00FC58F3" w:rsidRPr="00070C74" w:rsidRDefault="00FC58F3" w:rsidP="004B6EDB">
      <w:pPr>
        <w:pStyle w:val="t-12-9-fett-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</w:p>
    <w:p w14:paraId="3725D044" w14:textId="77777777" w:rsidR="004B6EDB" w:rsidRDefault="004B6EDB" w:rsidP="004B6EDB">
      <w:pPr>
        <w:pStyle w:val="clanak-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070C74">
        <w:rPr>
          <w:color w:val="000000"/>
        </w:rPr>
        <w:t>I.</w:t>
      </w:r>
    </w:p>
    <w:p w14:paraId="40B38A48" w14:textId="77777777" w:rsidR="00FC58F3" w:rsidRPr="00070C74" w:rsidRDefault="00FC58F3" w:rsidP="004B6EDB">
      <w:pPr>
        <w:pStyle w:val="clanak-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42CCD43B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Daje se suglasnost na davanje u potkoncesiju dijela pomorskog dobra, luke posebne namjene – </w:t>
      </w:r>
      <w:r w:rsidR="00FC58F3">
        <w:rPr>
          <w:color w:val="000000"/>
        </w:rPr>
        <w:t>brodogradilišta</w:t>
      </w:r>
      <w:r w:rsidR="00E4407D" w:rsidRPr="00E4407D">
        <w:rPr>
          <w:color w:val="000000"/>
        </w:rPr>
        <w:t xml:space="preserve"> Brodotrogir d.d. Trogir</w:t>
      </w:r>
      <w:r w:rsidRPr="00070C74">
        <w:rPr>
          <w:color w:val="000000"/>
        </w:rPr>
        <w:t xml:space="preserve">, danog u koncesiju </w:t>
      </w:r>
      <w:r>
        <w:rPr>
          <w:color w:val="000000"/>
        </w:rPr>
        <w:t xml:space="preserve">trgovačkom društvu </w:t>
      </w:r>
      <w:r>
        <w:rPr>
          <w:rFonts w:ascii="Minion Pro" w:hAnsi="Minion Pro"/>
          <w:color w:val="000000"/>
          <w:shd w:val="clear" w:color="auto" w:fill="FFFFFF"/>
        </w:rPr>
        <w:t> </w:t>
      </w:r>
      <w:r w:rsidR="008B03BD">
        <w:rPr>
          <w:rFonts w:ascii="Minion Pro" w:hAnsi="Minion Pro"/>
          <w:color w:val="000000"/>
          <w:shd w:val="clear" w:color="auto" w:fill="FFFFFF"/>
        </w:rPr>
        <w:t>HRVATSKA BRODOGRADNJA TROGIR d.o.o.</w:t>
      </w:r>
      <w:r w:rsidRPr="00070C74">
        <w:rPr>
          <w:color w:val="000000"/>
        </w:rPr>
        <w:t xml:space="preserve">, temeljem Odluke </w:t>
      </w:r>
      <w:r w:rsidR="00E4407D" w:rsidRPr="00E4407D">
        <w:rPr>
          <w:color w:val="000000"/>
        </w:rPr>
        <w:t>o koncesiji pomorskog dobra u svrhu gospodarskog korištenja luke posebne namjene – brodogradilišta i luke nautičkog turizma Brodotrogir d.d., Trogir (»Narod</w:t>
      </w:r>
      <w:r w:rsidR="008B03BD">
        <w:rPr>
          <w:color w:val="000000"/>
        </w:rPr>
        <w:t>ne novine«, br. 74/99, 9/2000,</w:t>
      </w:r>
      <w:r w:rsidR="00E4407D" w:rsidRPr="00E4407D">
        <w:rPr>
          <w:color w:val="000000"/>
        </w:rPr>
        <w:t>10/2003</w:t>
      </w:r>
      <w:r w:rsidR="008B03BD">
        <w:rPr>
          <w:color w:val="000000"/>
        </w:rPr>
        <w:t xml:space="preserve"> i</w:t>
      </w:r>
      <w:r w:rsidR="008B03BD" w:rsidRPr="008B03BD">
        <w:rPr>
          <w:color w:val="000000"/>
        </w:rPr>
        <w:t xml:space="preserve"> 19/2011  </w:t>
      </w:r>
      <w:r w:rsidR="00E4407D" w:rsidRPr="00E4407D">
        <w:rPr>
          <w:color w:val="000000"/>
        </w:rPr>
        <w:t xml:space="preserve">) </w:t>
      </w:r>
      <w:r w:rsidRPr="00070C74">
        <w:rPr>
          <w:color w:val="000000"/>
        </w:rPr>
        <w:t xml:space="preserve">i Ugovora o koncesiji pomorskog dobra u svrhu gospodarskog korištenja luke posebne namjene </w:t>
      </w:r>
      <w:r w:rsidR="008B03BD">
        <w:rPr>
          <w:color w:val="000000"/>
        </w:rPr>
        <w:t>– b</w:t>
      </w:r>
      <w:r>
        <w:rPr>
          <w:color w:val="000000"/>
        </w:rPr>
        <w:t xml:space="preserve">rodogradilišta </w:t>
      </w:r>
      <w:r w:rsidR="008B03BD">
        <w:rPr>
          <w:color w:val="000000"/>
        </w:rPr>
        <w:t>Brodotrogir d.d.</w:t>
      </w:r>
      <w:r>
        <w:rPr>
          <w:color w:val="000000"/>
        </w:rPr>
        <w:t xml:space="preserve"> od 04</w:t>
      </w:r>
      <w:r w:rsidRPr="00070C74">
        <w:rPr>
          <w:color w:val="000000"/>
        </w:rPr>
        <w:t xml:space="preserve">. </w:t>
      </w:r>
      <w:r w:rsidR="008B03BD">
        <w:rPr>
          <w:color w:val="000000"/>
        </w:rPr>
        <w:t>kolovoza</w:t>
      </w:r>
      <w:r>
        <w:rPr>
          <w:color w:val="000000"/>
        </w:rPr>
        <w:t xml:space="preserve"> 1999.</w:t>
      </w:r>
      <w:r w:rsidRPr="00070C74">
        <w:rPr>
          <w:color w:val="000000"/>
        </w:rPr>
        <w:t xml:space="preserve"> godine</w:t>
      </w:r>
      <w:r>
        <w:rPr>
          <w:color w:val="000000"/>
        </w:rPr>
        <w:t xml:space="preserve">, </w:t>
      </w:r>
      <w:r w:rsidR="008B03BD">
        <w:rPr>
          <w:color w:val="000000"/>
        </w:rPr>
        <w:t>Ugovora o prijenosu Ug</w:t>
      </w:r>
      <w:r w:rsidR="00FC58F3">
        <w:rPr>
          <w:color w:val="000000"/>
        </w:rPr>
        <w:t>ovora o koncesiji 21. lipnja 200</w:t>
      </w:r>
      <w:r w:rsidR="008B03BD">
        <w:rPr>
          <w:color w:val="000000"/>
        </w:rPr>
        <w:t xml:space="preserve">0. godine, </w:t>
      </w:r>
      <w:r>
        <w:rPr>
          <w:color w:val="000000"/>
        </w:rPr>
        <w:t xml:space="preserve">Dodatka broj 1 Ugovoru od </w:t>
      </w:r>
      <w:r w:rsidR="00FC58F3">
        <w:rPr>
          <w:color w:val="000000"/>
        </w:rPr>
        <w:t>21. lipnja 200</w:t>
      </w:r>
      <w:r w:rsidR="008B03BD" w:rsidRPr="008B03BD">
        <w:rPr>
          <w:color w:val="000000"/>
        </w:rPr>
        <w:t>0. godine</w:t>
      </w:r>
      <w:r w:rsidR="008B03BD">
        <w:rPr>
          <w:color w:val="000000"/>
        </w:rPr>
        <w:t>,</w:t>
      </w:r>
      <w:r>
        <w:rPr>
          <w:color w:val="000000"/>
        </w:rPr>
        <w:t xml:space="preserve"> Dodatka br</w:t>
      </w:r>
      <w:r w:rsidR="008B03BD">
        <w:rPr>
          <w:color w:val="000000"/>
        </w:rPr>
        <w:t>oj 2 Ugovoru od 15. svibnja 2003</w:t>
      </w:r>
      <w:r>
        <w:rPr>
          <w:color w:val="000000"/>
        </w:rPr>
        <w:t>. godine</w:t>
      </w:r>
      <w:r w:rsidRPr="00070C74">
        <w:rPr>
          <w:color w:val="000000"/>
        </w:rPr>
        <w:t xml:space="preserve">, </w:t>
      </w:r>
      <w:r w:rsidR="00FC58F3">
        <w:rPr>
          <w:color w:val="000000"/>
        </w:rPr>
        <w:t>Dodatka</w:t>
      </w:r>
      <w:r w:rsidR="008B03BD">
        <w:rPr>
          <w:color w:val="000000"/>
        </w:rPr>
        <w:t xml:space="preserve"> broj 3 Ugovoru od 11</w:t>
      </w:r>
      <w:r w:rsidR="00FC58F3">
        <w:rPr>
          <w:color w:val="000000"/>
        </w:rPr>
        <w:t>. veljače 2011. godine i Dodatka</w:t>
      </w:r>
      <w:r w:rsidR="008B03BD">
        <w:rPr>
          <w:color w:val="000000"/>
        </w:rPr>
        <w:t xml:space="preserve"> broj 4 Ugovoru o koncesiji od 02. ožujka 2020. godine </w:t>
      </w:r>
      <w:r>
        <w:rPr>
          <w:color w:val="000000"/>
        </w:rPr>
        <w:t xml:space="preserve">trgovačkom društvu </w:t>
      </w:r>
      <w:r w:rsidR="008B03BD">
        <w:rPr>
          <w:color w:val="000000"/>
        </w:rPr>
        <w:t>BRODOTROGIR CRUISE</w:t>
      </w:r>
      <w:r>
        <w:rPr>
          <w:color w:val="000000"/>
        </w:rPr>
        <w:t xml:space="preserve"> d.o.o.</w:t>
      </w:r>
      <w:r w:rsidRPr="00070C74">
        <w:rPr>
          <w:color w:val="000000"/>
        </w:rPr>
        <w:t>, pod istim uvjetima pod kojima je dana koncesija</w:t>
      </w:r>
      <w:r w:rsidR="00F43464">
        <w:rPr>
          <w:color w:val="000000"/>
        </w:rPr>
        <w:t xml:space="preserve">, a na rok do </w:t>
      </w:r>
      <w:r w:rsidR="007571DC">
        <w:rPr>
          <w:color w:val="000000"/>
        </w:rPr>
        <w:t>08. srpnja</w:t>
      </w:r>
      <w:r w:rsidR="009745AF">
        <w:rPr>
          <w:color w:val="000000"/>
        </w:rPr>
        <w:t xml:space="preserve"> 2031</w:t>
      </w:r>
      <w:r w:rsidR="00F43464">
        <w:rPr>
          <w:color w:val="000000"/>
        </w:rPr>
        <w:t>. godine</w:t>
      </w:r>
      <w:r w:rsidRPr="00070C74">
        <w:rPr>
          <w:color w:val="000000"/>
        </w:rPr>
        <w:t>.</w:t>
      </w:r>
    </w:p>
    <w:p w14:paraId="46F6C0BD" w14:textId="77777777" w:rsidR="004B6EDB" w:rsidRPr="00070C74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034CDC52" w14:textId="77777777" w:rsidR="004B6EDB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070C74">
        <w:rPr>
          <w:color w:val="000000"/>
        </w:rPr>
        <w:t>II.</w:t>
      </w:r>
    </w:p>
    <w:p w14:paraId="36ACD81B" w14:textId="77777777" w:rsidR="004B6EDB" w:rsidRPr="00070C74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1FEB64FF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Na temelju ove Odluke </w:t>
      </w:r>
      <w:r>
        <w:rPr>
          <w:color w:val="000000"/>
        </w:rPr>
        <w:t xml:space="preserve">trgovačko </w:t>
      </w:r>
      <w:r w:rsidRPr="00070C74">
        <w:rPr>
          <w:color w:val="000000"/>
        </w:rPr>
        <w:t xml:space="preserve">društvo </w:t>
      </w:r>
      <w:r w:rsidR="00F43464">
        <w:rPr>
          <w:rFonts w:ascii="Minion Pro" w:hAnsi="Minion Pro"/>
          <w:color w:val="000000"/>
          <w:shd w:val="clear" w:color="auto" w:fill="FFFFFF"/>
        </w:rPr>
        <w:t xml:space="preserve">HRVATSKA BRODOGRADNJA TROGIR d.o.o., </w:t>
      </w:r>
      <w:r w:rsidRPr="00070C74">
        <w:rPr>
          <w:color w:val="000000"/>
        </w:rPr>
        <w:t xml:space="preserve">kao Ovlaštenik koncesije i </w:t>
      </w:r>
      <w:r>
        <w:rPr>
          <w:color w:val="000000"/>
        </w:rPr>
        <w:t>trgovačko</w:t>
      </w:r>
      <w:r w:rsidRPr="003E18F5">
        <w:rPr>
          <w:color w:val="000000"/>
        </w:rPr>
        <w:t xml:space="preserve"> društv</w:t>
      </w:r>
      <w:r>
        <w:rPr>
          <w:color w:val="000000"/>
        </w:rPr>
        <w:t>o</w:t>
      </w:r>
      <w:r w:rsidRPr="003E18F5">
        <w:rPr>
          <w:color w:val="000000"/>
        </w:rPr>
        <w:t xml:space="preserve"> </w:t>
      </w:r>
      <w:r w:rsidR="00F43464">
        <w:rPr>
          <w:color w:val="000000"/>
        </w:rPr>
        <w:t>BRODOTROGIR CRUISE d.o.o.</w:t>
      </w:r>
      <w:r w:rsidRPr="00070C74">
        <w:rPr>
          <w:color w:val="000000"/>
        </w:rPr>
        <w:t xml:space="preserve">, dužni su u roku 30 dana od dana </w:t>
      </w:r>
      <w:r>
        <w:rPr>
          <w:color w:val="000000"/>
        </w:rPr>
        <w:t>objave</w:t>
      </w:r>
      <w:r w:rsidRPr="00070C74">
        <w:rPr>
          <w:color w:val="000000"/>
        </w:rPr>
        <w:t xml:space="preserve"> ove Odluke, sklopiti ugovor o potkoncesiji i dostaviti ga Ministarstvu </w:t>
      </w:r>
      <w:r>
        <w:rPr>
          <w:color w:val="000000"/>
        </w:rPr>
        <w:t>mora</w:t>
      </w:r>
      <w:r w:rsidRPr="00070C74">
        <w:rPr>
          <w:color w:val="000000"/>
        </w:rPr>
        <w:t>, prometa i infrastrukture, na znanje.</w:t>
      </w:r>
    </w:p>
    <w:p w14:paraId="248E454F" w14:textId="77777777" w:rsidR="004B6EDB" w:rsidRPr="00070C74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0105A3CC" w14:textId="77777777" w:rsidR="004B6EDB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070C74">
        <w:rPr>
          <w:color w:val="000000"/>
        </w:rPr>
        <w:t>III.</w:t>
      </w:r>
    </w:p>
    <w:p w14:paraId="50697025" w14:textId="77777777" w:rsidR="004B6EDB" w:rsidRPr="00070C74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78002DA1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Područje koje se daje u potkoncesiju obuhvaća kopneni </w:t>
      </w:r>
      <w:r>
        <w:rPr>
          <w:color w:val="000000"/>
        </w:rPr>
        <w:t xml:space="preserve">i morski </w:t>
      </w:r>
      <w:r w:rsidRPr="00070C74">
        <w:rPr>
          <w:color w:val="000000"/>
        </w:rPr>
        <w:t xml:space="preserve">dio pomorskog dobra površine </w:t>
      </w:r>
      <w:r w:rsidR="00F43464">
        <w:rPr>
          <w:color w:val="000000"/>
        </w:rPr>
        <w:t>60 403</w:t>
      </w:r>
      <w:r>
        <w:rPr>
          <w:color w:val="000000"/>
        </w:rPr>
        <w:t xml:space="preserve"> </w:t>
      </w:r>
      <w:r w:rsidRPr="00070C74">
        <w:rPr>
          <w:color w:val="000000"/>
        </w:rPr>
        <w:t>m², a sve kako je prikazano na grafičko</w:t>
      </w:r>
      <w:r>
        <w:rPr>
          <w:color w:val="000000"/>
        </w:rPr>
        <w:t>j</w:t>
      </w:r>
      <w:r w:rsidRPr="00070C74">
        <w:rPr>
          <w:color w:val="000000"/>
        </w:rPr>
        <w:t xml:space="preserve"> </w:t>
      </w:r>
      <w:r>
        <w:rPr>
          <w:color w:val="000000"/>
        </w:rPr>
        <w:t>podlozi koja</w:t>
      </w:r>
      <w:r w:rsidR="00F43464">
        <w:rPr>
          <w:color w:val="000000"/>
        </w:rPr>
        <w:t xml:space="preserve"> čini Prilog 1</w:t>
      </w:r>
      <w:r w:rsidRPr="00070C74">
        <w:rPr>
          <w:color w:val="000000"/>
        </w:rPr>
        <w:t xml:space="preserve"> ove Odluke i ne objavljuje se u Narodnim novinama.</w:t>
      </w:r>
    </w:p>
    <w:p w14:paraId="39E37E43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676FA515" w14:textId="77777777" w:rsidR="00F43464" w:rsidRDefault="00F43464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411D012D" w14:textId="77777777" w:rsidR="004B6EDB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070C74">
        <w:rPr>
          <w:color w:val="000000"/>
        </w:rPr>
        <w:t>IV.</w:t>
      </w:r>
    </w:p>
    <w:p w14:paraId="10C3006E" w14:textId="77777777" w:rsidR="004B6EDB" w:rsidRPr="00070C74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23F430B6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>Ukoliko se u roku i na način određen u točkama I., II. i III. ove Odluke, ne sklopi ugovor o potkoncesiji, ova Odluka prestaje važiti.</w:t>
      </w:r>
    </w:p>
    <w:p w14:paraId="69FD8B29" w14:textId="77777777" w:rsidR="004B6EDB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3ED083F4" w14:textId="77777777" w:rsidR="004B6EDB" w:rsidRPr="00070C74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6062FC3C" w14:textId="77777777" w:rsidR="004B6EDB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070C74">
        <w:rPr>
          <w:color w:val="000000"/>
        </w:rPr>
        <w:t>V.</w:t>
      </w:r>
    </w:p>
    <w:p w14:paraId="50736668" w14:textId="77777777" w:rsidR="004B6EDB" w:rsidRPr="00070C74" w:rsidRDefault="004B6EDB" w:rsidP="004B6EDB">
      <w:pPr>
        <w:pStyle w:val="clanak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762C9119" w14:textId="77777777" w:rsidR="004B6EDB" w:rsidRPr="00070C74" w:rsidRDefault="004B6EDB" w:rsidP="004B6EDB">
      <w:pPr>
        <w:pStyle w:val="t-9-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>Ova Odluka stupa na snagu dano</w:t>
      </w:r>
      <w:r w:rsidR="00F43464">
        <w:rPr>
          <w:color w:val="000000"/>
        </w:rPr>
        <w:t xml:space="preserve">m donošenja, a objavit će se u </w:t>
      </w:r>
      <w:r>
        <w:rPr>
          <w:color w:val="000000"/>
        </w:rPr>
        <w:t>Narodnim novinama</w:t>
      </w:r>
      <w:r w:rsidRPr="00070C74">
        <w:rPr>
          <w:color w:val="000000"/>
        </w:rPr>
        <w:t>.</w:t>
      </w:r>
    </w:p>
    <w:p w14:paraId="26C76CD0" w14:textId="77777777" w:rsidR="004B6EDB" w:rsidRDefault="004B6EDB" w:rsidP="004B6EDB">
      <w:pPr>
        <w:pStyle w:val="klasa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4BA61D70" w14:textId="77777777" w:rsidR="004B6EDB" w:rsidRDefault="004B6EDB" w:rsidP="004B6EDB">
      <w:pPr>
        <w:pStyle w:val="klasa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3EC41C2B" w14:textId="77777777" w:rsidR="004B6EDB" w:rsidRPr="00070C74" w:rsidRDefault="004B6EDB" w:rsidP="004B6EDB">
      <w:pPr>
        <w:pStyle w:val="klasa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KLASA: </w:t>
      </w:r>
    </w:p>
    <w:p w14:paraId="0479663B" w14:textId="77777777" w:rsidR="004B6EDB" w:rsidRPr="00070C74" w:rsidRDefault="004B6EDB" w:rsidP="004B6EDB">
      <w:pPr>
        <w:pStyle w:val="klasa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URBROJ: </w:t>
      </w:r>
    </w:p>
    <w:p w14:paraId="40539949" w14:textId="77777777" w:rsidR="004B6EDB" w:rsidRPr="00070C74" w:rsidRDefault="004B6EDB" w:rsidP="004B6EDB">
      <w:pPr>
        <w:pStyle w:val="klasa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70C74">
        <w:rPr>
          <w:color w:val="000000"/>
        </w:rPr>
        <w:t xml:space="preserve">Zagreb, </w:t>
      </w:r>
    </w:p>
    <w:p w14:paraId="622C53AB" w14:textId="77777777" w:rsidR="004B6EDB" w:rsidRDefault="004B6EDB" w:rsidP="004B6EDB">
      <w:pPr>
        <w:pStyle w:val="t-9-8-potpis"/>
        <w:shd w:val="clear" w:color="auto" w:fill="FFFFFF"/>
        <w:spacing w:before="0" w:beforeAutospacing="0" w:after="0" w:afterAutospacing="0" w:line="276" w:lineRule="auto"/>
        <w:ind w:left="6464"/>
        <w:jc w:val="center"/>
        <w:textAlignment w:val="baseline"/>
        <w:rPr>
          <w:b/>
          <w:color w:val="000000"/>
        </w:rPr>
      </w:pPr>
      <w:r w:rsidRPr="003E18F5">
        <w:rPr>
          <w:b/>
          <w:color w:val="000000"/>
        </w:rPr>
        <w:t>Predsjednik</w:t>
      </w:r>
    </w:p>
    <w:p w14:paraId="5992B244" w14:textId="77777777" w:rsidR="004B6EDB" w:rsidRDefault="004B6EDB" w:rsidP="004B6EDB">
      <w:pPr>
        <w:pStyle w:val="t-9-8-potpis"/>
        <w:shd w:val="clear" w:color="auto" w:fill="FFFFFF"/>
        <w:spacing w:before="0" w:beforeAutospacing="0" w:after="0" w:afterAutospacing="0" w:line="276" w:lineRule="auto"/>
        <w:ind w:left="6464"/>
        <w:jc w:val="center"/>
        <w:textAlignment w:val="baseline"/>
        <w:rPr>
          <w:b/>
          <w:color w:val="000000"/>
        </w:rPr>
      </w:pPr>
    </w:p>
    <w:p w14:paraId="6BCDD12A" w14:textId="77777777" w:rsidR="004B6EDB" w:rsidRPr="003E18F5" w:rsidRDefault="004B6EDB" w:rsidP="004B6EDB">
      <w:pPr>
        <w:pStyle w:val="t-9-8-potpis"/>
        <w:shd w:val="clear" w:color="auto" w:fill="FFFFFF"/>
        <w:spacing w:before="0" w:beforeAutospacing="0" w:after="0" w:afterAutospacing="0" w:line="276" w:lineRule="auto"/>
        <w:ind w:left="6464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Andrej Plenković</w:t>
      </w:r>
    </w:p>
    <w:p w14:paraId="51DE18C4" w14:textId="77777777" w:rsidR="004B6EDB" w:rsidRDefault="004B6EDB" w:rsidP="004B6EDB">
      <w:pPr>
        <w:spacing w:line="276" w:lineRule="auto"/>
      </w:pPr>
    </w:p>
    <w:p w14:paraId="5068EF3E" w14:textId="77777777" w:rsidR="004B6EDB" w:rsidRDefault="004B6EDB" w:rsidP="004B6EDB">
      <w:pPr>
        <w:spacing w:line="276" w:lineRule="auto"/>
      </w:pPr>
    </w:p>
    <w:p w14:paraId="64AF07C5" w14:textId="77777777" w:rsidR="004B6EDB" w:rsidRDefault="004B6EDB" w:rsidP="004B6EDB">
      <w:pPr>
        <w:spacing w:line="276" w:lineRule="auto"/>
      </w:pPr>
    </w:p>
    <w:p w14:paraId="29CA0023" w14:textId="77777777" w:rsidR="004B6EDB" w:rsidRDefault="004B6EDB" w:rsidP="004B6EDB">
      <w:pPr>
        <w:spacing w:line="276" w:lineRule="auto"/>
      </w:pPr>
    </w:p>
    <w:p w14:paraId="457403F3" w14:textId="77777777" w:rsidR="004B6EDB" w:rsidRDefault="004B6EDB" w:rsidP="004B6EDB">
      <w:pPr>
        <w:spacing w:line="276" w:lineRule="auto"/>
      </w:pPr>
    </w:p>
    <w:p w14:paraId="0EC854D3" w14:textId="77777777" w:rsidR="004B6EDB" w:rsidRDefault="004B6EDB" w:rsidP="004B6EDB">
      <w:pPr>
        <w:spacing w:line="276" w:lineRule="auto"/>
      </w:pPr>
    </w:p>
    <w:p w14:paraId="366AEA6F" w14:textId="77777777" w:rsidR="004B6EDB" w:rsidRDefault="004B6EDB" w:rsidP="004B6EDB">
      <w:pPr>
        <w:spacing w:line="276" w:lineRule="auto"/>
      </w:pPr>
    </w:p>
    <w:p w14:paraId="3EB07E9D" w14:textId="77777777" w:rsidR="004B6EDB" w:rsidRDefault="004B6EDB" w:rsidP="004B6EDB">
      <w:pPr>
        <w:spacing w:line="276" w:lineRule="auto"/>
      </w:pPr>
    </w:p>
    <w:p w14:paraId="13F62228" w14:textId="77777777" w:rsidR="004B6EDB" w:rsidRDefault="004B6EDB" w:rsidP="004B6EDB">
      <w:pPr>
        <w:spacing w:line="276" w:lineRule="auto"/>
      </w:pPr>
    </w:p>
    <w:p w14:paraId="64891931" w14:textId="77777777" w:rsidR="004B6EDB" w:rsidRDefault="004B6EDB" w:rsidP="004B6EDB">
      <w:pPr>
        <w:spacing w:line="276" w:lineRule="auto"/>
      </w:pPr>
    </w:p>
    <w:p w14:paraId="7A9863A2" w14:textId="77777777" w:rsidR="004B6EDB" w:rsidRDefault="004B6EDB" w:rsidP="004B6EDB">
      <w:pPr>
        <w:spacing w:line="276" w:lineRule="auto"/>
      </w:pPr>
    </w:p>
    <w:p w14:paraId="43334133" w14:textId="77777777" w:rsidR="004B6EDB" w:rsidRDefault="004B6EDB" w:rsidP="004B6EDB">
      <w:pPr>
        <w:spacing w:line="276" w:lineRule="auto"/>
      </w:pPr>
    </w:p>
    <w:p w14:paraId="20592B67" w14:textId="77777777" w:rsidR="004B6EDB" w:rsidRDefault="004B6EDB" w:rsidP="004B6EDB">
      <w:pPr>
        <w:spacing w:line="276" w:lineRule="auto"/>
      </w:pPr>
    </w:p>
    <w:p w14:paraId="17E2DB26" w14:textId="77777777" w:rsidR="004B6EDB" w:rsidRDefault="004B6EDB" w:rsidP="004B6EDB">
      <w:pPr>
        <w:spacing w:line="276" w:lineRule="auto"/>
      </w:pPr>
    </w:p>
    <w:p w14:paraId="74FDF447" w14:textId="77777777" w:rsidR="004B6EDB" w:rsidRDefault="004B6EDB" w:rsidP="004B6EDB">
      <w:pPr>
        <w:spacing w:line="276" w:lineRule="auto"/>
      </w:pPr>
    </w:p>
    <w:p w14:paraId="4D913FD4" w14:textId="77777777" w:rsidR="004B6EDB" w:rsidRDefault="004B6EDB" w:rsidP="004B6EDB">
      <w:pPr>
        <w:spacing w:line="276" w:lineRule="auto"/>
      </w:pPr>
    </w:p>
    <w:p w14:paraId="584A818E" w14:textId="77777777" w:rsidR="004B6EDB" w:rsidRDefault="004B6EDB" w:rsidP="004B6EDB">
      <w:pPr>
        <w:spacing w:line="276" w:lineRule="auto"/>
      </w:pPr>
    </w:p>
    <w:p w14:paraId="3D5900C0" w14:textId="77777777" w:rsidR="004B6EDB" w:rsidRDefault="004B6EDB" w:rsidP="004B6EDB">
      <w:pPr>
        <w:spacing w:line="276" w:lineRule="auto"/>
      </w:pPr>
    </w:p>
    <w:p w14:paraId="1A7E8943" w14:textId="77777777" w:rsidR="004B6EDB" w:rsidRDefault="004B6EDB" w:rsidP="004B6EDB">
      <w:pPr>
        <w:spacing w:line="276" w:lineRule="auto"/>
      </w:pPr>
    </w:p>
    <w:p w14:paraId="03649C12" w14:textId="77777777" w:rsidR="004B6EDB" w:rsidRDefault="004B6EDB" w:rsidP="004B6EDB">
      <w:pPr>
        <w:spacing w:line="276" w:lineRule="auto"/>
      </w:pPr>
    </w:p>
    <w:p w14:paraId="45C41204" w14:textId="77777777" w:rsidR="004B6EDB" w:rsidRDefault="004B6EDB" w:rsidP="004B6EDB">
      <w:pPr>
        <w:spacing w:line="276" w:lineRule="auto"/>
      </w:pPr>
    </w:p>
    <w:p w14:paraId="0DF3F521" w14:textId="77777777" w:rsidR="004B6EDB" w:rsidRDefault="004B6EDB" w:rsidP="004B6EDB">
      <w:pPr>
        <w:spacing w:line="276" w:lineRule="auto"/>
      </w:pPr>
    </w:p>
    <w:p w14:paraId="630FA603" w14:textId="77777777" w:rsidR="004B6EDB" w:rsidRDefault="004B6EDB" w:rsidP="004B6EDB">
      <w:pPr>
        <w:spacing w:line="276" w:lineRule="auto"/>
      </w:pPr>
    </w:p>
    <w:p w14:paraId="6A60B5AD" w14:textId="77777777" w:rsidR="004B6EDB" w:rsidRDefault="004B6EDB" w:rsidP="004B6EDB">
      <w:pPr>
        <w:spacing w:line="276" w:lineRule="auto"/>
      </w:pPr>
    </w:p>
    <w:p w14:paraId="1B269FF7" w14:textId="77777777" w:rsidR="004B6EDB" w:rsidRDefault="004B6EDB" w:rsidP="004B6EDB">
      <w:pPr>
        <w:spacing w:line="276" w:lineRule="auto"/>
      </w:pPr>
    </w:p>
    <w:p w14:paraId="33D392B5" w14:textId="77777777" w:rsidR="004B6EDB" w:rsidRDefault="004B6EDB" w:rsidP="004B6EDB">
      <w:pPr>
        <w:spacing w:line="276" w:lineRule="auto"/>
      </w:pPr>
    </w:p>
    <w:p w14:paraId="56B00AA3" w14:textId="77777777" w:rsidR="004B6EDB" w:rsidRDefault="004B6EDB" w:rsidP="004B6EDB">
      <w:pPr>
        <w:spacing w:line="276" w:lineRule="auto"/>
      </w:pPr>
    </w:p>
    <w:p w14:paraId="3A94E3BC" w14:textId="77777777" w:rsidR="004B6EDB" w:rsidRDefault="004B6EDB" w:rsidP="004B6EDB">
      <w:pPr>
        <w:spacing w:line="276" w:lineRule="auto"/>
      </w:pPr>
    </w:p>
    <w:p w14:paraId="7CF178F0" w14:textId="77777777" w:rsidR="004B6EDB" w:rsidRDefault="004B6EDB" w:rsidP="004B6EDB">
      <w:pPr>
        <w:spacing w:line="276" w:lineRule="auto"/>
        <w:jc w:val="center"/>
        <w:rPr>
          <w:b/>
        </w:rPr>
      </w:pPr>
      <w:r>
        <w:rPr>
          <w:b/>
        </w:rPr>
        <w:t>OBRAZLOŽENJE</w:t>
      </w:r>
    </w:p>
    <w:p w14:paraId="56B980A1" w14:textId="77777777" w:rsidR="004B6EDB" w:rsidRDefault="004B6EDB" w:rsidP="004B6EDB">
      <w:pPr>
        <w:spacing w:line="276" w:lineRule="auto"/>
        <w:jc w:val="center"/>
        <w:rPr>
          <w:b/>
        </w:rPr>
      </w:pPr>
    </w:p>
    <w:p w14:paraId="25887AA1" w14:textId="77777777" w:rsidR="004B6EDB" w:rsidRDefault="004B6EDB" w:rsidP="004B6EDB">
      <w:pPr>
        <w:spacing w:line="276" w:lineRule="auto"/>
        <w:jc w:val="both"/>
      </w:pPr>
      <w:r w:rsidRPr="004D7934">
        <w:t xml:space="preserve">Sukladno članku 35. </w:t>
      </w:r>
      <w:r>
        <w:t>Zakona o pomorskom dobru i morskim lukama k</w:t>
      </w:r>
      <w:r w:rsidRPr="004D7934">
        <w:t>oncesija se može dati dijelom u potkoncesiju u istom opsegu i pod istim uvjetima pod kojima je i dana, uz suglasnost davatelja koncesije.</w:t>
      </w:r>
      <w:r>
        <w:t xml:space="preserve"> Člankom 6. Uredbe o postupku davanja koncesije na pomorskom dobru propisano je kako o</w:t>
      </w:r>
      <w:r w:rsidRPr="004D7934">
        <w:t xml:space="preserve">vlaštenik koncesije </w:t>
      </w:r>
      <w:r>
        <w:t xml:space="preserve">može podnijeti </w:t>
      </w:r>
      <w:r w:rsidRPr="004D7934">
        <w:t xml:space="preserve"> davatelju koncesije pisani obrazloženi prijedlog za davanje dijela koncesije u potkoncesiju pravnoj osobi ili fizičkoj osobi registriranoj za obavljanje obrta, ukoliko iz organizacijsko-tehnoloških, financijskih ili drugih opravdanih razloga više nije u mogućnosti u cijelosti koristiti koncesiju i izvršavati obveze i prava iz ugovora o koncesiji, odnosno ako smatra da bi obavljanje djelatnosti za koju je dobio koncesiju bilo učinkovitije davanjem dijela u potkoncesiju.</w:t>
      </w:r>
      <w:r>
        <w:t xml:space="preserve"> </w:t>
      </w:r>
      <w:r w:rsidRPr="004D7934">
        <w:t>Na sadržaj prijedloga za davanje dijela koncesije u potkoncesiju smisleno se primjenjuju Uredbe koje se odnose na prijedlog za prijenos koncesije</w:t>
      </w:r>
      <w:r>
        <w:t xml:space="preserve">. Iz čega slijedi kako </w:t>
      </w:r>
      <w:r w:rsidR="002536DA">
        <w:t>u</w:t>
      </w:r>
      <w:r w:rsidRPr="004D7934">
        <w:t xml:space="preserve"> prijedlogu mora biti naveden razlog prijedloga da se konce</w:t>
      </w:r>
      <w:r>
        <w:t>sija prenese upravo na tu osobu, mora biti priložena</w:t>
      </w:r>
      <w:r w:rsidRPr="004D7934">
        <w:t xml:space="preserve"> pisana izjava osobe na koju bi se prenijela koncesija, ovjerena kod javnog bilježnika, kojom ona pristaje na prijenos, kao i svi dokazi iz članka 17. stavka 3. Zakona, koji se odnose na tu osobu, radi ocjene da li ta osoba udovoljava uvjetima potrebnim za davanje koncesije.</w:t>
      </w:r>
    </w:p>
    <w:p w14:paraId="7FD539AB" w14:textId="77777777" w:rsidR="004B6EDB" w:rsidRDefault="004B6EDB" w:rsidP="004B6EDB">
      <w:pPr>
        <w:spacing w:line="276" w:lineRule="auto"/>
        <w:jc w:val="both"/>
      </w:pPr>
    </w:p>
    <w:p w14:paraId="32124464" w14:textId="77777777" w:rsidR="00923622" w:rsidRDefault="004B6EDB" w:rsidP="004B6EDB">
      <w:pPr>
        <w:spacing w:line="276" w:lineRule="auto"/>
        <w:jc w:val="both"/>
        <w:rPr>
          <w:color w:val="000000"/>
        </w:rPr>
      </w:pPr>
      <w:r>
        <w:t xml:space="preserve">Trgovačko društvo </w:t>
      </w:r>
      <w:r w:rsidR="00923622">
        <w:rPr>
          <w:rFonts w:ascii="Minion Pro" w:hAnsi="Minion Pro"/>
          <w:color w:val="000000"/>
          <w:shd w:val="clear" w:color="auto" w:fill="FFFFFF"/>
        </w:rPr>
        <w:t>HRVATSKA BRODOGRADNJA TROGIR d.o.o.</w:t>
      </w:r>
      <w:r>
        <w:rPr>
          <w:rFonts w:ascii="Minion Pro" w:hAnsi="Minion Pro"/>
          <w:color w:val="000000"/>
          <w:shd w:val="clear" w:color="auto" w:fill="FFFFFF"/>
        </w:rPr>
        <w:t xml:space="preserve">, ovlaštenik koncesije u svrhu gospodarskog korištenja luke posebne namjene – </w:t>
      </w:r>
      <w:r w:rsidR="00923622">
        <w:rPr>
          <w:rFonts w:ascii="Minion Pro" w:hAnsi="Minion Pro"/>
          <w:color w:val="000000"/>
          <w:shd w:val="clear" w:color="auto" w:fill="FFFFFF"/>
        </w:rPr>
        <w:t>brodogradilišta Brodotrogir D.D. Trogir</w:t>
      </w:r>
      <w:r>
        <w:rPr>
          <w:rFonts w:ascii="Minion Pro" w:hAnsi="Minion Pro"/>
          <w:color w:val="000000"/>
          <w:shd w:val="clear" w:color="auto" w:fill="FFFFFF"/>
        </w:rPr>
        <w:t xml:space="preserve">, podnijelo je zahtjev za davanjem suglasnosti na davanje dijela koncesije u potkoncesiju trgovačkom društvu </w:t>
      </w:r>
      <w:r w:rsidR="00923622">
        <w:rPr>
          <w:rFonts w:ascii="Minion Pro" w:hAnsi="Minion Pro"/>
          <w:color w:val="000000"/>
          <w:shd w:val="clear" w:color="auto" w:fill="FFFFFF"/>
        </w:rPr>
        <w:t xml:space="preserve"> </w:t>
      </w:r>
      <w:r w:rsidR="00923622">
        <w:rPr>
          <w:color w:val="000000"/>
        </w:rPr>
        <w:t xml:space="preserve">BRODOTROGIR CRUISE d.o.o., a sve iz razloga što trgovačko društvo </w:t>
      </w:r>
      <w:r w:rsidR="00923622">
        <w:rPr>
          <w:rFonts w:ascii="Minion Pro" w:hAnsi="Minion Pro"/>
          <w:color w:val="000000"/>
          <w:shd w:val="clear" w:color="auto" w:fill="FFFFFF"/>
        </w:rPr>
        <w:t xml:space="preserve">HRVATSKA BRODOGRADNJA TROGIR d.o.o., usprkos pravomoćnom Predstečajnom sporazumu i dalje ima tretman trgovačkog društva u predstečajnom postupku te ima problema s ishodovanjem garancija, organizacijom financiranja postojećih i novih poslova te ugovaranjem novih poslova. Iz istog razloga društvo nije u mogućnosti u cijelosti koristiti koncesiju i izvršavati prava i obveze iz Ugovora o koncesiji </w:t>
      </w:r>
    </w:p>
    <w:p w14:paraId="01D68022" w14:textId="77777777" w:rsidR="00923622" w:rsidRDefault="00923622" w:rsidP="004B6EDB">
      <w:pPr>
        <w:spacing w:line="276" w:lineRule="auto"/>
        <w:jc w:val="both"/>
        <w:rPr>
          <w:color w:val="000000"/>
        </w:rPr>
      </w:pPr>
    </w:p>
    <w:p w14:paraId="1CFE36A0" w14:textId="77777777" w:rsidR="004B6EDB" w:rsidRDefault="004B6EDB" w:rsidP="004B6EDB">
      <w:pPr>
        <w:spacing w:line="276" w:lineRule="auto"/>
        <w:jc w:val="both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 xml:space="preserve">Trgovačko društvo </w:t>
      </w:r>
      <w:r w:rsidR="00923622">
        <w:rPr>
          <w:color w:val="000000"/>
        </w:rPr>
        <w:t xml:space="preserve">BRODOTROGIR CRUISE d.o.o. </w:t>
      </w:r>
      <w:r w:rsidR="00923622">
        <w:rPr>
          <w:rFonts w:ascii="Minion Pro" w:hAnsi="Minion Pro"/>
          <w:color w:val="000000"/>
          <w:shd w:val="clear" w:color="auto" w:fill="FFFFFF"/>
        </w:rPr>
        <w:t xml:space="preserve">je novoosnovano društvo, koje je osnovalo trgovačko društvo Kermas Energija d.o.o., većinski vlasnik trgovačkog društva Brodotrogir </w:t>
      </w:r>
      <w:r w:rsidR="00DC7DA9">
        <w:rPr>
          <w:rFonts w:ascii="Minion Pro" w:hAnsi="Minion Pro"/>
          <w:color w:val="000000"/>
          <w:shd w:val="clear" w:color="auto" w:fill="FFFFFF"/>
        </w:rPr>
        <w:t>d.d., koje se specijaliziralo za gradnju putničkih brodova za lokalna krstarenja.</w:t>
      </w:r>
    </w:p>
    <w:p w14:paraId="5F825A4A" w14:textId="77777777" w:rsidR="00DC7DA9" w:rsidRDefault="00DC7DA9" w:rsidP="004B6EDB">
      <w:pPr>
        <w:spacing w:line="276" w:lineRule="auto"/>
        <w:jc w:val="both"/>
        <w:rPr>
          <w:rFonts w:ascii="Minion Pro" w:hAnsi="Minion Pro"/>
          <w:color w:val="000000"/>
          <w:shd w:val="clear" w:color="auto" w:fill="FFFFFF"/>
        </w:rPr>
      </w:pPr>
    </w:p>
    <w:p w14:paraId="26CEA246" w14:textId="77777777" w:rsidR="00DC7DA9" w:rsidRDefault="00DC7DA9" w:rsidP="00DC7DA9">
      <w:pPr>
        <w:spacing w:line="276" w:lineRule="auto"/>
        <w:jc w:val="both"/>
        <w:rPr>
          <w:color w:val="000000"/>
        </w:rPr>
      </w:pPr>
      <w:r>
        <w:rPr>
          <w:rFonts w:ascii="Minion Pro" w:hAnsi="Minion Pro"/>
          <w:color w:val="000000"/>
          <w:shd w:val="clear" w:color="auto" w:fill="FFFFFF"/>
        </w:rPr>
        <w:t xml:space="preserve">Trgovačko društvo </w:t>
      </w:r>
      <w:r>
        <w:rPr>
          <w:color w:val="000000"/>
        </w:rPr>
        <w:t xml:space="preserve">BRODOTROGIR CRUISE d.o.o. ima </w:t>
      </w:r>
      <w:r w:rsidRPr="00DC7DA9">
        <w:rPr>
          <w:color w:val="000000"/>
        </w:rPr>
        <w:t>potpisane  ugovore u  vrijednosti  86.383.500 EUR  (102.364.441 USD)  za izgradnju  sedam (7) brodova s ro</w:t>
      </w:r>
      <w:r>
        <w:rPr>
          <w:color w:val="000000"/>
        </w:rPr>
        <w:t>kovima isporuke   2020. – 2023. Od toga je pet ugovora na snazi:</w:t>
      </w:r>
    </w:p>
    <w:p w14:paraId="603425A7" w14:textId="77777777" w:rsidR="00DC7DA9" w:rsidRPr="00DC7DA9" w:rsidRDefault="00DC7DA9" w:rsidP="00DC7DA9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C7DA9">
        <w:rPr>
          <w:color w:val="000000"/>
        </w:rPr>
        <w:t>putnički brod za lokalno krstarenje duljine 40 m, kupac: SEA LIFE d.o.o.,Hrvatska</w:t>
      </w:r>
    </w:p>
    <w:p w14:paraId="4B9569C9" w14:textId="77777777" w:rsidR="00DC7DA9" w:rsidRPr="00DC7DA9" w:rsidRDefault="00DC7DA9" w:rsidP="00DC7DA9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C7DA9">
        <w:rPr>
          <w:color w:val="000000"/>
        </w:rPr>
        <w:t xml:space="preserve">putnički brod za lokalno krstarenje duljine 50 m, kupac: LORA OBRT ZA TURIZAM, ZADAR, HRVATSKA </w:t>
      </w:r>
    </w:p>
    <w:p w14:paraId="3E080FFF" w14:textId="77777777" w:rsidR="00DC7DA9" w:rsidRPr="00DC7DA9" w:rsidRDefault="00DC7DA9" w:rsidP="00DC7DA9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C7DA9">
        <w:rPr>
          <w:color w:val="000000"/>
        </w:rPr>
        <w:t>putnički brod za lokalno krstarenje duljine 48 m, kupac: ROMANTIC CRUISE d.o.o., Hrvatska</w:t>
      </w:r>
    </w:p>
    <w:p w14:paraId="565A8A85" w14:textId="77777777" w:rsidR="00DC7DA9" w:rsidRPr="00DC7DA9" w:rsidRDefault="00DC7DA9" w:rsidP="00DC7DA9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C7DA9">
        <w:rPr>
          <w:color w:val="000000"/>
        </w:rPr>
        <w:t>Jahta za gospodarske namjene 58 m, kupac: NARANČA BRODARSTVO d.o.o., Hrvatska</w:t>
      </w:r>
    </w:p>
    <w:p w14:paraId="6A80E4D5" w14:textId="77777777" w:rsidR="00DC7DA9" w:rsidRPr="00DC7DA9" w:rsidRDefault="00DC7DA9" w:rsidP="00DC7DA9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C7DA9">
        <w:rPr>
          <w:color w:val="000000"/>
        </w:rPr>
        <w:t>Jahta „Yacht GVC 52“ 52 m, kupac: ROYAL VACATION CLUB d.o.o.,  Hrvatska</w:t>
      </w:r>
    </w:p>
    <w:p w14:paraId="6DD7BB62" w14:textId="77777777" w:rsidR="00DC7DA9" w:rsidRPr="00DC7DA9" w:rsidRDefault="00DC7DA9" w:rsidP="00DC7DA9">
      <w:pPr>
        <w:spacing w:line="276" w:lineRule="auto"/>
        <w:jc w:val="both"/>
        <w:rPr>
          <w:color w:val="000000"/>
        </w:rPr>
      </w:pPr>
      <w:r>
        <w:rPr>
          <w:color w:val="000000"/>
        </w:rPr>
        <w:t>dok su ugovori za dva</w:t>
      </w:r>
      <w:r w:rsidRPr="00DC7DA9">
        <w:rPr>
          <w:color w:val="000000"/>
        </w:rPr>
        <w:t xml:space="preserve">  broda za polarna ekspedicijska krstarenja duljine 95 m, kupac: DELAS CRUISE, USA; </w:t>
      </w:r>
      <w:r>
        <w:rPr>
          <w:color w:val="000000"/>
        </w:rPr>
        <w:t>potpisani, ali još nisu na snazi.</w:t>
      </w:r>
    </w:p>
    <w:p w14:paraId="083C900C" w14:textId="77777777" w:rsidR="00DC7DA9" w:rsidRPr="00DC7DA9" w:rsidRDefault="00DC7DA9" w:rsidP="00DC7DA9">
      <w:pPr>
        <w:spacing w:line="276" w:lineRule="auto"/>
        <w:jc w:val="both"/>
        <w:rPr>
          <w:color w:val="000000"/>
        </w:rPr>
      </w:pPr>
      <w:r>
        <w:rPr>
          <w:rFonts w:ascii="Minion Pro" w:hAnsi="Minion Pro"/>
          <w:color w:val="000000"/>
          <w:shd w:val="clear" w:color="auto" w:fill="FFFFFF"/>
        </w:rPr>
        <w:t xml:space="preserve">Nadalje, trgovačko društvo </w:t>
      </w:r>
      <w:r>
        <w:rPr>
          <w:color w:val="000000"/>
        </w:rPr>
        <w:t xml:space="preserve">BRODOTROGIR CRUISE d.o.o. </w:t>
      </w:r>
      <w:r w:rsidRPr="00DC7DA9">
        <w:rPr>
          <w:color w:val="000000"/>
        </w:rPr>
        <w:t>ima potpisani  sporazum  za brod za nautički turizam duljine  42,36 m  s rokom isporuke 2021. za kupca: TRABAKUL d.o.o., Hrvatska</w:t>
      </w:r>
      <w:r>
        <w:rPr>
          <w:color w:val="000000"/>
        </w:rPr>
        <w:t xml:space="preserve"> i</w:t>
      </w:r>
      <w:r w:rsidRPr="00DC7DA9">
        <w:rPr>
          <w:color w:val="000000"/>
        </w:rPr>
        <w:t xml:space="preserve"> pismo namjere za dva (2 ) broda mini Cruise Ships duljine  46,54 m uz  opciju još dva (2) broda,  s rokom isporuke   u  2022.  i u 2023. </w:t>
      </w:r>
      <w:r>
        <w:rPr>
          <w:color w:val="000000"/>
        </w:rPr>
        <w:t>te je u pregovorima  je za</w:t>
      </w:r>
      <w:r w:rsidRPr="00DC7DA9">
        <w:rPr>
          <w:color w:val="000000"/>
        </w:rPr>
        <w:t xml:space="preserve"> putnički brod 54,5 m, s predviđenom isporukom 2022.,kupac: INTERNATIONAL CRUISING YACHT  d.o.o., </w:t>
      </w:r>
      <w:r w:rsidRPr="00DC7DA9">
        <w:rPr>
          <w:color w:val="000000"/>
        </w:rPr>
        <w:tab/>
        <w:t xml:space="preserve">za izgradnju  tornjeve plutajućeg doka , s predviđenom isporukom </w:t>
      </w:r>
      <w:r>
        <w:rPr>
          <w:color w:val="000000"/>
        </w:rPr>
        <w:t xml:space="preserve">2022.,kupac ISRAEL SHIPING LTD i za </w:t>
      </w:r>
      <w:r w:rsidR="00ED0A92">
        <w:rPr>
          <w:color w:val="000000"/>
        </w:rPr>
        <w:t>dva ribarska broda 89,90 m</w:t>
      </w:r>
      <w:r w:rsidRPr="00DC7DA9">
        <w:rPr>
          <w:color w:val="000000"/>
        </w:rPr>
        <w:t>,</w:t>
      </w:r>
      <w:r w:rsidR="00ED0A92">
        <w:rPr>
          <w:color w:val="000000"/>
        </w:rPr>
        <w:t xml:space="preserve"> </w:t>
      </w:r>
      <w:r w:rsidRPr="00DC7DA9">
        <w:rPr>
          <w:color w:val="000000"/>
        </w:rPr>
        <w:t>uz  opciju još dva (2) broda s predviđenom isporukom 2023-2024., kupac BAJA FERRIES SA DE CV: MEXICO,</w:t>
      </w:r>
    </w:p>
    <w:p w14:paraId="166ED023" w14:textId="77777777" w:rsidR="00DC7DA9" w:rsidRDefault="00DC7DA9" w:rsidP="00DC7DA9">
      <w:pPr>
        <w:spacing w:line="276" w:lineRule="auto"/>
        <w:jc w:val="both"/>
        <w:rPr>
          <w:color w:val="000000"/>
        </w:rPr>
      </w:pPr>
      <w:r w:rsidRPr="00DC7DA9">
        <w:rPr>
          <w:color w:val="000000"/>
        </w:rPr>
        <w:t>Vrijednost  brodova planiranih za ugovaranje iznosi 178</w:t>
      </w:r>
      <w:r>
        <w:rPr>
          <w:color w:val="000000"/>
        </w:rPr>
        <w:t>.716.400 EUR ( 232.028.792 USD), dok u</w:t>
      </w:r>
      <w:r w:rsidRPr="00DC7DA9">
        <w:rPr>
          <w:color w:val="000000"/>
        </w:rPr>
        <w:t>kupna vrijednost ugovor</w:t>
      </w:r>
      <w:r>
        <w:rPr>
          <w:color w:val="000000"/>
        </w:rPr>
        <w:t>enih i planiranih ugovora iznosi</w:t>
      </w:r>
      <w:r w:rsidRPr="00DC7DA9">
        <w:rPr>
          <w:color w:val="000000"/>
        </w:rPr>
        <w:t xml:space="preserve"> 265.099.900 EUR  (334-393.233 USD).</w:t>
      </w:r>
    </w:p>
    <w:p w14:paraId="343395E6" w14:textId="77777777" w:rsidR="009745AF" w:rsidRDefault="009745AF" w:rsidP="009745AF">
      <w:pPr>
        <w:spacing w:line="276" w:lineRule="auto"/>
        <w:jc w:val="both"/>
        <w:rPr>
          <w:color w:val="000000"/>
        </w:rPr>
      </w:pPr>
    </w:p>
    <w:p w14:paraId="3A0A6176" w14:textId="77777777" w:rsidR="008E4BBC" w:rsidRDefault="009745AF" w:rsidP="009745AF">
      <w:pPr>
        <w:spacing w:line="276" w:lineRule="auto"/>
        <w:jc w:val="both"/>
        <w:rPr>
          <w:color w:val="000000"/>
        </w:rPr>
      </w:pPr>
      <w:r>
        <w:rPr>
          <w:color w:val="000000"/>
        </w:rPr>
        <w:t>Ukupna površina luke posebne namjene – brodogradilišta Brodotrogir d.d. iznosi 121.</w:t>
      </w:r>
      <w:r w:rsidRPr="009745AF">
        <w:rPr>
          <w:color w:val="000000"/>
        </w:rPr>
        <w:t>423</w:t>
      </w:r>
      <w:r>
        <w:rPr>
          <w:color w:val="000000"/>
        </w:rPr>
        <w:t xml:space="preserve">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="008E4BBC">
        <w:rPr>
          <w:color w:val="000000"/>
        </w:rPr>
        <w:t xml:space="preserve"> od čega je 101.837 m</w:t>
      </w:r>
      <w:r w:rsidR="008E4BBC">
        <w:rPr>
          <w:color w:val="000000"/>
          <w:vertAlign w:val="superscript"/>
        </w:rPr>
        <w:t>2</w:t>
      </w:r>
      <w:r w:rsidR="008E4BBC">
        <w:rPr>
          <w:color w:val="000000"/>
        </w:rPr>
        <w:t xml:space="preserve"> kopno, a 19.586 m</w:t>
      </w:r>
      <w:r w:rsidR="008E4BBC">
        <w:rPr>
          <w:color w:val="000000"/>
          <w:vertAlign w:val="superscript"/>
        </w:rPr>
        <w:t>2</w:t>
      </w:r>
      <w:r w:rsidR="008E4BBC">
        <w:rPr>
          <w:color w:val="000000"/>
        </w:rPr>
        <w:t xml:space="preserve"> more. U</w:t>
      </w:r>
      <w:r>
        <w:rPr>
          <w:color w:val="000000"/>
        </w:rPr>
        <w:t xml:space="preserve"> potkoncesiju se daje 60.</w:t>
      </w:r>
      <w:r w:rsidRPr="009745AF">
        <w:rPr>
          <w:color w:val="000000"/>
        </w:rPr>
        <w:t>403</w:t>
      </w:r>
      <w:r>
        <w:rPr>
          <w:color w:val="000000"/>
        </w:rPr>
        <w:t xml:space="preserve"> m</w:t>
      </w:r>
      <w:r>
        <w:rPr>
          <w:color w:val="000000"/>
          <w:vertAlign w:val="superscript"/>
        </w:rPr>
        <w:t>2</w:t>
      </w:r>
      <w:r w:rsidR="008E4BBC">
        <w:rPr>
          <w:color w:val="000000"/>
          <w:vertAlign w:val="superscript"/>
        </w:rPr>
        <w:t xml:space="preserve">  </w:t>
      </w:r>
      <w:r w:rsidR="008E4BBC">
        <w:rPr>
          <w:color w:val="000000"/>
        </w:rPr>
        <w:t>luke od čega je 43.176 m</w:t>
      </w:r>
      <w:r w:rsidR="008E4BBC">
        <w:rPr>
          <w:color w:val="000000"/>
          <w:vertAlign w:val="superscript"/>
        </w:rPr>
        <w:t xml:space="preserve">2 </w:t>
      </w:r>
      <w:r w:rsidR="008E4BBC">
        <w:rPr>
          <w:color w:val="000000"/>
        </w:rPr>
        <w:t>kopna a 17.227 m</w:t>
      </w:r>
      <w:r w:rsidR="008E4BBC">
        <w:rPr>
          <w:color w:val="000000"/>
          <w:vertAlign w:val="superscript"/>
        </w:rPr>
        <w:t xml:space="preserve">2 </w:t>
      </w:r>
      <w:r w:rsidR="008E4BBC">
        <w:rPr>
          <w:color w:val="000000"/>
        </w:rPr>
        <w:t xml:space="preserve"> more.</w:t>
      </w:r>
    </w:p>
    <w:p w14:paraId="3B49BB97" w14:textId="77777777" w:rsidR="009745AF" w:rsidRDefault="009745AF" w:rsidP="009745AF">
      <w:pPr>
        <w:spacing w:line="276" w:lineRule="auto"/>
        <w:jc w:val="both"/>
        <w:rPr>
          <w:rFonts w:ascii="Minion Pro" w:hAnsi="Minion Pro"/>
          <w:color w:val="000000"/>
          <w:shd w:val="clear" w:color="auto" w:fill="FFFFFF"/>
        </w:rPr>
      </w:pPr>
    </w:p>
    <w:p w14:paraId="16AE73E3" w14:textId="77777777" w:rsidR="00DC7DA9" w:rsidRDefault="008E4BBC" w:rsidP="00DC7DA9">
      <w:pPr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DC7DA9" w:rsidRPr="00DC7DA9">
        <w:rPr>
          <w:color w:val="000000"/>
        </w:rPr>
        <w:t xml:space="preserve">avanjem </w:t>
      </w:r>
      <w:r w:rsidR="00DC7DA9">
        <w:rPr>
          <w:color w:val="000000"/>
        </w:rPr>
        <w:t xml:space="preserve">dijela koncesije u potkoncesiju,  povećala bi </w:t>
      </w:r>
      <w:r w:rsidR="00DC7DA9" w:rsidRPr="00DC7DA9">
        <w:rPr>
          <w:color w:val="000000"/>
        </w:rPr>
        <w:t xml:space="preserve">se učinkovitost u obavljanju koncesijske djelatnosti, i to  kroz ugovorene poslove iz knjige narudžbi trgovačkog društva Brodotrogir Cruise d.o.o., a zajedničkim  projektima </w:t>
      </w:r>
      <w:r w:rsidR="00DC7DA9">
        <w:rPr>
          <w:color w:val="000000"/>
        </w:rPr>
        <w:t xml:space="preserve">trgovačkih  društava </w:t>
      </w:r>
      <w:r w:rsidR="00DC7DA9" w:rsidRPr="00DC7DA9">
        <w:rPr>
          <w:color w:val="000000"/>
        </w:rPr>
        <w:t xml:space="preserve">HRVATSKA BRODOGRADNJA TROGIR d.o.o.  i BRODOTROGIR CRUISE </w:t>
      </w:r>
      <w:r w:rsidR="003533CC">
        <w:rPr>
          <w:color w:val="000000"/>
        </w:rPr>
        <w:t>d.o.o.  omogućilo bi</w:t>
      </w:r>
      <w:r w:rsidR="00DC7DA9" w:rsidRPr="00DC7DA9">
        <w:rPr>
          <w:color w:val="000000"/>
        </w:rPr>
        <w:t xml:space="preserve"> se  da uz ovlaštenika koncesije,  poslove izgradnje brodova obavlja i trgovačko društvo koje posjeduje iskustvo te financijske i organizacijske sposobnosti na području brodogradilišta, u izgradnji  putničkih brodova za  lokalna  krstarenja, brodove za polarna ekspedicijska krstarenja kao i luksuzne jahte za svjetska tržišta.</w:t>
      </w:r>
    </w:p>
    <w:p w14:paraId="3DA091C0" w14:textId="77777777" w:rsidR="00ED0A92" w:rsidRDefault="00ED0A92" w:rsidP="00DC7DA9">
      <w:pPr>
        <w:spacing w:line="276" w:lineRule="auto"/>
        <w:jc w:val="both"/>
        <w:rPr>
          <w:color w:val="000000"/>
        </w:rPr>
      </w:pPr>
    </w:p>
    <w:p w14:paraId="540434C3" w14:textId="77777777" w:rsidR="00ED0A92" w:rsidRDefault="00ED0A92" w:rsidP="00DC7DA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Davanjem dijela koncesije u potkoncesiju ne bi se stvarale odvojene funkcionalne i tehničko – tehnološke </w:t>
      </w:r>
      <w:r w:rsidR="00CE4954">
        <w:rPr>
          <w:color w:val="000000"/>
        </w:rPr>
        <w:t>cjeline, već bi se dozvolilo</w:t>
      </w:r>
      <w:r>
        <w:rPr>
          <w:color w:val="000000"/>
        </w:rPr>
        <w:t xml:space="preserve"> poslovanje potkoncesionara na području dijela brodogradilišta i ugovaranje poslova, a koji bi se poslovi obavljali u sur</w:t>
      </w:r>
      <w:r w:rsidR="00CE4954">
        <w:rPr>
          <w:color w:val="000000"/>
        </w:rPr>
        <w:t>adnji s ovlaštenikom koncesije, a sve u cilju učinkovitijeg upravljanja lukom posebne namjene, povećanjem prihoda od luke te osnaženja brodograđevne industrije u Hrvatskoj.</w:t>
      </w:r>
    </w:p>
    <w:p w14:paraId="4068F7A7" w14:textId="77777777" w:rsidR="004B6EDB" w:rsidRDefault="004B6EDB" w:rsidP="004B6EDB">
      <w:pPr>
        <w:spacing w:line="276" w:lineRule="auto"/>
        <w:jc w:val="both"/>
        <w:rPr>
          <w:rFonts w:ascii="Minion Pro" w:hAnsi="Minion Pro"/>
          <w:color w:val="000000"/>
          <w:shd w:val="clear" w:color="auto" w:fill="FFFFFF"/>
        </w:rPr>
      </w:pPr>
    </w:p>
    <w:p w14:paraId="15F1A134" w14:textId="77777777" w:rsidR="00F31E0B" w:rsidRDefault="00F31E0B" w:rsidP="00CE78D1"/>
    <w:sectPr w:rsidR="00F31E0B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A4A0" w14:textId="77777777" w:rsidR="00751946" w:rsidRDefault="00751946" w:rsidP="0011560A">
      <w:r>
        <w:separator/>
      </w:r>
    </w:p>
  </w:endnote>
  <w:endnote w:type="continuationSeparator" w:id="0">
    <w:p w14:paraId="192861BF" w14:textId="77777777" w:rsidR="00751946" w:rsidRDefault="0075194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1211" w14:textId="77777777" w:rsidR="00751946" w:rsidRDefault="00751946" w:rsidP="0011560A">
      <w:r>
        <w:separator/>
      </w:r>
    </w:p>
  </w:footnote>
  <w:footnote w:type="continuationSeparator" w:id="0">
    <w:p w14:paraId="3D3C0FA3" w14:textId="77777777" w:rsidR="00751946" w:rsidRDefault="0075194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358"/>
    <w:multiLevelType w:val="hybridMultilevel"/>
    <w:tmpl w:val="95B26FFE"/>
    <w:lvl w:ilvl="0" w:tplc="28966B02">
      <w:numFmt w:val="bullet"/>
      <w:lvlText w:val="-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60A9"/>
    <w:multiLevelType w:val="hybridMultilevel"/>
    <w:tmpl w:val="15B2C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0163"/>
    <w:rsid w:val="00086A6C"/>
    <w:rsid w:val="000959D5"/>
    <w:rsid w:val="000A0E64"/>
    <w:rsid w:val="000A1D60"/>
    <w:rsid w:val="000A3A3B"/>
    <w:rsid w:val="000D1A50"/>
    <w:rsid w:val="001015C6"/>
    <w:rsid w:val="00110E6C"/>
    <w:rsid w:val="00114AC3"/>
    <w:rsid w:val="0011560A"/>
    <w:rsid w:val="0012264D"/>
    <w:rsid w:val="00135F1A"/>
    <w:rsid w:val="00146B79"/>
    <w:rsid w:val="00147DE9"/>
    <w:rsid w:val="00170226"/>
    <w:rsid w:val="001741AA"/>
    <w:rsid w:val="001917B2"/>
    <w:rsid w:val="001A13E7"/>
    <w:rsid w:val="001A66C5"/>
    <w:rsid w:val="001B7A97"/>
    <w:rsid w:val="001E7218"/>
    <w:rsid w:val="002179F8"/>
    <w:rsid w:val="00220956"/>
    <w:rsid w:val="0023763F"/>
    <w:rsid w:val="002536DA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14AA"/>
    <w:rsid w:val="00336EE7"/>
    <w:rsid w:val="0034351C"/>
    <w:rsid w:val="003533CC"/>
    <w:rsid w:val="00381F04"/>
    <w:rsid w:val="0038426B"/>
    <w:rsid w:val="003929F5"/>
    <w:rsid w:val="003A0526"/>
    <w:rsid w:val="003A0EC4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B6ED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3E50"/>
    <w:rsid w:val="00675B44"/>
    <w:rsid w:val="0068013E"/>
    <w:rsid w:val="0068772B"/>
    <w:rsid w:val="00693A4D"/>
    <w:rsid w:val="00694D87"/>
    <w:rsid w:val="006A0D3F"/>
    <w:rsid w:val="006B7800"/>
    <w:rsid w:val="006C0CC3"/>
    <w:rsid w:val="006E14A9"/>
    <w:rsid w:val="006E611E"/>
    <w:rsid w:val="007010C7"/>
    <w:rsid w:val="00726165"/>
    <w:rsid w:val="00731AC4"/>
    <w:rsid w:val="00751946"/>
    <w:rsid w:val="007571DC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B03BD"/>
    <w:rsid w:val="008C0768"/>
    <w:rsid w:val="008C1D0A"/>
    <w:rsid w:val="008D1E25"/>
    <w:rsid w:val="008E4BBC"/>
    <w:rsid w:val="008F0DD4"/>
    <w:rsid w:val="0090200F"/>
    <w:rsid w:val="009047E4"/>
    <w:rsid w:val="009126B3"/>
    <w:rsid w:val="009152C4"/>
    <w:rsid w:val="00923622"/>
    <w:rsid w:val="0095079B"/>
    <w:rsid w:val="00953BA1"/>
    <w:rsid w:val="00954D08"/>
    <w:rsid w:val="009745AF"/>
    <w:rsid w:val="00977B12"/>
    <w:rsid w:val="009930CA"/>
    <w:rsid w:val="009C33E1"/>
    <w:rsid w:val="009C7815"/>
    <w:rsid w:val="009D739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B2548"/>
    <w:rsid w:val="00C337A4"/>
    <w:rsid w:val="00C44327"/>
    <w:rsid w:val="00C969CC"/>
    <w:rsid w:val="00CA4F84"/>
    <w:rsid w:val="00CD1639"/>
    <w:rsid w:val="00CD3EFA"/>
    <w:rsid w:val="00CE3768"/>
    <w:rsid w:val="00CE3D00"/>
    <w:rsid w:val="00CE4954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DA9"/>
    <w:rsid w:val="00E14771"/>
    <w:rsid w:val="00E25569"/>
    <w:rsid w:val="00E4407D"/>
    <w:rsid w:val="00E601A2"/>
    <w:rsid w:val="00E77198"/>
    <w:rsid w:val="00E83E23"/>
    <w:rsid w:val="00EA3AD1"/>
    <w:rsid w:val="00EB1248"/>
    <w:rsid w:val="00EC08EF"/>
    <w:rsid w:val="00ED0A92"/>
    <w:rsid w:val="00ED236E"/>
    <w:rsid w:val="00EE03CA"/>
    <w:rsid w:val="00EE7199"/>
    <w:rsid w:val="00F31E0B"/>
    <w:rsid w:val="00F3220D"/>
    <w:rsid w:val="00F43464"/>
    <w:rsid w:val="00F764AD"/>
    <w:rsid w:val="00F95A2D"/>
    <w:rsid w:val="00F978E2"/>
    <w:rsid w:val="00F97BA9"/>
    <w:rsid w:val="00FA4E25"/>
    <w:rsid w:val="00FC58F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044E75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6EDB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4B6EDB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4B6EDB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4B6EDB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B6EDB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4B6EDB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4B6E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FAD3-F57D-4BD6-A90F-DAD68E31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3</cp:revision>
  <cp:lastPrinted>2019-01-21T11:06:00Z</cp:lastPrinted>
  <dcterms:created xsi:type="dcterms:W3CDTF">2020-11-10T09:09:00Z</dcterms:created>
  <dcterms:modified xsi:type="dcterms:W3CDTF">2020-11-10T09:26:00Z</dcterms:modified>
</cp:coreProperties>
</file>