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DEC85" w14:textId="77777777" w:rsidR="001107A8" w:rsidRPr="005D5BAF" w:rsidRDefault="001107A8" w:rsidP="001107A8">
      <w:pPr>
        <w:jc w:val="center"/>
      </w:pPr>
      <w:bookmarkStart w:id="0" w:name="_Hlk36710214"/>
      <w:bookmarkStart w:id="1" w:name="_GoBack"/>
      <w:bookmarkEnd w:id="1"/>
      <w:r w:rsidRPr="005D5BAF">
        <w:t xml:space="preserve">  </w:t>
      </w:r>
      <w:r w:rsidRPr="005D5BAF">
        <w:rPr>
          <w:noProof/>
        </w:rPr>
        <w:drawing>
          <wp:inline distT="0" distB="0" distL="0" distR="0" wp14:anchorId="2B031E66" wp14:editId="31B1FB1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D5BAF">
        <w:fldChar w:fldCharType="begin"/>
      </w:r>
      <w:r w:rsidRPr="00E47992">
        <w:instrText xml:space="preserve"> INCLUDEPICTURE "http://www.inet.hr/~box/images/grb-rh.gif" \* MERGEFORMATINET </w:instrText>
      </w:r>
      <w:r w:rsidRPr="005D5BAF">
        <w:fldChar w:fldCharType="end"/>
      </w:r>
    </w:p>
    <w:p w14:paraId="6EB79EC1" w14:textId="77777777" w:rsidR="001107A8" w:rsidRPr="005D5BAF" w:rsidRDefault="001107A8" w:rsidP="001107A8">
      <w:pPr>
        <w:spacing w:before="60" w:after="1680"/>
        <w:jc w:val="center"/>
      </w:pPr>
      <w:r w:rsidRPr="005D5BAF">
        <w:t>VLADA REPUBLIKE HRVATSKE</w:t>
      </w:r>
    </w:p>
    <w:p w14:paraId="1552364C" w14:textId="77777777" w:rsidR="001107A8" w:rsidRPr="005D5BAF" w:rsidRDefault="001107A8" w:rsidP="001107A8">
      <w:pPr>
        <w:jc w:val="both"/>
      </w:pPr>
    </w:p>
    <w:p w14:paraId="0DF9AF8B" w14:textId="77777777" w:rsidR="001107A8" w:rsidRPr="005D5BAF" w:rsidRDefault="001107A8" w:rsidP="001107A8">
      <w:pPr>
        <w:jc w:val="right"/>
      </w:pPr>
      <w:r w:rsidRPr="005D5BAF">
        <w:t>Zagreb,</w:t>
      </w:r>
      <w:r>
        <w:t xml:space="preserve"> </w:t>
      </w:r>
      <w:r w:rsidR="00C76FA8">
        <w:t>7</w:t>
      </w:r>
      <w:r>
        <w:t>. svibnja</w:t>
      </w:r>
      <w:r w:rsidRPr="005D5BAF">
        <w:t xml:space="preserve"> </w:t>
      </w:r>
      <w:r>
        <w:t>2020</w:t>
      </w:r>
      <w:r w:rsidRPr="005D5BAF">
        <w:t>.</w:t>
      </w:r>
    </w:p>
    <w:p w14:paraId="3ED0283C" w14:textId="77777777" w:rsidR="001107A8" w:rsidRPr="005D5BAF" w:rsidRDefault="001107A8" w:rsidP="001107A8">
      <w:pPr>
        <w:jc w:val="right"/>
      </w:pPr>
    </w:p>
    <w:p w14:paraId="52A45D3D" w14:textId="77777777" w:rsidR="001107A8" w:rsidRPr="005D5BAF" w:rsidRDefault="001107A8" w:rsidP="001107A8">
      <w:pPr>
        <w:jc w:val="right"/>
      </w:pPr>
    </w:p>
    <w:p w14:paraId="0699C607" w14:textId="77777777" w:rsidR="001107A8" w:rsidRPr="005D5BAF" w:rsidRDefault="001107A8" w:rsidP="001107A8">
      <w:pPr>
        <w:jc w:val="right"/>
      </w:pPr>
    </w:p>
    <w:p w14:paraId="544EBE5A" w14:textId="77777777" w:rsidR="001107A8" w:rsidRPr="005D5BAF" w:rsidRDefault="001107A8" w:rsidP="001107A8">
      <w:pPr>
        <w:jc w:val="both"/>
      </w:pPr>
      <w:r w:rsidRPr="005D5BAF">
        <w:t>__________________________________________</w:t>
      </w:r>
      <w:r>
        <w:t>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6910"/>
      </w:tblGrid>
      <w:tr w:rsidR="001107A8" w:rsidRPr="00380362" w14:paraId="6CC5D5F9" w14:textId="77777777" w:rsidTr="00606B6D">
        <w:tc>
          <w:tcPr>
            <w:tcW w:w="1951" w:type="dxa"/>
          </w:tcPr>
          <w:p w14:paraId="6BE96B4B" w14:textId="77777777" w:rsidR="001107A8" w:rsidRPr="005D5BAF" w:rsidRDefault="001107A8" w:rsidP="00606B6D">
            <w:pPr>
              <w:spacing w:after="200" w:line="360" w:lineRule="auto"/>
              <w:jc w:val="right"/>
            </w:pPr>
            <w:r w:rsidRPr="005D5BAF">
              <w:t xml:space="preserve"> </w:t>
            </w:r>
            <w:r w:rsidRPr="005D5BAF">
              <w:rPr>
                <w:b/>
                <w:smallCaps/>
              </w:rPr>
              <w:t>Predlagatelj</w:t>
            </w:r>
            <w:r w:rsidRPr="005D5BAF">
              <w:rPr>
                <w:b/>
              </w:rPr>
              <w:t>:</w:t>
            </w:r>
          </w:p>
        </w:tc>
        <w:tc>
          <w:tcPr>
            <w:tcW w:w="7229" w:type="dxa"/>
          </w:tcPr>
          <w:p w14:paraId="74C60BF6" w14:textId="77777777" w:rsidR="001107A8" w:rsidRPr="005D5BAF" w:rsidRDefault="001107A8" w:rsidP="00606B6D">
            <w:pPr>
              <w:spacing w:after="200" w:line="360" w:lineRule="auto"/>
            </w:pPr>
            <w:r>
              <w:t>Ministarstvo pravosuđa</w:t>
            </w:r>
          </w:p>
        </w:tc>
      </w:tr>
    </w:tbl>
    <w:p w14:paraId="7CAEAA2A" w14:textId="77777777" w:rsidR="001107A8" w:rsidRPr="005D5BAF" w:rsidRDefault="001107A8" w:rsidP="001107A8">
      <w:pPr>
        <w:jc w:val="both"/>
      </w:pPr>
      <w:r w:rsidRPr="005D5BAF">
        <w:t>__________________________________________</w:t>
      </w:r>
      <w:r>
        <w:t>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6939"/>
      </w:tblGrid>
      <w:tr w:rsidR="001107A8" w:rsidRPr="00380362" w14:paraId="3F27B163" w14:textId="77777777" w:rsidTr="00606B6D">
        <w:tc>
          <w:tcPr>
            <w:tcW w:w="1951" w:type="dxa"/>
          </w:tcPr>
          <w:p w14:paraId="53C2FF13" w14:textId="77777777" w:rsidR="001107A8" w:rsidRPr="005D5BAF" w:rsidRDefault="001107A8" w:rsidP="001107A8">
            <w:pPr>
              <w:spacing w:after="200" w:line="360" w:lineRule="auto"/>
            </w:pPr>
            <w:r w:rsidRPr="005D5BAF">
              <w:rPr>
                <w:b/>
                <w:smallCaps/>
              </w:rPr>
              <w:t>Predmet</w:t>
            </w:r>
            <w:r w:rsidRPr="005D5BAF">
              <w:rPr>
                <w:b/>
              </w:rPr>
              <w:t>:</w:t>
            </w:r>
            <w:r>
              <w:rPr>
                <w:b/>
              </w:rPr>
              <w:t xml:space="preserve">              </w:t>
            </w:r>
          </w:p>
        </w:tc>
        <w:tc>
          <w:tcPr>
            <w:tcW w:w="7229" w:type="dxa"/>
          </w:tcPr>
          <w:p w14:paraId="7AC05271" w14:textId="77777777" w:rsidR="001107A8" w:rsidRPr="005D5BAF" w:rsidRDefault="00C76FA8" w:rsidP="001107A8">
            <w:pPr>
              <w:spacing w:after="200" w:line="360" w:lineRule="auto"/>
              <w:jc w:val="both"/>
            </w:pPr>
            <w:r>
              <w:t>Nacrt konačnog</w:t>
            </w:r>
            <w:r w:rsidR="001107A8" w:rsidRPr="001107A8">
              <w:t xml:space="preserve"> prijedlo</w:t>
            </w:r>
            <w:r>
              <w:t>ga</w:t>
            </w:r>
            <w:r w:rsidR="001107A8" w:rsidRPr="001107A8">
              <w:t xml:space="preserve"> zakona o potvr</w:t>
            </w:r>
            <w:r w:rsidR="001107A8">
              <w:t>đivanju Ugovora o zajmu između Republike Hrvatske i M</w:t>
            </w:r>
            <w:r w:rsidR="001107A8" w:rsidRPr="001107A8">
              <w:t>eđunarod</w:t>
            </w:r>
            <w:r w:rsidR="001107A8">
              <w:t>ne banke za obnovu i razvoj za P</w:t>
            </w:r>
            <w:r w:rsidR="001107A8" w:rsidRPr="001107A8">
              <w:t>rojekt učinkovitog pravosuđa za bolje poslovno okruženje</w:t>
            </w:r>
          </w:p>
        </w:tc>
      </w:tr>
    </w:tbl>
    <w:p w14:paraId="70CCF203" w14:textId="77777777" w:rsidR="001107A8" w:rsidRPr="005D5BAF" w:rsidRDefault="001107A8" w:rsidP="001107A8">
      <w:pPr>
        <w:jc w:val="both"/>
      </w:pPr>
      <w:r w:rsidRPr="005D5BAF">
        <w:t>__________________________________________</w:t>
      </w:r>
      <w:r>
        <w:t>______________________________</w:t>
      </w:r>
    </w:p>
    <w:p w14:paraId="016D4F23" w14:textId="77777777" w:rsidR="001107A8" w:rsidRPr="005D5BAF" w:rsidRDefault="001107A8" w:rsidP="001107A8">
      <w:pPr>
        <w:jc w:val="both"/>
      </w:pPr>
    </w:p>
    <w:p w14:paraId="59819082" w14:textId="77777777" w:rsidR="001107A8" w:rsidRPr="005D5BAF" w:rsidRDefault="001107A8" w:rsidP="001107A8">
      <w:pPr>
        <w:jc w:val="both"/>
      </w:pPr>
    </w:p>
    <w:p w14:paraId="5A91BE2B" w14:textId="77777777" w:rsidR="001107A8" w:rsidRPr="005D5BAF" w:rsidRDefault="001107A8" w:rsidP="001107A8">
      <w:pPr>
        <w:jc w:val="both"/>
      </w:pPr>
    </w:p>
    <w:p w14:paraId="24394EFD" w14:textId="77777777" w:rsidR="001107A8" w:rsidRPr="005D5BAF" w:rsidRDefault="001107A8" w:rsidP="001107A8">
      <w:pPr>
        <w:jc w:val="both"/>
      </w:pPr>
    </w:p>
    <w:p w14:paraId="459811CF" w14:textId="77777777" w:rsidR="001107A8" w:rsidRPr="005D5BAF" w:rsidRDefault="001107A8" w:rsidP="001107A8">
      <w:pPr>
        <w:pStyle w:val="Header"/>
      </w:pPr>
    </w:p>
    <w:p w14:paraId="75EFFA21" w14:textId="77777777" w:rsidR="001107A8" w:rsidRPr="005D5BAF" w:rsidRDefault="001107A8" w:rsidP="001107A8"/>
    <w:p w14:paraId="125BAC37" w14:textId="77777777" w:rsidR="001107A8" w:rsidRDefault="001107A8" w:rsidP="001107A8">
      <w:pPr>
        <w:pStyle w:val="Footer"/>
      </w:pPr>
    </w:p>
    <w:p w14:paraId="61EA86EE" w14:textId="77777777" w:rsidR="001107A8" w:rsidRDefault="001107A8" w:rsidP="001107A8">
      <w:pPr>
        <w:pStyle w:val="Footer"/>
        <w:rPr>
          <w:lang w:val="hr-HR"/>
        </w:rPr>
      </w:pPr>
    </w:p>
    <w:p w14:paraId="7D474734" w14:textId="77777777" w:rsidR="001107A8" w:rsidRDefault="001107A8" w:rsidP="001107A8">
      <w:pPr>
        <w:pStyle w:val="Footer"/>
        <w:rPr>
          <w:lang w:val="hr-HR"/>
        </w:rPr>
      </w:pPr>
    </w:p>
    <w:p w14:paraId="32838190" w14:textId="77777777" w:rsidR="001107A8" w:rsidRDefault="001107A8" w:rsidP="001107A8">
      <w:pPr>
        <w:pStyle w:val="Footer"/>
        <w:rPr>
          <w:lang w:val="hr-HR"/>
        </w:rPr>
      </w:pPr>
    </w:p>
    <w:p w14:paraId="7A0E4BE6" w14:textId="77777777" w:rsidR="001107A8" w:rsidRDefault="001107A8" w:rsidP="001107A8">
      <w:pPr>
        <w:pStyle w:val="Footer"/>
        <w:rPr>
          <w:lang w:val="hr-HR"/>
        </w:rPr>
      </w:pPr>
    </w:p>
    <w:p w14:paraId="1182A78D" w14:textId="77777777" w:rsidR="001107A8" w:rsidRDefault="001107A8" w:rsidP="001107A8">
      <w:pPr>
        <w:pStyle w:val="Footer"/>
        <w:rPr>
          <w:lang w:val="hr-HR"/>
        </w:rPr>
      </w:pPr>
    </w:p>
    <w:p w14:paraId="5C627C66" w14:textId="77777777" w:rsidR="001107A8" w:rsidRDefault="001107A8" w:rsidP="001107A8">
      <w:pPr>
        <w:pStyle w:val="Footer"/>
        <w:rPr>
          <w:lang w:val="hr-HR"/>
        </w:rPr>
      </w:pPr>
    </w:p>
    <w:p w14:paraId="494B4D64" w14:textId="77777777" w:rsidR="001107A8" w:rsidRDefault="001107A8" w:rsidP="001107A8">
      <w:pPr>
        <w:pStyle w:val="Footer"/>
        <w:rPr>
          <w:lang w:val="hr-HR"/>
        </w:rPr>
      </w:pPr>
    </w:p>
    <w:p w14:paraId="68E4C43A" w14:textId="77777777" w:rsidR="001107A8" w:rsidRDefault="001107A8" w:rsidP="001107A8">
      <w:pPr>
        <w:pStyle w:val="Footer"/>
        <w:rPr>
          <w:lang w:val="hr-HR"/>
        </w:rPr>
      </w:pPr>
    </w:p>
    <w:p w14:paraId="2B48C92D" w14:textId="77777777" w:rsidR="001107A8" w:rsidRPr="001107A8" w:rsidRDefault="001107A8" w:rsidP="001107A8">
      <w:pPr>
        <w:pStyle w:val="Footer"/>
        <w:rPr>
          <w:lang w:val="hr-HR"/>
        </w:rPr>
      </w:pPr>
    </w:p>
    <w:p w14:paraId="225A909A" w14:textId="77777777" w:rsidR="001107A8" w:rsidRDefault="001107A8" w:rsidP="001107A8">
      <w:pPr>
        <w:pStyle w:val="Footer"/>
      </w:pPr>
    </w:p>
    <w:p w14:paraId="076A21D7" w14:textId="77777777" w:rsidR="001107A8" w:rsidRPr="005D5BAF" w:rsidRDefault="001107A8" w:rsidP="001107A8">
      <w:pPr>
        <w:pStyle w:val="Footer"/>
      </w:pPr>
    </w:p>
    <w:p w14:paraId="0DA0E9EF" w14:textId="77777777" w:rsidR="001107A8" w:rsidRPr="009D7BA1" w:rsidRDefault="001107A8" w:rsidP="001107A8"/>
    <w:p w14:paraId="713B2B78" w14:textId="77777777" w:rsidR="001107A8" w:rsidRDefault="001107A8" w:rsidP="001107A8">
      <w:pPr>
        <w:pStyle w:val="Footer"/>
        <w:pBdr>
          <w:top w:val="single" w:sz="4" w:space="1" w:color="404040" w:themeColor="text1" w:themeTint="BF"/>
        </w:pBdr>
        <w:jc w:val="center"/>
        <w:rPr>
          <w:color w:val="404040" w:themeColor="text1" w:themeTint="BF"/>
          <w:spacing w:val="20"/>
          <w:sz w:val="22"/>
          <w:szCs w:val="22"/>
          <w:lang w:val="hr-HR"/>
        </w:rPr>
      </w:pPr>
      <w:r w:rsidRPr="00C76FA8">
        <w:rPr>
          <w:color w:val="404040" w:themeColor="text1" w:themeTint="BF"/>
          <w:spacing w:val="20"/>
          <w:sz w:val="22"/>
          <w:szCs w:val="22"/>
        </w:rPr>
        <w:t>Banski dvori | Trg Sv. Marka 2  | 10000 Zagreb | tel. 01 4569 222 | vlada.gov.h</w:t>
      </w:r>
      <w:r w:rsidRPr="00C76FA8">
        <w:rPr>
          <w:color w:val="404040" w:themeColor="text1" w:themeTint="BF"/>
          <w:spacing w:val="20"/>
          <w:sz w:val="22"/>
          <w:szCs w:val="22"/>
          <w:lang w:val="hr-HR"/>
        </w:rPr>
        <w:t>r</w:t>
      </w:r>
    </w:p>
    <w:p w14:paraId="05FF9CE6" w14:textId="77777777" w:rsidR="00C76FA8" w:rsidRPr="00C76FA8" w:rsidRDefault="00C76FA8" w:rsidP="001107A8">
      <w:pPr>
        <w:pStyle w:val="Footer"/>
        <w:pBdr>
          <w:top w:val="single" w:sz="4" w:space="1" w:color="404040" w:themeColor="text1" w:themeTint="BF"/>
        </w:pBdr>
        <w:jc w:val="center"/>
        <w:rPr>
          <w:sz w:val="22"/>
          <w:szCs w:val="22"/>
          <w:lang w:val="hr-HR"/>
        </w:rPr>
      </w:pPr>
    </w:p>
    <w:p w14:paraId="3A32D23C" w14:textId="77777777" w:rsidR="001107A8" w:rsidRDefault="001107A8" w:rsidP="00E80848">
      <w:pPr>
        <w:pBdr>
          <w:bottom w:val="single" w:sz="12" w:space="1" w:color="auto"/>
        </w:pBdr>
        <w:suppressAutoHyphens/>
        <w:jc w:val="center"/>
        <w:rPr>
          <w:b/>
          <w:spacing w:val="-3"/>
        </w:rPr>
      </w:pPr>
    </w:p>
    <w:p w14:paraId="4AB827DB" w14:textId="77777777" w:rsidR="001107A8" w:rsidRDefault="001107A8" w:rsidP="00E80848">
      <w:pPr>
        <w:pBdr>
          <w:bottom w:val="single" w:sz="12" w:space="1" w:color="auto"/>
        </w:pBdr>
        <w:suppressAutoHyphens/>
        <w:jc w:val="center"/>
        <w:rPr>
          <w:b/>
          <w:spacing w:val="-3"/>
        </w:rPr>
      </w:pPr>
    </w:p>
    <w:p w14:paraId="15DDD128" w14:textId="77777777" w:rsidR="001107A8" w:rsidRDefault="001107A8" w:rsidP="00E80848">
      <w:pPr>
        <w:pBdr>
          <w:bottom w:val="single" w:sz="12" w:space="1" w:color="auto"/>
        </w:pBdr>
        <w:suppressAutoHyphens/>
        <w:jc w:val="center"/>
        <w:rPr>
          <w:b/>
          <w:spacing w:val="-3"/>
        </w:rPr>
      </w:pPr>
      <w:r>
        <w:rPr>
          <w:b/>
          <w:spacing w:val="-3"/>
        </w:rPr>
        <w:t>REPUBLIKA HRVATSKA</w:t>
      </w:r>
    </w:p>
    <w:p w14:paraId="79ADA1C7" w14:textId="77777777" w:rsidR="00E80848" w:rsidRPr="00AF625F" w:rsidRDefault="00E80848" w:rsidP="00E80848">
      <w:pPr>
        <w:pBdr>
          <w:bottom w:val="single" w:sz="12" w:space="1" w:color="auto"/>
        </w:pBdr>
        <w:suppressAutoHyphens/>
        <w:jc w:val="center"/>
        <w:rPr>
          <w:b/>
          <w:spacing w:val="-3"/>
        </w:rPr>
      </w:pPr>
      <w:r>
        <w:rPr>
          <w:b/>
          <w:spacing w:val="-3"/>
        </w:rPr>
        <w:t>MINISTARSTVO PRAVOSUĐA</w:t>
      </w:r>
    </w:p>
    <w:p w14:paraId="15243C9E" w14:textId="77777777" w:rsidR="00E80848" w:rsidRPr="00AF625F" w:rsidRDefault="00E80848" w:rsidP="00E80848">
      <w:pPr>
        <w:suppressAutoHyphens/>
        <w:jc w:val="center"/>
        <w:rPr>
          <w:b/>
          <w:spacing w:val="-3"/>
        </w:rPr>
      </w:pPr>
    </w:p>
    <w:p w14:paraId="2A362D7A" w14:textId="77777777" w:rsidR="00E80848" w:rsidRPr="00AF625F" w:rsidRDefault="00A22E04" w:rsidP="00E80848">
      <w:pPr>
        <w:suppressAutoHyphens/>
        <w:jc w:val="center"/>
        <w:rPr>
          <w:b/>
          <w:spacing w:val="-3"/>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NACRT</w:t>
      </w:r>
    </w:p>
    <w:p w14:paraId="7B7B5E02" w14:textId="77777777" w:rsidR="00E80848" w:rsidRPr="00AF625F" w:rsidRDefault="00E80848" w:rsidP="00E80848">
      <w:pPr>
        <w:suppressAutoHyphens/>
        <w:jc w:val="center"/>
        <w:rPr>
          <w:b/>
          <w:spacing w:val="-3"/>
        </w:rPr>
      </w:pPr>
    </w:p>
    <w:p w14:paraId="46D277E0" w14:textId="77777777" w:rsidR="00E80848" w:rsidRPr="00AF625F" w:rsidRDefault="00E80848" w:rsidP="00E80848">
      <w:pPr>
        <w:suppressAutoHyphens/>
        <w:jc w:val="center"/>
        <w:rPr>
          <w:b/>
          <w:spacing w:val="-3"/>
        </w:rPr>
      </w:pPr>
    </w:p>
    <w:p w14:paraId="134D9DAD" w14:textId="77777777" w:rsidR="00E80848" w:rsidRPr="00AF625F" w:rsidRDefault="00E80848" w:rsidP="00E80848">
      <w:pPr>
        <w:suppressAutoHyphens/>
        <w:jc w:val="right"/>
        <w:rPr>
          <w:b/>
          <w:spacing w:val="-3"/>
        </w:rPr>
      </w:pPr>
    </w:p>
    <w:p w14:paraId="23A6AC66" w14:textId="77777777" w:rsidR="00E80848" w:rsidRPr="00AF625F" w:rsidRDefault="00E80848" w:rsidP="00E80848">
      <w:pPr>
        <w:suppressAutoHyphens/>
        <w:jc w:val="center"/>
        <w:rPr>
          <w:b/>
          <w:spacing w:val="-3"/>
        </w:rPr>
      </w:pPr>
    </w:p>
    <w:p w14:paraId="4C308185" w14:textId="77777777" w:rsidR="00E80848" w:rsidRPr="00AF625F" w:rsidRDefault="00E80848" w:rsidP="00E80848">
      <w:pPr>
        <w:suppressAutoHyphens/>
        <w:jc w:val="center"/>
        <w:rPr>
          <w:b/>
          <w:spacing w:val="-3"/>
        </w:rPr>
      </w:pPr>
    </w:p>
    <w:p w14:paraId="7BE5BB8E" w14:textId="77777777" w:rsidR="00E80848" w:rsidRPr="00AF625F" w:rsidRDefault="00E80848" w:rsidP="00E80848">
      <w:pPr>
        <w:suppressAutoHyphens/>
        <w:jc w:val="center"/>
        <w:rPr>
          <w:b/>
          <w:spacing w:val="-3"/>
        </w:rPr>
      </w:pPr>
    </w:p>
    <w:p w14:paraId="37593A89" w14:textId="77777777" w:rsidR="00E80848" w:rsidRPr="00AF625F" w:rsidRDefault="00E80848" w:rsidP="00E80848">
      <w:pPr>
        <w:suppressAutoHyphens/>
        <w:jc w:val="center"/>
        <w:rPr>
          <w:b/>
          <w:spacing w:val="-3"/>
        </w:rPr>
      </w:pPr>
    </w:p>
    <w:p w14:paraId="75276EA9" w14:textId="77777777" w:rsidR="00E80848" w:rsidRPr="00AF625F" w:rsidRDefault="00E80848" w:rsidP="00E80848">
      <w:pPr>
        <w:suppressAutoHyphens/>
        <w:jc w:val="center"/>
        <w:rPr>
          <w:b/>
          <w:spacing w:val="-3"/>
        </w:rPr>
      </w:pPr>
    </w:p>
    <w:p w14:paraId="04CD41E2" w14:textId="77777777" w:rsidR="00E80848" w:rsidRPr="00AF625F" w:rsidRDefault="00E80848" w:rsidP="00E80848">
      <w:pPr>
        <w:suppressAutoHyphens/>
        <w:jc w:val="center"/>
        <w:rPr>
          <w:b/>
          <w:spacing w:val="-3"/>
        </w:rPr>
      </w:pPr>
    </w:p>
    <w:p w14:paraId="51653193" w14:textId="77777777" w:rsidR="00E80848" w:rsidRPr="00AF625F" w:rsidRDefault="00E80848" w:rsidP="00E80848">
      <w:pPr>
        <w:suppressAutoHyphens/>
        <w:jc w:val="center"/>
        <w:rPr>
          <w:b/>
          <w:spacing w:val="-3"/>
        </w:rPr>
      </w:pPr>
    </w:p>
    <w:p w14:paraId="322BB044" w14:textId="77777777" w:rsidR="00E80848" w:rsidRPr="00AF625F" w:rsidRDefault="00E80848" w:rsidP="00E80848">
      <w:pPr>
        <w:suppressAutoHyphens/>
        <w:jc w:val="center"/>
        <w:rPr>
          <w:b/>
          <w:spacing w:val="-3"/>
        </w:rPr>
      </w:pPr>
    </w:p>
    <w:p w14:paraId="5115EEB4" w14:textId="77777777" w:rsidR="00E80848" w:rsidRPr="00AF625F" w:rsidRDefault="00E80848" w:rsidP="00E80848">
      <w:pPr>
        <w:suppressAutoHyphens/>
        <w:jc w:val="center"/>
        <w:rPr>
          <w:b/>
          <w:spacing w:val="-3"/>
        </w:rPr>
      </w:pPr>
    </w:p>
    <w:p w14:paraId="51734C9A" w14:textId="77777777" w:rsidR="00E80848" w:rsidRPr="00AF625F" w:rsidRDefault="00E80848" w:rsidP="00E80848">
      <w:pPr>
        <w:suppressAutoHyphens/>
        <w:jc w:val="center"/>
        <w:rPr>
          <w:b/>
          <w:spacing w:val="-3"/>
        </w:rPr>
      </w:pPr>
    </w:p>
    <w:p w14:paraId="4F4E8849" w14:textId="77777777" w:rsidR="00E80848" w:rsidRPr="00AF625F" w:rsidRDefault="00E80848" w:rsidP="00E80848">
      <w:pPr>
        <w:suppressAutoHyphens/>
        <w:jc w:val="center"/>
        <w:rPr>
          <w:b/>
          <w:spacing w:val="-3"/>
        </w:rPr>
      </w:pPr>
    </w:p>
    <w:p w14:paraId="12CF3848" w14:textId="77777777" w:rsidR="00E80848" w:rsidRPr="00AF625F" w:rsidRDefault="00E80848" w:rsidP="00E80848">
      <w:pPr>
        <w:suppressAutoHyphens/>
        <w:jc w:val="center"/>
        <w:rPr>
          <w:b/>
          <w:spacing w:val="-3"/>
        </w:rPr>
      </w:pPr>
    </w:p>
    <w:p w14:paraId="32AEDAE1" w14:textId="77777777" w:rsidR="00E80848" w:rsidRPr="00AF625F" w:rsidRDefault="00E80848" w:rsidP="00E80848">
      <w:pPr>
        <w:suppressAutoHyphens/>
        <w:jc w:val="center"/>
        <w:rPr>
          <w:b/>
          <w:spacing w:val="-3"/>
        </w:rPr>
      </w:pPr>
    </w:p>
    <w:p w14:paraId="790FB078" w14:textId="77777777" w:rsidR="00E80848" w:rsidRPr="00941FB8" w:rsidRDefault="00E80848" w:rsidP="00E80848">
      <w:pPr>
        <w:suppressAutoHyphens/>
        <w:jc w:val="center"/>
        <w:rPr>
          <w:b/>
          <w:spacing w:val="-3"/>
        </w:rPr>
      </w:pPr>
    </w:p>
    <w:p w14:paraId="69F1D76A" w14:textId="77777777" w:rsidR="00E80848" w:rsidRDefault="00E80848" w:rsidP="00E80848">
      <w:pPr>
        <w:suppressAutoHyphens/>
        <w:jc w:val="center"/>
        <w:rPr>
          <w:b/>
        </w:rPr>
      </w:pPr>
      <w:r>
        <w:rPr>
          <w:b/>
          <w:spacing w:val="-3"/>
        </w:rPr>
        <w:t xml:space="preserve">KONAČNI </w:t>
      </w:r>
      <w:r w:rsidRPr="00941FB8">
        <w:rPr>
          <w:b/>
          <w:spacing w:val="-3"/>
        </w:rPr>
        <w:t xml:space="preserve">PRIJEDLOG ZAKONA O </w:t>
      </w:r>
      <w:r w:rsidRPr="00941FB8">
        <w:rPr>
          <w:b/>
          <w:color w:val="000000"/>
        </w:rPr>
        <w:t xml:space="preserve">POTVRĐIVANJU </w:t>
      </w:r>
      <w:r w:rsidRPr="00941FB8">
        <w:rPr>
          <w:b/>
        </w:rPr>
        <w:t xml:space="preserve">UGOVORA O ZAJMU </w:t>
      </w:r>
    </w:p>
    <w:p w14:paraId="7DE1E608" w14:textId="77777777" w:rsidR="00E80848" w:rsidRDefault="00E80848" w:rsidP="00E80848">
      <w:pPr>
        <w:suppressAutoHyphens/>
        <w:jc w:val="center"/>
        <w:rPr>
          <w:b/>
        </w:rPr>
      </w:pPr>
      <w:r w:rsidRPr="00941FB8">
        <w:rPr>
          <w:b/>
        </w:rPr>
        <w:t>IZMEĐU REPUBLIKE HRVATSKE I MEĐUNARO</w:t>
      </w:r>
      <w:r w:rsidR="00792594">
        <w:rPr>
          <w:b/>
        </w:rPr>
        <w:t>DNE BANKE ZA OBNOVU I RAZVOJ ZA PROJEKT UČINKOVITOG PRAVOSUĐA</w:t>
      </w:r>
      <w:r w:rsidR="00792594" w:rsidRPr="00792594">
        <w:rPr>
          <w:b/>
        </w:rPr>
        <w:t xml:space="preserve"> ZA BOLJE POSLOVNO OKRUŽENJE</w:t>
      </w:r>
    </w:p>
    <w:p w14:paraId="5E42A9A8" w14:textId="77777777" w:rsidR="00456EFB" w:rsidRPr="00941FB8" w:rsidRDefault="00456EFB" w:rsidP="00E80848">
      <w:pPr>
        <w:suppressAutoHyphens/>
        <w:jc w:val="center"/>
        <w:rPr>
          <w:b/>
        </w:rPr>
      </w:pPr>
    </w:p>
    <w:p w14:paraId="3E736979" w14:textId="77777777" w:rsidR="00E80848" w:rsidRPr="00AF625F" w:rsidRDefault="00E80848" w:rsidP="00E80848">
      <w:pPr>
        <w:suppressAutoHyphens/>
        <w:jc w:val="center"/>
        <w:rPr>
          <w:b/>
        </w:rPr>
      </w:pPr>
    </w:p>
    <w:p w14:paraId="6CA21FD2" w14:textId="77777777" w:rsidR="00E80848" w:rsidRPr="00AF625F" w:rsidRDefault="00E80848" w:rsidP="00E80848">
      <w:pPr>
        <w:suppressAutoHyphens/>
        <w:jc w:val="center"/>
        <w:rPr>
          <w:b/>
        </w:rPr>
      </w:pPr>
    </w:p>
    <w:p w14:paraId="22ABA577" w14:textId="77777777" w:rsidR="00E80848" w:rsidRPr="00AF625F" w:rsidRDefault="00E80848" w:rsidP="00E80848">
      <w:pPr>
        <w:suppressAutoHyphens/>
        <w:jc w:val="center"/>
        <w:rPr>
          <w:b/>
        </w:rPr>
      </w:pPr>
    </w:p>
    <w:p w14:paraId="2DF7888B" w14:textId="77777777" w:rsidR="00E80848" w:rsidRPr="00AF625F" w:rsidRDefault="00E80848" w:rsidP="00E80848">
      <w:pPr>
        <w:suppressAutoHyphens/>
        <w:jc w:val="center"/>
        <w:rPr>
          <w:b/>
        </w:rPr>
      </w:pPr>
    </w:p>
    <w:p w14:paraId="0C3E0CD3" w14:textId="77777777" w:rsidR="00E80848" w:rsidRPr="00AF625F" w:rsidRDefault="00E80848" w:rsidP="00E80848">
      <w:pPr>
        <w:suppressAutoHyphens/>
        <w:jc w:val="center"/>
        <w:rPr>
          <w:b/>
        </w:rPr>
      </w:pPr>
    </w:p>
    <w:p w14:paraId="437EA357" w14:textId="77777777" w:rsidR="00E80848" w:rsidRPr="00AF625F" w:rsidRDefault="00E80848" w:rsidP="00E80848">
      <w:pPr>
        <w:suppressAutoHyphens/>
        <w:jc w:val="center"/>
        <w:rPr>
          <w:b/>
        </w:rPr>
      </w:pPr>
    </w:p>
    <w:p w14:paraId="6C4D0C48" w14:textId="77777777" w:rsidR="00E80848" w:rsidRPr="00AF625F" w:rsidRDefault="00E80848" w:rsidP="00E80848">
      <w:pPr>
        <w:suppressAutoHyphens/>
        <w:jc w:val="center"/>
        <w:rPr>
          <w:b/>
        </w:rPr>
      </w:pPr>
    </w:p>
    <w:p w14:paraId="62DD1187" w14:textId="77777777" w:rsidR="00E80848" w:rsidRPr="00AF625F" w:rsidRDefault="00E80848" w:rsidP="00E80848">
      <w:pPr>
        <w:suppressAutoHyphens/>
        <w:jc w:val="center"/>
        <w:rPr>
          <w:b/>
        </w:rPr>
      </w:pPr>
    </w:p>
    <w:p w14:paraId="55F64D1F" w14:textId="77777777" w:rsidR="00E80848" w:rsidRPr="00AF625F" w:rsidRDefault="00E80848" w:rsidP="00E80848">
      <w:pPr>
        <w:suppressAutoHyphens/>
        <w:jc w:val="center"/>
        <w:rPr>
          <w:b/>
        </w:rPr>
      </w:pPr>
    </w:p>
    <w:p w14:paraId="64F9795F" w14:textId="77777777" w:rsidR="00E80848" w:rsidRPr="00AF625F" w:rsidRDefault="00E80848" w:rsidP="00E80848">
      <w:pPr>
        <w:suppressAutoHyphens/>
        <w:jc w:val="center"/>
        <w:rPr>
          <w:b/>
        </w:rPr>
      </w:pPr>
    </w:p>
    <w:p w14:paraId="51B22CEB" w14:textId="77777777" w:rsidR="00E80848" w:rsidRPr="00AF625F" w:rsidRDefault="00E80848" w:rsidP="00E80848">
      <w:pPr>
        <w:suppressAutoHyphens/>
        <w:jc w:val="center"/>
        <w:rPr>
          <w:b/>
        </w:rPr>
      </w:pPr>
    </w:p>
    <w:p w14:paraId="3B72136E" w14:textId="77777777" w:rsidR="00E80848" w:rsidRDefault="00E80848" w:rsidP="00E80848">
      <w:pPr>
        <w:suppressAutoHyphens/>
        <w:jc w:val="center"/>
        <w:rPr>
          <w:b/>
        </w:rPr>
      </w:pPr>
    </w:p>
    <w:p w14:paraId="2260378F" w14:textId="77777777" w:rsidR="00E80848" w:rsidRDefault="00E80848" w:rsidP="00E80848">
      <w:pPr>
        <w:suppressAutoHyphens/>
        <w:jc w:val="center"/>
        <w:rPr>
          <w:b/>
        </w:rPr>
      </w:pPr>
    </w:p>
    <w:p w14:paraId="60401F32" w14:textId="77777777" w:rsidR="00E80848" w:rsidRDefault="00E80848" w:rsidP="00E80848">
      <w:pPr>
        <w:suppressAutoHyphens/>
        <w:jc w:val="center"/>
        <w:rPr>
          <w:b/>
        </w:rPr>
      </w:pPr>
    </w:p>
    <w:p w14:paraId="16F9AE7D" w14:textId="77777777" w:rsidR="00E80848" w:rsidRPr="00AF625F" w:rsidRDefault="00E80848" w:rsidP="001107A8">
      <w:pPr>
        <w:pBdr>
          <w:bottom w:val="single" w:sz="12" w:space="1" w:color="auto"/>
        </w:pBdr>
        <w:suppressAutoHyphens/>
        <w:rPr>
          <w:b/>
        </w:rPr>
      </w:pPr>
    </w:p>
    <w:p w14:paraId="03A7A56A" w14:textId="77777777" w:rsidR="00E80848" w:rsidRPr="00AF625F" w:rsidRDefault="00E80848" w:rsidP="00E80848">
      <w:pPr>
        <w:pBdr>
          <w:bottom w:val="single" w:sz="12" w:space="1" w:color="auto"/>
        </w:pBdr>
        <w:suppressAutoHyphens/>
        <w:jc w:val="center"/>
        <w:rPr>
          <w:b/>
        </w:rPr>
      </w:pPr>
    </w:p>
    <w:p w14:paraId="5181893B" w14:textId="77777777" w:rsidR="00E80848" w:rsidRPr="00AF625F" w:rsidRDefault="00E80848" w:rsidP="00E80848">
      <w:pPr>
        <w:pBdr>
          <w:bottom w:val="single" w:sz="12" w:space="1" w:color="auto"/>
        </w:pBdr>
        <w:suppressAutoHyphens/>
        <w:jc w:val="center"/>
        <w:rPr>
          <w:b/>
        </w:rPr>
      </w:pPr>
    </w:p>
    <w:p w14:paraId="717A7F56" w14:textId="77777777" w:rsidR="00E80848" w:rsidRPr="00AF625F" w:rsidRDefault="00E80848" w:rsidP="00E80848">
      <w:pPr>
        <w:pBdr>
          <w:bottom w:val="single" w:sz="12" w:space="1" w:color="auto"/>
        </w:pBdr>
        <w:suppressAutoHyphens/>
        <w:jc w:val="center"/>
        <w:rPr>
          <w:b/>
        </w:rPr>
      </w:pPr>
    </w:p>
    <w:p w14:paraId="0373FD75" w14:textId="77777777" w:rsidR="00E80848" w:rsidRDefault="00E80848" w:rsidP="00E80848">
      <w:pPr>
        <w:jc w:val="center"/>
        <w:outlineLvl w:val="0"/>
        <w:rPr>
          <w:b/>
        </w:rPr>
      </w:pPr>
      <w:r w:rsidRPr="00AF625F">
        <w:rPr>
          <w:b/>
        </w:rPr>
        <w:t>Zagreb,</w:t>
      </w:r>
      <w:r>
        <w:rPr>
          <w:b/>
        </w:rPr>
        <w:t xml:space="preserve"> </w:t>
      </w:r>
      <w:r w:rsidR="00C368FC">
        <w:rPr>
          <w:b/>
        </w:rPr>
        <w:t>svib</w:t>
      </w:r>
      <w:r w:rsidR="00792594">
        <w:rPr>
          <w:b/>
        </w:rPr>
        <w:t>anj</w:t>
      </w:r>
      <w:r w:rsidRPr="00EF63C4">
        <w:rPr>
          <w:b/>
        </w:rPr>
        <w:t xml:space="preserve"> </w:t>
      </w:r>
      <w:r w:rsidR="00792594">
        <w:rPr>
          <w:b/>
        </w:rPr>
        <w:t>2020</w:t>
      </w:r>
      <w:r w:rsidRPr="00AF625F">
        <w:rPr>
          <w:b/>
        </w:rPr>
        <w:t>.</w:t>
      </w:r>
    </w:p>
    <w:p w14:paraId="13CF24AF" w14:textId="77777777" w:rsidR="00E80848" w:rsidRPr="00DB5309" w:rsidRDefault="00E80848" w:rsidP="00792594">
      <w:pPr>
        <w:jc w:val="center"/>
        <w:rPr>
          <w:b/>
        </w:rPr>
      </w:pPr>
      <w:r>
        <w:rPr>
          <w:b/>
        </w:rPr>
        <w:br w:type="page"/>
      </w:r>
      <w:r>
        <w:rPr>
          <w:b/>
        </w:rPr>
        <w:lastRenderedPageBreak/>
        <w:t xml:space="preserve">KONAČNI </w:t>
      </w:r>
      <w:r w:rsidRPr="00DB5309">
        <w:rPr>
          <w:b/>
        </w:rPr>
        <w:t>PRIJEDLOG ZAKONA O POTVRĐIVANJU UGOVORA O ZAJMU</w:t>
      </w:r>
    </w:p>
    <w:p w14:paraId="0CBF0360" w14:textId="77777777" w:rsidR="00E80848" w:rsidRPr="00DB5309" w:rsidRDefault="00E80848" w:rsidP="00792594">
      <w:pPr>
        <w:jc w:val="center"/>
        <w:rPr>
          <w:b/>
        </w:rPr>
      </w:pPr>
      <w:r w:rsidRPr="00DB5309">
        <w:rPr>
          <w:b/>
        </w:rPr>
        <w:t>IZMEĐU REPUBLIKE HRVATSKE I MEĐUNARODNE BANKE ZA OBNOVU</w:t>
      </w:r>
    </w:p>
    <w:p w14:paraId="16F13D63" w14:textId="77777777" w:rsidR="00E80848" w:rsidRDefault="00792594" w:rsidP="00792594">
      <w:pPr>
        <w:jc w:val="center"/>
        <w:rPr>
          <w:b/>
        </w:rPr>
      </w:pPr>
      <w:r>
        <w:rPr>
          <w:b/>
        </w:rPr>
        <w:t xml:space="preserve">I RAZVOJ </w:t>
      </w:r>
      <w:r w:rsidRPr="00792594">
        <w:rPr>
          <w:b/>
        </w:rPr>
        <w:t xml:space="preserve">ZA PROJEKT UČINKOVITOG PRAVOSUĐA </w:t>
      </w:r>
      <w:r>
        <w:rPr>
          <w:b/>
        </w:rPr>
        <w:t>ZA</w:t>
      </w:r>
      <w:r w:rsidRPr="00792594">
        <w:rPr>
          <w:b/>
        </w:rPr>
        <w:t xml:space="preserve"> BOLJE POSLOVNO OKRUŽENJE</w:t>
      </w:r>
    </w:p>
    <w:p w14:paraId="3FCCCBB1" w14:textId="77777777" w:rsidR="00792594" w:rsidRPr="00DB5309" w:rsidRDefault="00792594" w:rsidP="00E80848">
      <w:pPr>
        <w:jc w:val="center"/>
        <w:rPr>
          <w:b/>
        </w:rPr>
      </w:pPr>
    </w:p>
    <w:p w14:paraId="2EAF1F24" w14:textId="77777777" w:rsidR="00E80848" w:rsidRPr="00DB5309" w:rsidRDefault="00E80848" w:rsidP="00E80848">
      <w:pPr>
        <w:jc w:val="center"/>
        <w:rPr>
          <w:b/>
        </w:rPr>
      </w:pPr>
    </w:p>
    <w:p w14:paraId="0F4A79C1" w14:textId="77777777" w:rsidR="00E80848" w:rsidRDefault="00E80848" w:rsidP="00E80848">
      <w:pPr>
        <w:jc w:val="center"/>
        <w:rPr>
          <w:b/>
        </w:rPr>
      </w:pPr>
    </w:p>
    <w:p w14:paraId="372D9424" w14:textId="77777777" w:rsidR="00E80848" w:rsidRPr="00DB5309" w:rsidRDefault="00E80848" w:rsidP="00E80848">
      <w:pPr>
        <w:jc w:val="center"/>
        <w:rPr>
          <w:b/>
        </w:rPr>
      </w:pPr>
    </w:p>
    <w:p w14:paraId="6A98F74D" w14:textId="77777777" w:rsidR="00E80848" w:rsidRPr="00DB5309" w:rsidRDefault="00E80848" w:rsidP="00E80848">
      <w:pPr>
        <w:jc w:val="center"/>
        <w:rPr>
          <w:b/>
        </w:rPr>
      </w:pPr>
    </w:p>
    <w:p w14:paraId="09543718" w14:textId="77777777" w:rsidR="00E80848" w:rsidRPr="00DB5309" w:rsidRDefault="00E80848" w:rsidP="00E80848">
      <w:pPr>
        <w:numPr>
          <w:ilvl w:val="0"/>
          <w:numId w:val="1"/>
        </w:numPr>
        <w:tabs>
          <w:tab w:val="clear" w:pos="720"/>
        </w:tabs>
        <w:rPr>
          <w:b/>
        </w:rPr>
      </w:pPr>
      <w:r w:rsidRPr="00DB5309">
        <w:rPr>
          <w:b/>
        </w:rPr>
        <w:t>USTAVNA OSNOVA ZA DONOŠENJE ZAKONA</w:t>
      </w:r>
    </w:p>
    <w:p w14:paraId="7ED23954" w14:textId="77777777" w:rsidR="00E80848" w:rsidRPr="00DB5309" w:rsidRDefault="00E80848" w:rsidP="00E80848">
      <w:pPr>
        <w:rPr>
          <w:b/>
        </w:rPr>
      </w:pPr>
    </w:p>
    <w:p w14:paraId="61EE52C2" w14:textId="77777777" w:rsidR="00E80848" w:rsidRPr="00DB5309" w:rsidRDefault="00E80848" w:rsidP="00E80848">
      <w:pPr>
        <w:jc w:val="both"/>
      </w:pPr>
      <w:r w:rsidRPr="00DB5309">
        <w:t>Ustavna osnova za donošenje Zakona o potvrđivanju Ugovora o zajmu između Republike Hrvatske i Međunarodne banke za obnovu i razvoj za</w:t>
      </w:r>
      <w:r w:rsidR="00792594">
        <w:t xml:space="preserve"> P</w:t>
      </w:r>
      <w:r w:rsidR="00792594" w:rsidRPr="00792594">
        <w:t>rojekt učinkovitog pravosuđa</w:t>
      </w:r>
      <w:r w:rsidR="00161058">
        <w:t xml:space="preserve"> za bolje poslovno okruženje</w:t>
      </w:r>
      <w:r w:rsidRPr="00DB5309">
        <w:t xml:space="preserve"> sadržana je u odredbi članka 1</w:t>
      </w:r>
      <w:r>
        <w:t>40</w:t>
      </w:r>
      <w:r w:rsidRPr="00DB5309">
        <w:t>. stav</w:t>
      </w:r>
      <w:r w:rsidR="00161058">
        <w:t>ka</w:t>
      </w:r>
      <w:r w:rsidRPr="00DB5309">
        <w:t xml:space="preserve"> 1. Ustava Republike Hrvatske (Narodne novine, br. </w:t>
      </w:r>
      <w:r w:rsidRPr="00DB5309">
        <w:rPr>
          <w:color w:val="000000"/>
        </w:rPr>
        <w:t xml:space="preserve">85/10 </w:t>
      </w:r>
      <w:r>
        <w:rPr>
          <w:color w:val="000000"/>
        </w:rPr>
        <w:t>-</w:t>
      </w:r>
      <w:r w:rsidRPr="00DB5309">
        <w:rPr>
          <w:color w:val="000000"/>
        </w:rPr>
        <w:t xml:space="preserve"> pročišćeni tekst</w:t>
      </w:r>
      <w:r>
        <w:rPr>
          <w:color w:val="000000"/>
        </w:rPr>
        <w:t xml:space="preserve"> i 5/14 – Odluka Ustavnog suda Republike Hrvatske</w:t>
      </w:r>
      <w:r w:rsidRPr="00DB5309">
        <w:t>).</w:t>
      </w:r>
    </w:p>
    <w:p w14:paraId="0EE9D770" w14:textId="77777777" w:rsidR="00E80848" w:rsidRPr="00DB5309" w:rsidRDefault="00E80848" w:rsidP="00E80848">
      <w:pPr>
        <w:jc w:val="both"/>
      </w:pPr>
    </w:p>
    <w:p w14:paraId="3BFA99F0" w14:textId="77777777" w:rsidR="00E80848" w:rsidRPr="00DB5309" w:rsidRDefault="00E80848" w:rsidP="00E80848">
      <w:pPr>
        <w:jc w:val="both"/>
      </w:pPr>
    </w:p>
    <w:p w14:paraId="17F05326" w14:textId="77777777" w:rsidR="00E80848" w:rsidRPr="00DB5309" w:rsidRDefault="00E80848" w:rsidP="00E80848">
      <w:pPr>
        <w:numPr>
          <w:ilvl w:val="0"/>
          <w:numId w:val="1"/>
        </w:numPr>
        <w:tabs>
          <w:tab w:val="clear" w:pos="720"/>
        </w:tabs>
        <w:rPr>
          <w:b/>
        </w:rPr>
      </w:pPr>
      <w:r w:rsidRPr="00DB5309">
        <w:rPr>
          <w:b/>
        </w:rPr>
        <w:t>OCJENA STANJA I CILJ KOJI SE ZAKONOM ŽELI POSTIĆI</w:t>
      </w:r>
    </w:p>
    <w:p w14:paraId="79B28CCD" w14:textId="77777777" w:rsidR="00E80848" w:rsidRPr="00DB5309" w:rsidRDefault="00E80848" w:rsidP="00E80848">
      <w:pPr>
        <w:jc w:val="both"/>
        <w:rPr>
          <w:b/>
        </w:rPr>
      </w:pPr>
    </w:p>
    <w:p w14:paraId="51D096EC" w14:textId="77777777" w:rsidR="00E80848" w:rsidRPr="00DB5309" w:rsidRDefault="00E80848" w:rsidP="00E80848">
      <w:pPr>
        <w:numPr>
          <w:ilvl w:val="0"/>
          <w:numId w:val="2"/>
        </w:numPr>
        <w:tabs>
          <w:tab w:val="clear" w:pos="360"/>
        </w:tabs>
        <w:jc w:val="both"/>
        <w:rPr>
          <w:b/>
        </w:rPr>
      </w:pPr>
      <w:r w:rsidRPr="00DB5309">
        <w:rPr>
          <w:b/>
        </w:rPr>
        <w:t>Ocjena stanja</w:t>
      </w:r>
    </w:p>
    <w:p w14:paraId="4A3ABEB7" w14:textId="77777777" w:rsidR="00E80848" w:rsidRPr="00DB5309" w:rsidRDefault="00E80848" w:rsidP="00E80848">
      <w:pPr>
        <w:jc w:val="both"/>
        <w:rPr>
          <w:b/>
        </w:rPr>
      </w:pPr>
    </w:p>
    <w:p w14:paraId="4AB34A4C" w14:textId="77777777" w:rsidR="00E80848" w:rsidRPr="006A1A59" w:rsidRDefault="00E80848" w:rsidP="00E80848">
      <w:pPr>
        <w:jc w:val="both"/>
      </w:pPr>
      <w:r w:rsidRPr="006A1A59">
        <w:t>Međunarodna banka za obnovu i razvoj (International Bank for Reconstruction and Development, u daljnjem tekstu: IBRD) jedna je od međunarodnih</w:t>
      </w:r>
      <w:r>
        <w:t xml:space="preserve"> </w:t>
      </w:r>
      <w:r w:rsidRPr="006A1A59">
        <w:t>financijskih institucija u okviru Grupacije Svjetske banke utemeljena u srpnju</w:t>
      </w:r>
      <w:r>
        <w:t xml:space="preserve"> </w:t>
      </w:r>
      <w:r w:rsidRPr="006A1A59">
        <w:t>194</w:t>
      </w:r>
      <w:r>
        <w:t>4</w:t>
      </w:r>
      <w:r w:rsidRPr="006A1A59">
        <w:t>. godine u Bretton Woodsu, SAD. Cilj IBRD-a</w:t>
      </w:r>
      <w:r>
        <w:t xml:space="preserve"> </w:t>
      </w:r>
      <w:r w:rsidRPr="006A1A59">
        <w:t xml:space="preserve">je </w:t>
      </w:r>
      <w:r>
        <w:t>podrška misiji Grupacije Svjetske banke za iskorjenjivanjem ekstremnog siromaštva na manje od 3% ukupne populacije i povećanje prosperitet</w:t>
      </w:r>
      <w:r w:rsidR="0050171E">
        <w:t>a putem povećanja dohotka</w:t>
      </w:r>
      <w:r>
        <w:t xml:space="preserve"> 40% najsiromašnijeg dijela stanovništva u svakoj zemlji.</w:t>
      </w:r>
    </w:p>
    <w:p w14:paraId="5B361AF4" w14:textId="77777777" w:rsidR="00E80848" w:rsidRDefault="00E80848" w:rsidP="00E80848">
      <w:pPr>
        <w:jc w:val="both"/>
        <w:rPr>
          <w:highlight w:val="yellow"/>
          <w:vertAlign w:val="superscript"/>
        </w:rPr>
      </w:pPr>
    </w:p>
    <w:p w14:paraId="45B4D835" w14:textId="77777777" w:rsidR="00E80848" w:rsidRDefault="00E80848" w:rsidP="00E80848">
      <w:pPr>
        <w:jc w:val="both"/>
      </w:pPr>
      <w:r w:rsidRPr="006A1A59">
        <w:t>Republika Hrvatska punopravna je članica IBRD-a, od 25. veljače 1993. godine. Temeljem Zakona o prihvaćanju članstva Republike Hrvatske u Međunarodnom monetarnom fondu i drugim međunarodnim financijskim organizacijama na temelju sukcesije (Narodne novine, broj 89/92), Ministarstvo financija Republike Hrvatske određeno je kao nadležno tijelo za suradnju s Grupacijom Svjetske banke, te je ovlašteno u ime Republike Hrvatske obavljati sve poslove i transakcije koje su dopuštene prema Statutu Svjetske banke. Guverner za Republiku Hrvatsku u Svjetskoj banci po funkciji je ministar</w:t>
      </w:r>
      <w:r>
        <w:t xml:space="preserve"> </w:t>
      </w:r>
      <w:r w:rsidRPr="006A1A59">
        <w:t xml:space="preserve">financija, a zamjenik guvernera je </w:t>
      </w:r>
      <w:r w:rsidR="0050171E">
        <w:t>državni tajnik u Ministarstvu</w:t>
      </w:r>
      <w:r w:rsidRPr="006A1A59">
        <w:t xml:space="preserve"> financija. </w:t>
      </w:r>
    </w:p>
    <w:p w14:paraId="45D753BA" w14:textId="77777777" w:rsidR="00E80848" w:rsidRDefault="00E80848" w:rsidP="00E80848">
      <w:pPr>
        <w:jc w:val="both"/>
      </w:pPr>
    </w:p>
    <w:p w14:paraId="70B3E4AD" w14:textId="77777777" w:rsidR="00E80848" w:rsidRPr="006A1A59" w:rsidRDefault="00E80848" w:rsidP="00E80848">
      <w:pPr>
        <w:jc w:val="both"/>
      </w:pPr>
      <w:r w:rsidRPr="006A1A59">
        <w:t>Republika Hrvatska nalazi se u Konstituenci IBRD-a kojoj je na čelu Nizozemska.</w:t>
      </w:r>
      <w:r>
        <w:t xml:space="preserve"> </w:t>
      </w:r>
      <w:r w:rsidRPr="000D156B">
        <w:t>Konstituenca koju zastupa Nizozemska uključuje 13 zemalja: Armenija, Bosna i</w:t>
      </w:r>
      <w:r>
        <w:t xml:space="preserve"> </w:t>
      </w:r>
      <w:r w:rsidRPr="000D156B">
        <w:t xml:space="preserve">Hercegovina, Bugarska, Cipar, Gruzija, Izrael, Hrvatska, </w:t>
      </w:r>
      <w:r w:rsidR="00161058">
        <w:t xml:space="preserve">Sjeverna </w:t>
      </w:r>
      <w:r w:rsidRPr="000D156B">
        <w:t>Makedonija, Moldova,</w:t>
      </w:r>
      <w:r>
        <w:t xml:space="preserve"> </w:t>
      </w:r>
      <w:r w:rsidRPr="000D156B">
        <w:t>Nizozemska, Rumunjska, Ukrajina i Crna Gora. Izvršni direktor nizozemske</w:t>
      </w:r>
      <w:r>
        <w:t xml:space="preserve"> </w:t>
      </w:r>
      <w:r w:rsidRPr="000D156B">
        <w:t>Konstituence u Svjetskoj banci</w:t>
      </w:r>
      <w:r w:rsidR="0050171E">
        <w:t xml:space="preserve"> od 1. studenoga 2018. godine je g. Koen Davidse. </w:t>
      </w:r>
      <w:r w:rsidRPr="000D156B">
        <w:t xml:space="preserve"> Redoviti sastanci Konstituence</w:t>
      </w:r>
      <w:r>
        <w:t xml:space="preserve"> </w:t>
      </w:r>
      <w:r w:rsidRPr="000D156B">
        <w:t>održavaju se dan prije godišnjeg i proljetnog zasjedanja Svjetske banke i</w:t>
      </w:r>
      <w:r>
        <w:t xml:space="preserve"> </w:t>
      </w:r>
      <w:r w:rsidRPr="000D156B">
        <w:t>Međunarodnog mone</w:t>
      </w:r>
      <w:r>
        <w:t>t</w:t>
      </w:r>
      <w:r w:rsidRPr="000D156B">
        <w:t>a</w:t>
      </w:r>
      <w:r>
        <w:t>rn</w:t>
      </w:r>
      <w:r w:rsidRPr="000D156B">
        <w:t>og fonda (u daljnjem tekstu: MMF).</w:t>
      </w:r>
    </w:p>
    <w:p w14:paraId="4058C672" w14:textId="77777777" w:rsidR="00E80848" w:rsidRDefault="00E80848" w:rsidP="00E80848">
      <w:pPr>
        <w:jc w:val="both"/>
        <w:rPr>
          <w:highlight w:val="yellow"/>
          <w:vertAlign w:val="superscript"/>
        </w:rPr>
      </w:pPr>
    </w:p>
    <w:p w14:paraId="28C1D829" w14:textId="77777777" w:rsidR="00CB65FD" w:rsidRDefault="0050171E" w:rsidP="00E80848">
      <w:pPr>
        <w:jc w:val="both"/>
      </w:pPr>
      <w:r>
        <w:t>Predsjednik Svjetske banke od 5. travnja 2019</w:t>
      </w:r>
      <w:r w:rsidR="00E80848" w:rsidRPr="000D156B">
        <w:t xml:space="preserve">. godine je </w:t>
      </w:r>
      <w:r w:rsidR="00E80848">
        <w:t xml:space="preserve">g. </w:t>
      </w:r>
      <w:r>
        <w:t>David R. Malpas</w:t>
      </w:r>
      <w:r w:rsidR="00E80848">
        <w:t xml:space="preserve"> </w:t>
      </w:r>
      <w:r w:rsidR="00E80848" w:rsidRPr="000D156B">
        <w:t>(Sjedin</w:t>
      </w:r>
      <w:r>
        <w:t>jene Američke Države), koji je</w:t>
      </w:r>
      <w:r w:rsidR="00E80848">
        <w:t xml:space="preserve"> </w:t>
      </w:r>
      <w:r w:rsidR="00E80848" w:rsidRPr="000D156B">
        <w:t>imenov</w:t>
      </w:r>
      <w:r>
        <w:t>an na petogodišnji</w:t>
      </w:r>
      <w:r w:rsidR="00E80848" w:rsidRPr="000D156B">
        <w:t xml:space="preserve"> </w:t>
      </w:r>
      <w:r>
        <w:t>mandat</w:t>
      </w:r>
      <w:r w:rsidR="00E80848" w:rsidRPr="000D156B">
        <w:t xml:space="preserve">. </w:t>
      </w:r>
      <w:r w:rsidR="00CB65FD" w:rsidRPr="00CB65FD">
        <w:t xml:space="preserve">Potpredsjednica Svjetske </w:t>
      </w:r>
      <w:r w:rsidR="00CB65FD" w:rsidRPr="00CB65FD">
        <w:lastRenderedPageBreak/>
        <w:t>banke zadužena za Europu i Srednju Aziju je gđa. Anna Bjerd</w:t>
      </w:r>
      <w:r w:rsidR="00CB65FD">
        <w:t xml:space="preserve">e (od 1. svibnja 2020. godine). </w:t>
      </w:r>
    </w:p>
    <w:p w14:paraId="2F8E6115" w14:textId="77777777" w:rsidR="00CB65FD" w:rsidRDefault="00CB65FD" w:rsidP="00E80848">
      <w:pPr>
        <w:jc w:val="both"/>
      </w:pPr>
    </w:p>
    <w:p w14:paraId="042F2159" w14:textId="77777777" w:rsidR="00E80848" w:rsidRDefault="00E80848" w:rsidP="00E80848">
      <w:pPr>
        <w:jc w:val="both"/>
      </w:pPr>
      <w:r w:rsidRPr="000D156B">
        <w:t>Od 1. siječnja 1998. godine u Zagrebu djeluje i stalni Ured Svjetske banke, koji je</w:t>
      </w:r>
      <w:r>
        <w:t xml:space="preserve"> </w:t>
      </w:r>
      <w:r w:rsidRPr="000D156B">
        <w:t>1. listopada 2001. godine prerastao u Regionalni ured Svjetske banke za Hrvatsku,</w:t>
      </w:r>
      <w:r>
        <w:t xml:space="preserve"> </w:t>
      </w:r>
      <w:r w:rsidRPr="000D156B">
        <w:t>Bugarsku i Rumunjsku. Krajem studenog</w:t>
      </w:r>
      <w:r w:rsidR="001107A8">
        <w:t>a</w:t>
      </w:r>
      <w:r w:rsidRPr="000D156B">
        <w:t xml:space="preserve"> 2006. godine, u sklopu svoje</w:t>
      </w:r>
      <w:r>
        <w:t xml:space="preserve"> </w:t>
      </w:r>
      <w:r w:rsidR="00C368FC">
        <w:t>reorganizacije,</w:t>
      </w:r>
      <w:r w:rsidRPr="000D156B">
        <w:t xml:space="preserve"> Svjetska banka je preselila Regionalni ured u Washington, a u</w:t>
      </w:r>
      <w:r>
        <w:t xml:space="preserve"> </w:t>
      </w:r>
      <w:r w:rsidRPr="000D156B">
        <w:t>Za</w:t>
      </w:r>
      <w:r>
        <w:t>grebu je ostao Ured za Hrvatsku</w:t>
      </w:r>
      <w:r w:rsidRPr="000D156B">
        <w:t>. Od 18. siječnja 2016. godine</w:t>
      </w:r>
      <w:r>
        <w:t xml:space="preserve"> </w:t>
      </w:r>
      <w:r w:rsidRPr="000D156B">
        <w:t xml:space="preserve">regionalni direktor za zemlje Europske unije je </w:t>
      </w:r>
      <w:r>
        <w:t xml:space="preserve">g. </w:t>
      </w:r>
      <w:r w:rsidRPr="000D156B">
        <w:t>Arup Banerji.</w:t>
      </w:r>
      <w:r>
        <w:t xml:space="preserve"> </w:t>
      </w:r>
      <w:r w:rsidRPr="000D156B">
        <w:t xml:space="preserve">Od </w:t>
      </w:r>
      <w:r>
        <w:t>3</w:t>
      </w:r>
      <w:r w:rsidRPr="000D156B">
        <w:t xml:space="preserve">. </w:t>
      </w:r>
      <w:r>
        <w:t>srpnja</w:t>
      </w:r>
      <w:r w:rsidRPr="000D156B">
        <w:t xml:space="preserve"> 201</w:t>
      </w:r>
      <w:r>
        <w:t>7</w:t>
      </w:r>
      <w:r w:rsidRPr="000D156B">
        <w:t xml:space="preserve">. </w:t>
      </w:r>
      <w:r w:rsidR="00C368FC">
        <w:t xml:space="preserve">godine </w:t>
      </w:r>
      <w:r>
        <w:t>na funkciji</w:t>
      </w:r>
      <w:r w:rsidRPr="000D156B">
        <w:t xml:space="preserve"> voditelj</w:t>
      </w:r>
      <w:r>
        <w:t>ice</w:t>
      </w:r>
      <w:r w:rsidRPr="000D156B">
        <w:t xml:space="preserve"> </w:t>
      </w:r>
      <w:r>
        <w:t xml:space="preserve">ureda </w:t>
      </w:r>
      <w:r w:rsidRPr="000A2E32">
        <w:t>Svjetske banke za Hrvatsku i Sloveniju</w:t>
      </w:r>
      <w:r>
        <w:t xml:space="preserve"> je gđa.</w:t>
      </w:r>
      <w:r w:rsidRPr="000D156B">
        <w:t xml:space="preserve"> Elisabetta</w:t>
      </w:r>
      <w:r>
        <w:t xml:space="preserve"> </w:t>
      </w:r>
      <w:r w:rsidRPr="000D156B">
        <w:t>Capannelli.</w:t>
      </w:r>
    </w:p>
    <w:p w14:paraId="1F1F0815" w14:textId="77777777" w:rsidR="00E80848" w:rsidRDefault="00E80848" w:rsidP="00E80848">
      <w:pPr>
        <w:jc w:val="both"/>
      </w:pPr>
    </w:p>
    <w:p w14:paraId="0485E2AD" w14:textId="77777777" w:rsidR="00DB69E6" w:rsidRDefault="00E80848" w:rsidP="00E80848">
      <w:pPr>
        <w:jc w:val="both"/>
      </w:pPr>
      <w:r w:rsidRPr="00AB41EA">
        <w:t xml:space="preserve">IBRD je za Republiku Hrvatsku </w:t>
      </w:r>
      <w:r>
        <w:t xml:space="preserve">jedna od </w:t>
      </w:r>
      <w:r w:rsidRPr="00AB41EA">
        <w:t>najvažnij</w:t>
      </w:r>
      <w:r>
        <w:t>ih</w:t>
      </w:r>
      <w:r w:rsidRPr="00AB41EA">
        <w:t xml:space="preserve"> </w:t>
      </w:r>
      <w:r w:rsidRPr="00060BD3">
        <w:t>međunarodn</w:t>
      </w:r>
      <w:r w:rsidR="000F2586" w:rsidRPr="00060BD3">
        <w:t>ih</w:t>
      </w:r>
      <w:r w:rsidRPr="00060BD3">
        <w:t xml:space="preserve"> financijsk</w:t>
      </w:r>
      <w:r w:rsidR="000F2586" w:rsidRPr="00060BD3">
        <w:t>ih</w:t>
      </w:r>
      <w:r w:rsidRPr="00AB41EA">
        <w:t xml:space="preserve"> institucija koja kontinuirano i svestrano podupire ekonomsko-socijalni razvitak i </w:t>
      </w:r>
      <w:r w:rsidRPr="00663247">
        <w:t>daljnji razvoj tržišne ekonomije</w:t>
      </w:r>
      <w:r w:rsidRPr="00AB41EA">
        <w:t>.</w:t>
      </w:r>
      <w:r>
        <w:t xml:space="preserve"> </w:t>
      </w:r>
      <w:r w:rsidRPr="00AB41EA">
        <w:t xml:space="preserve">Od početka 90-tih, kada su Republici Hrvatskoj drugi izvori financiranja bili zatvoreni, pa do danas ona je značajan izvor financiranja i katalizator reformskih prilagodbi. Financijska potpora i ukupna uloga IBRD-a prilagođava se potrebama obnove, izgradnje infrastrukture, strukturnih prilagodbi i sveukupnog razvitka Republike Hrvatske. Značajna financijska sredstva IBRD-a Republika Hrvatska koristi u vidu investicijskih i strukturnih zajmova pod najpovoljnijim financijskim uvjetima koje IBRD postiže na međunarodnom financijskom tržištu. Također, Republika Hrvatska koristi savjetodavne usluge uz naknadu koje financira iz fondova Europske unije. Suradnja </w:t>
      </w:r>
      <w:r w:rsidR="00BB7B6C">
        <w:t xml:space="preserve">Republike </w:t>
      </w:r>
      <w:r w:rsidRPr="00AB41EA">
        <w:t xml:space="preserve">Hrvatske </w:t>
      </w:r>
      <w:r w:rsidRPr="00BB7B6C">
        <w:t>s</w:t>
      </w:r>
      <w:r w:rsidR="00E142AF" w:rsidRPr="00BB7B6C">
        <w:t>a Svjetskom</w:t>
      </w:r>
      <w:r w:rsidRPr="00BB7B6C">
        <w:t xml:space="preserve"> </w:t>
      </w:r>
      <w:r w:rsidR="00E142AF" w:rsidRPr="00BB7B6C">
        <w:t>b</w:t>
      </w:r>
      <w:r w:rsidRPr="00BB7B6C">
        <w:t>ankom</w:t>
      </w:r>
      <w:r w:rsidRPr="00AB41EA">
        <w:t xml:space="preserve"> ima veliko ne samo financijsko, nego i šire značenje</w:t>
      </w:r>
      <w:r>
        <w:t xml:space="preserve"> </w:t>
      </w:r>
      <w:r w:rsidRPr="00AB41EA">
        <w:t xml:space="preserve">za održavanje makroekonomske stabilnosti i postizanje održivog gospodarskog rasta, a u čemu </w:t>
      </w:r>
      <w:r w:rsidR="00317F35">
        <w:t>Rep</w:t>
      </w:r>
      <w:r w:rsidR="00161058">
        <w:t xml:space="preserve">ublika </w:t>
      </w:r>
      <w:r w:rsidRPr="00AB41EA">
        <w:t xml:space="preserve">Hrvatska surađuje i s Međunarodnim monetarnim fondom, te na što se nadovezuju aktivnosti koje se usko koordiniraju s Europskom komisijom. </w:t>
      </w:r>
      <w:r w:rsidRPr="00BB7B6C">
        <w:t xml:space="preserve">Otkako je Republika Hrvatska postala članicom Svjetske banke 25. veljače 1993. </w:t>
      </w:r>
      <w:r w:rsidR="00BB7B6C" w:rsidRPr="00BB7B6C">
        <w:t>g</w:t>
      </w:r>
      <w:r w:rsidRPr="00BB7B6C">
        <w:t>odine</w:t>
      </w:r>
      <w:r w:rsidR="00BB7B6C" w:rsidRPr="00BB7B6C">
        <w:t xml:space="preserve"> </w:t>
      </w:r>
      <w:r w:rsidR="00E142AF" w:rsidRPr="00BB7B6C">
        <w:t>IBRD</w:t>
      </w:r>
      <w:r w:rsidR="00BB7B6C" w:rsidRPr="00BB7B6C">
        <w:t xml:space="preserve"> R</w:t>
      </w:r>
      <w:r w:rsidRPr="00BB7B6C">
        <w:t xml:space="preserve">epublici Hrvatskoj aktivno pruža financijsku i tehničku pomoć, savjete i analitičke usluge. </w:t>
      </w:r>
      <w:r w:rsidR="00F84F2E" w:rsidRPr="00BB7B6C">
        <w:t xml:space="preserve">IBRD je </w:t>
      </w:r>
      <w:r w:rsidRPr="00BB7B6C">
        <w:t>Republi</w:t>
      </w:r>
      <w:r w:rsidR="00F84F2E" w:rsidRPr="00BB7B6C">
        <w:t>ci</w:t>
      </w:r>
      <w:r w:rsidRPr="00BB7B6C">
        <w:t xml:space="preserve"> Hrvatsk</w:t>
      </w:r>
      <w:r w:rsidR="00F84F2E" w:rsidRPr="00BB7B6C">
        <w:t>oj</w:t>
      </w:r>
      <w:r w:rsidRPr="00BB7B6C">
        <w:t xml:space="preserve"> </w:t>
      </w:r>
      <w:r w:rsidR="00FB439B" w:rsidRPr="00BB7B6C">
        <w:t xml:space="preserve">do danas </w:t>
      </w:r>
      <w:r w:rsidR="00F84F2E" w:rsidRPr="00BB7B6C">
        <w:t>odobrio</w:t>
      </w:r>
      <w:r w:rsidRPr="00BB7B6C">
        <w:t xml:space="preserve"> 6</w:t>
      </w:r>
      <w:r w:rsidR="00FB439B" w:rsidRPr="00BB7B6C">
        <w:t>2</w:t>
      </w:r>
      <w:r w:rsidRPr="00BB7B6C">
        <w:t xml:space="preserve"> </w:t>
      </w:r>
      <w:r w:rsidR="00FB439B" w:rsidRPr="00BB7B6C">
        <w:t>ugovora</w:t>
      </w:r>
      <w:r w:rsidRPr="00BB7B6C">
        <w:t xml:space="preserve"> (od kojih je 4</w:t>
      </w:r>
      <w:r w:rsidR="00FB439B" w:rsidRPr="00BB7B6C">
        <w:t>2 dugoročna javna zajma</w:t>
      </w:r>
      <w:r w:rsidRPr="00BB7B6C">
        <w:t xml:space="preserve"> i 20 zajmova uz državno jamstvo) u </w:t>
      </w:r>
      <w:r w:rsidR="00E142AF" w:rsidRPr="00BB7B6C">
        <w:t xml:space="preserve">ukupnoj </w:t>
      </w:r>
      <w:r w:rsidRPr="00BB7B6C">
        <w:t xml:space="preserve">vrijednosti </w:t>
      </w:r>
      <w:r w:rsidR="00E142AF" w:rsidRPr="00BB7B6C">
        <w:t xml:space="preserve">od </w:t>
      </w:r>
      <w:r w:rsidRPr="00BB7B6C">
        <w:t>2,9</w:t>
      </w:r>
      <w:r w:rsidR="0050171E">
        <w:t>4</w:t>
      </w:r>
      <w:r w:rsidRPr="00BB7B6C">
        <w:t xml:space="preserve"> milijard</w:t>
      </w:r>
      <w:r w:rsidR="00FB439B" w:rsidRPr="00BB7B6C">
        <w:t>e</w:t>
      </w:r>
      <w:r w:rsidR="0050171E">
        <w:t xml:space="preserve"> eura</w:t>
      </w:r>
      <w:r w:rsidR="00BB7B6C" w:rsidRPr="00BB7B6C">
        <w:t xml:space="preserve">, što uz tehničku pomoć u obliku </w:t>
      </w:r>
      <w:r w:rsidR="00F84F2E" w:rsidRPr="00BB7B6C">
        <w:t xml:space="preserve">darovnica </w:t>
      </w:r>
      <w:r w:rsidR="00BB7B6C" w:rsidRPr="00BB7B6C">
        <w:t xml:space="preserve">pruženu </w:t>
      </w:r>
      <w:r w:rsidR="00F84F2E" w:rsidRPr="00BB7B6C">
        <w:t>u ukupnom iznosu preko</w:t>
      </w:r>
      <w:r w:rsidR="00BB7B6C" w:rsidRPr="00BB7B6C">
        <w:t xml:space="preserve"> </w:t>
      </w:r>
      <w:r w:rsidR="0050171E">
        <w:t>64,6</w:t>
      </w:r>
      <w:r w:rsidR="00F84F2E" w:rsidRPr="00BB7B6C">
        <w:t xml:space="preserve"> milijuna eura</w:t>
      </w:r>
      <w:r w:rsidR="00BB7B6C" w:rsidRPr="00BB7B6C">
        <w:t xml:space="preserve"> </w:t>
      </w:r>
      <w:r w:rsidRPr="00DB69E6">
        <w:t>predstavlja značajan izvor strane financijske potpore koja pridonosi ukupnom razvoju Republike Hrvatske.</w:t>
      </w:r>
    </w:p>
    <w:p w14:paraId="1F55C08B" w14:textId="77777777" w:rsidR="00DB69E6" w:rsidRDefault="00DB69E6" w:rsidP="00E80848">
      <w:pPr>
        <w:jc w:val="both"/>
      </w:pPr>
    </w:p>
    <w:p w14:paraId="37C86917" w14:textId="77777777" w:rsidR="00027B89" w:rsidRPr="00DB5309" w:rsidRDefault="00571F8D" w:rsidP="00E80848">
      <w:pPr>
        <w:jc w:val="both"/>
      </w:pPr>
      <w:r w:rsidRPr="00571F8D">
        <w:t>U skladu s Odlukom Vlade Republike Hrvatske o pokretanju postupka za sklapanje Ugovora o zajmu</w:t>
      </w:r>
      <w:r w:rsidR="00A40C10" w:rsidRPr="00A40C10">
        <w:t xml:space="preserve"> između Republike Hrvatske i Međunarodne banke za obnovu i razvoj za Projekt učinkovitog pravosuđa za bolje poslovno okruženje</w:t>
      </w:r>
      <w:r w:rsidRPr="00571F8D">
        <w:t xml:space="preserve"> </w:t>
      </w:r>
      <w:r w:rsidR="00161058">
        <w:t>(u daljnjem tekstu</w:t>
      </w:r>
      <w:r w:rsidR="00C368FC">
        <w:t>: Ugovor o zajmu</w:t>
      </w:r>
      <w:r w:rsidR="00161058">
        <w:t xml:space="preserve">) </w:t>
      </w:r>
      <w:r w:rsidRPr="00571F8D">
        <w:t>od 6. veljače 2020. godine službeni pregovori o Ugovoru o zajmu, između ovlaštenog izaslanstva Republike Hrvatske i predstavnika Međunarodne banke za obnovu i razvoj</w:t>
      </w:r>
      <w:r w:rsidR="00DB69E6">
        <w:t>,</w:t>
      </w:r>
      <w:r w:rsidRPr="00571F8D">
        <w:t xml:space="preserve"> održani su od 11. do 13. veljače 2020. godine u Uredu Svjetske banke u Zagrebu, uključujući putem video konferencije Urede Svjetske banke u Washingtonu i Sarajevu. Zapisnik s pregovora, koji sadrži pregled osnovnih tema o kojima se pregovaralo i koji odražava usuglašene stavove koji su uključeni u p</w:t>
      </w:r>
      <w:r w:rsidR="00027B89">
        <w:t>rijedlog teksta Ugovora o zajmu</w:t>
      </w:r>
      <w:r w:rsidRPr="00571F8D">
        <w:t xml:space="preserve"> je, u skladu s Odlukom o pokretanju postupka, </w:t>
      </w:r>
      <w:r w:rsidR="00027B89" w:rsidRPr="00027B89">
        <w:t xml:space="preserve">13. veljače 2020. godine </w:t>
      </w:r>
      <w:r w:rsidRPr="00571F8D">
        <w:t xml:space="preserve">potpisan od strane </w:t>
      </w:r>
      <w:r>
        <w:t xml:space="preserve">ovlaštenog </w:t>
      </w:r>
      <w:r w:rsidR="00027B89">
        <w:t>hrvatskog izaslanstva.</w:t>
      </w:r>
    </w:p>
    <w:p w14:paraId="1E7473F8" w14:textId="77777777" w:rsidR="00DB69E6" w:rsidRDefault="00DB69E6" w:rsidP="00E80848">
      <w:pPr>
        <w:jc w:val="both"/>
      </w:pPr>
    </w:p>
    <w:p w14:paraId="7491B80C" w14:textId="77777777" w:rsidR="00E80848" w:rsidRPr="00DB5309" w:rsidRDefault="00E80848" w:rsidP="00E80848">
      <w:pPr>
        <w:jc w:val="both"/>
      </w:pPr>
      <w:r w:rsidRPr="00DB5309">
        <w:t xml:space="preserve">Vlada Republike Hrvatske je Zaključkom, od </w:t>
      </w:r>
      <w:r>
        <w:t>12</w:t>
      </w:r>
      <w:r w:rsidRPr="00DB5309">
        <w:t>.</w:t>
      </w:r>
      <w:r w:rsidR="00027B89">
        <w:t xml:space="preserve"> ožujka</w:t>
      </w:r>
      <w:r w:rsidRPr="00DB5309">
        <w:t xml:space="preserve"> 20</w:t>
      </w:r>
      <w:r w:rsidR="00027B89">
        <w:t>20</w:t>
      </w:r>
      <w:r w:rsidRPr="00DB5309">
        <w:t xml:space="preserve">. godine, prihvatila Izvješće </w:t>
      </w:r>
      <w:r w:rsidR="00027B89">
        <w:t>o vođenim</w:t>
      </w:r>
      <w:r w:rsidRPr="00DB5309">
        <w:t xml:space="preserve"> pregovor</w:t>
      </w:r>
      <w:r w:rsidR="00027B89">
        <w:t>ima</w:t>
      </w:r>
      <w:r w:rsidRPr="00DB5309">
        <w:t xml:space="preserve">, te ovlastila </w:t>
      </w:r>
      <w:r w:rsidR="00161058">
        <w:t xml:space="preserve">potpredsjednika Vlade Republike Hrvatske i </w:t>
      </w:r>
      <w:r w:rsidRPr="00DB5309">
        <w:t>ministr</w:t>
      </w:r>
      <w:r>
        <w:t>a</w:t>
      </w:r>
      <w:r w:rsidRPr="00DB5309">
        <w:t xml:space="preserve"> financija da </w:t>
      </w:r>
      <w:r w:rsidR="00161058">
        <w:t xml:space="preserve">u ime Republike Hrvatske </w:t>
      </w:r>
      <w:r w:rsidRPr="00DB5309">
        <w:t xml:space="preserve">potpiše Ugovor o zajmu. Ugovor o zajmu </w:t>
      </w:r>
      <w:r w:rsidR="00043FF8">
        <w:t xml:space="preserve">sklopljen </w:t>
      </w:r>
      <w:r w:rsidRPr="00DB69E6">
        <w:t>je</w:t>
      </w:r>
      <w:r w:rsidR="00DB69E6" w:rsidRPr="00DB69E6">
        <w:t xml:space="preserve"> </w:t>
      </w:r>
      <w:r w:rsidR="000C5DD7">
        <w:t xml:space="preserve">u Zagrebu, </w:t>
      </w:r>
      <w:r w:rsidR="00DB69E6" w:rsidRPr="00DB69E6">
        <w:t>15. travnja 2020.</w:t>
      </w:r>
      <w:r w:rsidRPr="00DB5309">
        <w:t xml:space="preserve"> godine. </w:t>
      </w:r>
    </w:p>
    <w:p w14:paraId="154EA517" w14:textId="77777777" w:rsidR="00E80848" w:rsidRPr="00DB5309" w:rsidRDefault="00E80848" w:rsidP="00E80848">
      <w:pPr>
        <w:jc w:val="both"/>
      </w:pPr>
    </w:p>
    <w:p w14:paraId="0520193C" w14:textId="77777777" w:rsidR="00E80848" w:rsidRPr="00DB5309" w:rsidRDefault="00E80848" w:rsidP="00E80848">
      <w:pPr>
        <w:numPr>
          <w:ilvl w:val="0"/>
          <w:numId w:val="2"/>
        </w:numPr>
        <w:tabs>
          <w:tab w:val="clear" w:pos="360"/>
        </w:tabs>
        <w:rPr>
          <w:b/>
        </w:rPr>
      </w:pPr>
      <w:r w:rsidRPr="00DB5309">
        <w:rPr>
          <w:b/>
        </w:rPr>
        <w:t>Cilj koji se zakonom želi postići</w:t>
      </w:r>
    </w:p>
    <w:p w14:paraId="3B74B6EA" w14:textId="77777777" w:rsidR="00E80848" w:rsidRPr="00DB5309" w:rsidRDefault="00E80848" w:rsidP="00E80848">
      <w:pPr>
        <w:rPr>
          <w:b/>
        </w:rPr>
      </w:pPr>
    </w:p>
    <w:p w14:paraId="0799F79E" w14:textId="77777777" w:rsidR="00BC0CA2" w:rsidRPr="00BC0CA2" w:rsidRDefault="009260BB" w:rsidP="00BC0CA2">
      <w:pPr>
        <w:pStyle w:val="BodyText"/>
        <w:rPr>
          <w:szCs w:val="24"/>
          <w:lang w:val="hr-HR"/>
        </w:rPr>
      </w:pPr>
      <w:r>
        <w:rPr>
          <w:szCs w:val="24"/>
          <w:lang w:val="hr-HR"/>
        </w:rPr>
        <w:t>Provedba Ugovora o zajmu osigurat će podršku</w:t>
      </w:r>
      <w:r w:rsidR="00BC0CA2" w:rsidRPr="00BC0CA2">
        <w:rPr>
          <w:szCs w:val="24"/>
          <w:lang w:val="hr-HR"/>
        </w:rPr>
        <w:t xml:space="preserve"> Republici Hrvatskoj </w:t>
      </w:r>
      <w:r>
        <w:rPr>
          <w:szCs w:val="24"/>
          <w:lang w:val="hr-HR"/>
        </w:rPr>
        <w:t>potrebnu za daljnje</w:t>
      </w:r>
      <w:r w:rsidR="00BC0CA2" w:rsidRPr="00BC0CA2">
        <w:rPr>
          <w:szCs w:val="24"/>
          <w:lang w:val="hr-HR"/>
        </w:rPr>
        <w:t xml:space="preserve"> osnaživanj</w:t>
      </w:r>
      <w:r w:rsidR="00C95516">
        <w:rPr>
          <w:szCs w:val="24"/>
          <w:lang w:val="hr-HR"/>
        </w:rPr>
        <w:t>e</w:t>
      </w:r>
      <w:r w:rsidR="00BC0CA2" w:rsidRPr="00BC0CA2">
        <w:rPr>
          <w:szCs w:val="24"/>
          <w:lang w:val="hr-HR"/>
        </w:rPr>
        <w:t xml:space="preserve"> gospodarske klime i unaprjeđenj</w:t>
      </w:r>
      <w:r w:rsidR="00C95516">
        <w:rPr>
          <w:szCs w:val="24"/>
          <w:lang w:val="hr-HR"/>
        </w:rPr>
        <w:t>e</w:t>
      </w:r>
      <w:r w:rsidR="00BC0CA2" w:rsidRPr="00BC0CA2">
        <w:rPr>
          <w:szCs w:val="24"/>
          <w:lang w:val="hr-HR"/>
        </w:rPr>
        <w:t xml:space="preserve"> poslovnog okruženja s fokusom na potporu pravosudnom sektoru sa stajališta učinkovitosti, transparentnosti i troška.</w:t>
      </w:r>
    </w:p>
    <w:p w14:paraId="38BD1C40" w14:textId="77777777" w:rsidR="00BC0CA2" w:rsidRPr="00BC0CA2" w:rsidRDefault="00BC0CA2" w:rsidP="00BC0CA2">
      <w:pPr>
        <w:pStyle w:val="BodyText"/>
        <w:rPr>
          <w:szCs w:val="24"/>
          <w:lang w:val="hr-HR"/>
        </w:rPr>
      </w:pPr>
      <w:r w:rsidRPr="00BC0CA2">
        <w:rPr>
          <w:szCs w:val="24"/>
          <w:lang w:val="hr-HR"/>
        </w:rPr>
        <w:t>Projekt se ostvaruje u zajedničkoj suradnji Ministarstva pravosuđa, Ministarstva gospodarstva, poduzetništva i obrta te Ministarstva graditeljstva i prostornoga uređenja, a sastoji se od dvije komponente: 1) smanjenje administrativnog opterećenja u poslovanju poduzeća i 2) osnaživanje gospodarske klime unapređ</w:t>
      </w:r>
      <w:r w:rsidR="009260BB">
        <w:rPr>
          <w:szCs w:val="24"/>
          <w:lang w:val="hr-HR"/>
        </w:rPr>
        <w:t xml:space="preserve">enjem učinkovitosti pravosuđa. </w:t>
      </w:r>
    </w:p>
    <w:p w14:paraId="49F19166" w14:textId="77777777" w:rsidR="00BC0CA2" w:rsidRPr="00BC0CA2" w:rsidRDefault="00BC0CA2" w:rsidP="00BC0CA2">
      <w:pPr>
        <w:pStyle w:val="BodyText"/>
        <w:rPr>
          <w:szCs w:val="24"/>
          <w:lang w:val="hr-HR"/>
        </w:rPr>
      </w:pPr>
      <w:r w:rsidRPr="00BC0CA2">
        <w:rPr>
          <w:szCs w:val="24"/>
          <w:lang w:val="hr-HR"/>
        </w:rPr>
        <w:t xml:space="preserve">Ukupna vrijednost predloženog Zajma je 100 milijuna eura. Prva komponenta predloženog Zajma usmjerena je na postizanje rezultata i provedbu mjera s ciljem smanjenja administrativnog opterećenja u poslovanju poduzeća, a financijska omotnica predviđena za istu iznosi 25 milijuna eura koja će po ostvarenju zadanih ciljeva biti izravno uplaćena u državni proračun Republike Hrvatske. Aktivnosti koje će se provoditi u sklopu ove komponente bit će usmjerene na sljedeća područja: (a) uklanjanje regulatornih prepreka za ulazak na tržište i poslovanje na tržištu i (b) pojednostavljenje izdavanja dozvola za gradnju i unapređenje dostupnosti građevinskih usluga pomoću proširene upotrebe e-Dozvole i pojednostavljenje zahtjeva za pružanje stručnih usluga u sektoru graditeljstva. Inicijative koje će se podržati u svakom od ovih područja usklađene su s prioritetima Vlade Republike Hrvatske. </w:t>
      </w:r>
    </w:p>
    <w:p w14:paraId="5363E134" w14:textId="77777777" w:rsidR="00E80848" w:rsidRDefault="00BC0CA2" w:rsidP="00BC0CA2">
      <w:pPr>
        <w:pStyle w:val="BodyText"/>
        <w:spacing w:after="0"/>
        <w:rPr>
          <w:szCs w:val="24"/>
          <w:lang w:val="hr-HR"/>
        </w:rPr>
      </w:pPr>
      <w:r w:rsidRPr="00BC0CA2">
        <w:rPr>
          <w:szCs w:val="24"/>
          <w:lang w:val="hr-HR"/>
        </w:rPr>
        <w:t>Druga komponenta Zajma u nadležnosti je Ministarstva pravosuđa te iznosi 73,1 milijun eura od čega se 48,1 milijuna eura odnosi na izravno ulaganje u pravosudnu infrastrukturu</w:t>
      </w:r>
      <w:r w:rsidR="00A40C10">
        <w:rPr>
          <w:szCs w:val="24"/>
          <w:lang w:val="hr-HR"/>
        </w:rPr>
        <w:t>.</w:t>
      </w:r>
      <w:r w:rsidR="00771197">
        <w:rPr>
          <w:szCs w:val="24"/>
          <w:lang w:val="hr-HR"/>
        </w:rPr>
        <w:t xml:space="preserve"> </w:t>
      </w:r>
      <w:r w:rsidR="00A40C10" w:rsidRPr="00DB69E6">
        <w:rPr>
          <w:szCs w:val="24"/>
          <w:lang w:val="hr-HR"/>
        </w:rPr>
        <w:t>Sredstvima Zajma obnovit će se zgrade pravosudnih tijela u kojima su smješteni: Općinski građanski sud u Zagrebu, Općinski radni sud u Zagrebu, Općinski sud u Kutini, Općinski sud u Vinkovcima, Županijski sud u Varaždinu, Općinski sud u Varaždinu, Trgovački sud u Varaždinu i Županijsko državno odvjetništvo u Varaždinu.</w:t>
      </w:r>
      <w:r w:rsidR="00771197">
        <w:rPr>
          <w:szCs w:val="24"/>
          <w:lang w:val="hr-HR"/>
        </w:rPr>
        <w:t xml:space="preserve"> </w:t>
      </w:r>
      <w:r w:rsidRPr="00BC0CA2">
        <w:rPr>
          <w:szCs w:val="24"/>
          <w:lang w:val="hr-HR"/>
        </w:rPr>
        <w:t>Preostala financijska alokacija u iznosu od 25 milijuna eura bit će izravno uplaćena u državni proračun Republike Hrvatske po ostvarenju zadanih ciljeva, a to su: (a) širenje upotrebe elektroničkih usluga u pravosuđu, (b) ubrzanje rješavanja predmeta na trgovačkim sudovima, (c) smanjenje broja neriješenih predmeta starijih od 10 godina. Ostatak vrijednosti do ukupne vrijednosti Zajma predstavljaju troškovi upravljanja projektom.</w:t>
      </w:r>
    </w:p>
    <w:p w14:paraId="39C357FD" w14:textId="77777777" w:rsidR="006A00A9" w:rsidRPr="00040581" w:rsidRDefault="006A00A9" w:rsidP="00CE595D">
      <w:pPr>
        <w:pStyle w:val="BodyText"/>
        <w:spacing w:after="0"/>
        <w:rPr>
          <w:szCs w:val="24"/>
          <w:highlight w:val="yellow"/>
          <w:lang w:val="hr-HR"/>
        </w:rPr>
      </w:pPr>
    </w:p>
    <w:p w14:paraId="1613656C" w14:textId="77777777" w:rsidR="00E80848" w:rsidRPr="00E80848" w:rsidRDefault="00E80848" w:rsidP="00E80848">
      <w:pPr>
        <w:pStyle w:val="BodyText"/>
        <w:spacing w:after="0"/>
        <w:rPr>
          <w:szCs w:val="24"/>
          <w:lang w:val="hr-HR"/>
        </w:rPr>
      </w:pPr>
      <w:r w:rsidRPr="00E80848">
        <w:rPr>
          <w:szCs w:val="24"/>
          <w:lang w:val="hr-HR"/>
        </w:rPr>
        <w:t xml:space="preserve">Prema uvjetima dogovorenima tijekom pregovora, zajam je odobren na 10 godina, uključujući </w:t>
      </w:r>
      <w:r w:rsidR="009260BB">
        <w:rPr>
          <w:szCs w:val="24"/>
          <w:lang w:val="hr-HR"/>
        </w:rPr>
        <w:t>5</w:t>
      </w:r>
      <w:r w:rsidRPr="00E80848">
        <w:rPr>
          <w:szCs w:val="24"/>
          <w:lang w:val="hr-HR"/>
        </w:rPr>
        <w:t xml:space="preserve"> godin</w:t>
      </w:r>
      <w:r w:rsidR="009260BB">
        <w:rPr>
          <w:szCs w:val="24"/>
          <w:lang w:val="hr-HR"/>
        </w:rPr>
        <w:t>a</w:t>
      </w:r>
      <w:r w:rsidRPr="00E80848">
        <w:rPr>
          <w:szCs w:val="24"/>
          <w:lang w:val="hr-HR"/>
        </w:rPr>
        <w:t xml:space="preserve"> počeka za otplatu glavnice.</w:t>
      </w:r>
    </w:p>
    <w:p w14:paraId="012691EA" w14:textId="77777777" w:rsidR="00E80848" w:rsidRPr="00040581" w:rsidRDefault="00E80848" w:rsidP="00E80848">
      <w:pPr>
        <w:jc w:val="both"/>
        <w:rPr>
          <w:highlight w:val="yellow"/>
          <w:lang w:val="af-ZA"/>
        </w:rPr>
      </w:pPr>
    </w:p>
    <w:p w14:paraId="3FB881E5" w14:textId="77777777" w:rsidR="00E80848" w:rsidRPr="008453F1" w:rsidRDefault="00E80848" w:rsidP="00E80848">
      <w:pPr>
        <w:pStyle w:val="BodyText"/>
        <w:spacing w:after="0"/>
        <w:rPr>
          <w:szCs w:val="24"/>
          <w:lang w:val="af-ZA" w:eastAsia="hr-HR"/>
        </w:rPr>
      </w:pPr>
      <w:r w:rsidRPr="008453F1">
        <w:rPr>
          <w:szCs w:val="24"/>
          <w:lang w:val="af-ZA" w:eastAsia="hr-HR"/>
        </w:rPr>
        <w:t xml:space="preserve">Sredstva zajma </w:t>
      </w:r>
      <w:r>
        <w:rPr>
          <w:szCs w:val="24"/>
          <w:lang w:val="af-ZA" w:eastAsia="hr-HR"/>
        </w:rPr>
        <w:t>bit će na raspolaganju z</w:t>
      </w:r>
      <w:r w:rsidRPr="008453F1">
        <w:rPr>
          <w:szCs w:val="24"/>
          <w:lang w:val="af-ZA" w:eastAsia="hr-HR"/>
        </w:rPr>
        <w:t>a</w:t>
      </w:r>
      <w:r>
        <w:rPr>
          <w:szCs w:val="24"/>
          <w:lang w:val="af-ZA" w:eastAsia="hr-HR"/>
        </w:rPr>
        <w:t xml:space="preserve"> </w:t>
      </w:r>
      <w:r w:rsidRPr="008453F1">
        <w:rPr>
          <w:szCs w:val="24"/>
          <w:lang w:val="af-ZA" w:eastAsia="hr-HR"/>
        </w:rPr>
        <w:t xml:space="preserve">korištenje odmah nakon što Ugovor o zajmu stupi na snagu. </w:t>
      </w:r>
    </w:p>
    <w:p w14:paraId="245BF766" w14:textId="77777777" w:rsidR="00E80848" w:rsidRPr="0007218E" w:rsidRDefault="00E80848" w:rsidP="00E80848">
      <w:pPr>
        <w:rPr>
          <w:b/>
        </w:rPr>
      </w:pPr>
    </w:p>
    <w:p w14:paraId="772ED4C0" w14:textId="77777777" w:rsidR="00E80848" w:rsidRPr="0007218E" w:rsidRDefault="00EE5793" w:rsidP="00E80848">
      <w:pPr>
        <w:jc w:val="center"/>
        <w:outlineLvl w:val="0"/>
        <w:rPr>
          <w:b/>
        </w:rPr>
      </w:pPr>
      <w:r>
        <w:rPr>
          <w:b/>
        </w:rPr>
        <w:t xml:space="preserve">      </w:t>
      </w:r>
      <w:r w:rsidR="00E80848" w:rsidRPr="0007218E">
        <w:rPr>
          <w:b/>
        </w:rPr>
        <w:t>OPIS ZAJMA</w:t>
      </w:r>
    </w:p>
    <w:p w14:paraId="5AA4BBA4" w14:textId="77777777" w:rsidR="00E80848" w:rsidRPr="0007218E" w:rsidRDefault="00E80848" w:rsidP="00E80848">
      <w:pPr>
        <w:jc w:val="center"/>
        <w:rPr>
          <w:b/>
        </w:rPr>
      </w:pPr>
    </w:p>
    <w:tbl>
      <w:tblPr>
        <w:tblW w:w="9664" w:type="dxa"/>
        <w:tblLook w:val="01E0" w:firstRow="1" w:lastRow="1" w:firstColumn="1" w:lastColumn="1" w:noHBand="0" w:noVBand="0"/>
      </w:tblPr>
      <w:tblGrid>
        <w:gridCol w:w="3794"/>
        <w:gridCol w:w="5870"/>
      </w:tblGrid>
      <w:tr w:rsidR="00E80848" w:rsidRPr="0007218E" w14:paraId="14A36B2B" w14:textId="77777777" w:rsidTr="00456EFB">
        <w:tc>
          <w:tcPr>
            <w:tcW w:w="3794" w:type="dxa"/>
          </w:tcPr>
          <w:p w14:paraId="7CBF6003" w14:textId="77777777" w:rsidR="00E80848" w:rsidRPr="0007218E" w:rsidRDefault="00E80848" w:rsidP="00456EFB">
            <w:pPr>
              <w:jc w:val="both"/>
            </w:pPr>
            <w:r>
              <w:t>Z</w:t>
            </w:r>
            <w:r w:rsidRPr="0007218E">
              <w:t>ajmoprimac:</w:t>
            </w:r>
          </w:p>
        </w:tc>
        <w:tc>
          <w:tcPr>
            <w:tcW w:w="5870" w:type="dxa"/>
          </w:tcPr>
          <w:p w14:paraId="54D34056" w14:textId="77777777" w:rsidR="00E80848" w:rsidRDefault="00E80848" w:rsidP="00456EFB">
            <w:pPr>
              <w:jc w:val="both"/>
            </w:pPr>
            <w:r w:rsidRPr="0007218E">
              <w:t>Republika Hrvatska</w:t>
            </w:r>
          </w:p>
          <w:p w14:paraId="4757F6CA" w14:textId="77777777" w:rsidR="00E80848" w:rsidRPr="0007218E" w:rsidRDefault="00E80848" w:rsidP="00456EFB">
            <w:pPr>
              <w:jc w:val="both"/>
            </w:pPr>
          </w:p>
        </w:tc>
      </w:tr>
      <w:tr w:rsidR="00E80848" w:rsidRPr="0007218E" w14:paraId="1F64B962" w14:textId="77777777" w:rsidTr="00456EFB">
        <w:tc>
          <w:tcPr>
            <w:tcW w:w="3794" w:type="dxa"/>
          </w:tcPr>
          <w:p w14:paraId="5C53048C" w14:textId="77777777" w:rsidR="00E80848" w:rsidRPr="0007218E" w:rsidRDefault="00E80848" w:rsidP="00456EFB">
            <w:pPr>
              <w:jc w:val="both"/>
            </w:pPr>
            <w:r>
              <w:t>Z</w:t>
            </w:r>
            <w:r w:rsidRPr="0007218E">
              <w:t>ajmodavac:</w:t>
            </w:r>
          </w:p>
        </w:tc>
        <w:tc>
          <w:tcPr>
            <w:tcW w:w="5870" w:type="dxa"/>
          </w:tcPr>
          <w:p w14:paraId="77E243FA" w14:textId="77777777" w:rsidR="00E80848" w:rsidRDefault="00E80848" w:rsidP="00456EFB">
            <w:pPr>
              <w:jc w:val="both"/>
            </w:pPr>
            <w:r w:rsidRPr="0007218E">
              <w:t>Međunarodna banka za obnovu i razvoj</w:t>
            </w:r>
          </w:p>
          <w:p w14:paraId="3E56B4D9" w14:textId="77777777" w:rsidR="00E80848" w:rsidRPr="0007218E" w:rsidRDefault="00E80848" w:rsidP="00456EFB">
            <w:pPr>
              <w:jc w:val="both"/>
            </w:pPr>
          </w:p>
        </w:tc>
      </w:tr>
      <w:tr w:rsidR="00E80848" w:rsidRPr="0007218E" w14:paraId="6184FF3C" w14:textId="77777777" w:rsidTr="00456EFB">
        <w:tc>
          <w:tcPr>
            <w:tcW w:w="3794" w:type="dxa"/>
          </w:tcPr>
          <w:p w14:paraId="7628A231" w14:textId="77777777" w:rsidR="00E80848" w:rsidRPr="0007218E" w:rsidRDefault="00E80848" w:rsidP="00456EFB">
            <w:pPr>
              <w:jc w:val="both"/>
            </w:pPr>
            <w:r>
              <w:t>I</w:t>
            </w:r>
            <w:r w:rsidRPr="0007218E">
              <w:t xml:space="preserve">znos zajma: </w:t>
            </w:r>
          </w:p>
        </w:tc>
        <w:tc>
          <w:tcPr>
            <w:tcW w:w="5870" w:type="dxa"/>
          </w:tcPr>
          <w:p w14:paraId="0FE3177B" w14:textId="77777777" w:rsidR="00E80848" w:rsidRDefault="00C700DC" w:rsidP="00456EFB">
            <w:pPr>
              <w:jc w:val="both"/>
            </w:pPr>
            <w:r>
              <w:t>100.000.000,00</w:t>
            </w:r>
            <w:r w:rsidR="00C368FC">
              <w:t xml:space="preserve"> eura</w:t>
            </w:r>
            <w:r w:rsidR="00E80848" w:rsidRPr="0007218E">
              <w:t xml:space="preserve"> </w:t>
            </w:r>
          </w:p>
          <w:p w14:paraId="16088FE5" w14:textId="77777777" w:rsidR="00E80848" w:rsidRPr="0007218E" w:rsidRDefault="00E80848" w:rsidP="00456EFB">
            <w:pPr>
              <w:jc w:val="both"/>
            </w:pPr>
          </w:p>
        </w:tc>
      </w:tr>
      <w:tr w:rsidR="00E80848" w:rsidRPr="00264C93" w14:paraId="2DDD4693" w14:textId="77777777" w:rsidTr="00456EFB">
        <w:tc>
          <w:tcPr>
            <w:tcW w:w="3794" w:type="dxa"/>
          </w:tcPr>
          <w:p w14:paraId="46407FBB" w14:textId="77777777" w:rsidR="00E80848" w:rsidRPr="00264C93" w:rsidRDefault="00E80848" w:rsidP="00456EFB">
            <w:pPr>
              <w:jc w:val="both"/>
            </w:pPr>
            <w:r>
              <w:rPr>
                <w:color w:val="000000"/>
                <w:spacing w:val="-5"/>
                <w:w w:val="101"/>
              </w:rPr>
              <w:t>N</w:t>
            </w:r>
            <w:r w:rsidRPr="00264C93">
              <w:rPr>
                <w:color w:val="000000"/>
                <w:spacing w:val="-5"/>
                <w:w w:val="101"/>
              </w:rPr>
              <w:t>amjena:</w:t>
            </w:r>
          </w:p>
        </w:tc>
        <w:tc>
          <w:tcPr>
            <w:tcW w:w="5870" w:type="dxa"/>
          </w:tcPr>
          <w:p w14:paraId="33710818" w14:textId="77777777" w:rsidR="00E80848" w:rsidRDefault="009260BB" w:rsidP="00456EFB">
            <w:pPr>
              <w:jc w:val="both"/>
              <w:rPr>
                <w:color w:val="000000"/>
                <w:spacing w:val="-5"/>
                <w:w w:val="101"/>
              </w:rPr>
            </w:pPr>
            <w:r>
              <w:rPr>
                <w:color w:val="000000"/>
                <w:spacing w:val="-5"/>
                <w:w w:val="101"/>
              </w:rPr>
              <w:t>Unaprjeđenje poslovnih regulatornih upostupaka i standarda usluga u pravosudnom sektoru za poduzeća</w:t>
            </w:r>
          </w:p>
          <w:p w14:paraId="12504E6C" w14:textId="77777777" w:rsidR="00E80848" w:rsidRPr="00264C93" w:rsidRDefault="00E80848" w:rsidP="00456EFB">
            <w:pPr>
              <w:jc w:val="both"/>
            </w:pPr>
          </w:p>
        </w:tc>
      </w:tr>
      <w:tr w:rsidR="00E80848" w:rsidRPr="00264C93" w14:paraId="5FBC788C" w14:textId="77777777" w:rsidTr="00456EFB">
        <w:tc>
          <w:tcPr>
            <w:tcW w:w="3794" w:type="dxa"/>
          </w:tcPr>
          <w:p w14:paraId="1CE937DE" w14:textId="77777777" w:rsidR="00E80848" w:rsidRPr="00264C93" w:rsidRDefault="00E80848" w:rsidP="00456EFB">
            <w:pPr>
              <w:jc w:val="both"/>
            </w:pPr>
            <w:r>
              <w:rPr>
                <w:color w:val="000000"/>
                <w:spacing w:val="-4"/>
                <w:w w:val="101"/>
              </w:rPr>
              <w:t>R</w:t>
            </w:r>
            <w:r w:rsidRPr="00264C93">
              <w:rPr>
                <w:color w:val="000000"/>
                <w:spacing w:val="-4"/>
                <w:w w:val="101"/>
              </w:rPr>
              <w:t>ok otplate:</w:t>
            </w:r>
          </w:p>
        </w:tc>
        <w:tc>
          <w:tcPr>
            <w:tcW w:w="5870" w:type="dxa"/>
          </w:tcPr>
          <w:p w14:paraId="3A10F78C" w14:textId="77777777" w:rsidR="00E80848" w:rsidRDefault="00E80848" w:rsidP="00456EFB">
            <w:pPr>
              <w:jc w:val="both"/>
              <w:rPr>
                <w:color w:val="000000"/>
                <w:spacing w:val="-2"/>
                <w:w w:val="101"/>
              </w:rPr>
            </w:pPr>
            <w:r>
              <w:rPr>
                <w:color w:val="000000"/>
                <w:spacing w:val="-2"/>
                <w:w w:val="101"/>
              </w:rPr>
              <w:t>10</w:t>
            </w:r>
            <w:r w:rsidRPr="00CD6943">
              <w:rPr>
                <w:color w:val="000000"/>
                <w:spacing w:val="-2"/>
                <w:w w:val="101"/>
              </w:rPr>
              <w:t xml:space="preserve"> godina uz poček na otplatu </w:t>
            </w:r>
            <w:r w:rsidR="009260BB">
              <w:rPr>
                <w:color w:val="000000"/>
                <w:spacing w:val="-2"/>
                <w:w w:val="101"/>
              </w:rPr>
              <w:t>5</w:t>
            </w:r>
            <w:r w:rsidRPr="00CD6943">
              <w:rPr>
                <w:color w:val="000000"/>
                <w:spacing w:val="-2"/>
                <w:w w:val="101"/>
              </w:rPr>
              <w:t xml:space="preserve"> godina</w:t>
            </w:r>
          </w:p>
          <w:p w14:paraId="37F57CAB" w14:textId="77777777" w:rsidR="00E80848" w:rsidRPr="00CD6943" w:rsidRDefault="00E80848" w:rsidP="00456EFB">
            <w:pPr>
              <w:jc w:val="both"/>
            </w:pPr>
          </w:p>
        </w:tc>
      </w:tr>
      <w:tr w:rsidR="00E80848" w:rsidRPr="00DB5309" w14:paraId="456B761D" w14:textId="77777777" w:rsidTr="00456EFB">
        <w:trPr>
          <w:trHeight w:val="753"/>
        </w:trPr>
        <w:tc>
          <w:tcPr>
            <w:tcW w:w="3794" w:type="dxa"/>
          </w:tcPr>
          <w:p w14:paraId="5C697730" w14:textId="77777777" w:rsidR="00E80848" w:rsidRPr="00264C93" w:rsidRDefault="00E80848" w:rsidP="00456EFB">
            <w:pPr>
              <w:jc w:val="both"/>
            </w:pPr>
            <w:r>
              <w:t>Kamatna stopa</w:t>
            </w:r>
            <w:r w:rsidRPr="00264C93">
              <w:t>:</w:t>
            </w:r>
          </w:p>
          <w:p w14:paraId="550E4E98" w14:textId="77777777" w:rsidR="00E80848" w:rsidRPr="00264C93" w:rsidRDefault="00E80848" w:rsidP="00456EFB">
            <w:pPr>
              <w:jc w:val="both"/>
            </w:pPr>
          </w:p>
          <w:p w14:paraId="20E9F51D" w14:textId="77777777" w:rsidR="00E80848" w:rsidRPr="00264C93" w:rsidRDefault="00E80848" w:rsidP="00456EFB">
            <w:pPr>
              <w:jc w:val="both"/>
            </w:pPr>
            <w:r>
              <w:t>D</w:t>
            </w:r>
            <w:r w:rsidRPr="00264C93">
              <w:t>ospijeća:</w:t>
            </w:r>
          </w:p>
          <w:p w14:paraId="4A6D0F7C" w14:textId="77777777" w:rsidR="00E80848" w:rsidRPr="00264C93" w:rsidRDefault="00E80848" w:rsidP="00456EFB">
            <w:pPr>
              <w:jc w:val="both"/>
            </w:pPr>
          </w:p>
          <w:p w14:paraId="54F7D97E" w14:textId="77777777" w:rsidR="00E80848" w:rsidRPr="00264C93" w:rsidRDefault="00E80848" w:rsidP="00456EFB">
            <w:pPr>
              <w:jc w:val="both"/>
            </w:pPr>
            <w:r>
              <w:t>N</w:t>
            </w:r>
            <w:r w:rsidRPr="00264C93">
              <w:t>akna</w:t>
            </w:r>
            <w:r>
              <w:t>de</w:t>
            </w:r>
            <w:r w:rsidRPr="00264C93">
              <w:t>:</w:t>
            </w:r>
          </w:p>
          <w:p w14:paraId="435FA19F" w14:textId="77777777" w:rsidR="00E80848" w:rsidRPr="00264C93" w:rsidRDefault="00E80848" w:rsidP="00456EFB">
            <w:pPr>
              <w:jc w:val="both"/>
            </w:pPr>
            <w:r w:rsidRPr="00264C93">
              <w:tab/>
            </w:r>
          </w:p>
        </w:tc>
        <w:tc>
          <w:tcPr>
            <w:tcW w:w="5870" w:type="dxa"/>
          </w:tcPr>
          <w:p w14:paraId="46C82B5A" w14:textId="77777777" w:rsidR="00E80848" w:rsidRPr="00264C93" w:rsidRDefault="00E80848" w:rsidP="00456EFB">
            <w:pPr>
              <w:pStyle w:val="BodyText"/>
              <w:rPr>
                <w:szCs w:val="24"/>
                <w:lang w:val="hr-HR"/>
              </w:rPr>
            </w:pPr>
            <w:r>
              <w:rPr>
                <w:color w:val="000000"/>
                <w:spacing w:val="-2"/>
                <w:w w:val="101"/>
                <w:szCs w:val="24"/>
                <w:lang w:val="hr-HR"/>
              </w:rPr>
              <w:t>fiksna kamatna marža</w:t>
            </w:r>
            <w:r w:rsidR="009260BB">
              <w:rPr>
                <w:szCs w:val="24"/>
                <w:lang w:val="hr-HR"/>
              </w:rPr>
              <w:t>, jed</w:t>
            </w:r>
            <w:r w:rsidR="00C700DC">
              <w:rPr>
                <w:szCs w:val="24"/>
                <w:lang w:val="hr-HR"/>
              </w:rPr>
              <w:t>naki obroci otplate povezani s p</w:t>
            </w:r>
            <w:r w:rsidR="009260BB">
              <w:rPr>
                <w:szCs w:val="24"/>
                <w:lang w:val="hr-HR"/>
              </w:rPr>
              <w:t>rihvatljivim rashodima</w:t>
            </w:r>
          </w:p>
          <w:p w14:paraId="0833E654" w14:textId="77777777" w:rsidR="00E80848" w:rsidRPr="00264C93" w:rsidRDefault="00E80848" w:rsidP="00456EFB">
            <w:pPr>
              <w:pStyle w:val="BodyText"/>
              <w:rPr>
                <w:szCs w:val="24"/>
                <w:lang w:val="af-ZA"/>
              </w:rPr>
            </w:pPr>
            <w:r>
              <w:rPr>
                <w:szCs w:val="24"/>
                <w:lang w:val="hr-HR"/>
              </w:rPr>
              <w:t>polugodišnja</w:t>
            </w:r>
          </w:p>
          <w:p w14:paraId="4A17D4B2" w14:textId="77777777" w:rsidR="00CF687A" w:rsidRDefault="00E80848" w:rsidP="00CF687A">
            <w:pPr>
              <w:ind w:right="72"/>
              <w:rPr>
                <w:lang w:val="af-ZA"/>
              </w:rPr>
            </w:pPr>
            <w:r w:rsidRPr="000D156B">
              <w:rPr>
                <w:lang w:val="af-ZA"/>
              </w:rPr>
              <w:t>početna naknada iznosi 0,25% iznosa glavnice zajma</w:t>
            </w:r>
            <w:r w:rsidR="00C368FC">
              <w:rPr>
                <w:lang w:val="af-ZA"/>
              </w:rPr>
              <w:t>.</w:t>
            </w:r>
          </w:p>
          <w:p w14:paraId="0F4782A4" w14:textId="77777777" w:rsidR="00E80848" w:rsidRPr="00DB5309" w:rsidRDefault="00E80848" w:rsidP="00CF687A">
            <w:pPr>
              <w:ind w:right="72"/>
            </w:pPr>
          </w:p>
        </w:tc>
      </w:tr>
    </w:tbl>
    <w:p w14:paraId="469F1AA4" w14:textId="77777777" w:rsidR="00E80848" w:rsidRPr="00DB5309" w:rsidRDefault="00E80848" w:rsidP="00E80848">
      <w:pPr>
        <w:rPr>
          <w:b/>
        </w:rPr>
      </w:pPr>
    </w:p>
    <w:p w14:paraId="60CDD2D4" w14:textId="77777777" w:rsidR="00E80848" w:rsidRPr="00DB5309" w:rsidRDefault="00E80848" w:rsidP="00E80848">
      <w:pPr>
        <w:rPr>
          <w:b/>
        </w:rPr>
      </w:pPr>
    </w:p>
    <w:p w14:paraId="531DF345" w14:textId="77777777" w:rsidR="00E80848" w:rsidRPr="00DB5309" w:rsidRDefault="00E80848" w:rsidP="00771197">
      <w:pPr>
        <w:numPr>
          <w:ilvl w:val="0"/>
          <w:numId w:val="1"/>
        </w:numPr>
        <w:tabs>
          <w:tab w:val="clear" w:pos="720"/>
        </w:tabs>
        <w:jc w:val="both"/>
        <w:rPr>
          <w:b/>
        </w:rPr>
      </w:pPr>
      <w:r w:rsidRPr="00DB5309">
        <w:rPr>
          <w:b/>
        </w:rPr>
        <w:t>OSNOVNA PITANJA KOJA SE TREBAJU UREDITI ZAKONOM</w:t>
      </w:r>
    </w:p>
    <w:p w14:paraId="3F0A7941" w14:textId="77777777" w:rsidR="00E80848" w:rsidRPr="00DB5309" w:rsidRDefault="00E80848" w:rsidP="00771197">
      <w:pPr>
        <w:jc w:val="both"/>
      </w:pPr>
    </w:p>
    <w:p w14:paraId="0FDA8EA1" w14:textId="77777777" w:rsidR="00E80848" w:rsidRPr="00DB5309" w:rsidRDefault="00E80848" w:rsidP="00771197">
      <w:pPr>
        <w:jc w:val="both"/>
        <w:rPr>
          <w:b/>
        </w:rPr>
      </w:pPr>
      <w:r w:rsidRPr="00DB5309">
        <w:t xml:space="preserve">Ovim se </w:t>
      </w:r>
      <w:r w:rsidR="00877F2D">
        <w:t>Za</w:t>
      </w:r>
      <w:r w:rsidR="00877F2D" w:rsidRPr="00DB5309">
        <w:t xml:space="preserve">konom </w:t>
      </w:r>
      <w:r w:rsidRPr="00DB5309">
        <w:t>potvrđuje Ugovor</w:t>
      </w:r>
      <w:r w:rsidR="00877F2D">
        <w:t xml:space="preserve"> o zajmu</w:t>
      </w:r>
      <w:r w:rsidRPr="00DB5309">
        <w:t>, kako bi njegove odredbe u smislu članka 14</w:t>
      </w:r>
      <w:r>
        <w:t>1</w:t>
      </w:r>
      <w:r w:rsidRPr="00DB5309">
        <w:t>. Ustava Republike Hrvatske postale dio unutarnjeg pravnog poretka Republike Hrvatske.</w:t>
      </w:r>
    </w:p>
    <w:p w14:paraId="4E9E6C10" w14:textId="77777777" w:rsidR="00E80848" w:rsidRPr="00DB5309" w:rsidRDefault="00E80848" w:rsidP="00771197">
      <w:pPr>
        <w:jc w:val="both"/>
      </w:pPr>
    </w:p>
    <w:p w14:paraId="2EA476C8" w14:textId="77777777" w:rsidR="00E80848" w:rsidRPr="00DB5309" w:rsidRDefault="00E80848" w:rsidP="00771197">
      <w:pPr>
        <w:pStyle w:val="Bulleting"/>
        <w:numPr>
          <w:ilvl w:val="0"/>
          <w:numId w:val="0"/>
        </w:numPr>
        <w:jc w:val="both"/>
      </w:pPr>
      <w:r w:rsidRPr="00DB5309">
        <w:t xml:space="preserve">Ovim </w:t>
      </w:r>
      <w:r>
        <w:t>Z</w:t>
      </w:r>
      <w:r w:rsidRPr="00DB5309">
        <w:t>akonom</w:t>
      </w:r>
      <w:r w:rsidRPr="00DB5309">
        <w:rPr>
          <w:b/>
        </w:rPr>
        <w:t xml:space="preserve"> </w:t>
      </w:r>
      <w:r w:rsidRPr="00616DCD">
        <w:t>također se propisuje način podmirivanja financijskih obaveza koje nastaju za Republiku Hrvatsku po Ugovoru o zajmu te nadležnost za provedbu Zakona.</w:t>
      </w:r>
      <w:r>
        <w:t xml:space="preserve"> </w:t>
      </w:r>
    </w:p>
    <w:p w14:paraId="766DAFBE" w14:textId="77777777" w:rsidR="00E80848" w:rsidRDefault="00E80848" w:rsidP="00771197">
      <w:pPr>
        <w:pStyle w:val="Bulleting"/>
        <w:numPr>
          <w:ilvl w:val="0"/>
          <w:numId w:val="0"/>
        </w:numPr>
        <w:jc w:val="both"/>
        <w:rPr>
          <w:highlight w:val="yellow"/>
        </w:rPr>
      </w:pPr>
    </w:p>
    <w:p w14:paraId="68FC0B1A" w14:textId="77777777" w:rsidR="00E80848" w:rsidRPr="00DB5309" w:rsidRDefault="00E80848" w:rsidP="00E80848">
      <w:pPr>
        <w:pStyle w:val="Bulleting"/>
        <w:numPr>
          <w:ilvl w:val="0"/>
          <w:numId w:val="0"/>
        </w:numPr>
        <w:ind w:left="360"/>
        <w:rPr>
          <w:highlight w:val="yellow"/>
        </w:rPr>
      </w:pPr>
    </w:p>
    <w:p w14:paraId="2842C0AF" w14:textId="77777777" w:rsidR="00E80848" w:rsidRPr="00DB5309" w:rsidRDefault="00E80848" w:rsidP="00E80848">
      <w:pPr>
        <w:numPr>
          <w:ilvl w:val="0"/>
          <w:numId w:val="1"/>
        </w:numPr>
        <w:tabs>
          <w:tab w:val="clear" w:pos="720"/>
        </w:tabs>
        <w:rPr>
          <w:b/>
        </w:rPr>
      </w:pPr>
      <w:r w:rsidRPr="00DB5309">
        <w:rPr>
          <w:b/>
        </w:rPr>
        <w:t>OCJENA POTREBNIH SREDSTAVA ZA PROVEDBU OVOGA ZAKONA</w:t>
      </w:r>
    </w:p>
    <w:p w14:paraId="23E6C40E" w14:textId="77777777" w:rsidR="00E80848" w:rsidRPr="00DB5309" w:rsidRDefault="00E80848" w:rsidP="00E80848">
      <w:pPr>
        <w:rPr>
          <w:b/>
        </w:rPr>
      </w:pPr>
    </w:p>
    <w:p w14:paraId="66FC15B0" w14:textId="77777777" w:rsidR="00E80848" w:rsidRPr="000B2193" w:rsidRDefault="00E80848" w:rsidP="00E80848">
      <w:pPr>
        <w:pStyle w:val="Paragraph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szCs w:val="24"/>
          <w:lang w:val="hr-HR" w:eastAsia="hr-HR"/>
        </w:rPr>
      </w:pPr>
      <w:r w:rsidRPr="000B2193">
        <w:rPr>
          <w:szCs w:val="24"/>
          <w:lang w:val="hr-HR" w:eastAsia="hr-HR"/>
        </w:rPr>
        <w:t>Republika Hrvatska</w:t>
      </w:r>
      <w:r>
        <w:rPr>
          <w:szCs w:val="24"/>
          <w:lang w:val="hr-HR" w:eastAsia="hr-HR"/>
        </w:rPr>
        <w:t xml:space="preserve"> se </w:t>
      </w:r>
      <w:r w:rsidRPr="000B2193">
        <w:rPr>
          <w:szCs w:val="24"/>
          <w:lang w:val="hr-HR" w:eastAsia="hr-HR"/>
        </w:rPr>
        <w:t>temeljem Ugovora o zajmu obvezala kao zajmoprimac redovito i u potpunosti izvršavati sve financijske obveze prema IBRD-u. Izvršavanje Ugovora o zajmu podrazumijeva financijske obveze otplate zajma za Republiku Hrvatsku u svojstvu zajmoprimca, u iznosu cjelokupnog zajma, kamata i drugih troškova koji nastaju na temelju Ugovora o zajmu</w:t>
      </w:r>
      <w:r>
        <w:rPr>
          <w:szCs w:val="24"/>
          <w:lang w:val="hr-HR" w:eastAsia="hr-HR"/>
        </w:rPr>
        <w:t>.</w:t>
      </w:r>
      <w:r w:rsidRPr="000B2193">
        <w:rPr>
          <w:szCs w:val="24"/>
          <w:lang w:val="hr-HR" w:eastAsia="hr-HR"/>
        </w:rPr>
        <w:t xml:space="preserve"> </w:t>
      </w:r>
    </w:p>
    <w:p w14:paraId="6FD90183" w14:textId="77777777" w:rsidR="00E80848" w:rsidRPr="00040581" w:rsidRDefault="00E80848" w:rsidP="00E80848">
      <w:pPr>
        <w:pStyle w:val="Paragraph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szCs w:val="24"/>
          <w:highlight w:val="yellow"/>
          <w:lang w:val="hr-HR" w:eastAsia="hr-HR"/>
        </w:rPr>
      </w:pPr>
    </w:p>
    <w:p w14:paraId="731BF31A" w14:textId="77777777" w:rsidR="00E80848" w:rsidRPr="00DB5309" w:rsidRDefault="00E80848" w:rsidP="00E80848">
      <w:pPr>
        <w:jc w:val="both"/>
      </w:pPr>
    </w:p>
    <w:p w14:paraId="124A17AC" w14:textId="77777777" w:rsidR="00E80848" w:rsidRPr="00616DCD" w:rsidRDefault="00AB5C0B" w:rsidP="00E80848">
      <w:pPr>
        <w:numPr>
          <w:ilvl w:val="0"/>
          <w:numId w:val="1"/>
        </w:numPr>
        <w:tabs>
          <w:tab w:val="clear" w:pos="720"/>
        </w:tabs>
        <w:rPr>
          <w:b/>
        </w:rPr>
      </w:pPr>
      <w:r>
        <w:rPr>
          <w:b/>
        </w:rPr>
        <w:t>ZAKONI KOJIMA S</w:t>
      </w:r>
      <w:r w:rsidR="00E80848">
        <w:rPr>
          <w:b/>
        </w:rPr>
        <w:t>E</w:t>
      </w:r>
      <w:r>
        <w:rPr>
          <w:b/>
        </w:rPr>
        <w:t xml:space="preserve"> </w:t>
      </w:r>
      <w:r w:rsidR="00E80848">
        <w:rPr>
          <w:b/>
        </w:rPr>
        <w:t>POTVRĐUJU MEĐUNARODNI UGOVORI</w:t>
      </w:r>
    </w:p>
    <w:p w14:paraId="3F7AD243" w14:textId="77777777" w:rsidR="00E80848" w:rsidRPr="00616DCD" w:rsidRDefault="00E80848" w:rsidP="00E80848">
      <w:pPr>
        <w:jc w:val="both"/>
        <w:rPr>
          <w:b/>
        </w:rPr>
      </w:pPr>
    </w:p>
    <w:p w14:paraId="65E137B1" w14:textId="77777777" w:rsidR="00E80848" w:rsidRPr="00771197" w:rsidRDefault="00E80848" w:rsidP="00E80848">
      <w:pPr>
        <w:jc w:val="both"/>
      </w:pPr>
      <w:r w:rsidRPr="00616DCD">
        <w:t>Temelj za donošenje ovog</w:t>
      </w:r>
      <w:r w:rsidR="000C5DD7">
        <w:t>a</w:t>
      </w:r>
      <w:r w:rsidRPr="00616DCD">
        <w:t xml:space="preserve"> Zakona nalazi se u članku 20</w:t>
      </w:r>
      <w:r>
        <w:t xml:space="preserve">7.a </w:t>
      </w:r>
      <w:r w:rsidRPr="00616DCD">
        <w:t xml:space="preserve">Poslovnika Hrvatskoga sabora (Narodne novine, br. </w:t>
      </w:r>
      <w:r>
        <w:rPr>
          <w:color w:val="000000"/>
        </w:rPr>
        <w:t>81/</w:t>
      </w:r>
      <w:r w:rsidRPr="00616DCD">
        <w:rPr>
          <w:color w:val="000000"/>
        </w:rPr>
        <w:t>13</w:t>
      </w:r>
      <w:r w:rsidRPr="006B133B">
        <w:t xml:space="preserve"> </w:t>
      </w:r>
      <w:r>
        <w:rPr>
          <w:color w:val="000000"/>
        </w:rPr>
        <w:t>113/16, 69/17 i 29/18</w:t>
      </w:r>
      <w:r w:rsidRPr="006B133B">
        <w:rPr>
          <w:color w:val="000000"/>
        </w:rPr>
        <w:t>)</w:t>
      </w:r>
      <w:r>
        <w:rPr>
          <w:color w:val="000000"/>
        </w:rPr>
        <w:t xml:space="preserve"> prema kojem se </w:t>
      </w:r>
      <w:r w:rsidRPr="00000605">
        <w:rPr>
          <w:color w:val="000000"/>
        </w:rPr>
        <w:t>z</w:t>
      </w:r>
      <w:r w:rsidRPr="00771197">
        <w:t>akoni kojima se, u skladu s Ustavom Republike Hrvatske, potvrđuju međunarodni ugovori donose u pravilu u jednom čitanju, a postupak donošenja pokreće se podnošenjem konačnog prijedloga zakona o potvrđivanju međunarodnog ugovora.</w:t>
      </w:r>
    </w:p>
    <w:p w14:paraId="0C227BF6" w14:textId="77777777" w:rsidR="00E80848" w:rsidRPr="00616DCD" w:rsidRDefault="00E80848" w:rsidP="00E80848">
      <w:pPr>
        <w:jc w:val="both"/>
        <w:rPr>
          <w:highlight w:val="yellow"/>
        </w:rPr>
      </w:pPr>
    </w:p>
    <w:p w14:paraId="21FA4D1B" w14:textId="77777777" w:rsidR="00E80848" w:rsidRPr="00771197" w:rsidRDefault="00E80848" w:rsidP="00E80848">
      <w:pPr>
        <w:jc w:val="both"/>
        <w:rPr>
          <w:highlight w:val="yellow"/>
        </w:rPr>
      </w:pPr>
      <w:r w:rsidRPr="00E80848">
        <w:t xml:space="preserve">S obzirom na prirodu postupka potvrđivanja međunarodnih ugovora, kojim država i formalno izražava spremnost da bude vezana već potpisanim međunarodnim ugovorom, kao i na činjenicu da se u ovoj fazi postupka u pravilu ne mogu vršiti izmjene ili dopune teksta međunarodnog ugovora, </w:t>
      </w:r>
      <w:r w:rsidR="00771197">
        <w:t xml:space="preserve">predlažemo da se ovaj prijedlog zakona raspravi i prihvati u jednom čitanju. </w:t>
      </w:r>
    </w:p>
    <w:p w14:paraId="1A6CDC41" w14:textId="77777777" w:rsidR="00E80848" w:rsidRPr="00000605" w:rsidRDefault="00E80848" w:rsidP="00E80848">
      <w:pPr>
        <w:jc w:val="both"/>
        <w:rPr>
          <w:highlight w:val="yellow"/>
        </w:rPr>
      </w:pPr>
    </w:p>
    <w:p w14:paraId="5D4A5C1D" w14:textId="77777777" w:rsidR="00F075B4" w:rsidRDefault="00F075B4" w:rsidP="00E80848">
      <w:pPr>
        <w:jc w:val="both"/>
        <w:rPr>
          <w:highlight w:val="yellow"/>
        </w:rPr>
      </w:pPr>
    </w:p>
    <w:p w14:paraId="08BCAEB6" w14:textId="77777777" w:rsidR="00F075B4" w:rsidRDefault="00F075B4" w:rsidP="00E80848">
      <w:pPr>
        <w:jc w:val="both"/>
        <w:rPr>
          <w:highlight w:val="yellow"/>
        </w:rPr>
      </w:pPr>
    </w:p>
    <w:p w14:paraId="49873E5B" w14:textId="77777777" w:rsidR="00F075B4" w:rsidRDefault="00F075B4" w:rsidP="00E80848">
      <w:pPr>
        <w:jc w:val="both"/>
        <w:rPr>
          <w:highlight w:val="yellow"/>
        </w:rPr>
      </w:pPr>
    </w:p>
    <w:p w14:paraId="646FF269" w14:textId="77777777" w:rsidR="00F075B4" w:rsidRDefault="00F075B4" w:rsidP="00E80848">
      <w:pPr>
        <w:jc w:val="both"/>
        <w:rPr>
          <w:highlight w:val="yellow"/>
        </w:rPr>
      </w:pPr>
    </w:p>
    <w:p w14:paraId="35B39FAE" w14:textId="77777777" w:rsidR="00F075B4" w:rsidRDefault="00F075B4" w:rsidP="00E80848">
      <w:pPr>
        <w:jc w:val="both"/>
        <w:rPr>
          <w:highlight w:val="yellow"/>
        </w:rPr>
      </w:pPr>
    </w:p>
    <w:p w14:paraId="4701A184" w14:textId="77777777" w:rsidR="00F075B4" w:rsidRDefault="00F075B4" w:rsidP="00E80848">
      <w:pPr>
        <w:jc w:val="both"/>
        <w:rPr>
          <w:highlight w:val="yellow"/>
        </w:rPr>
      </w:pPr>
    </w:p>
    <w:p w14:paraId="249E0D7C" w14:textId="77777777" w:rsidR="00F075B4" w:rsidRDefault="00F075B4" w:rsidP="00E80848">
      <w:pPr>
        <w:jc w:val="both"/>
        <w:rPr>
          <w:highlight w:val="yellow"/>
        </w:rPr>
      </w:pPr>
    </w:p>
    <w:p w14:paraId="5E78214A" w14:textId="77777777" w:rsidR="00F075B4" w:rsidRDefault="00F075B4" w:rsidP="00E80848">
      <w:pPr>
        <w:jc w:val="both"/>
        <w:rPr>
          <w:highlight w:val="yellow"/>
        </w:rPr>
      </w:pPr>
    </w:p>
    <w:p w14:paraId="41A20C85" w14:textId="77777777" w:rsidR="00F075B4" w:rsidRDefault="00F075B4" w:rsidP="00E80848">
      <w:pPr>
        <w:jc w:val="both"/>
        <w:rPr>
          <w:highlight w:val="yellow"/>
        </w:rPr>
      </w:pPr>
    </w:p>
    <w:p w14:paraId="00C70EBB" w14:textId="77777777" w:rsidR="00F075B4" w:rsidRDefault="00F075B4" w:rsidP="00E80848">
      <w:pPr>
        <w:jc w:val="both"/>
        <w:rPr>
          <w:highlight w:val="yellow"/>
        </w:rPr>
      </w:pPr>
    </w:p>
    <w:p w14:paraId="6F8CC930" w14:textId="77777777" w:rsidR="00C0606F" w:rsidRDefault="00C0606F" w:rsidP="00E80848">
      <w:pPr>
        <w:jc w:val="both"/>
        <w:rPr>
          <w:highlight w:val="yellow"/>
        </w:rPr>
      </w:pPr>
    </w:p>
    <w:p w14:paraId="070F2B8E" w14:textId="77777777" w:rsidR="00C0606F" w:rsidRDefault="00C0606F" w:rsidP="00E80848">
      <w:pPr>
        <w:jc w:val="both"/>
        <w:rPr>
          <w:highlight w:val="yellow"/>
        </w:rPr>
      </w:pPr>
    </w:p>
    <w:p w14:paraId="6C06A200" w14:textId="77777777" w:rsidR="00C0606F" w:rsidRDefault="00C0606F" w:rsidP="00E80848">
      <w:pPr>
        <w:jc w:val="both"/>
        <w:rPr>
          <w:highlight w:val="yellow"/>
        </w:rPr>
      </w:pPr>
    </w:p>
    <w:p w14:paraId="5581DBC6" w14:textId="77777777" w:rsidR="00E80848" w:rsidRDefault="00E80848" w:rsidP="00E80848">
      <w:pPr>
        <w:jc w:val="both"/>
        <w:rPr>
          <w:highlight w:val="yellow"/>
        </w:rPr>
      </w:pPr>
    </w:p>
    <w:p w14:paraId="71D92BD8" w14:textId="77777777" w:rsidR="000E51C9" w:rsidRPr="00616DCD" w:rsidRDefault="000E51C9" w:rsidP="00E80848">
      <w:pPr>
        <w:jc w:val="both"/>
        <w:rPr>
          <w:highlight w:val="yellow"/>
        </w:rPr>
      </w:pPr>
    </w:p>
    <w:p w14:paraId="3373F368" w14:textId="77777777" w:rsidR="00501CD5" w:rsidRDefault="00501CD5" w:rsidP="00C0606F">
      <w:pPr>
        <w:rPr>
          <w:b/>
        </w:rPr>
      </w:pPr>
    </w:p>
    <w:p w14:paraId="024DB307" w14:textId="77777777" w:rsidR="00501CD5" w:rsidRDefault="00501CD5" w:rsidP="00C0606F">
      <w:pPr>
        <w:rPr>
          <w:b/>
        </w:rPr>
      </w:pPr>
    </w:p>
    <w:p w14:paraId="79D9C9A3" w14:textId="77777777" w:rsidR="00501CD5" w:rsidRDefault="00501CD5" w:rsidP="00C0606F">
      <w:pPr>
        <w:rPr>
          <w:b/>
        </w:rPr>
      </w:pPr>
    </w:p>
    <w:p w14:paraId="331977F7" w14:textId="77777777" w:rsidR="00501CD5" w:rsidRDefault="00501CD5" w:rsidP="00C0606F">
      <w:pPr>
        <w:rPr>
          <w:b/>
        </w:rPr>
      </w:pPr>
    </w:p>
    <w:p w14:paraId="731C11F9" w14:textId="77777777" w:rsidR="00501CD5" w:rsidRDefault="00501CD5" w:rsidP="00C0606F">
      <w:pPr>
        <w:rPr>
          <w:b/>
        </w:rPr>
      </w:pPr>
    </w:p>
    <w:p w14:paraId="16EA7618" w14:textId="77777777" w:rsidR="00501CD5" w:rsidRDefault="00501CD5" w:rsidP="00C0606F">
      <w:pPr>
        <w:rPr>
          <w:b/>
        </w:rPr>
      </w:pPr>
    </w:p>
    <w:p w14:paraId="3BC13B47" w14:textId="77777777" w:rsidR="00501CD5" w:rsidRDefault="00501CD5" w:rsidP="00C0606F">
      <w:pPr>
        <w:rPr>
          <w:b/>
        </w:rPr>
      </w:pPr>
    </w:p>
    <w:p w14:paraId="7F0BF459" w14:textId="77777777" w:rsidR="00501CD5" w:rsidRDefault="00501CD5" w:rsidP="00C0606F">
      <w:pPr>
        <w:rPr>
          <w:b/>
        </w:rPr>
      </w:pPr>
    </w:p>
    <w:p w14:paraId="08A9E735" w14:textId="77777777" w:rsidR="00501CD5" w:rsidRDefault="00501CD5" w:rsidP="00C0606F">
      <w:pPr>
        <w:rPr>
          <w:b/>
        </w:rPr>
      </w:pPr>
    </w:p>
    <w:p w14:paraId="79178CE1" w14:textId="77777777" w:rsidR="00501CD5" w:rsidRDefault="00501CD5" w:rsidP="00C0606F">
      <w:pPr>
        <w:rPr>
          <w:b/>
        </w:rPr>
      </w:pPr>
    </w:p>
    <w:p w14:paraId="17848F86" w14:textId="77777777" w:rsidR="00501CD5" w:rsidRDefault="00501CD5" w:rsidP="00C0606F">
      <w:pPr>
        <w:rPr>
          <w:b/>
        </w:rPr>
      </w:pPr>
    </w:p>
    <w:p w14:paraId="5382BDDA" w14:textId="77777777" w:rsidR="00501CD5" w:rsidRDefault="00501CD5" w:rsidP="00C0606F">
      <w:pPr>
        <w:rPr>
          <w:b/>
        </w:rPr>
      </w:pPr>
    </w:p>
    <w:p w14:paraId="59BA3A8C" w14:textId="77777777" w:rsidR="00501CD5" w:rsidRDefault="00501CD5" w:rsidP="00C0606F">
      <w:pPr>
        <w:rPr>
          <w:b/>
        </w:rPr>
      </w:pPr>
    </w:p>
    <w:p w14:paraId="5864EB58" w14:textId="77777777" w:rsidR="00501CD5" w:rsidRDefault="00501CD5" w:rsidP="00C0606F">
      <w:pPr>
        <w:rPr>
          <w:b/>
        </w:rPr>
      </w:pPr>
    </w:p>
    <w:p w14:paraId="32A56AAF" w14:textId="77777777" w:rsidR="00501CD5" w:rsidRDefault="00501CD5" w:rsidP="00C0606F">
      <w:pPr>
        <w:rPr>
          <w:b/>
        </w:rPr>
      </w:pPr>
    </w:p>
    <w:p w14:paraId="0EFA7BA4" w14:textId="77777777" w:rsidR="00501CD5" w:rsidRDefault="00501CD5" w:rsidP="00C0606F">
      <w:pPr>
        <w:rPr>
          <w:b/>
        </w:rPr>
      </w:pPr>
    </w:p>
    <w:p w14:paraId="3A6601AB" w14:textId="77777777" w:rsidR="00501CD5" w:rsidRDefault="00501CD5" w:rsidP="00C0606F">
      <w:pPr>
        <w:rPr>
          <w:b/>
        </w:rPr>
      </w:pPr>
    </w:p>
    <w:p w14:paraId="765AD4B6" w14:textId="77777777" w:rsidR="00501CD5" w:rsidRDefault="00501CD5" w:rsidP="00C0606F">
      <w:pPr>
        <w:rPr>
          <w:b/>
        </w:rPr>
      </w:pPr>
    </w:p>
    <w:p w14:paraId="159F30EC" w14:textId="77777777" w:rsidR="00501CD5" w:rsidRDefault="00501CD5" w:rsidP="00C0606F">
      <w:pPr>
        <w:rPr>
          <w:b/>
        </w:rPr>
      </w:pPr>
    </w:p>
    <w:p w14:paraId="1724894E" w14:textId="77777777" w:rsidR="00501CD5" w:rsidRDefault="00501CD5" w:rsidP="00C0606F">
      <w:pPr>
        <w:rPr>
          <w:b/>
        </w:rPr>
      </w:pPr>
    </w:p>
    <w:p w14:paraId="6FB43852" w14:textId="77777777" w:rsidR="00501CD5" w:rsidRDefault="00501CD5" w:rsidP="00C0606F">
      <w:pPr>
        <w:rPr>
          <w:b/>
        </w:rPr>
      </w:pPr>
    </w:p>
    <w:p w14:paraId="6FE18A76" w14:textId="77777777" w:rsidR="00501CD5" w:rsidRDefault="00501CD5" w:rsidP="00C0606F">
      <w:pPr>
        <w:rPr>
          <w:b/>
        </w:rPr>
      </w:pPr>
    </w:p>
    <w:p w14:paraId="3A89C7A1" w14:textId="77777777" w:rsidR="00501CD5" w:rsidRDefault="00501CD5" w:rsidP="00C0606F">
      <w:pPr>
        <w:rPr>
          <w:b/>
        </w:rPr>
      </w:pPr>
    </w:p>
    <w:p w14:paraId="52BC4194" w14:textId="77777777" w:rsidR="00EE5793" w:rsidRDefault="00EE5793" w:rsidP="00C0606F">
      <w:pPr>
        <w:rPr>
          <w:b/>
        </w:rPr>
      </w:pPr>
    </w:p>
    <w:p w14:paraId="1B2CBFA8" w14:textId="77777777" w:rsidR="00EE5793" w:rsidRDefault="00EE5793" w:rsidP="00C0606F">
      <w:pPr>
        <w:rPr>
          <w:b/>
        </w:rPr>
      </w:pPr>
    </w:p>
    <w:p w14:paraId="1EC1514C" w14:textId="77777777" w:rsidR="00EE5793" w:rsidRDefault="00EE5793" w:rsidP="00C0606F">
      <w:pPr>
        <w:rPr>
          <w:b/>
        </w:rPr>
      </w:pPr>
    </w:p>
    <w:p w14:paraId="79588C19" w14:textId="77777777" w:rsidR="00EE5793" w:rsidRDefault="00EE5793" w:rsidP="00C0606F">
      <w:pPr>
        <w:rPr>
          <w:b/>
        </w:rPr>
      </w:pPr>
    </w:p>
    <w:p w14:paraId="5503A3D3" w14:textId="77777777" w:rsidR="00EE5793" w:rsidRDefault="00EE5793" w:rsidP="00C0606F">
      <w:pPr>
        <w:rPr>
          <w:b/>
        </w:rPr>
      </w:pPr>
    </w:p>
    <w:p w14:paraId="07B0C287" w14:textId="77777777" w:rsidR="00EE5793" w:rsidRDefault="00EE5793" w:rsidP="00C0606F">
      <w:pPr>
        <w:rPr>
          <w:b/>
        </w:rPr>
      </w:pPr>
    </w:p>
    <w:p w14:paraId="23236599" w14:textId="77777777" w:rsidR="00CF687A" w:rsidRPr="00CF687A" w:rsidRDefault="00CF687A" w:rsidP="00C0606F">
      <w:pPr>
        <w:rPr>
          <w:b/>
        </w:rPr>
      </w:pPr>
      <w:r w:rsidRPr="00CF687A">
        <w:rPr>
          <w:b/>
        </w:rPr>
        <w:t>KONAČNI PRIJEDLOG ZAKONA O POTVRĐIVANJU UGOVORA O ZAJMU</w:t>
      </w:r>
    </w:p>
    <w:p w14:paraId="1FFD6D09" w14:textId="77777777" w:rsidR="00CF687A" w:rsidRPr="00CF687A" w:rsidRDefault="00CF687A" w:rsidP="00C0606F">
      <w:pPr>
        <w:rPr>
          <w:b/>
        </w:rPr>
      </w:pPr>
      <w:r w:rsidRPr="00CF687A">
        <w:rPr>
          <w:b/>
        </w:rPr>
        <w:t>IZMEĐU REPUBLIKE HRVATSKE I MEĐUNARODNE BANKE ZA OBNOVU</w:t>
      </w:r>
    </w:p>
    <w:p w14:paraId="584CAC90" w14:textId="77777777" w:rsidR="00CF687A" w:rsidRDefault="00CF687A" w:rsidP="00C0606F">
      <w:pPr>
        <w:rPr>
          <w:b/>
        </w:rPr>
      </w:pPr>
      <w:r w:rsidRPr="00CF687A">
        <w:rPr>
          <w:b/>
        </w:rPr>
        <w:t>I RAZVOJ ZA PROJEKT UČINKOVITOG PRAVOSUĐA ZA BOLJE POSLOVNO OKRUŽENJE</w:t>
      </w:r>
    </w:p>
    <w:p w14:paraId="1084F64B" w14:textId="77777777" w:rsidR="00CF687A" w:rsidRDefault="00CF687A" w:rsidP="00CF687A">
      <w:pPr>
        <w:rPr>
          <w:b/>
        </w:rPr>
      </w:pPr>
    </w:p>
    <w:p w14:paraId="57E956E3" w14:textId="77777777" w:rsidR="00E80848" w:rsidRDefault="00E80848" w:rsidP="00E80848">
      <w:pPr>
        <w:rPr>
          <w:b/>
        </w:rPr>
      </w:pPr>
    </w:p>
    <w:p w14:paraId="2DB732C9" w14:textId="77777777" w:rsidR="00CF687A" w:rsidRPr="00616DCD" w:rsidRDefault="00CF687A" w:rsidP="00E80848">
      <w:pPr>
        <w:rPr>
          <w:highlight w:val="yellow"/>
        </w:rPr>
      </w:pPr>
    </w:p>
    <w:p w14:paraId="68240735" w14:textId="77777777" w:rsidR="00E80848" w:rsidRPr="0014367C" w:rsidRDefault="00E80848" w:rsidP="00E80848">
      <w:pPr>
        <w:tabs>
          <w:tab w:val="left" w:pos="720"/>
          <w:tab w:val="left" w:pos="900"/>
        </w:tabs>
        <w:rPr>
          <w:b/>
        </w:rPr>
      </w:pPr>
    </w:p>
    <w:p w14:paraId="49357351" w14:textId="77777777" w:rsidR="00E80848" w:rsidRPr="0014367C" w:rsidRDefault="00E80848" w:rsidP="00E80848">
      <w:pPr>
        <w:tabs>
          <w:tab w:val="left" w:pos="720"/>
          <w:tab w:val="left" w:pos="900"/>
        </w:tabs>
        <w:jc w:val="center"/>
        <w:outlineLvl w:val="0"/>
        <w:rPr>
          <w:b/>
        </w:rPr>
      </w:pPr>
      <w:r w:rsidRPr="0014367C">
        <w:rPr>
          <w:b/>
        </w:rPr>
        <w:t>Članak 1.</w:t>
      </w:r>
    </w:p>
    <w:p w14:paraId="2295B5F5" w14:textId="77777777" w:rsidR="00E80848" w:rsidRPr="0014367C" w:rsidRDefault="00E80848" w:rsidP="00E80848">
      <w:pPr>
        <w:tabs>
          <w:tab w:val="left" w:pos="720"/>
          <w:tab w:val="left" w:pos="900"/>
        </w:tabs>
        <w:jc w:val="center"/>
        <w:rPr>
          <w:b/>
        </w:rPr>
      </w:pPr>
    </w:p>
    <w:p w14:paraId="64722F13" w14:textId="77777777" w:rsidR="00E80848" w:rsidRPr="0014367C" w:rsidRDefault="00E80848" w:rsidP="00E80848">
      <w:pPr>
        <w:tabs>
          <w:tab w:val="left" w:pos="720"/>
          <w:tab w:val="left" w:pos="900"/>
        </w:tabs>
        <w:jc w:val="both"/>
      </w:pPr>
      <w:r w:rsidRPr="0014367C">
        <w:rPr>
          <w:b/>
        </w:rPr>
        <w:tab/>
      </w:r>
      <w:r w:rsidRPr="0014367C">
        <w:t xml:space="preserve">Potvrđuje se Ugovor o zajmu između Republike Hrvatske i Međunarodne banke za obnovu i razvoj za </w:t>
      </w:r>
      <w:r w:rsidR="00CF687A">
        <w:t>P</w:t>
      </w:r>
      <w:r w:rsidR="00CF687A" w:rsidRPr="00CF687A">
        <w:t>rojekt učinkovitog pravosuđa za bolje poslovno okruženje</w:t>
      </w:r>
      <w:r w:rsidR="0097275D">
        <w:t xml:space="preserve"> </w:t>
      </w:r>
      <w:r w:rsidR="00043FF8">
        <w:t>sklopljen</w:t>
      </w:r>
      <w:r w:rsidRPr="0014367C">
        <w:t xml:space="preserve"> u </w:t>
      </w:r>
      <w:r w:rsidRPr="003A52F7">
        <w:t>Zagrebu</w:t>
      </w:r>
      <w:r w:rsidRPr="0014367C">
        <w:t>,</w:t>
      </w:r>
      <w:r w:rsidR="00771197">
        <w:t xml:space="preserve"> 15. travnja 2020.</w:t>
      </w:r>
      <w:r w:rsidRPr="0014367C">
        <w:t xml:space="preserve"> godine, u izvorniku na engleskom jeziku.</w:t>
      </w:r>
    </w:p>
    <w:p w14:paraId="0B84D927" w14:textId="77777777" w:rsidR="00E80848" w:rsidRPr="0014367C" w:rsidRDefault="00E80848" w:rsidP="00E80848">
      <w:pPr>
        <w:tabs>
          <w:tab w:val="left" w:pos="720"/>
          <w:tab w:val="left" w:pos="900"/>
        </w:tabs>
        <w:jc w:val="both"/>
      </w:pPr>
    </w:p>
    <w:p w14:paraId="028B5A34" w14:textId="77777777" w:rsidR="00E80848" w:rsidRPr="0014367C" w:rsidRDefault="00E80848" w:rsidP="00E80848">
      <w:pPr>
        <w:tabs>
          <w:tab w:val="left" w:pos="720"/>
          <w:tab w:val="left" w:pos="900"/>
        </w:tabs>
        <w:jc w:val="both"/>
      </w:pPr>
    </w:p>
    <w:p w14:paraId="371036BC" w14:textId="77777777" w:rsidR="00E80848" w:rsidRPr="0014367C" w:rsidRDefault="00E80848" w:rsidP="00E80848">
      <w:pPr>
        <w:tabs>
          <w:tab w:val="left" w:pos="720"/>
          <w:tab w:val="left" w:pos="900"/>
        </w:tabs>
        <w:jc w:val="center"/>
        <w:outlineLvl w:val="0"/>
        <w:rPr>
          <w:b/>
        </w:rPr>
      </w:pPr>
      <w:r w:rsidRPr="0014367C">
        <w:rPr>
          <w:b/>
        </w:rPr>
        <w:t>Članak 2.</w:t>
      </w:r>
    </w:p>
    <w:p w14:paraId="0410ACD5" w14:textId="77777777" w:rsidR="00E80848" w:rsidRPr="0014367C" w:rsidRDefault="00E80848" w:rsidP="00E80848">
      <w:pPr>
        <w:tabs>
          <w:tab w:val="left" w:pos="720"/>
          <w:tab w:val="left" w:pos="900"/>
        </w:tabs>
        <w:jc w:val="both"/>
        <w:rPr>
          <w:b/>
        </w:rPr>
      </w:pPr>
    </w:p>
    <w:p w14:paraId="0EC32C64" w14:textId="77777777" w:rsidR="00E80848" w:rsidRPr="0014367C" w:rsidRDefault="00E80848" w:rsidP="00E80848">
      <w:pPr>
        <w:tabs>
          <w:tab w:val="left" w:pos="720"/>
          <w:tab w:val="left" w:pos="900"/>
        </w:tabs>
        <w:jc w:val="both"/>
      </w:pPr>
      <w:r w:rsidRPr="0014367C">
        <w:tab/>
        <w:t>Tekst Ugovora iz članka 1. ovoga Zakona</w:t>
      </w:r>
      <w:r w:rsidR="000C5DD7">
        <w:t>,</w:t>
      </w:r>
      <w:r w:rsidRPr="0014367C">
        <w:t xml:space="preserve"> u izvorniku na </w:t>
      </w:r>
      <w:r>
        <w:t xml:space="preserve">engleskom jeziku </w:t>
      </w:r>
      <w:r w:rsidRPr="0014367C">
        <w:t>i u prijevodu na hrvatski jezik</w:t>
      </w:r>
      <w:r>
        <w:t>,</w:t>
      </w:r>
      <w:r w:rsidRPr="0014367C">
        <w:t xml:space="preserve"> glasi: </w:t>
      </w:r>
    </w:p>
    <w:p w14:paraId="708AB6F7" w14:textId="77777777" w:rsidR="00E80848" w:rsidRPr="00616DCD" w:rsidRDefault="00E80848" w:rsidP="00E80848">
      <w:pPr>
        <w:tabs>
          <w:tab w:val="left" w:pos="720"/>
          <w:tab w:val="left" w:pos="900"/>
        </w:tabs>
        <w:jc w:val="both"/>
        <w:rPr>
          <w:highlight w:val="yellow"/>
        </w:rPr>
      </w:pPr>
    </w:p>
    <w:p w14:paraId="149A1C3E" w14:textId="77777777" w:rsidR="00E80848" w:rsidRPr="004A33BB" w:rsidRDefault="00E80848" w:rsidP="002B7E52">
      <w:pPr>
        <w:pStyle w:val="Title"/>
        <w:rPr>
          <w:highlight w:val="yellow"/>
          <w:lang w:val="hr-HR"/>
        </w:rPr>
      </w:pPr>
    </w:p>
    <w:p w14:paraId="773A2966" w14:textId="77777777" w:rsidR="00C700DC" w:rsidRPr="002172F9" w:rsidRDefault="00C700DC" w:rsidP="00C700DC">
      <w:pPr>
        <w:rPr>
          <w:highlight w:val="yellow"/>
          <w:lang w:eastAsia="en-GB"/>
        </w:rPr>
      </w:pPr>
    </w:p>
    <w:p w14:paraId="0D5314B6" w14:textId="77777777" w:rsidR="00C700DC" w:rsidRPr="002172F9" w:rsidRDefault="00C700DC" w:rsidP="00C700DC">
      <w:pPr>
        <w:rPr>
          <w:highlight w:val="yellow"/>
          <w:lang w:eastAsia="en-GB"/>
        </w:rPr>
      </w:pPr>
    </w:p>
    <w:p w14:paraId="474E37E6" w14:textId="77777777" w:rsidR="00C700DC" w:rsidRPr="002172F9" w:rsidRDefault="00C700DC" w:rsidP="00C700DC">
      <w:pPr>
        <w:rPr>
          <w:highlight w:val="yellow"/>
          <w:lang w:eastAsia="en-GB"/>
        </w:rPr>
      </w:pPr>
    </w:p>
    <w:p w14:paraId="1EC34BB9" w14:textId="77777777" w:rsidR="00C700DC" w:rsidRPr="002172F9" w:rsidRDefault="00C700DC" w:rsidP="00C700DC">
      <w:pPr>
        <w:rPr>
          <w:highlight w:val="yellow"/>
          <w:lang w:eastAsia="en-GB"/>
        </w:rPr>
      </w:pPr>
    </w:p>
    <w:p w14:paraId="453CB187" w14:textId="77777777" w:rsidR="00C700DC" w:rsidRPr="002172F9" w:rsidRDefault="00C700DC" w:rsidP="00C700DC">
      <w:pPr>
        <w:rPr>
          <w:highlight w:val="yellow"/>
          <w:lang w:eastAsia="en-GB"/>
        </w:rPr>
      </w:pPr>
    </w:p>
    <w:p w14:paraId="44736029" w14:textId="77777777" w:rsidR="002A7665" w:rsidRDefault="002A7665" w:rsidP="002A7665">
      <w:pPr>
        <w:suppressAutoHyphens/>
        <w:jc w:val="both"/>
        <w:rPr>
          <w:lang w:eastAsia="en-GB"/>
        </w:rPr>
      </w:pPr>
    </w:p>
    <w:p w14:paraId="193CCFC0" w14:textId="77777777" w:rsidR="000502CE" w:rsidRDefault="000502CE" w:rsidP="002A7665">
      <w:pPr>
        <w:suppressAutoHyphens/>
        <w:jc w:val="both"/>
        <w:rPr>
          <w:lang w:eastAsia="en-GB"/>
        </w:rPr>
      </w:pPr>
    </w:p>
    <w:p w14:paraId="4CFABDD5" w14:textId="77777777" w:rsidR="000502CE" w:rsidRDefault="000502CE" w:rsidP="002A7665">
      <w:pPr>
        <w:suppressAutoHyphens/>
        <w:jc w:val="both"/>
        <w:rPr>
          <w:lang w:eastAsia="en-GB"/>
        </w:rPr>
      </w:pPr>
    </w:p>
    <w:p w14:paraId="4A51805A" w14:textId="77777777" w:rsidR="000502CE" w:rsidRDefault="000502CE" w:rsidP="002A7665">
      <w:pPr>
        <w:suppressAutoHyphens/>
        <w:jc w:val="both"/>
        <w:rPr>
          <w:lang w:eastAsia="en-GB"/>
        </w:rPr>
      </w:pPr>
    </w:p>
    <w:p w14:paraId="33B5CCB8" w14:textId="77777777" w:rsidR="000502CE" w:rsidRDefault="000502CE" w:rsidP="002A7665">
      <w:pPr>
        <w:suppressAutoHyphens/>
        <w:jc w:val="both"/>
        <w:rPr>
          <w:lang w:eastAsia="en-GB"/>
        </w:rPr>
      </w:pPr>
    </w:p>
    <w:p w14:paraId="607B8862" w14:textId="77777777" w:rsidR="000502CE" w:rsidRDefault="000502CE" w:rsidP="002A7665">
      <w:pPr>
        <w:suppressAutoHyphens/>
        <w:jc w:val="both"/>
        <w:rPr>
          <w:b/>
          <w:sz w:val="22"/>
          <w:szCs w:val="22"/>
          <w:lang w:val="it-IT" w:eastAsia="en-US"/>
        </w:rPr>
      </w:pPr>
    </w:p>
    <w:p w14:paraId="7E2BF3C3" w14:textId="77777777" w:rsidR="002A7665" w:rsidRDefault="002A7665" w:rsidP="002A7665">
      <w:pPr>
        <w:suppressAutoHyphens/>
        <w:jc w:val="both"/>
        <w:rPr>
          <w:b/>
          <w:sz w:val="22"/>
          <w:szCs w:val="22"/>
          <w:lang w:val="it-IT" w:eastAsia="en-US"/>
        </w:rPr>
      </w:pPr>
    </w:p>
    <w:p w14:paraId="773369B6" w14:textId="77777777" w:rsidR="002A7665" w:rsidRDefault="002A7665" w:rsidP="002A7665">
      <w:pPr>
        <w:suppressAutoHyphens/>
        <w:jc w:val="both"/>
        <w:rPr>
          <w:b/>
          <w:sz w:val="22"/>
          <w:szCs w:val="22"/>
          <w:lang w:val="it-IT" w:eastAsia="en-US"/>
        </w:rPr>
      </w:pPr>
    </w:p>
    <w:p w14:paraId="0A6B5E49" w14:textId="77777777" w:rsidR="002A7665" w:rsidRDefault="002A7665" w:rsidP="002A7665">
      <w:pPr>
        <w:suppressAutoHyphens/>
        <w:jc w:val="both"/>
        <w:rPr>
          <w:b/>
          <w:sz w:val="22"/>
          <w:szCs w:val="22"/>
          <w:lang w:val="it-IT" w:eastAsia="en-US"/>
        </w:rPr>
      </w:pPr>
    </w:p>
    <w:p w14:paraId="540CD10A" w14:textId="77777777" w:rsidR="00EA5D1F" w:rsidRDefault="00EA5D1F" w:rsidP="002A7665">
      <w:pPr>
        <w:suppressAutoHyphens/>
        <w:jc w:val="both"/>
        <w:rPr>
          <w:b/>
          <w:sz w:val="22"/>
          <w:szCs w:val="22"/>
          <w:lang w:val="it-IT" w:eastAsia="en-US"/>
        </w:rPr>
      </w:pPr>
    </w:p>
    <w:p w14:paraId="0ABC4128" w14:textId="77777777" w:rsidR="00EA5D1F" w:rsidRDefault="00EA5D1F" w:rsidP="002A7665">
      <w:pPr>
        <w:suppressAutoHyphens/>
        <w:jc w:val="both"/>
        <w:rPr>
          <w:b/>
          <w:sz w:val="22"/>
          <w:szCs w:val="22"/>
          <w:lang w:val="it-IT" w:eastAsia="en-US"/>
        </w:rPr>
      </w:pPr>
    </w:p>
    <w:p w14:paraId="731C4ACF" w14:textId="77777777" w:rsidR="00EA5D1F" w:rsidRDefault="00EA5D1F" w:rsidP="002A7665">
      <w:pPr>
        <w:suppressAutoHyphens/>
        <w:jc w:val="both"/>
        <w:rPr>
          <w:b/>
          <w:sz w:val="22"/>
          <w:szCs w:val="22"/>
          <w:lang w:val="it-IT" w:eastAsia="en-US"/>
        </w:rPr>
      </w:pPr>
    </w:p>
    <w:p w14:paraId="1F6ED8A5" w14:textId="77777777" w:rsidR="00EA5D1F" w:rsidRDefault="00EA5D1F" w:rsidP="002A7665">
      <w:pPr>
        <w:suppressAutoHyphens/>
        <w:jc w:val="both"/>
        <w:rPr>
          <w:b/>
          <w:sz w:val="22"/>
          <w:szCs w:val="22"/>
          <w:lang w:val="it-IT" w:eastAsia="en-US"/>
        </w:rPr>
      </w:pPr>
    </w:p>
    <w:p w14:paraId="7A79E5B7" w14:textId="77777777" w:rsidR="00EA5D1F" w:rsidRDefault="00EA5D1F" w:rsidP="002A7665">
      <w:pPr>
        <w:suppressAutoHyphens/>
        <w:jc w:val="both"/>
        <w:rPr>
          <w:b/>
          <w:sz w:val="22"/>
          <w:szCs w:val="22"/>
          <w:lang w:val="it-IT" w:eastAsia="en-US"/>
        </w:rPr>
      </w:pPr>
    </w:p>
    <w:p w14:paraId="316E8B07" w14:textId="77777777" w:rsidR="00FA5019" w:rsidRDefault="00FA5019" w:rsidP="00EE5793">
      <w:pPr>
        <w:suppressAutoHyphens/>
        <w:spacing w:before="960"/>
        <w:rPr>
          <w:b/>
          <w:sz w:val="22"/>
          <w:szCs w:val="22"/>
          <w:lang w:val="it-IT" w:eastAsia="en-US"/>
        </w:rPr>
      </w:pPr>
    </w:p>
    <w:p w14:paraId="78D85498" w14:textId="77777777" w:rsidR="00FC0E0A" w:rsidRDefault="00FC0E0A" w:rsidP="00EE5793">
      <w:pPr>
        <w:suppressAutoHyphens/>
        <w:spacing w:before="960"/>
        <w:rPr>
          <w:b/>
          <w:sz w:val="22"/>
          <w:szCs w:val="22"/>
          <w:lang w:eastAsia="en-US"/>
        </w:rPr>
      </w:pPr>
    </w:p>
    <w:p w14:paraId="1E324F3F" w14:textId="77777777" w:rsidR="002A7665" w:rsidRPr="002A7665" w:rsidRDefault="002A7665" w:rsidP="00FA5019">
      <w:pPr>
        <w:suppressAutoHyphens/>
        <w:spacing w:before="2760"/>
        <w:jc w:val="right"/>
        <w:rPr>
          <w:b/>
          <w:sz w:val="22"/>
          <w:szCs w:val="22"/>
          <w:lang w:eastAsia="en-US"/>
        </w:rPr>
      </w:pPr>
      <w:r w:rsidRPr="002A7665">
        <w:rPr>
          <w:b/>
          <w:sz w:val="22"/>
          <w:szCs w:val="22"/>
          <w:lang w:eastAsia="en-US"/>
        </w:rPr>
        <w:t>ZAJAM BROJ</w:t>
      </w:r>
      <w:r>
        <w:rPr>
          <w:b/>
          <w:sz w:val="22"/>
          <w:szCs w:val="22"/>
          <w:lang w:eastAsia="en-US"/>
        </w:rPr>
        <w:t xml:space="preserve"> 9057</w:t>
      </w:r>
      <w:r w:rsidRPr="002A7665">
        <w:rPr>
          <w:b/>
          <w:sz w:val="22"/>
          <w:szCs w:val="22"/>
          <w:lang w:eastAsia="en-US"/>
        </w:rPr>
        <w:t>-</w:t>
      </w:r>
      <w:r>
        <w:rPr>
          <w:b/>
          <w:sz w:val="22"/>
          <w:szCs w:val="22"/>
          <w:lang w:eastAsia="en-US"/>
        </w:rPr>
        <w:t>HR</w:t>
      </w:r>
    </w:p>
    <w:p w14:paraId="0B16D977" w14:textId="77777777" w:rsidR="002A7665" w:rsidRPr="002A7665" w:rsidRDefault="002A7665" w:rsidP="002A7665">
      <w:pPr>
        <w:suppressAutoHyphens/>
        <w:rPr>
          <w:b/>
          <w:sz w:val="22"/>
          <w:szCs w:val="22"/>
          <w:lang w:eastAsia="en-US"/>
        </w:rPr>
      </w:pPr>
    </w:p>
    <w:p w14:paraId="06A158D7" w14:textId="77777777" w:rsidR="002A7665" w:rsidRPr="002A7665" w:rsidRDefault="002A7665" w:rsidP="002A7665">
      <w:pPr>
        <w:suppressAutoHyphens/>
        <w:rPr>
          <w:b/>
          <w:sz w:val="22"/>
          <w:szCs w:val="22"/>
          <w:lang w:eastAsia="en-US"/>
        </w:rPr>
      </w:pPr>
    </w:p>
    <w:p w14:paraId="76D9E2D4" w14:textId="77777777" w:rsidR="002A7665" w:rsidRPr="002A7665" w:rsidRDefault="002A7665" w:rsidP="002A7665">
      <w:pPr>
        <w:suppressAutoHyphens/>
        <w:jc w:val="center"/>
        <w:rPr>
          <w:b/>
          <w:sz w:val="50"/>
          <w:szCs w:val="20"/>
          <w:lang w:eastAsia="en-US"/>
        </w:rPr>
      </w:pPr>
      <w:r w:rsidRPr="002A7665">
        <w:rPr>
          <w:b/>
          <w:sz w:val="50"/>
          <w:szCs w:val="20"/>
          <w:lang w:eastAsia="en-US"/>
        </w:rPr>
        <w:t>Ugovor o zajmu</w:t>
      </w:r>
    </w:p>
    <w:p w14:paraId="1FDFDE19" w14:textId="77777777" w:rsidR="002A7665" w:rsidRPr="002A7665" w:rsidRDefault="002A7665" w:rsidP="002A7665">
      <w:pPr>
        <w:suppressAutoHyphens/>
        <w:jc w:val="center"/>
        <w:rPr>
          <w:b/>
          <w:szCs w:val="20"/>
          <w:lang w:eastAsia="en-US"/>
        </w:rPr>
      </w:pPr>
    </w:p>
    <w:p w14:paraId="6A581AF4" w14:textId="77777777" w:rsidR="002A7665" w:rsidRPr="002A7665" w:rsidRDefault="002A7665" w:rsidP="002A7665">
      <w:pPr>
        <w:suppressAutoHyphens/>
        <w:jc w:val="center"/>
        <w:rPr>
          <w:b/>
          <w:szCs w:val="20"/>
          <w:lang w:eastAsia="en-US"/>
        </w:rPr>
      </w:pPr>
    </w:p>
    <w:p w14:paraId="510EF37B" w14:textId="77777777" w:rsidR="002A7665" w:rsidRPr="002A7665" w:rsidRDefault="002A7665" w:rsidP="002A7665">
      <w:pPr>
        <w:suppressAutoHyphens/>
        <w:jc w:val="center"/>
        <w:rPr>
          <w:b/>
          <w:sz w:val="22"/>
          <w:szCs w:val="22"/>
          <w:lang w:eastAsia="en-US"/>
        </w:rPr>
      </w:pPr>
      <w:r w:rsidRPr="002A7665">
        <w:rPr>
          <w:b/>
          <w:sz w:val="22"/>
          <w:szCs w:val="22"/>
          <w:lang w:eastAsia="en-US"/>
        </w:rPr>
        <w:t>(Projekt učinkovitog pravosuđa za bolje poslovno okruženje)</w:t>
      </w:r>
    </w:p>
    <w:p w14:paraId="459FA4A7" w14:textId="77777777" w:rsidR="002A7665" w:rsidRPr="002A7665" w:rsidRDefault="002A7665" w:rsidP="002A7665">
      <w:pPr>
        <w:suppressAutoHyphens/>
        <w:jc w:val="center"/>
        <w:rPr>
          <w:b/>
          <w:sz w:val="22"/>
          <w:szCs w:val="22"/>
          <w:lang w:eastAsia="en-US"/>
        </w:rPr>
      </w:pPr>
    </w:p>
    <w:p w14:paraId="187C74E2" w14:textId="77777777" w:rsidR="002A7665" w:rsidRPr="002A7665" w:rsidRDefault="002A7665" w:rsidP="002A7665">
      <w:pPr>
        <w:suppressAutoHyphens/>
        <w:jc w:val="center"/>
        <w:rPr>
          <w:b/>
          <w:sz w:val="22"/>
          <w:szCs w:val="22"/>
          <w:lang w:eastAsia="en-US"/>
        </w:rPr>
      </w:pPr>
    </w:p>
    <w:p w14:paraId="799CD040" w14:textId="77777777" w:rsidR="002A7665" w:rsidRPr="002A7665" w:rsidRDefault="002A7665" w:rsidP="002A7665">
      <w:pPr>
        <w:suppressAutoHyphens/>
        <w:jc w:val="center"/>
        <w:rPr>
          <w:b/>
          <w:sz w:val="22"/>
          <w:szCs w:val="22"/>
          <w:lang w:eastAsia="en-US"/>
        </w:rPr>
      </w:pPr>
    </w:p>
    <w:p w14:paraId="0FEE1267" w14:textId="77777777" w:rsidR="002A7665" w:rsidRPr="002A7665" w:rsidRDefault="002A7665" w:rsidP="002A7665">
      <w:pPr>
        <w:suppressAutoHyphens/>
        <w:jc w:val="center"/>
        <w:rPr>
          <w:b/>
          <w:sz w:val="22"/>
          <w:szCs w:val="22"/>
          <w:lang w:eastAsia="en-US"/>
        </w:rPr>
      </w:pPr>
      <w:r w:rsidRPr="002A7665">
        <w:rPr>
          <w:b/>
          <w:sz w:val="22"/>
          <w:szCs w:val="22"/>
          <w:lang w:eastAsia="en-US"/>
        </w:rPr>
        <w:t>između</w:t>
      </w:r>
    </w:p>
    <w:p w14:paraId="3B44A34E" w14:textId="77777777" w:rsidR="002A7665" w:rsidRPr="002A7665" w:rsidRDefault="002A7665" w:rsidP="002A7665">
      <w:pPr>
        <w:suppressAutoHyphens/>
        <w:jc w:val="center"/>
        <w:rPr>
          <w:b/>
          <w:sz w:val="22"/>
          <w:szCs w:val="22"/>
          <w:lang w:eastAsia="en-US"/>
        </w:rPr>
      </w:pPr>
    </w:p>
    <w:p w14:paraId="5339AF6B" w14:textId="77777777" w:rsidR="002A7665" w:rsidRPr="002A7665" w:rsidRDefault="002A7665" w:rsidP="002A7665">
      <w:pPr>
        <w:suppressAutoHyphens/>
        <w:jc w:val="center"/>
        <w:rPr>
          <w:b/>
          <w:sz w:val="22"/>
          <w:szCs w:val="22"/>
          <w:lang w:eastAsia="en-US"/>
        </w:rPr>
      </w:pPr>
    </w:p>
    <w:p w14:paraId="670B6BAB" w14:textId="77777777" w:rsidR="002A7665" w:rsidRPr="002A7665" w:rsidRDefault="002A7665" w:rsidP="002A7665">
      <w:pPr>
        <w:suppressAutoHyphens/>
        <w:jc w:val="center"/>
        <w:rPr>
          <w:b/>
          <w:sz w:val="22"/>
          <w:szCs w:val="22"/>
          <w:lang w:eastAsia="en-US"/>
        </w:rPr>
      </w:pPr>
      <w:r w:rsidRPr="002A7665">
        <w:rPr>
          <w:b/>
          <w:sz w:val="22"/>
          <w:szCs w:val="22"/>
          <w:lang w:eastAsia="en-US"/>
        </w:rPr>
        <w:t>REPUBLIKE HRVATSKE</w:t>
      </w:r>
    </w:p>
    <w:p w14:paraId="3C2E6A1F" w14:textId="77777777" w:rsidR="002A7665" w:rsidRPr="002A7665" w:rsidRDefault="002A7665" w:rsidP="002A7665">
      <w:pPr>
        <w:suppressAutoHyphens/>
        <w:jc w:val="center"/>
        <w:rPr>
          <w:b/>
          <w:sz w:val="22"/>
          <w:szCs w:val="22"/>
          <w:lang w:val="it-IT" w:eastAsia="en-US"/>
        </w:rPr>
      </w:pPr>
    </w:p>
    <w:p w14:paraId="5BA9E96C" w14:textId="77777777" w:rsidR="002A7665" w:rsidRPr="002A7665" w:rsidRDefault="002A7665" w:rsidP="002A7665">
      <w:pPr>
        <w:suppressAutoHyphens/>
        <w:jc w:val="center"/>
        <w:rPr>
          <w:b/>
          <w:sz w:val="22"/>
          <w:szCs w:val="22"/>
          <w:lang w:val="it-IT" w:eastAsia="en-US"/>
        </w:rPr>
      </w:pPr>
    </w:p>
    <w:p w14:paraId="206CBCFD" w14:textId="77777777" w:rsidR="002A7665" w:rsidRPr="002A7665" w:rsidRDefault="002A7665" w:rsidP="002A7665">
      <w:pPr>
        <w:suppressAutoHyphens/>
        <w:jc w:val="center"/>
        <w:rPr>
          <w:b/>
          <w:sz w:val="22"/>
          <w:szCs w:val="22"/>
          <w:lang w:eastAsia="en-US"/>
        </w:rPr>
      </w:pPr>
      <w:r w:rsidRPr="002A7665">
        <w:rPr>
          <w:b/>
          <w:sz w:val="22"/>
          <w:szCs w:val="22"/>
          <w:lang w:eastAsia="en-US"/>
        </w:rPr>
        <w:t>i</w:t>
      </w:r>
    </w:p>
    <w:p w14:paraId="069AE6D8" w14:textId="77777777" w:rsidR="002A7665" w:rsidRPr="002A7665" w:rsidRDefault="002A7665" w:rsidP="002A7665">
      <w:pPr>
        <w:tabs>
          <w:tab w:val="left" w:pos="3435"/>
        </w:tabs>
        <w:suppressAutoHyphens/>
        <w:rPr>
          <w:b/>
          <w:sz w:val="22"/>
          <w:szCs w:val="22"/>
          <w:lang w:eastAsia="en-US"/>
        </w:rPr>
      </w:pPr>
      <w:r w:rsidRPr="002A7665">
        <w:rPr>
          <w:b/>
          <w:sz w:val="22"/>
          <w:szCs w:val="22"/>
          <w:lang w:eastAsia="en-US"/>
        </w:rPr>
        <w:tab/>
      </w:r>
    </w:p>
    <w:p w14:paraId="7F969108" w14:textId="77777777" w:rsidR="002A7665" w:rsidRPr="002A7665" w:rsidRDefault="002A7665" w:rsidP="002A7665">
      <w:pPr>
        <w:suppressAutoHyphens/>
        <w:jc w:val="center"/>
        <w:rPr>
          <w:b/>
          <w:sz w:val="22"/>
          <w:szCs w:val="22"/>
          <w:lang w:eastAsia="en-US"/>
        </w:rPr>
      </w:pPr>
    </w:p>
    <w:p w14:paraId="4E46D252" w14:textId="77777777" w:rsidR="002A7665" w:rsidRPr="002A7665" w:rsidRDefault="002A7665" w:rsidP="002A7665">
      <w:pPr>
        <w:suppressAutoHyphens/>
        <w:jc w:val="center"/>
        <w:rPr>
          <w:b/>
          <w:sz w:val="22"/>
          <w:szCs w:val="22"/>
          <w:lang w:eastAsia="en-US"/>
        </w:rPr>
      </w:pPr>
      <w:r w:rsidRPr="002A7665">
        <w:rPr>
          <w:b/>
          <w:sz w:val="22"/>
          <w:szCs w:val="22"/>
          <w:lang w:eastAsia="en-US"/>
        </w:rPr>
        <w:t>MEĐUNARODNE BANKE ZA OBNOVU I RAZVOJ</w:t>
      </w:r>
    </w:p>
    <w:p w14:paraId="0DFF7BB8" w14:textId="77777777" w:rsidR="002A7665" w:rsidRPr="002A7665" w:rsidRDefault="002A7665" w:rsidP="002A7665">
      <w:pPr>
        <w:suppressAutoHyphens/>
        <w:rPr>
          <w:b/>
          <w:sz w:val="22"/>
          <w:szCs w:val="22"/>
          <w:lang w:eastAsia="en-US"/>
        </w:rPr>
      </w:pPr>
    </w:p>
    <w:p w14:paraId="1D39F2D9" w14:textId="77777777" w:rsidR="002A7665" w:rsidRPr="002A7665" w:rsidRDefault="002A7665" w:rsidP="002A7665">
      <w:pPr>
        <w:suppressAutoHyphens/>
        <w:jc w:val="center"/>
        <w:rPr>
          <w:b/>
          <w:szCs w:val="20"/>
          <w:lang w:eastAsia="en-US"/>
        </w:rPr>
      </w:pPr>
    </w:p>
    <w:p w14:paraId="532640BA" w14:textId="77777777" w:rsidR="00C700DC" w:rsidRDefault="00C700DC" w:rsidP="00C700DC">
      <w:pPr>
        <w:rPr>
          <w:highlight w:val="yellow"/>
          <w:lang w:val="en-GB" w:eastAsia="en-GB"/>
        </w:rPr>
      </w:pPr>
    </w:p>
    <w:p w14:paraId="7D8E0DDC" w14:textId="77777777" w:rsidR="00C700DC" w:rsidRDefault="00C700DC" w:rsidP="00C700DC">
      <w:pPr>
        <w:rPr>
          <w:highlight w:val="yellow"/>
          <w:lang w:val="en-GB" w:eastAsia="en-GB"/>
        </w:rPr>
      </w:pPr>
    </w:p>
    <w:p w14:paraId="4DB6BF83" w14:textId="77777777" w:rsidR="00C700DC" w:rsidRDefault="00C700DC" w:rsidP="00C700DC">
      <w:pPr>
        <w:rPr>
          <w:highlight w:val="yellow"/>
          <w:lang w:val="en-GB" w:eastAsia="en-GB"/>
        </w:rPr>
      </w:pPr>
    </w:p>
    <w:p w14:paraId="76DDD18A" w14:textId="77777777" w:rsidR="00C700DC" w:rsidRDefault="00C700DC" w:rsidP="00C700DC">
      <w:pPr>
        <w:rPr>
          <w:highlight w:val="yellow"/>
          <w:lang w:val="en-GB" w:eastAsia="en-GB"/>
        </w:rPr>
      </w:pPr>
    </w:p>
    <w:p w14:paraId="36BC89E1" w14:textId="77777777" w:rsidR="00C700DC" w:rsidRDefault="00C700DC" w:rsidP="00C700DC">
      <w:pPr>
        <w:rPr>
          <w:highlight w:val="yellow"/>
          <w:lang w:val="en-GB" w:eastAsia="en-GB"/>
        </w:rPr>
      </w:pPr>
    </w:p>
    <w:p w14:paraId="7A024232" w14:textId="77777777" w:rsidR="00C700DC" w:rsidRDefault="00C700DC" w:rsidP="00C700DC">
      <w:pPr>
        <w:rPr>
          <w:highlight w:val="yellow"/>
          <w:lang w:val="en-GB" w:eastAsia="en-GB"/>
        </w:rPr>
      </w:pPr>
    </w:p>
    <w:p w14:paraId="43B2609D" w14:textId="77777777" w:rsidR="00C700DC" w:rsidRDefault="00C700DC" w:rsidP="00C700DC">
      <w:pPr>
        <w:rPr>
          <w:highlight w:val="yellow"/>
          <w:lang w:val="en-GB" w:eastAsia="en-GB"/>
        </w:rPr>
      </w:pPr>
    </w:p>
    <w:p w14:paraId="2D3148F8" w14:textId="77777777" w:rsidR="00C700DC" w:rsidRDefault="00C700DC" w:rsidP="00C700DC">
      <w:pPr>
        <w:rPr>
          <w:highlight w:val="yellow"/>
          <w:lang w:val="en-GB" w:eastAsia="en-GB"/>
        </w:rPr>
      </w:pPr>
    </w:p>
    <w:p w14:paraId="56C91514" w14:textId="77777777" w:rsidR="00C700DC" w:rsidRDefault="00C700DC" w:rsidP="00C700DC">
      <w:pPr>
        <w:rPr>
          <w:highlight w:val="yellow"/>
          <w:lang w:val="en-GB" w:eastAsia="en-GB"/>
        </w:rPr>
      </w:pPr>
    </w:p>
    <w:p w14:paraId="7B3A88F0" w14:textId="77777777" w:rsidR="00C700DC" w:rsidRDefault="00C700DC" w:rsidP="00C700DC">
      <w:pPr>
        <w:rPr>
          <w:highlight w:val="yellow"/>
          <w:lang w:val="en-GB" w:eastAsia="en-GB"/>
        </w:rPr>
      </w:pPr>
    </w:p>
    <w:p w14:paraId="0FA455E1" w14:textId="77777777" w:rsidR="00C700DC" w:rsidRDefault="00C700DC" w:rsidP="00C700DC">
      <w:pPr>
        <w:rPr>
          <w:highlight w:val="yellow"/>
          <w:lang w:val="en-GB" w:eastAsia="en-GB"/>
        </w:rPr>
      </w:pPr>
    </w:p>
    <w:p w14:paraId="2E7F416D" w14:textId="77777777" w:rsidR="00C700DC" w:rsidRDefault="00C700DC" w:rsidP="00C700DC">
      <w:pPr>
        <w:rPr>
          <w:highlight w:val="yellow"/>
          <w:lang w:val="en-GB" w:eastAsia="en-GB"/>
        </w:rPr>
      </w:pPr>
    </w:p>
    <w:p w14:paraId="62FDBE46" w14:textId="77777777" w:rsidR="00C700DC" w:rsidRDefault="00C700DC" w:rsidP="00C700DC">
      <w:pPr>
        <w:rPr>
          <w:highlight w:val="yellow"/>
          <w:lang w:val="en-GB" w:eastAsia="en-GB"/>
        </w:rPr>
      </w:pPr>
    </w:p>
    <w:p w14:paraId="3B796ECD" w14:textId="77777777" w:rsidR="002B7E52" w:rsidRDefault="002B7E52" w:rsidP="002B7E52">
      <w:pPr>
        <w:pStyle w:val="Title"/>
      </w:pPr>
      <w:r>
        <w:br w:type="page"/>
      </w:r>
    </w:p>
    <w:p w14:paraId="3C9C937A" w14:textId="77777777" w:rsidR="002A7665" w:rsidRDefault="002A7665" w:rsidP="002B7E52">
      <w:pPr>
        <w:pStyle w:val="Title"/>
      </w:pPr>
    </w:p>
    <w:p w14:paraId="5DD28377" w14:textId="77777777" w:rsidR="006211D9" w:rsidRPr="006211D9" w:rsidRDefault="006211D9" w:rsidP="002B7E52">
      <w:pPr>
        <w:pStyle w:val="Title"/>
      </w:pPr>
      <w:r>
        <w:t>U</w:t>
      </w:r>
      <w:r w:rsidRPr="006211D9">
        <w:t>GOVOR O ZAJMU</w:t>
      </w:r>
    </w:p>
    <w:p w14:paraId="700A4564" w14:textId="77777777" w:rsidR="006211D9" w:rsidRPr="006211D9" w:rsidRDefault="006211D9" w:rsidP="006211D9">
      <w:r w:rsidRPr="006211D9">
        <w:tab/>
        <w:t>UGOVOR sklopljen s Datumom potpisivanja između REPUBLIKE HRVATSKE („Zajmoprimac”) i MEĐUNARODNE BANKE ZA OBNOVU I RAZVOJ („Banka”). Zajmoprimac i Banka ovim su se sporazumjeli kako slijedi:</w:t>
      </w:r>
    </w:p>
    <w:p w14:paraId="55151360" w14:textId="77777777" w:rsidR="006211D9" w:rsidRPr="006211D9" w:rsidRDefault="006211D9" w:rsidP="006211D9"/>
    <w:p w14:paraId="24952211" w14:textId="77777777" w:rsidR="006211D9" w:rsidRPr="004A33BB" w:rsidRDefault="006211D9" w:rsidP="002B7E52">
      <w:pPr>
        <w:pStyle w:val="Title"/>
        <w:rPr>
          <w:lang w:val="hr-HR"/>
        </w:rPr>
      </w:pPr>
      <w:r w:rsidRPr="004A33BB">
        <w:rPr>
          <w:lang w:val="hr-HR"/>
        </w:rPr>
        <w:t>ČLANAK I. — OPĆI UVJETI; DEFINICIJE</w:t>
      </w:r>
    </w:p>
    <w:p w14:paraId="0848B800" w14:textId="77777777" w:rsidR="006211D9" w:rsidRPr="006211D9" w:rsidRDefault="006211D9" w:rsidP="00D056EF">
      <w:pPr>
        <w:ind w:left="705" w:hanging="705"/>
        <w:jc w:val="both"/>
      </w:pPr>
      <w:r w:rsidRPr="006211D9">
        <w:t>1.01.</w:t>
      </w:r>
      <w:r w:rsidRPr="006211D9">
        <w:tab/>
        <w:t xml:space="preserve">Opći uvjeti </w:t>
      </w:r>
      <w:r w:rsidR="00177FCA">
        <w:t>(</w:t>
      </w:r>
      <w:r w:rsidRPr="006211D9">
        <w:t>kako su određeni u Dodatku ovom Ugovoru) primjenjuju se i čine dio ovog Ugovora.</w:t>
      </w:r>
    </w:p>
    <w:p w14:paraId="68C798F6" w14:textId="77777777" w:rsidR="006211D9" w:rsidRPr="006211D9" w:rsidRDefault="006211D9" w:rsidP="00D056EF">
      <w:pPr>
        <w:jc w:val="both"/>
      </w:pPr>
    </w:p>
    <w:p w14:paraId="4C4401B7" w14:textId="77777777" w:rsidR="006211D9" w:rsidRPr="006211D9" w:rsidRDefault="006211D9" w:rsidP="00D056EF">
      <w:pPr>
        <w:ind w:left="705" w:hanging="705"/>
        <w:jc w:val="both"/>
      </w:pPr>
      <w:r w:rsidRPr="006211D9">
        <w:t>1.02.</w:t>
      </w:r>
      <w:r w:rsidRPr="006211D9">
        <w:tab/>
        <w:t xml:space="preserve">Ako kontekst ne nalaže drukčije, izrazi napisani velikim početnim slovom upotrijebljeni u ovom Ugovoru imaju značenja koja su im pripisana u Općim uvjetima ili </w:t>
      </w:r>
      <w:r w:rsidR="00BD52C0">
        <w:t xml:space="preserve">u </w:t>
      </w:r>
      <w:r w:rsidRPr="006211D9">
        <w:t>Dodatku ovom Ugovoru.</w:t>
      </w:r>
    </w:p>
    <w:p w14:paraId="680295FB" w14:textId="77777777" w:rsidR="006211D9" w:rsidRPr="006211D9" w:rsidRDefault="006211D9" w:rsidP="006211D9"/>
    <w:p w14:paraId="4640A97B" w14:textId="77777777" w:rsidR="006211D9" w:rsidRPr="004A33BB" w:rsidRDefault="006211D9" w:rsidP="002B7E52">
      <w:pPr>
        <w:pStyle w:val="Title"/>
        <w:rPr>
          <w:lang w:val="hr-HR"/>
        </w:rPr>
      </w:pPr>
      <w:r w:rsidRPr="004A33BB">
        <w:rPr>
          <w:lang w:val="hr-HR"/>
        </w:rPr>
        <w:t>ČLANAK II. — ZAJAM</w:t>
      </w:r>
    </w:p>
    <w:p w14:paraId="39B2B1B8" w14:textId="77777777" w:rsidR="006211D9" w:rsidRPr="006211D9" w:rsidRDefault="006211D9" w:rsidP="00C368FC">
      <w:pPr>
        <w:ind w:left="705" w:hanging="705"/>
        <w:jc w:val="both"/>
      </w:pPr>
      <w:r w:rsidRPr="006211D9">
        <w:t>2.01.</w:t>
      </w:r>
      <w:r w:rsidRPr="006211D9">
        <w:tab/>
        <w:t>Banka je suglasna Zajmoprimcu pozajmiti iznos od sto milijuna eura (100.000.000 EUR), pri čemu se taj iznos s vremena na vrijeme može konvertirati Konverzijom valute („Zajam”), kao pomoć u financiranju dijelova 1., 2.1., 2.2., 2.3. i 3.1. projekta opisanog u Prilogu 1. ovom Ugovoru („Projekt”).</w:t>
      </w:r>
    </w:p>
    <w:p w14:paraId="1758B81D" w14:textId="77777777" w:rsidR="006211D9" w:rsidRPr="006211D9" w:rsidRDefault="006211D9" w:rsidP="00C368FC">
      <w:pPr>
        <w:jc w:val="both"/>
      </w:pPr>
    </w:p>
    <w:p w14:paraId="419BE2F6" w14:textId="77777777" w:rsidR="006211D9" w:rsidRPr="006211D9" w:rsidRDefault="006211D9" w:rsidP="00C368FC">
      <w:pPr>
        <w:ind w:left="705" w:hanging="705"/>
        <w:jc w:val="both"/>
      </w:pPr>
      <w:r w:rsidRPr="006211D9">
        <w:t>2.02.</w:t>
      </w:r>
      <w:r w:rsidRPr="006211D9">
        <w:tab/>
        <w:t>Zajmoprimac može povlačiti sredstva Zajma u skladu s odjeljkom III. Priloga 2. ovom Ugovoru.</w:t>
      </w:r>
    </w:p>
    <w:p w14:paraId="145EDA93" w14:textId="77777777" w:rsidR="006211D9" w:rsidRPr="006211D9" w:rsidRDefault="006211D9" w:rsidP="00C368FC">
      <w:pPr>
        <w:jc w:val="both"/>
      </w:pPr>
    </w:p>
    <w:p w14:paraId="15F3FFC3" w14:textId="77777777" w:rsidR="006211D9" w:rsidRPr="006211D9" w:rsidRDefault="006211D9" w:rsidP="00C368FC">
      <w:pPr>
        <w:jc w:val="both"/>
      </w:pPr>
      <w:r w:rsidRPr="006211D9">
        <w:t>2.03.</w:t>
      </w:r>
      <w:r w:rsidRPr="006211D9">
        <w:tab/>
        <w:t>Početna naknada iznosi jednu četvrtinu jednog postotka (0,25 %) iznosa Zajma.</w:t>
      </w:r>
    </w:p>
    <w:p w14:paraId="4CA7A4D2" w14:textId="77777777" w:rsidR="006211D9" w:rsidRPr="006211D9" w:rsidRDefault="006211D9" w:rsidP="00C368FC">
      <w:pPr>
        <w:jc w:val="both"/>
      </w:pPr>
    </w:p>
    <w:p w14:paraId="566AE2FB" w14:textId="77777777" w:rsidR="006211D9" w:rsidRPr="006211D9" w:rsidRDefault="006211D9" w:rsidP="00C368FC">
      <w:pPr>
        <w:ind w:left="705" w:hanging="705"/>
        <w:jc w:val="both"/>
      </w:pPr>
      <w:r w:rsidRPr="006211D9">
        <w:t>2.04.</w:t>
      </w:r>
      <w:r w:rsidRPr="006211D9">
        <w:tab/>
        <w:t>Naknada za odobrena, a neiskorištena sredstva iznosi jednu četvrtinu jednog postotka (0,25 %) godišnje na iznos Nepovučenih sredstava Zajma.</w:t>
      </w:r>
    </w:p>
    <w:p w14:paraId="5D929717" w14:textId="77777777" w:rsidR="006211D9" w:rsidRPr="006211D9" w:rsidRDefault="006211D9" w:rsidP="00C368FC">
      <w:pPr>
        <w:jc w:val="both"/>
      </w:pPr>
    </w:p>
    <w:p w14:paraId="5BBB3A60" w14:textId="77777777" w:rsidR="006211D9" w:rsidRPr="006211D9" w:rsidRDefault="006211D9" w:rsidP="00C368FC">
      <w:pPr>
        <w:ind w:left="705" w:hanging="705"/>
        <w:jc w:val="both"/>
      </w:pPr>
      <w:r w:rsidRPr="006211D9">
        <w:t>2.05.</w:t>
      </w:r>
      <w:r w:rsidRPr="006211D9">
        <w:tab/>
        <w:t>Kamatna stopa je Referentna stopa uvećana za Fiksnu kamatnu maržu ili ona stopa koja se može primjenjivati nakon Konverzije, u skladu s odjeljkom 3.02. (e) Općih uvjeta.</w:t>
      </w:r>
    </w:p>
    <w:p w14:paraId="38BB59BB" w14:textId="77777777" w:rsidR="006211D9" w:rsidRPr="006211D9" w:rsidRDefault="006211D9" w:rsidP="00C368FC">
      <w:pPr>
        <w:jc w:val="both"/>
      </w:pPr>
    </w:p>
    <w:p w14:paraId="066E2125" w14:textId="77777777" w:rsidR="006211D9" w:rsidRPr="006211D9" w:rsidRDefault="006211D9" w:rsidP="00C368FC">
      <w:pPr>
        <w:jc w:val="both"/>
      </w:pPr>
      <w:r w:rsidRPr="006211D9">
        <w:t>2.06.</w:t>
      </w:r>
      <w:r w:rsidRPr="006211D9">
        <w:tab/>
        <w:t>Datumi plaćanja su 15. svibnja i 15. studenog svake godine.</w:t>
      </w:r>
    </w:p>
    <w:p w14:paraId="49FA437C" w14:textId="77777777" w:rsidR="006211D9" w:rsidRPr="006211D9" w:rsidRDefault="006211D9" w:rsidP="00C368FC">
      <w:pPr>
        <w:jc w:val="both"/>
      </w:pPr>
    </w:p>
    <w:p w14:paraId="20FBCAFC" w14:textId="77777777" w:rsidR="006211D9" w:rsidRPr="006211D9" w:rsidRDefault="006211D9" w:rsidP="00C368FC">
      <w:pPr>
        <w:jc w:val="both"/>
      </w:pPr>
      <w:r w:rsidRPr="006211D9">
        <w:t>2.07.</w:t>
      </w:r>
      <w:r w:rsidRPr="006211D9">
        <w:tab/>
        <w:t>Iznos glavnice Zajma otplaćuje se u skladu s Prilogom 3. ovom Ugovoru.</w:t>
      </w:r>
    </w:p>
    <w:p w14:paraId="76A6DE57" w14:textId="77777777" w:rsidR="006211D9" w:rsidRPr="006211D9" w:rsidRDefault="006211D9" w:rsidP="006211D9"/>
    <w:p w14:paraId="7AACA3AB" w14:textId="77777777" w:rsidR="006211D9" w:rsidRPr="006211D9" w:rsidRDefault="006211D9" w:rsidP="006211D9"/>
    <w:p w14:paraId="4C0FBEE5" w14:textId="77777777" w:rsidR="006211D9" w:rsidRPr="004A33BB" w:rsidRDefault="006211D9" w:rsidP="002B7E52">
      <w:pPr>
        <w:pStyle w:val="Title"/>
        <w:rPr>
          <w:lang w:val="hr-HR"/>
        </w:rPr>
      </w:pPr>
      <w:r w:rsidRPr="004A33BB">
        <w:rPr>
          <w:lang w:val="hr-HR"/>
        </w:rPr>
        <w:t>ČLANAK III. — PROJEKT</w:t>
      </w:r>
    </w:p>
    <w:p w14:paraId="131B4710" w14:textId="77777777" w:rsidR="006211D9" w:rsidRPr="006211D9" w:rsidRDefault="006211D9" w:rsidP="008D1EF7">
      <w:pPr>
        <w:ind w:left="705" w:hanging="705"/>
        <w:jc w:val="both"/>
      </w:pPr>
      <w:r w:rsidRPr="006211D9">
        <w:t>3.01.</w:t>
      </w:r>
      <w:r w:rsidRPr="006211D9">
        <w:tab/>
        <w:t xml:space="preserve">Zajmoprimac izjavljuje svoju spremnost za izvršenje ciljeva Projekta. U tu svrhu Zajmoprimac se obvezuje provesti Dio 1.1. Projekta putem MINGPO-a, Dio 1.2. Projekta putem MGIPU-a, Dio 3.2.(a) putem MINGPO-a odnosno MGIPU-a te Dijelove 2., 3.1. i 3.2.(b) Projekta putem MP-a, u skladu s odredbama članka V. Općih uvjeta i Priloga 2. ovom Ugovoru. </w:t>
      </w:r>
    </w:p>
    <w:p w14:paraId="1881EB8F" w14:textId="77777777" w:rsidR="006211D9" w:rsidRPr="006211D9" w:rsidRDefault="006211D9" w:rsidP="006211D9"/>
    <w:p w14:paraId="4B369002" w14:textId="77777777" w:rsidR="006211D9" w:rsidRPr="006211D9" w:rsidRDefault="006211D9" w:rsidP="003F306C">
      <w:pPr>
        <w:pStyle w:val="Title"/>
      </w:pPr>
      <w:r w:rsidRPr="006211D9">
        <w:t>ČLANAK IV. — PRAVNA SREDSTVA BANKE</w:t>
      </w:r>
    </w:p>
    <w:p w14:paraId="073F8C60" w14:textId="77777777" w:rsidR="006211D9" w:rsidRPr="006211D9" w:rsidRDefault="006211D9" w:rsidP="008D1EF7">
      <w:pPr>
        <w:ind w:left="705" w:hanging="705"/>
        <w:jc w:val="both"/>
      </w:pPr>
      <w:r w:rsidRPr="006211D9">
        <w:t>4.01.</w:t>
      </w:r>
      <w:r w:rsidRPr="006211D9">
        <w:tab/>
        <w:t>Dodatni događaj koji daje pravo na obustavu je izmjena, obustava, ukidanje, opoziv ili izuzimanje Zajmoprimčevih Zakona o sudovima i Zakona o područjima i sjedištima sudova  na način koji, prema mišljenju Banke, materijalno ili negativno utječe na sposobnost Zajmoprimca da provede Projekt.</w:t>
      </w:r>
    </w:p>
    <w:p w14:paraId="2BF8E4B7" w14:textId="77777777" w:rsidR="006211D9" w:rsidRPr="006211D9" w:rsidRDefault="006211D9" w:rsidP="00982CAA">
      <w:pPr>
        <w:jc w:val="both"/>
      </w:pPr>
    </w:p>
    <w:p w14:paraId="066B0FE9" w14:textId="77777777" w:rsidR="006211D9" w:rsidRPr="006211D9" w:rsidRDefault="006211D9" w:rsidP="008D1EF7">
      <w:pPr>
        <w:ind w:left="705" w:hanging="705"/>
        <w:jc w:val="both"/>
      </w:pPr>
      <w:r w:rsidRPr="006211D9">
        <w:t>4.02.</w:t>
      </w:r>
      <w:r w:rsidRPr="006211D9">
        <w:tab/>
        <w:t>Dodatni događaj koji daje pravo na ubrzanje dospijeća je nastupanje događaja iz odjeljka 4.01. ovog Ugovora i njegovo trajanje tijekom razdoblja od 60 dana nakon što Banka Zajmoprimcu dostavi obavijest o tom događaju.</w:t>
      </w:r>
    </w:p>
    <w:p w14:paraId="544DFF70" w14:textId="77777777" w:rsidR="006211D9" w:rsidRPr="006211D9" w:rsidRDefault="006211D9" w:rsidP="006211D9"/>
    <w:p w14:paraId="4F4D4274" w14:textId="77777777" w:rsidR="006211D9" w:rsidRPr="006211D9" w:rsidRDefault="006211D9" w:rsidP="006211D9"/>
    <w:p w14:paraId="61FB4304" w14:textId="77777777" w:rsidR="006211D9" w:rsidRPr="003F306C" w:rsidRDefault="006211D9" w:rsidP="003F306C">
      <w:pPr>
        <w:pStyle w:val="Title"/>
        <w:rPr>
          <w:lang w:val="hr-HR"/>
        </w:rPr>
      </w:pPr>
      <w:r w:rsidRPr="004A33BB">
        <w:rPr>
          <w:lang w:val="hr-HR"/>
        </w:rPr>
        <w:t xml:space="preserve">ČLANAK V. — STUPANJE NA SNAGU; PRESTANAK </w:t>
      </w:r>
    </w:p>
    <w:p w14:paraId="7F46D959" w14:textId="77777777" w:rsidR="006211D9" w:rsidRPr="006211D9" w:rsidRDefault="006211D9" w:rsidP="008D1EF7">
      <w:pPr>
        <w:ind w:left="705" w:hanging="705"/>
        <w:jc w:val="both"/>
      </w:pPr>
      <w:r w:rsidRPr="006211D9">
        <w:t>5.01.</w:t>
      </w:r>
      <w:r w:rsidRPr="006211D9">
        <w:tab/>
        <w:t>Dodatni uvjet za stupanje na snagu je osnivanje Jedinice za provedbu projekta (JPP) od strane Zajmoprimca u skladu s uvjetima, sastavom, funkcijama i resursima koji su Banci prihvatljivi.</w:t>
      </w:r>
    </w:p>
    <w:p w14:paraId="5C0D36EC" w14:textId="77777777" w:rsidR="006211D9" w:rsidRPr="006211D9" w:rsidRDefault="006211D9" w:rsidP="00982CAA">
      <w:pPr>
        <w:jc w:val="both"/>
      </w:pPr>
    </w:p>
    <w:p w14:paraId="0200E4DD" w14:textId="77777777" w:rsidR="006211D9" w:rsidRPr="006211D9" w:rsidRDefault="00C368FC" w:rsidP="00982CAA">
      <w:pPr>
        <w:jc w:val="both"/>
      </w:pPr>
      <w:r>
        <w:t>5.02</w:t>
      </w:r>
      <w:r w:rsidR="006211D9" w:rsidRPr="006211D9">
        <w:tab/>
        <w:t>Rok za stupanje na snagu je devedeset (90) dana od Datuma potpisivanja.</w:t>
      </w:r>
    </w:p>
    <w:p w14:paraId="77589FB0" w14:textId="77777777" w:rsidR="006211D9" w:rsidRPr="006211D9" w:rsidRDefault="006211D9" w:rsidP="00982CAA">
      <w:pPr>
        <w:jc w:val="both"/>
      </w:pPr>
    </w:p>
    <w:p w14:paraId="1DF325FE" w14:textId="77777777" w:rsidR="006211D9" w:rsidRPr="006211D9" w:rsidRDefault="006211D9" w:rsidP="006211D9"/>
    <w:p w14:paraId="14053FD7" w14:textId="77777777" w:rsidR="006211D9" w:rsidRPr="003F306C" w:rsidRDefault="006211D9" w:rsidP="003F306C">
      <w:pPr>
        <w:pStyle w:val="Title"/>
        <w:rPr>
          <w:lang w:val="hr-HR"/>
        </w:rPr>
      </w:pPr>
      <w:r w:rsidRPr="004A33BB">
        <w:rPr>
          <w:lang w:val="hr-HR"/>
        </w:rPr>
        <w:t>ČLANAK VI. — PREDSTAVNIK; ADRESE</w:t>
      </w:r>
    </w:p>
    <w:p w14:paraId="286EE849" w14:textId="77777777" w:rsidR="006211D9" w:rsidRPr="006211D9" w:rsidRDefault="006211D9" w:rsidP="006211D9">
      <w:r w:rsidRPr="006211D9">
        <w:t>6.01.</w:t>
      </w:r>
      <w:r w:rsidRPr="006211D9">
        <w:tab/>
        <w:t>Predstavnik Zajmoprimca je ministar zadužen za financije.</w:t>
      </w:r>
    </w:p>
    <w:p w14:paraId="41D1EF71" w14:textId="77777777" w:rsidR="006211D9" w:rsidRPr="006211D9" w:rsidRDefault="006211D9" w:rsidP="006211D9"/>
    <w:p w14:paraId="2DDBA15C" w14:textId="77777777" w:rsidR="006211D9" w:rsidRPr="006211D9" w:rsidRDefault="006211D9" w:rsidP="006211D9">
      <w:r w:rsidRPr="006211D9">
        <w:t>6.02.</w:t>
      </w:r>
      <w:r w:rsidRPr="006211D9">
        <w:tab/>
        <w:t>Za potrebe odjeljka 10.01. Općih uvjeta adresa Zajmoprimca je:</w:t>
      </w:r>
    </w:p>
    <w:p w14:paraId="5DCA220F" w14:textId="77777777" w:rsidR="006211D9" w:rsidRPr="006211D9" w:rsidRDefault="006211D9" w:rsidP="006211D9"/>
    <w:p w14:paraId="2E8978E9" w14:textId="77777777" w:rsidR="006211D9" w:rsidRPr="006211D9" w:rsidRDefault="006211D9" w:rsidP="008D1EF7">
      <w:pPr>
        <w:ind w:firstLine="708"/>
      </w:pPr>
      <w:r w:rsidRPr="006211D9">
        <w:t>Ministarstvo financija</w:t>
      </w:r>
    </w:p>
    <w:p w14:paraId="6AF045DA" w14:textId="77777777" w:rsidR="006211D9" w:rsidRPr="006211D9" w:rsidRDefault="006211D9" w:rsidP="008D1EF7">
      <w:pPr>
        <w:ind w:firstLine="708"/>
      </w:pPr>
      <w:r w:rsidRPr="006211D9">
        <w:t>Katančićeva 5</w:t>
      </w:r>
    </w:p>
    <w:p w14:paraId="1EB4B9C7" w14:textId="77777777" w:rsidR="006211D9" w:rsidRPr="006211D9" w:rsidRDefault="006211D9" w:rsidP="008D1EF7">
      <w:pPr>
        <w:ind w:firstLine="708"/>
      </w:pPr>
      <w:r w:rsidRPr="006211D9">
        <w:t>10000 Zagreb</w:t>
      </w:r>
    </w:p>
    <w:p w14:paraId="1647CB41" w14:textId="77777777" w:rsidR="006211D9" w:rsidRPr="006211D9" w:rsidRDefault="006211D9" w:rsidP="008D1EF7">
      <w:pPr>
        <w:ind w:firstLine="708"/>
      </w:pPr>
      <w:r w:rsidRPr="006211D9">
        <w:t>Republika Hrvatska</w:t>
      </w:r>
    </w:p>
    <w:p w14:paraId="5B4D4CC9" w14:textId="77777777" w:rsidR="006211D9" w:rsidRPr="006211D9" w:rsidRDefault="006211D9" w:rsidP="006211D9"/>
    <w:p w14:paraId="3F87A27F" w14:textId="77777777" w:rsidR="006211D9" w:rsidRPr="006211D9" w:rsidRDefault="006211D9" w:rsidP="008D1EF7">
      <w:pPr>
        <w:ind w:firstLine="708"/>
      </w:pPr>
      <w:r w:rsidRPr="006211D9">
        <w:t>Telefaks:  (385-1) 4922-598</w:t>
      </w:r>
    </w:p>
    <w:p w14:paraId="5171B60E" w14:textId="77777777" w:rsidR="006211D9" w:rsidRPr="006211D9" w:rsidRDefault="006211D9" w:rsidP="006211D9"/>
    <w:p w14:paraId="126221B6" w14:textId="77777777" w:rsidR="006211D9" w:rsidRPr="006211D9" w:rsidRDefault="006211D9" w:rsidP="006211D9">
      <w:r w:rsidRPr="006211D9">
        <w:t xml:space="preserve">6.03. </w:t>
      </w:r>
      <w:r w:rsidRPr="006211D9">
        <w:tab/>
        <w:t>Za potrebe odjeljka 10.01. Općih uvjeta: (a) adresa Banke je:</w:t>
      </w:r>
    </w:p>
    <w:p w14:paraId="59B408CD" w14:textId="77777777" w:rsidR="006211D9" w:rsidRPr="006211D9" w:rsidRDefault="006211D9" w:rsidP="006211D9"/>
    <w:p w14:paraId="6AC27776" w14:textId="77777777" w:rsidR="006211D9" w:rsidRPr="006211D9" w:rsidRDefault="006211D9" w:rsidP="008D1EF7">
      <w:pPr>
        <w:ind w:left="708"/>
      </w:pPr>
      <w:r w:rsidRPr="006211D9">
        <w:t xml:space="preserve">International Bank for Reconstruction and Development </w:t>
      </w:r>
    </w:p>
    <w:p w14:paraId="416DE5A6" w14:textId="77777777" w:rsidR="006211D9" w:rsidRPr="006211D9" w:rsidRDefault="006211D9" w:rsidP="008D1EF7">
      <w:pPr>
        <w:ind w:left="708"/>
      </w:pPr>
      <w:r w:rsidRPr="006211D9">
        <w:t>1818 H Street, N.W.</w:t>
      </w:r>
    </w:p>
    <w:p w14:paraId="300FEDD8" w14:textId="77777777" w:rsidR="006211D9" w:rsidRPr="006211D9" w:rsidRDefault="006211D9" w:rsidP="008D1EF7">
      <w:pPr>
        <w:ind w:left="708"/>
      </w:pPr>
      <w:r w:rsidRPr="006211D9">
        <w:t>Washington, D.C. 20433</w:t>
      </w:r>
    </w:p>
    <w:p w14:paraId="6E243774" w14:textId="77777777" w:rsidR="006211D9" w:rsidRPr="006211D9" w:rsidRDefault="006211D9" w:rsidP="008D1EF7">
      <w:pPr>
        <w:ind w:left="708"/>
      </w:pPr>
      <w:r w:rsidRPr="006211D9">
        <w:t xml:space="preserve">United States of America; i </w:t>
      </w:r>
    </w:p>
    <w:p w14:paraId="7E7061FC" w14:textId="77777777" w:rsidR="006211D9" w:rsidRPr="006211D9" w:rsidRDefault="006211D9" w:rsidP="006211D9"/>
    <w:p w14:paraId="386C02B3" w14:textId="77777777" w:rsidR="006211D9" w:rsidRPr="006211D9" w:rsidRDefault="006211D9" w:rsidP="00854D3C">
      <w:pPr>
        <w:ind w:firstLine="708"/>
      </w:pPr>
      <w:r w:rsidRPr="00854D3C">
        <w:t>(b)</w:t>
      </w:r>
      <w:r w:rsidRPr="006211D9">
        <w:t xml:space="preserve"> Elektronička adresa Banke je:</w:t>
      </w:r>
    </w:p>
    <w:p w14:paraId="22B05423" w14:textId="77777777" w:rsidR="006211D9" w:rsidRPr="006211D9" w:rsidRDefault="006211D9" w:rsidP="006211D9"/>
    <w:p w14:paraId="619884A6" w14:textId="77777777" w:rsidR="006211D9" w:rsidRPr="006211D9" w:rsidRDefault="006211D9" w:rsidP="008D1EF7">
      <w:pPr>
        <w:ind w:firstLine="708"/>
      </w:pPr>
      <w:r w:rsidRPr="006211D9">
        <w:t>Telefaks:  1-202-477-6391</w:t>
      </w:r>
    </w:p>
    <w:p w14:paraId="3325CE84" w14:textId="77777777" w:rsidR="006211D9" w:rsidRPr="006211D9" w:rsidRDefault="006211D9" w:rsidP="006211D9">
      <w:r w:rsidRPr="006211D9">
        <w:t> </w:t>
      </w:r>
    </w:p>
    <w:p w14:paraId="4C705B3E" w14:textId="77777777" w:rsidR="006211D9" w:rsidRPr="006211D9" w:rsidRDefault="006211D9" w:rsidP="006211D9"/>
    <w:p w14:paraId="0D6949B2" w14:textId="77777777" w:rsidR="006211D9" w:rsidRPr="006211D9" w:rsidRDefault="006211D9" w:rsidP="006211D9"/>
    <w:p w14:paraId="1B3CE1EC" w14:textId="77777777" w:rsidR="006211D9" w:rsidRPr="006211D9" w:rsidRDefault="006211D9" w:rsidP="006211D9">
      <w:r w:rsidRPr="006211D9">
        <w:t>USUGLAŠENO na Datum potpisivanja.</w:t>
      </w:r>
    </w:p>
    <w:p w14:paraId="09B3CD51" w14:textId="77777777" w:rsidR="006211D9" w:rsidRPr="006211D9" w:rsidRDefault="006211D9" w:rsidP="006211D9">
      <w:r w:rsidRPr="006211D9">
        <w:tab/>
      </w:r>
    </w:p>
    <w:p w14:paraId="51D840D7" w14:textId="77777777" w:rsidR="006211D9" w:rsidRPr="006211D9" w:rsidRDefault="006211D9" w:rsidP="00826207">
      <w:pPr>
        <w:ind w:left="3540" w:firstLine="708"/>
        <w:rPr>
          <w:b/>
        </w:rPr>
      </w:pPr>
      <w:r w:rsidRPr="006211D9">
        <w:rPr>
          <w:b/>
        </w:rPr>
        <w:t>REPUBLIKA HRVATSKA</w:t>
      </w:r>
    </w:p>
    <w:p w14:paraId="703C5C95" w14:textId="77777777" w:rsidR="006211D9" w:rsidRPr="006211D9" w:rsidRDefault="006211D9" w:rsidP="006211D9"/>
    <w:p w14:paraId="56B8B038" w14:textId="77777777" w:rsidR="006211D9" w:rsidRPr="006211D9" w:rsidRDefault="006211D9" w:rsidP="006211D9"/>
    <w:p w14:paraId="064D4A5C" w14:textId="77777777" w:rsidR="006211D9" w:rsidRPr="006211D9" w:rsidRDefault="006211D9" w:rsidP="006211D9">
      <w:r w:rsidRPr="006211D9">
        <w:tab/>
      </w:r>
      <w:r w:rsidRPr="006211D9">
        <w:tab/>
      </w:r>
    </w:p>
    <w:p w14:paraId="5E2A621E" w14:textId="77777777" w:rsidR="006211D9" w:rsidRPr="006211D9" w:rsidRDefault="006211D9" w:rsidP="006211D9"/>
    <w:p w14:paraId="1B0309AB" w14:textId="77777777" w:rsidR="006211D9" w:rsidRPr="00826207" w:rsidRDefault="006211D9" w:rsidP="00826207">
      <w:pPr>
        <w:ind w:left="3540" w:firstLine="708"/>
        <w:rPr>
          <w:b/>
        </w:rPr>
      </w:pPr>
      <w:r w:rsidRPr="00826207">
        <w:rPr>
          <w:b/>
        </w:rPr>
        <w:t xml:space="preserve">Ime i prezime: </w:t>
      </w:r>
      <w:r w:rsidR="002F518C" w:rsidRPr="00826207">
        <w:rPr>
          <w:b/>
        </w:rPr>
        <w:t>Zdravko Marić</w:t>
      </w:r>
    </w:p>
    <w:p w14:paraId="5E96A6C2" w14:textId="77777777" w:rsidR="006211D9" w:rsidRPr="00826207" w:rsidRDefault="006211D9" w:rsidP="006211D9">
      <w:pPr>
        <w:rPr>
          <w:b/>
        </w:rPr>
      </w:pPr>
    </w:p>
    <w:p w14:paraId="54883ECF" w14:textId="77777777" w:rsidR="006211D9" w:rsidRPr="00826207" w:rsidRDefault="006211D9" w:rsidP="002D7958">
      <w:pPr>
        <w:ind w:left="4248"/>
        <w:rPr>
          <w:b/>
        </w:rPr>
      </w:pPr>
      <w:r w:rsidRPr="00826207">
        <w:rPr>
          <w:b/>
        </w:rPr>
        <w:t xml:space="preserve">Funkcija: </w:t>
      </w:r>
      <w:r w:rsidR="002F518C" w:rsidRPr="00826207">
        <w:rPr>
          <w:b/>
        </w:rPr>
        <w:t xml:space="preserve">potpredsjednik Vlade </w:t>
      </w:r>
      <w:r w:rsidR="00501CD5" w:rsidRPr="00826207">
        <w:rPr>
          <w:b/>
        </w:rPr>
        <w:t xml:space="preserve">Republike Hrvatske  </w:t>
      </w:r>
      <w:r w:rsidR="002F518C" w:rsidRPr="00826207">
        <w:rPr>
          <w:b/>
        </w:rPr>
        <w:t>i ministar financija</w:t>
      </w:r>
    </w:p>
    <w:p w14:paraId="09DE7F57" w14:textId="77777777" w:rsidR="006211D9" w:rsidRPr="00826207" w:rsidRDefault="006211D9" w:rsidP="006211D9">
      <w:pPr>
        <w:rPr>
          <w:b/>
        </w:rPr>
      </w:pPr>
    </w:p>
    <w:p w14:paraId="37C7F4E9" w14:textId="77777777" w:rsidR="006211D9" w:rsidRPr="00826207" w:rsidRDefault="006211D9" w:rsidP="00826207">
      <w:pPr>
        <w:ind w:left="3540" w:firstLine="708"/>
        <w:rPr>
          <w:b/>
        </w:rPr>
      </w:pPr>
      <w:r w:rsidRPr="00826207">
        <w:rPr>
          <w:b/>
        </w:rPr>
        <w:t xml:space="preserve">Datum: </w:t>
      </w:r>
      <w:r w:rsidR="002F518C" w:rsidRPr="00826207">
        <w:rPr>
          <w:b/>
        </w:rPr>
        <w:t>15. travnja 2020. godine</w:t>
      </w:r>
    </w:p>
    <w:p w14:paraId="0D0B735A" w14:textId="77777777" w:rsidR="006211D9" w:rsidRDefault="006211D9" w:rsidP="006211D9"/>
    <w:p w14:paraId="0B54FBF8" w14:textId="77777777" w:rsidR="006211D9" w:rsidRPr="006211D9" w:rsidRDefault="006211D9" w:rsidP="006211D9"/>
    <w:p w14:paraId="56531C61" w14:textId="77777777" w:rsidR="006211D9" w:rsidRPr="006211D9" w:rsidRDefault="006211D9" w:rsidP="006211D9"/>
    <w:p w14:paraId="4D74936C" w14:textId="77777777" w:rsidR="006211D9" w:rsidRPr="006211D9" w:rsidRDefault="006211D9" w:rsidP="00826207">
      <w:pPr>
        <w:ind w:left="4248"/>
        <w:rPr>
          <w:b/>
        </w:rPr>
      </w:pPr>
      <w:r w:rsidRPr="006211D9">
        <w:rPr>
          <w:b/>
        </w:rPr>
        <w:t>MEĐUNARODNA BANKA ZA OBNOVU I RAZVOJ</w:t>
      </w:r>
    </w:p>
    <w:p w14:paraId="0C487C71" w14:textId="77777777" w:rsidR="006211D9" w:rsidRPr="006211D9" w:rsidRDefault="006211D9" w:rsidP="006211D9"/>
    <w:p w14:paraId="53DAA53C" w14:textId="77777777" w:rsidR="006211D9" w:rsidRPr="006211D9" w:rsidRDefault="006211D9" w:rsidP="006211D9"/>
    <w:p w14:paraId="0601D2C1" w14:textId="77777777" w:rsidR="006211D9" w:rsidRPr="006211D9" w:rsidRDefault="006211D9" w:rsidP="006211D9">
      <w:r w:rsidRPr="006211D9">
        <w:tab/>
      </w:r>
      <w:r w:rsidRPr="006211D9">
        <w:tab/>
      </w:r>
    </w:p>
    <w:p w14:paraId="0EFEF56E" w14:textId="77777777" w:rsidR="006211D9" w:rsidRPr="006211D9" w:rsidRDefault="006211D9" w:rsidP="006211D9"/>
    <w:p w14:paraId="661A4318" w14:textId="77777777" w:rsidR="006211D9" w:rsidRPr="00826207" w:rsidRDefault="006211D9" w:rsidP="00826207">
      <w:pPr>
        <w:ind w:left="3540" w:firstLine="708"/>
        <w:rPr>
          <w:b/>
        </w:rPr>
      </w:pPr>
      <w:r w:rsidRPr="00826207">
        <w:rPr>
          <w:b/>
        </w:rPr>
        <w:t xml:space="preserve">Ime i prezime: </w:t>
      </w:r>
      <w:r w:rsidR="002F518C" w:rsidRPr="00826207">
        <w:rPr>
          <w:b/>
        </w:rPr>
        <w:t>Elisabetta Capannelli</w:t>
      </w:r>
    </w:p>
    <w:p w14:paraId="188CCA29" w14:textId="77777777" w:rsidR="006211D9" w:rsidRPr="00826207" w:rsidRDefault="006211D9" w:rsidP="006211D9">
      <w:pPr>
        <w:rPr>
          <w:b/>
        </w:rPr>
      </w:pPr>
    </w:p>
    <w:p w14:paraId="6C344396" w14:textId="77777777" w:rsidR="006211D9" w:rsidRPr="00826207" w:rsidRDefault="006211D9" w:rsidP="00826207">
      <w:pPr>
        <w:ind w:left="4248"/>
        <w:rPr>
          <w:b/>
        </w:rPr>
      </w:pPr>
      <w:r w:rsidRPr="00826207">
        <w:rPr>
          <w:b/>
        </w:rPr>
        <w:t xml:space="preserve">Funkcija: </w:t>
      </w:r>
      <w:r w:rsidR="002F518C" w:rsidRPr="00826207">
        <w:rPr>
          <w:b/>
        </w:rPr>
        <w:t>voditeljica ureda Svjetske banke za Hrvatsku i Sloveniju</w:t>
      </w:r>
    </w:p>
    <w:p w14:paraId="2C11B047" w14:textId="77777777" w:rsidR="006211D9" w:rsidRPr="00826207" w:rsidRDefault="006211D9" w:rsidP="006211D9">
      <w:pPr>
        <w:rPr>
          <w:b/>
        </w:rPr>
      </w:pPr>
    </w:p>
    <w:p w14:paraId="3DA46517" w14:textId="77777777" w:rsidR="00E80848" w:rsidRPr="00826207" w:rsidRDefault="006211D9" w:rsidP="00826207">
      <w:pPr>
        <w:ind w:left="3540" w:firstLine="708"/>
        <w:rPr>
          <w:b/>
        </w:rPr>
      </w:pPr>
      <w:r w:rsidRPr="00826207">
        <w:rPr>
          <w:b/>
        </w:rPr>
        <w:t xml:space="preserve">Datum: </w:t>
      </w:r>
      <w:r w:rsidR="002F518C" w:rsidRPr="00826207">
        <w:rPr>
          <w:b/>
        </w:rPr>
        <w:t xml:space="preserve">14. </w:t>
      </w:r>
      <w:r w:rsidR="00145B09" w:rsidRPr="00826207">
        <w:rPr>
          <w:b/>
        </w:rPr>
        <w:t>t</w:t>
      </w:r>
      <w:r w:rsidR="002F518C" w:rsidRPr="00826207">
        <w:rPr>
          <w:b/>
        </w:rPr>
        <w:t>ravnja</w:t>
      </w:r>
      <w:r w:rsidR="00145B09" w:rsidRPr="00826207">
        <w:rPr>
          <w:b/>
        </w:rPr>
        <w:t xml:space="preserve"> 2020. godine</w:t>
      </w:r>
    </w:p>
    <w:p w14:paraId="66C70044" w14:textId="77777777" w:rsidR="0097275D" w:rsidRDefault="0097275D" w:rsidP="00E80848">
      <w:pPr>
        <w:rPr>
          <w:sz w:val="22"/>
          <w:szCs w:val="22"/>
        </w:rPr>
      </w:pPr>
    </w:p>
    <w:p w14:paraId="7B621388" w14:textId="77777777" w:rsidR="006211D9" w:rsidRDefault="006211D9" w:rsidP="00E80848">
      <w:pPr>
        <w:rPr>
          <w:sz w:val="22"/>
          <w:szCs w:val="22"/>
        </w:rPr>
      </w:pPr>
    </w:p>
    <w:p w14:paraId="7C9438A5" w14:textId="77777777" w:rsidR="006211D9" w:rsidRDefault="006211D9" w:rsidP="00E80848">
      <w:pPr>
        <w:rPr>
          <w:sz w:val="22"/>
          <w:szCs w:val="22"/>
        </w:rPr>
      </w:pPr>
    </w:p>
    <w:p w14:paraId="5D4E160A" w14:textId="77777777" w:rsidR="000C4CDB" w:rsidRDefault="000C4CDB" w:rsidP="00E80848">
      <w:pPr>
        <w:rPr>
          <w:sz w:val="22"/>
          <w:szCs w:val="22"/>
        </w:rPr>
      </w:pPr>
    </w:p>
    <w:p w14:paraId="17B06077" w14:textId="77777777" w:rsidR="000C4CDB" w:rsidRDefault="000C4CDB" w:rsidP="00E80848">
      <w:pPr>
        <w:rPr>
          <w:sz w:val="22"/>
          <w:szCs w:val="22"/>
        </w:rPr>
      </w:pPr>
    </w:p>
    <w:p w14:paraId="64717F1C" w14:textId="77777777" w:rsidR="00ED20DF" w:rsidRDefault="00667B8E" w:rsidP="00E80848">
      <w:pPr>
        <w:rPr>
          <w:sz w:val="22"/>
          <w:szCs w:val="22"/>
        </w:rPr>
      </w:pPr>
      <w:r>
        <w:rPr>
          <w:sz w:val="22"/>
          <w:szCs w:val="22"/>
        </w:rPr>
        <w:br w:type="page"/>
      </w:r>
    </w:p>
    <w:p w14:paraId="712632C1" w14:textId="77777777" w:rsidR="00D90E4A" w:rsidRPr="008D3D01" w:rsidRDefault="00D90E4A" w:rsidP="002E1738">
      <w:pPr>
        <w:pStyle w:val="BodyText"/>
        <w:jc w:val="center"/>
        <w:rPr>
          <w:b/>
          <w:bCs/>
          <w:szCs w:val="24"/>
          <w:lang w:val="hr-HR"/>
        </w:rPr>
      </w:pPr>
      <w:r w:rsidRPr="008D3D01">
        <w:rPr>
          <w:b/>
          <w:bCs/>
          <w:szCs w:val="24"/>
          <w:lang w:val="hr-HR"/>
        </w:rPr>
        <w:t>PRILOG 1.</w:t>
      </w:r>
    </w:p>
    <w:p w14:paraId="6176114B" w14:textId="77777777" w:rsidR="00C700DC" w:rsidRPr="00C700DC" w:rsidRDefault="00D90E4A" w:rsidP="00C700DC">
      <w:pPr>
        <w:pStyle w:val="BodyText"/>
        <w:jc w:val="center"/>
        <w:rPr>
          <w:b/>
          <w:bCs/>
          <w:szCs w:val="24"/>
          <w:lang w:val="hr-HR"/>
        </w:rPr>
      </w:pPr>
      <w:r w:rsidRPr="008D3D01">
        <w:rPr>
          <w:b/>
          <w:bCs/>
          <w:szCs w:val="24"/>
          <w:lang w:val="hr-HR"/>
        </w:rPr>
        <w:t xml:space="preserve">Opis </w:t>
      </w:r>
      <w:r w:rsidR="00145B09">
        <w:rPr>
          <w:b/>
          <w:bCs/>
          <w:szCs w:val="24"/>
          <w:lang w:val="hr-HR"/>
        </w:rPr>
        <w:t>P</w:t>
      </w:r>
      <w:r w:rsidRPr="008D3D01">
        <w:rPr>
          <w:b/>
          <w:bCs/>
          <w:szCs w:val="24"/>
          <w:lang w:val="hr-HR"/>
        </w:rPr>
        <w:t>rojekta</w:t>
      </w:r>
    </w:p>
    <w:p w14:paraId="09825BC4" w14:textId="77777777" w:rsidR="00D90E4A" w:rsidRDefault="00D90E4A" w:rsidP="00C368FC">
      <w:pPr>
        <w:pStyle w:val="ListParagraph"/>
        <w:spacing w:line="240" w:lineRule="auto"/>
        <w:ind w:left="0" w:firstLine="567"/>
        <w:jc w:val="both"/>
        <w:rPr>
          <w:rFonts w:eastAsiaTheme="minorHAnsi"/>
          <w:sz w:val="24"/>
          <w:szCs w:val="24"/>
        </w:rPr>
      </w:pPr>
      <w:r w:rsidRPr="008D3D01">
        <w:rPr>
          <w:rFonts w:eastAsiaTheme="minorHAnsi"/>
          <w:sz w:val="24"/>
          <w:szCs w:val="24"/>
        </w:rPr>
        <w:t>Cilj Projekta je unaprijediti postupke vezane uz poslovne propise i standarde usluga koje sudovi pružaju poduzećima i građanima.</w:t>
      </w:r>
    </w:p>
    <w:p w14:paraId="690728CB" w14:textId="77777777" w:rsidR="000E51C9" w:rsidRPr="008D3D01" w:rsidRDefault="000E51C9" w:rsidP="00D90E4A">
      <w:pPr>
        <w:pStyle w:val="ListParagraph"/>
        <w:spacing w:line="240" w:lineRule="auto"/>
        <w:ind w:left="0"/>
        <w:jc w:val="both"/>
        <w:rPr>
          <w:rFonts w:eastAsiaTheme="minorHAnsi"/>
          <w:sz w:val="24"/>
          <w:szCs w:val="24"/>
        </w:rPr>
      </w:pPr>
    </w:p>
    <w:p w14:paraId="52B4F599" w14:textId="77777777" w:rsidR="00D90E4A" w:rsidRPr="008D3D01" w:rsidRDefault="00D90E4A" w:rsidP="00C368FC">
      <w:pPr>
        <w:pStyle w:val="BodyText"/>
        <w:ind w:firstLine="567"/>
        <w:rPr>
          <w:szCs w:val="24"/>
          <w:lang w:val="hr-HR"/>
        </w:rPr>
      </w:pPr>
      <w:r w:rsidRPr="008D3D01">
        <w:rPr>
          <w:szCs w:val="24"/>
          <w:lang w:val="hr-HR"/>
        </w:rPr>
        <w:t>Projekt se sastoji od sljedećih dijelova:</w:t>
      </w:r>
      <w:r w:rsidRPr="008D3D01">
        <w:rPr>
          <w:szCs w:val="24"/>
          <w:lang w:val="hr-HR"/>
        </w:rPr>
        <w:tab/>
      </w:r>
    </w:p>
    <w:p w14:paraId="033EC01C" w14:textId="77777777" w:rsidR="00D90E4A" w:rsidRPr="008D3D01" w:rsidRDefault="00D90E4A" w:rsidP="00D90E4A">
      <w:pPr>
        <w:keepNext/>
        <w:jc w:val="both"/>
        <w:rPr>
          <w:rFonts w:eastAsia="Calibri"/>
          <w:b/>
          <w:bCs/>
          <w:u w:val="single"/>
        </w:rPr>
      </w:pPr>
      <w:r w:rsidRPr="008D3D01">
        <w:rPr>
          <w:rFonts w:eastAsia="Calibri"/>
          <w:b/>
          <w:bCs/>
          <w:u w:val="single"/>
        </w:rPr>
        <w:t>Dio 1 – Smanjenje administrativnog opterećenja poduzeća u interakciji s državom</w:t>
      </w:r>
    </w:p>
    <w:p w14:paraId="195C9744" w14:textId="77777777" w:rsidR="00D90E4A" w:rsidRDefault="00D90E4A" w:rsidP="00D90E4A">
      <w:pPr>
        <w:pStyle w:val="ListParagraph"/>
        <w:keepNext/>
        <w:widowControl w:val="0"/>
        <w:autoSpaceDE w:val="0"/>
        <w:autoSpaceDN w:val="0"/>
        <w:adjustRightInd w:val="0"/>
        <w:spacing w:line="240" w:lineRule="auto"/>
        <w:ind w:left="0"/>
        <w:jc w:val="both"/>
        <w:rPr>
          <w:b/>
          <w:bCs/>
          <w:sz w:val="24"/>
          <w:szCs w:val="24"/>
          <w:u w:val="single"/>
        </w:rPr>
      </w:pPr>
    </w:p>
    <w:p w14:paraId="1023BBD0" w14:textId="77777777" w:rsidR="00D90E4A" w:rsidRDefault="000E51C9" w:rsidP="0026062A">
      <w:pPr>
        <w:pStyle w:val="ListParagraph"/>
        <w:keepNext/>
        <w:widowControl w:val="0"/>
        <w:numPr>
          <w:ilvl w:val="0"/>
          <w:numId w:val="10"/>
        </w:numPr>
        <w:autoSpaceDE w:val="0"/>
        <w:autoSpaceDN w:val="0"/>
        <w:adjustRightInd w:val="0"/>
        <w:spacing w:line="240" w:lineRule="auto"/>
        <w:jc w:val="both"/>
        <w:rPr>
          <w:bCs/>
          <w:iCs/>
          <w:sz w:val="24"/>
          <w:szCs w:val="24"/>
        </w:rPr>
      </w:pPr>
      <w:r w:rsidRPr="000E51C9">
        <w:rPr>
          <w:bCs/>
          <w:iCs/>
          <w:sz w:val="24"/>
          <w:szCs w:val="24"/>
        </w:rPr>
        <w:t>Osiguranje sredstava za plaćanje za Programe prihvatljivih rashoda (PPR-ove) kao potpore pojednostavnjenju i automatizaciji postupaka za pokretanje i rad poduzeća na državnom području Zajmoprimca provedbom sljedećih aktivnosti:</w:t>
      </w:r>
    </w:p>
    <w:p w14:paraId="45E8D635" w14:textId="77777777" w:rsidR="000E51C9" w:rsidRDefault="000E51C9" w:rsidP="000E51C9">
      <w:pPr>
        <w:pStyle w:val="ListParagraph"/>
        <w:keepNext/>
        <w:widowControl w:val="0"/>
        <w:autoSpaceDE w:val="0"/>
        <w:autoSpaceDN w:val="0"/>
        <w:adjustRightInd w:val="0"/>
        <w:spacing w:line="240" w:lineRule="auto"/>
        <w:jc w:val="both"/>
        <w:rPr>
          <w:bCs/>
          <w:iCs/>
          <w:sz w:val="24"/>
          <w:szCs w:val="24"/>
        </w:rPr>
      </w:pPr>
    </w:p>
    <w:p w14:paraId="106E7936" w14:textId="77777777" w:rsidR="000E51C9" w:rsidRDefault="00145B09" w:rsidP="00290EAE">
      <w:pPr>
        <w:pStyle w:val="ListParagraph"/>
        <w:keepNext/>
        <w:widowControl w:val="0"/>
        <w:numPr>
          <w:ilvl w:val="1"/>
          <w:numId w:val="11"/>
        </w:numPr>
        <w:autoSpaceDE w:val="0"/>
        <w:autoSpaceDN w:val="0"/>
        <w:adjustRightInd w:val="0"/>
        <w:spacing w:line="240" w:lineRule="auto"/>
        <w:jc w:val="both"/>
        <w:rPr>
          <w:bCs/>
          <w:iCs/>
          <w:sz w:val="24"/>
          <w:szCs w:val="24"/>
        </w:rPr>
      </w:pPr>
      <w:r>
        <w:rPr>
          <w:bCs/>
          <w:iCs/>
          <w:sz w:val="24"/>
          <w:szCs w:val="24"/>
        </w:rPr>
        <w:t>U</w:t>
      </w:r>
      <w:r w:rsidR="000E51C9" w:rsidRPr="000E51C9">
        <w:rPr>
          <w:bCs/>
          <w:iCs/>
          <w:sz w:val="24"/>
          <w:szCs w:val="24"/>
        </w:rPr>
        <w:t>vođenje i proširenje jedinstvene digitalne platforme (eng. single digital window) kako bi se na jednom mjestu omogućili online registracija društava s ograničenom odgovornošću (d.o.o.) osnovanih na državnom području Zajmoprimca i upis ključnih promjena u tim društvima.</w:t>
      </w:r>
    </w:p>
    <w:p w14:paraId="792CCACE" w14:textId="77777777" w:rsidR="000E51C9" w:rsidRDefault="000E51C9" w:rsidP="000E51C9">
      <w:pPr>
        <w:pStyle w:val="ListParagraph"/>
        <w:keepNext/>
        <w:widowControl w:val="0"/>
        <w:autoSpaceDE w:val="0"/>
        <w:autoSpaceDN w:val="0"/>
        <w:adjustRightInd w:val="0"/>
        <w:spacing w:line="240" w:lineRule="auto"/>
        <w:jc w:val="both"/>
        <w:rPr>
          <w:bCs/>
          <w:iCs/>
          <w:sz w:val="24"/>
          <w:szCs w:val="24"/>
        </w:rPr>
      </w:pPr>
    </w:p>
    <w:p w14:paraId="466D37E6" w14:textId="77777777" w:rsidR="000E51C9" w:rsidRDefault="000E51C9" w:rsidP="00290EAE">
      <w:pPr>
        <w:pStyle w:val="ListParagraph"/>
        <w:keepNext/>
        <w:widowControl w:val="0"/>
        <w:numPr>
          <w:ilvl w:val="1"/>
          <w:numId w:val="11"/>
        </w:numPr>
        <w:autoSpaceDE w:val="0"/>
        <w:autoSpaceDN w:val="0"/>
        <w:adjustRightInd w:val="0"/>
        <w:spacing w:line="240" w:lineRule="auto"/>
        <w:jc w:val="both"/>
        <w:rPr>
          <w:bCs/>
          <w:iCs/>
          <w:sz w:val="24"/>
          <w:szCs w:val="24"/>
        </w:rPr>
      </w:pPr>
      <w:r w:rsidRPr="000E51C9">
        <w:rPr>
          <w:bCs/>
          <w:iCs/>
          <w:sz w:val="24"/>
          <w:szCs w:val="24"/>
        </w:rPr>
        <w:t>Online objavljivanje i objedinjavanje zahtjeva za ishođenje dozvola za pokretanje poslovne djelatnosti na državnom području Zajmoprimca i digitalizacija odabranih postupaka ishođenja dozvola.</w:t>
      </w:r>
    </w:p>
    <w:p w14:paraId="67063E28" w14:textId="77777777" w:rsidR="000E51C9" w:rsidRDefault="000E51C9" w:rsidP="000E51C9">
      <w:pPr>
        <w:pStyle w:val="ListParagraph"/>
        <w:keepNext/>
        <w:widowControl w:val="0"/>
        <w:autoSpaceDE w:val="0"/>
        <w:autoSpaceDN w:val="0"/>
        <w:adjustRightInd w:val="0"/>
        <w:spacing w:line="240" w:lineRule="auto"/>
        <w:ind w:left="0"/>
        <w:jc w:val="both"/>
        <w:rPr>
          <w:bCs/>
          <w:iCs/>
          <w:sz w:val="24"/>
          <w:szCs w:val="24"/>
        </w:rPr>
      </w:pPr>
    </w:p>
    <w:p w14:paraId="758B68EF" w14:textId="77777777" w:rsidR="000E51C9" w:rsidRDefault="000E51C9" w:rsidP="0026062A">
      <w:pPr>
        <w:pStyle w:val="ListParagraph"/>
        <w:keepNext/>
        <w:widowControl w:val="0"/>
        <w:numPr>
          <w:ilvl w:val="0"/>
          <w:numId w:val="10"/>
        </w:numPr>
        <w:autoSpaceDE w:val="0"/>
        <w:autoSpaceDN w:val="0"/>
        <w:adjustRightInd w:val="0"/>
        <w:spacing w:line="240" w:lineRule="auto"/>
        <w:jc w:val="both"/>
        <w:rPr>
          <w:bCs/>
          <w:iCs/>
          <w:sz w:val="24"/>
          <w:szCs w:val="24"/>
        </w:rPr>
      </w:pPr>
      <w:r w:rsidRPr="000E51C9">
        <w:rPr>
          <w:bCs/>
          <w:iCs/>
          <w:sz w:val="24"/>
          <w:szCs w:val="24"/>
        </w:rPr>
        <w:t>Osiguranje sredstava za plaćanje za PPR-ove kao potpore pojednostavnjenju ishođenja dozvola za gradnju i povećanje dostupnosti građevinskih usluga, putem:</w:t>
      </w:r>
    </w:p>
    <w:p w14:paraId="004581F4" w14:textId="77777777" w:rsidR="00ED20DF" w:rsidRDefault="00ED20DF" w:rsidP="00ED20DF">
      <w:pPr>
        <w:pStyle w:val="ListParagraph"/>
        <w:keepNext/>
        <w:widowControl w:val="0"/>
        <w:autoSpaceDE w:val="0"/>
        <w:autoSpaceDN w:val="0"/>
        <w:adjustRightInd w:val="0"/>
        <w:spacing w:line="240" w:lineRule="auto"/>
        <w:jc w:val="both"/>
        <w:rPr>
          <w:bCs/>
          <w:iCs/>
          <w:sz w:val="24"/>
          <w:szCs w:val="24"/>
        </w:rPr>
      </w:pPr>
    </w:p>
    <w:p w14:paraId="05971B20" w14:textId="77777777" w:rsidR="00ED20DF" w:rsidRDefault="00ED20DF" w:rsidP="002E1738">
      <w:pPr>
        <w:pStyle w:val="ListParagraph"/>
        <w:keepNext/>
        <w:widowControl w:val="0"/>
        <w:numPr>
          <w:ilvl w:val="1"/>
          <w:numId w:val="12"/>
        </w:numPr>
        <w:autoSpaceDE w:val="0"/>
        <w:autoSpaceDN w:val="0"/>
        <w:adjustRightInd w:val="0"/>
        <w:spacing w:line="240" w:lineRule="auto"/>
        <w:jc w:val="both"/>
        <w:rPr>
          <w:bCs/>
          <w:iCs/>
          <w:sz w:val="24"/>
          <w:szCs w:val="24"/>
        </w:rPr>
      </w:pPr>
      <w:r w:rsidRPr="00ED20DF">
        <w:rPr>
          <w:bCs/>
          <w:iCs/>
          <w:sz w:val="24"/>
          <w:szCs w:val="24"/>
        </w:rPr>
        <w:t>Proširenja korištenja e-Dozvole.</w:t>
      </w:r>
    </w:p>
    <w:p w14:paraId="10F857EC" w14:textId="77777777" w:rsidR="00ED20DF" w:rsidRDefault="00ED20DF" w:rsidP="00ED20DF">
      <w:pPr>
        <w:pStyle w:val="ListParagraph"/>
        <w:keepNext/>
        <w:widowControl w:val="0"/>
        <w:autoSpaceDE w:val="0"/>
        <w:autoSpaceDN w:val="0"/>
        <w:adjustRightInd w:val="0"/>
        <w:spacing w:line="240" w:lineRule="auto"/>
        <w:ind w:left="1440"/>
        <w:jc w:val="both"/>
        <w:rPr>
          <w:bCs/>
          <w:iCs/>
          <w:sz w:val="24"/>
          <w:szCs w:val="24"/>
        </w:rPr>
      </w:pPr>
    </w:p>
    <w:p w14:paraId="2251AA8D" w14:textId="77777777" w:rsidR="000E51C9" w:rsidRPr="004F6178" w:rsidRDefault="00ED20DF" w:rsidP="004F6178">
      <w:pPr>
        <w:pStyle w:val="ListParagraph"/>
        <w:keepNext/>
        <w:widowControl w:val="0"/>
        <w:numPr>
          <w:ilvl w:val="1"/>
          <w:numId w:val="12"/>
        </w:numPr>
        <w:autoSpaceDE w:val="0"/>
        <w:autoSpaceDN w:val="0"/>
        <w:adjustRightInd w:val="0"/>
        <w:spacing w:line="240" w:lineRule="auto"/>
        <w:jc w:val="both"/>
        <w:rPr>
          <w:bCs/>
          <w:iCs/>
          <w:sz w:val="24"/>
          <w:szCs w:val="24"/>
        </w:rPr>
      </w:pPr>
      <w:r w:rsidRPr="00ED20DF">
        <w:rPr>
          <w:bCs/>
          <w:iCs/>
          <w:sz w:val="24"/>
          <w:szCs w:val="24"/>
        </w:rPr>
        <w:t>Pojednostavljenja uvjeta za pružanje profesionalnih usluga u građevinskom sektoru.</w:t>
      </w:r>
    </w:p>
    <w:p w14:paraId="32089E28" w14:textId="77777777" w:rsidR="000E51C9" w:rsidRPr="000E51C9" w:rsidRDefault="000E51C9" w:rsidP="000E51C9">
      <w:pPr>
        <w:pStyle w:val="ListParagraph"/>
        <w:keepNext/>
        <w:widowControl w:val="0"/>
        <w:autoSpaceDE w:val="0"/>
        <w:autoSpaceDN w:val="0"/>
        <w:adjustRightInd w:val="0"/>
        <w:spacing w:line="240" w:lineRule="auto"/>
        <w:ind w:left="0"/>
        <w:jc w:val="both"/>
        <w:rPr>
          <w:bCs/>
          <w:iCs/>
          <w:sz w:val="24"/>
          <w:szCs w:val="24"/>
        </w:rPr>
      </w:pPr>
    </w:p>
    <w:p w14:paraId="0FA825D6" w14:textId="77777777" w:rsidR="00D90E4A" w:rsidRPr="008D3D01" w:rsidRDefault="00D90E4A" w:rsidP="00D90E4A">
      <w:pPr>
        <w:spacing w:line="256" w:lineRule="auto"/>
        <w:contextualSpacing/>
        <w:jc w:val="both"/>
        <w:rPr>
          <w:rFonts w:eastAsia="Calibri"/>
          <w:b/>
          <w:bCs/>
          <w:u w:val="single"/>
        </w:rPr>
      </w:pPr>
      <w:r w:rsidRPr="008D3D01">
        <w:rPr>
          <w:rFonts w:eastAsia="Calibri"/>
          <w:b/>
          <w:bCs/>
          <w:u w:val="single"/>
        </w:rPr>
        <w:t>Dio 2  – Poboljšanje sudskih usluga za poduzeća i građane</w:t>
      </w:r>
    </w:p>
    <w:p w14:paraId="40C02E8A" w14:textId="77777777" w:rsidR="00D90E4A" w:rsidRPr="008D3D01" w:rsidRDefault="00D90E4A" w:rsidP="00D90E4A">
      <w:pPr>
        <w:pStyle w:val="ListParagraph"/>
        <w:spacing w:line="257" w:lineRule="auto"/>
        <w:ind w:left="0"/>
        <w:jc w:val="both"/>
        <w:rPr>
          <w:sz w:val="24"/>
          <w:szCs w:val="24"/>
        </w:rPr>
      </w:pPr>
    </w:p>
    <w:p w14:paraId="27C63146" w14:textId="77777777" w:rsidR="00393293" w:rsidRPr="00393293" w:rsidRDefault="00393293" w:rsidP="0026062A">
      <w:pPr>
        <w:pStyle w:val="ListParagraph"/>
        <w:numPr>
          <w:ilvl w:val="0"/>
          <w:numId w:val="13"/>
        </w:numPr>
        <w:spacing w:line="257" w:lineRule="auto"/>
        <w:jc w:val="both"/>
        <w:rPr>
          <w:sz w:val="24"/>
          <w:szCs w:val="24"/>
        </w:rPr>
      </w:pPr>
      <w:r w:rsidRPr="00393293">
        <w:rPr>
          <w:sz w:val="24"/>
          <w:szCs w:val="24"/>
        </w:rPr>
        <w:t xml:space="preserve">Osiguranje sredstava za plaćanje za PPR-ove kao potpore proširenju korištenja elektroničkih usluga u pravosudnom sektoru od strane korisnika u pravosudnom sektoru i zainteresiranih dionika, uključujući sustave e-komunikacije i korištenje integriranog sustava za upravljanje sudskim predmetima (eSpis). </w:t>
      </w:r>
    </w:p>
    <w:p w14:paraId="795D1102" w14:textId="77777777" w:rsidR="00393293" w:rsidRPr="00393293" w:rsidRDefault="00393293" w:rsidP="00393293">
      <w:pPr>
        <w:spacing w:line="257" w:lineRule="auto"/>
        <w:contextualSpacing/>
        <w:jc w:val="both"/>
        <w:rPr>
          <w:rFonts w:eastAsia="Calibri"/>
        </w:rPr>
      </w:pPr>
    </w:p>
    <w:p w14:paraId="02627DFB" w14:textId="77777777" w:rsidR="00393293" w:rsidRPr="00393293" w:rsidRDefault="00393293" w:rsidP="0026062A">
      <w:pPr>
        <w:pStyle w:val="ListParagraph"/>
        <w:numPr>
          <w:ilvl w:val="0"/>
          <w:numId w:val="13"/>
        </w:numPr>
        <w:spacing w:line="257" w:lineRule="auto"/>
        <w:jc w:val="both"/>
        <w:rPr>
          <w:sz w:val="24"/>
          <w:szCs w:val="24"/>
        </w:rPr>
      </w:pPr>
      <w:r w:rsidRPr="00393293">
        <w:rPr>
          <w:sz w:val="24"/>
          <w:szCs w:val="24"/>
        </w:rPr>
        <w:t>Osiguranje sredstava za plaćanje za PPR-ove kao potpore smanjenju: (a) zaostataka neriješenih sudskih predmeta starijih od 10 godina; i (b) Vremena rješavanja predmeta do donošenja sudskih odluka na trgovačkim sudovima, sve usvajanjem postupovnih regulatornih reformi, unaprjeđenjem upravljanja predmetima i olakšavanjem pristupa upravljačkim alatima.</w:t>
      </w:r>
    </w:p>
    <w:p w14:paraId="1787AA3A" w14:textId="77777777" w:rsidR="00393293" w:rsidRPr="00393293" w:rsidRDefault="00393293" w:rsidP="00393293">
      <w:pPr>
        <w:spacing w:line="257" w:lineRule="auto"/>
        <w:contextualSpacing/>
        <w:jc w:val="both"/>
        <w:rPr>
          <w:rFonts w:eastAsia="Calibri"/>
        </w:rPr>
      </w:pPr>
    </w:p>
    <w:p w14:paraId="4A9A34B6" w14:textId="77777777" w:rsidR="00393293" w:rsidRPr="00393293" w:rsidRDefault="00393293" w:rsidP="0026062A">
      <w:pPr>
        <w:pStyle w:val="ListParagraph"/>
        <w:numPr>
          <w:ilvl w:val="0"/>
          <w:numId w:val="13"/>
        </w:numPr>
        <w:spacing w:line="257" w:lineRule="auto"/>
        <w:jc w:val="both"/>
        <w:rPr>
          <w:sz w:val="24"/>
          <w:szCs w:val="24"/>
        </w:rPr>
      </w:pPr>
      <w:r w:rsidRPr="00393293">
        <w:rPr>
          <w:sz w:val="24"/>
          <w:szCs w:val="24"/>
        </w:rPr>
        <w:t xml:space="preserve">Osiguranje tehničke pomoći, Osposobljavanja, robe i radova za obnovu i nadogradnju odabranih zgrada sudova u Zagrebu, Vinkovcima, Kutini i Varaždinu radi unaprjeđenja učinkovitosti sudova i korisničkog iskustva, uključujući, kako je primjenjivo, aspekte koji se odnose na: (a) standardizirane prostore za suce i sudove; (b) pristup korisnika i javne prostore uključujući prostore za odvojeno kretanje, gdje je izvedivo, i čekaonice za žrtve i osoblje suda; (c) uključiv dizajn usmjeren na rodne aspekte i osobe s invaliditetom; (d) dizajn i značajke koji nisu štetni za okoliš, uključujući usvajanje standarda o energetskoj učinkovitosti i sustava za gospodarenje otpadom i njegovo recikliranje; (e) opsežno korištenje sustava IT podrške za automatizirano upravljanje zgradama i uslugama sudova i (f) sigurnosne standarde i postupke za unutarnje i vanjske površine te, prema potrebi, korištenje sigurnosne opreme. </w:t>
      </w:r>
    </w:p>
    <w:p w14:paraId="18E4F918" w14:textId="77777777" w:rsidR="00393293" w:rsidRPr="00393293" w:rsidRDefault="00393293" w:rsidP="00393293">
      <w:pPr>
        <w:spacing w:line="257" w:lineRule="auto"/>
        <w:contextualSpacing/>
        <w:jc w:val="both"/>
        <w:rPr>
          <w:rFonts w:eastAsia="Calibri"/>
        </w:rPr>
      </w:pPr>
    </w:p>
    <w:p w14:paraId="2334D26E" w14:textId="77777777" w:rsidR="00D90E4A" w:rsidRPr="00393293" w:rsidRDefault="00393293" w:rsidP="0026062A">
      <w:pPr>
        <w:pStyle w:val="ListParagraph"/>
        <w:numPr>
          <w:ilvl w:val="0"/>
          <w:numId w:val="13"/>
        </w:numPr>
        <w:spacing w:line="257" w:lineRule="auto"/>
        <w:jc w:val="both"/>
      </w:pPr>
      <w:r w:rsidRPr="00393293">
        <w:rPr>
          <w:sz w:val="24"/>
          <w:szCs w:val="24"/>
        </w:rPr>
        <w:t>Osiguranje tehničke pomoći za jačanje praksi upravljanja javnim ulaganjima u pravosuđu radi optimizacije infrastrukturnih rashoda</w:t>
      </w:r>
      <w:r w:rsidR="00D90E4A" w:rsidRPr="00393293">
        <w:rPr>
          <w:sz w:val="24"/>
          <w:szCs w:val="24"/>
        </w:rPr>
        <w:t xml:space="preserve">. </w:t>
      </w:r>
    </w:p>
    <w:p w14:paraId="3C798F17" w14:textId="77777777" w:rsidR="00D90E4A" w:rsidRPr="008D3D01" w:rsidRDefault="00D90E4A" w:rsidP="00D90E4A">
      <w:pPr>
        <w:spacing w:line="257" w:lineRule="auto"/>
        <w:contextualSpacing/>
        <w:jc w:val="both"/>
        <w:rPr>
          <w:rFonts w:eastAsia="Calibri"/>
        </w:rPr>
      </w:pPr>
    </w:p>
    <w:p w14:paraId="1E7349FD" w14:textId="77777777" w:rsidR="00D90E4A" w:rsidRPr="008D3D01" w:rsidRDefault="00C368FC" w:rsidP="00D90E4A">
      <w:pPr>
        <w:spacing w:line="257" w:lineRule="auto"/>
        <w:contextualSpacing/>
        <w:jc w:val="both"/>
        <w:rPr>
          <w:rFonts w:eastAsia="Calibri"/>
          <w:b/>
          <w:u w:val="single"/>
        </w:rPr>
      </w:pPr>
      <w:r>
        <w:rPr>
          <w:rFonts w:eastAsia="Calibri"/>
          <w:b/>
          <w:u w:val="single"/>
        </w:rPr>
        <w:t>Dio 3</w:t>
      </w:r>
      <w:r w:rsidR="00D90E4A" w:rsidRPr="008D3D01">
        <w:rPr>
          <w:rFonts w:eastAsia="Calibri"/>
          <w:b/>
          <w:u w:val="single"/>
        </w:rPr>
        <w:t>: Upravljanje projektom</w:t>
      </w:r>
    </w:p>
    <w:p w14:paraId="47EA2036" w14:textId="77777777" w:rsidR="00D90E4A" w:rsidRPr="008D3D01" w:rsidRDefault="00D90E4A" w:rsidP="00D90E4A">
      <w:pPr>
        <w:spacing w:line="257" w:lineRule="auto"/>
        <w:contextualSpacing/>
        <w:jc w:val="both"/>
        <w:rPr>
          <w:rFonts w:eastAsia="Calibri"/>
          <w:b/>
          <w:u w:val="single"/>
        </w:rPr>
      </w:pPr>
    </w:p>
    <w:p w14:paraId="7BE2A562" w14:textId="77777777" w:rsidR="00257BD3" w:rsidRPr="00257BD3" w:rsidRDefault="00257BD3" w:rsidP="00982CAA">
      <w:pPr>
        <w:pStyle w:val="NoSpacing"/>
        <w:numPr>
          <w:ilvl w:val="0"/>
          <w:numId w:val="14"/>
        </w:numPr>
        <w:jc w:val="both"/>
        <w:rPr>
          <w:rFonts w:eastAsia="Calibri"/>
        </w:rPr>
      </w:pPr>
      <w:r w:rsidRPr="00257BD3">
        <w:rPr>
          <w:rFonts w:eastAsia="Calibri"/>
        </w:rPr>
        <w:t>Osiguranje robe, tehničke pomoći, Osposobljavanja i Operativnih troškova kao potpore JPP-u u cjelokupnoj svakodnevnoj provedbi Projekta, uključujući nabavu, financijsko upravljanje, praćenje i evaluaciju, provedbu revizija, zaštitnih mjera te istraživanja o uključenosti.</w:t>
      </w:r>
    </w:p>
    <w:p w14:paraId="40EFA4C6" w14:textId="77777777" w:rsidR="00257BD3" w:rsidRPr="00257BD3" w:rsidRDefault="00257BD3" w:rsidP="00982CAA">
      <w:pPr>
        <w:pStyle w:val="NoSpacing"/>
        <w:jc w:val="both"/>
        <w:rPr>
          <w:rFonts w:eastAsia="Calibri"/>
        </w:rPr>
      </w:pPr>
    </w:p>
    <w:p w14:paraId="449129A7" w14:textId="77777777" w:rsidR="00D90E4A" w:rsidRPr="00257BD3" w:rsidRDefault="00257BD3" w:rsidP="00982CAA">
      <w:pPr>
        <w:pStyle w:val="NoSpacing"/>
        <w:numPr>
          <w:ilvl w:val="0"/>
          <w:numId w:val="14"/>
        </w:numPr>
        <w:jc w:val="both"/>
        <w:rPr>
          <w:rFonts w:eastAsia="Calibri"/>
          <w:sz w:val="22"/>
          <w:szCs w:val="22"/>
        </w:rPr>
      </w:pPr>
      <w:r w:rsidRPr="00257BD3">
        <w:rPr>
          <w:rFonts w:eastAsia="Calibri"/>
        </w:rPr>
        <w:t>Osiguranje dodatne tehničke pomoći za pružanje savjetodavnih usluga za provedbu Projekta u područjima koja se odnose na sljedeće: (a) smanjenje administrativnog opterećenja poduzeća u interakciji s državom; i (b) poboljšanje sudskih usluga za poduzeća i građane, kako je dodatno razrađeno u Priručniku za upravljanje projektom</w:t>
      </w:r>
      <w:r w:rsidRPr="00257BD3">
        <w:rPr>
          <w:rFonts w:eastAsia="Calibri"/>
          <w:sz w:val="22"/>
          <w:szCs w:val="22"/>
        </w:rPr>
        <w:t>.</w:t>
      </w:r>
    </w:p>
    <w:p w14:paraId="0FF7D0D3" w14:textId="77777777" w:rsidR="00C0085D" w:rsidRDefault="00C0085D" w:rsidP="00982CAA">
      <w:pPr>
        <w:jc w:val="both"/>
      </w:pPr>
    </w:p>
    <w:p w14:paraId="3112EA5F" w14:textId="77777777" w:rsidR="00C700DC" w:rsidRDefault="00C700DC" w:rsidP="006211D9"/>
    <w:p w14:paraId="3DB60F6F" w14:textId="77777777" w:rsidR="00C700DC" w:rsidRDefault="00C700DC" w:rsidP="006211D9"/>
    <w:p w14:paraId="0C7AF5C3" w14:textId="77777777" w:rsidR="00257BD3" w:rsidRDefault="00257BD3" w:rsidP="006211D9"/>
    <w:p w14:paraId="6432E48C" w14:textId="77777777" w:rsidR="00257BD3" w:rsidRDefault="00257BD3" w:rsidP="006211D9"/>
    <w:p w14:paraId="0F76BD3B" w14:textId="77777777" w:rsidR="00257BD3" w:rsidRDefault="00257BD3" w:rsidP="006211D9"/>
    <w:p w14:paraId="59464943" w14:textId="77777777" w:rsidR="00257BD3" w:rsidRDefault="00257BD3" w:rsidP="006211D9"/>
    <w:p w14:paraId="78757E75" w14:textId="77777777" w:rsidR="00C700DC" w:rsidRDefault="00C700DC" w:rsidP="006211D9"/>
    <w:p w14:paraId="4E8136A7" w14:textId="77777777" w:rsidR="00C700DC" w:rsidRDefault="00C700DC" w:rsidP="006211D9"/>
    <w:p w14:paraId="4E1A9117" w14:textId="77777777" w:rsidR="00C700DC" w:rsidRDefault="00C700DC" w:rsidP="006211D9"/>
    <w:p w14:paraId="6C3CF2D3" w14:textId="77777777" w:rsidR="00C700DC" w:rsidRDefault="00C700DC" w:rsidP="006211D9"/>
    <w:p w14:paraId="793C6FD3" w14:textId="77777777" w:rsidR="00C700DC" w:rsidRDefault="00C700DC" w:rsidP="006211D9"/>
    <w:p w14:paraId="1E9AF681" w14:textId="77777777" w:rsidR="00D90E4A" w:rsidRDefault="00D90E4A" w:rsidP="006211D9"/>
    <w:p w14:paraId="39EF684A" w14:textId="77777777" w:rsidR="00D90E4A" w:rsidRDefault="008D1EF7" w:rsidP="006211D9">
      <w:r>
        <w:br w:type="page"/>
      </w:r>
    </w:p>
    <w:p w14:paraId="3080A5EB" w14:textId="77777777" w:rsidR="008D3D01" w:rsidRPr="004A33BB" w:rsidRDefault="008D1EF7" w:rsidP="002B7E52">
      <w:pPr>
        <w:pStyle w:val="Title"/>
        <w:rPr>
          <w:lang w:val="hr-HR"/>
        </w:rPr>
      </w:pPr>
      <w:r w:rsidRPr="004A33BB">
        <w:rPr>
          <w:lang w:val="hr-HR"/>
        </w:rPr>
        <w:t>PRILOG 2.</w:t>
      </w:r>
    </w:p>
    <w:p w14:paraId="5269E357" w14:textId="77777777" w:rsidR="008D3D01" w:rsidRPr="0077416D" w:rsidRDefault="0077416D" w:rsidP="0077416D">
      <w:pPr>
        <w:pStyle w:val="BodyText"/>
        <w:jc w:val="center"/>
        <w:rPr>
          <w:b/>
          <w:bCs/>
          <w:szCs w:val="24"/>
          <w:lang w:val="hr-HR"/>
        </w:rPr>
      </w:pPr>
      <w:r>
        <w:rPr>
          <w:b/>
          <w:bCs/>
          <w:szCs w:val="24"/>
          <w:lang w:val="hr-HR"/>
        </w:rPr>
        <w:t>Izvršenje Projekta</w:t>
      </w:r>
    </w:p>
    <w:p w14:paraId="43435892" w14:textId="77777777" w:rsidR="008D3D01" w:rsidRPr="0077416D" w:rsidRDefault="008D3D01" w:rsidP="008D3D01">
      <w:pPr>
        <w:pStyle w:val="BodyText"/>
        <w:rPr>
          <w:b/>
          <w:bCs/>
          <w:szCs w:val="24"/>
          <w:lang w:val="hr-HR"/>
        </w:rPr>
      </w:pPr>
      <w:r w:rsidRPr="008D3D01">
        <w:rPr>
          <w:b/>
          <w:bCs/>
          <w:szCs w:val="24"/>
          <w:lang w:val="hr-HR"/>
        </w:rPr>
        <w:t>Odjeljak I.</w:t>
      </w:r>
      <w:r w:rsidRPr="008D3D01">
        <w:rPr>
          <w:b/>
          <w:bCs/>
          <w:szCs w:val="24"/>
          <w:lang w:val="hr-HR"/>
        </w:rPr>
        <w:tab/>
      </w:r>
      <w:r w:rsidRPr="008D3D01">
        <w:rPr>
          <w:b/>
          <w:bCs/>
          <w:szCs w:val="24"/>
          <w:u w:val="single"/>
          <w:lang w:val="hr-HR"/>
        </w:rPr>
        <w:t>Provedbeni aranžmani</w:t>
      </w:r>
    </w:p>
    <w:p w14:paraId="09A9BC53" w14:textId="77777777" w:rsidR="008D3D01" w:rsidRDefault="008D3D01" w:rsidP="00292AEA">
      <w:pPr>
        <w:pStyle w:val="ModelNrmlDouble"/>
        <w:numPr>
          <w:ilvl w:val="0"/>
          <w:numId w:val="7"/>
        </w:numPr>
        <w:spacing w:after="0" w:line="240" w:lineRule="auto"/>
        <w:ind w:left="556" w:hanging="567"/>
        <w:rPr>
          <w:bCs/>
          <w:sz w:val="24"/>
          <w:szCs w:val="24"/>
          <w:lang w:val="hr-HR"/>
        </w:rPr>
      </w:pPr>
      <w:r w:rsidRPr="008D3D01">
        <w:rPr>
          <w:b/>
          <w:bCs/>
          <w:sz w:val="24"/>
          <w:szCs w:val="24"/>
          <w:lang w:val="hr-HR"/>
        </w:rPr>
        <w:t>Institucionalni aranžmani</w:t>
      </w:r>
      <w:r w:rsidRPr="008D3D01">
        <w:rPr>
          <w:bCs/>
          <w:sz w:val="24"/>
          <w:szCs w:val="24"/>
          <w:lang w:val="hr-HR"/>
        </w:rPr>
        <w:t xml:space="preserve"> </w:t>
      </w:r>
      <w:bookmarkStart w:id="2" w:name="_Hlk530397756"/>
    </w:p>
    <w:p w14:paraId="4FAA631D" w14:textId="77777777" w:rsidR="0077416D" w:rsidRPr="008D3D01" w:rsidRDefault="0077416D" w:rsidP="0077416D">
      <w:pPr>
        <w:pStyle w:val="ModelNrmlDouble"/>
        <w:spacing w:after="0" w:line="240" w:lineRule="auto"/>
        <w:ind w:left="709" w:firstLine="0"/>
        <w:rPr>
          <w:bCs/>
          <w:sz w:val="24"/>
          <w:szCs w:val="24"/>
          <w:lang w:val="hr-HR"/>
        </w:rPr>
      </w:pPr>
    </w:p>
    <w:p w14:paraId="56A93AC2" w14:textId="77777777" w:rsidR="008D3D01" w:rsidRDefault="000841F0" w:rsidP="00C22959">
      <w:pPr>
        <w:pStyle w:val="NoSpacing"/>
        <w:numPr>
          <w:ilvl w:val="0"/>
          <w:numId w:val="46"/>
        </w:numPr>
        <w:jc w:val="both"/>
      </w:pPr>
      <w:r>
        <w:t xml:space="preserve">Ne ograničavajući </w:t>
      </w:r>
      <w:r w:rsidR="0077416D" w:rsidRPr="0077416D">
        <w:t>primjenu odredbi članka V. Općih uvjeta, i osim uz suglasnost Banke, Zajmoprimac je obvezan:</w:t>
      </w:r>
    </w:p>
    <w:p w14:paraId="353FFB8B" w14:textId="77777777" w:rsidR="00FF416B" w:rsidRDefault="00FF416B" w:rsidP="00982CAA">
      <w:pPr>
        <w:pStyle w:val="NoSpacing"/>
        <w:ind w:left="720"/>
        <w:jc w:val="both"/>
      </w:pPr>
    </w:p>
    <w:p w14:paraId="72A1DFE1" w14:textId="77777777" w:rsidR="0077416D" w:rsidRDefault="0077416D" w:rsidP="0052686F">
      <w:pPr>
        <w:pStyle w:val="NoSpacing"/>
        <w:numPr>
          <w:ilvl w:val="1"/>
          <w:numId w:val="16"/>
        </w:numPr>
        <w:jc w:val="both"/>
      </w:pPr>
      <w:r w:rsidRPr="0077416D">
        <w:t>tijekom čitave provedbe Projekta održavati JPP pri MP-u, čiji su sastav, resursi, opisi poslova i funkcije Banci prihvatljivi. JPP je odgovoran za svakodnevnu provedbu Projekta uključujući isplate, nabavu, praćenje i evaluaciju, izvješćivanje, provođenje istraživanja o uključenosti i osiguravanje sukladnosti sa zaštitnim mjerama na temelju Projekta kako je dodatno razrađeno u Priručniku za upravljanje projektom;</w:t>
      </w:r>
      <w:r w:rsidR="00145B09">
        <w:t xml:space="preserve"> i</w:t>
      </w:r>
    </w:p>
    <w:p w14:paraId="4716B984" w14:textId="77777777" w:rsidR="00FF416B" w:rsidRDefault="00FF416B" w:rsidP="00982CAA">
      <w:pPr>
        <w:pStyle w:val="NoSpacing"/>
        <w:ind w:left="1440"/>
        <w:jc w:val="both"/>
      </w:pPr>
    </w:p>
    <w:p w14:paraId="4DD7E3AE" w14:textId="77777777" w:rsidR="0077416D" w:rsidRDefault="0077416D" w:rsidP="0052686F">
      <w:pPr>
        <w:pStyle w:val="NoSpacing"/>
        <w:numPr>
          <w:ilvl w:val="1"/>
          <w:numId w:val="16"/>
        </w:numPr>
        <w:jc w:val="both"/>
      </w:pPr>
      <w:r w:rsidRPr="0077416D">
        <w:t>najkasnije tri mjeseca od Datuma stupanja na snagu osnovati i nakon toga, tijekom čitave provedbe Projekta, održavati Upravljački odbor na visokoj razini, čiji su sastav, resursi, opisi poslova i funkcije Banci prihvatljivi. Upravljački odbor odgovoran je za pružanje strateških smjernica, cjelokupan nadzor nad Projektom te koordinaciju i praćenje inicijativa i reformi vezanih uz Projekt među različitim ministarstvima i tijelima uključenima u provedbu Projekta.</w:t>
      </w:r>
    </w:p>
    <w:p w14:paraId="6E46652C" w14:textId="77777777" w:rsidR="0077416D" w:rsidRDefault="0077416D" w:rsidP="00982CAA">
      <w:pPr>
        <w:pStyle w:val="NoSpacing"/>
        <w:jc w:val="both"/>
      </w:pPr>
    </w:p>
    <w:p w14:paraId="1DA43675" w14:textId="77777777" w:rsidR="0077416D" w:rsidRPr="00961585" w:rsidRDefault="0077416D" w:rsidP="00C22959">
      <w:pPr>
        <w:pStyle w:val="NoSpacing"/>
        <w:numPr>
          <w:ilvl w:val="0"/>
          <w:numId w:val="46"/>
        </w:numPr>
        <w:jc w:val="both"/>
      </w:pPr>
      <w:r w:rsidRPr="0077416D">
        <w:t>Najkasnije dva mjeseca od Datuma stupanja na snagu Zajmoprimac je obvezan imenovati kontaktne točke unutar: (a) MINGPO-a za potporu provedbi Dijela 1.1.</w:t>
      </w:r>
      <w:r w:rsidR="00501CD5">
        <w:t xml:space="preserve"> </w:t>
      </w:r>
      <w:r w:rsidRPr="0077416D">
        <w:t>Projekta, (b) MGIPU-a za potporu provedbi Dijela 1.2. Projekta i (c) MP-a za potporu provedbi Dijelova 2.</w:t>
      </w:r>
      <w:r w:rsidR="00AF170D">
        <w:t xml:space="preserve"> i</w:t>
      </w:r>
      <w:r w:rsidRPr="0077416D">
        <w:t xml:space="preserve"> 3.1. Projekta, sve na temelju opisa poslova i funkcija koji su Banci prihvatljivi, te u skladu s </w:t>
      </w:r>
      <w:r w:rsidR="00AF170D" w:rsidRPr="00E07422">
        <w:t>POM-om.</w:t>
      </w:r>
    </w:p>
    <w:p w14:paraId="3FC9E884" w14:textId="77777777" w:rsidR="0077416D" w:rsidRPr="0077416D" w:rsidRDefault="0077416D" w:rsidP="00982CAA">
      <w:pPr>
        <w:suppressAutoHyphens/>
        <w:jc w:val="both"/>
      </w:pPr>
    </w:p>
    <w:p w14:paraId="3FE9EAC4" w14:textId="77777777" w:rsidR="008D3D01" w:rsidRPr="008D3D01" w:rsidRDefault="008D3D01" w:rsidP="00292AEA">
      <w:pPr>
        <w:pStyle w:val="ModelNrmlSingle"/>
        <w:ind w:left="567" w:hanging="567"/>
        <w:rPr>
          <w:bCs/>
          <w:sz w:val="24"/>
          <w:szCs w:val="24"/>
          <w:lang w:val="hr-HR"/>
        </w:rPr>
      </w:pPr>
      <w:r w:rsidRPr="008D3D01">
        <w:rPr>
          <w:b/>
          <w:bCs/>
          <w:sz w:val="24"/>
          <w:szCs w:val="24"/>
          <w:lang w:val="hr-HR"/>
        </w:rPr>
        <w:t>B.</w:t>
      </w:r>
      <w:r w:rsidRPr="008D3D01">
        <w:rPr>
          <w:b/>
          <w:bCs/>
          <w:sz w:val="24"/>
          <w:szCs w:val="24"/>
          <w:lang w:val="hr-HR"/>
        </w:rPr>
        <w:tab/>
        <w:t>Priručnik za upravljanje projektom</w:t>
      </w:r>
    </w:p>
    <w:p w14:paraId="0BE040BD" w14:textId="77777777" w:rsidR="007F5222" w:rsidRPr="00292AEA" w:rsidRDefault="007F5222" w:rsidP="00292AEA">
      <w:pPr>
        <w:pStyle w:val="NoSpacing"/>
        <w:numPr>
          <w:ilvl w:val="0"/>
          <w:numId w:val="17"/>
        </w:numPr>
        <w:jc w:val="both"/>
      </w:pPr>
      <w:r w:rsidRPr="00292AEA">
        <w:t>Zajmoprimac je, p</w:t>
      </w:r>
      <w:r w:rsidR="00145B09" w:rsidRPr="00292AEA">
        <w:t>utem</w:t>
      </w:r>
      <w:r w:rsidRPr="00292AEA">
        <w:t xml:space="preserve"> JPP-a, obvezan najkasnije dva (2) mjeseca nakon Datuma stupanja na snagu usvojiti priručnik („Priručnik za upravljanje projektom” ili „POM“), te nakon toga u skladu s njim provoditi Projekt, na način koji je Banci prihvatljiv, što obuhvaća pravila, metode, smjernice, standardne dokumente i postupke za provedbu Projekta, uključujući sljedeće: (a) detaljan opis aktivnosti </w:t>
      </w:r>
      <w:r w:rsidR="00145B09" w:rsidRPr="00292AEA">
        <w:t xml:space="preserve">Projekta </w:t>
      </w:r>
      <w:r w:rsidRPr="00292AEA">
        <w:t xml:space="preserve">i institucionalnih aranžmana Projekta; (b) opis DLI pokazatelja i kriterija, detaljnih pravila i postupaka za provedbu i praćenje DLI pokazatelja; (c) Protokole za provjeru DLI pokazatelja; (d) postupke vezane uz računovodstvo, reviziju, izvješćivanje, financije, nabavu i isplate u okviru Projekta; (e) pokazatelje praćenja Projekta; i (f) detaljne troškove i financiranje Projekta. </w:t>
      </w:r>
    </w:p>
    <w:p w14:paraId="35205CD7" w14:textId="77777777" w:rsidR="007F5222" w:rsidRDefault="007F5222" w:rsidP="00982CAA">
      <w:pPr>
        <w:pStyle w:val="NoSpacing"/>
        <w:jc w:val="both"/>
      </w:pPr>
    </w:p>
    <w:p w14:paraId="35967734" w14:textId="77777777" w:rsidR="008D3D01" w:rsidRDefault="007F5222" w:rsidP="00982CAA">
      <w:pPr>
        <w:pStyle w:val="NoSpacing"/>
        <w:numPr>
          <w:ilvl w:val="0"/>
          <w:numId w:val="17"/>
        </w:numPr>
        <w:jc w:val="both"/>
      </w:pPr>
      <w:r>
        <w:t>P</w:t>
      </w:r>
      <w:r w:rsidR="008C2E88">
        <w:t>OM se</w:t>
      </w:r>
      <w:r>
        <w:t xml:space="preserve"> ne smije prenijeti, izmijeniti, ukinuti ili izuzeti niti se smije dopustiti njegovo prenošenje, izmjena, ukidanje ili izuzimanje, kao ni njegovih odredbi, na način koji, prema mišljenju Banke, može materijalno i negativno utjecati na provedbu Projekta. P</w:t>
      </w:r>
      <w:r w:rsidR="008C2E88">
        <w:t>OM se</w:t>
      </w:r>
      <w:r>
        <w:t xml:space="preserve"> smije izmijeniti samo u dogovoru s Bankom i nakon njezina odobrenja. U slučaju nesuglasja između uvjeta iz P</w:t>
      </w:r>
      <w:r w:rsidR="008C2E88">
        <w:t>OM-a</w:t>
      </w:r>
      <w:r>
        <w:t xml:space="preserve"> i ovog Ugovora, prednost imaju uvjeti ovog Ugovora.</w:t>
      </w:r>
    </w:p>
    <w:p w14:paraId="6867CA39" w14:textId="77777777" w:rsidR="007F5222" w:rsidRPr="007F5222" w:rsidRDefault="007F5222" w:rsidP="00982CAA">
      <w:pPr>
        <w:suppressAutoHyphens/>
        <w:jc w:val="both"/>
      </w:pPr>
    </w:p>
    <w:p w14:paraId="70C5DFB8" w14:textId="77777777" w:rsidR="008D3D01" w:rsidRPr="008D3D01" w:rsidRDefault="008D3D01" w:rsidP="00292AEA">
      <w:pPr>
        <w:pStyle w:val="ModelNrmlSingle"/>
        <w:ind w:left="567" w:hanging="567"/>
        <w:rPr>
          <w:b/>
          <w:bCs/>
          <w:sz w:val="24"/>
          <w:szCs w:val="24"/>
          <w:lang w:val="hr-HR"/>
        </w:rPr>
      </w:pPr>
      <w:r w:rsidRPr="008D3D01">
        <w:rPr>
          <w:b/>
          <w:bCs/>
          <w:sz w:val="24"/>
          <w:szCs w:val="24"/>
          <w:lang w:val="hr-HR"/>
        </w:rPr>
        <w:t xml:space="preserve">C. </w:t>
      </w:r>
      <w:r w:rsidRPr="008D3D01">
        <w:rPr>
          <w:b/>
          <w:bCs/>
          <w:sz w:val="24"/>
          <w:szCs w:val="24"/>
          <w:lang w:val="hr-HR"/>
        </w:rPr>
        <w:tab/>
      </w:r>
      <w:r w:rsidRPr="00292AEA">
        <w:rPr>
          <w:b/>
          <w:bCs/>
          <w:sz w:val="24"/>
          <w:szCs w:val="24"/>
          <w:lang w:val="hr-HR"/>
        </w:rPr>
        <w:t>G</w:t>
      </w:r>
      <w:r w:rsidRPr="008D3D01">
        <w:rPr>
          <w:b/>
          <w:bCs/>
          <w:sz w:val="24"/>
          <w:szCs w:val="24"/>
          <w:lang w:val="hr-HR"/>
        </w:rPr>
        <w:t>odišnji plan rada i proračun</w:t>
      </w:r>
    </w:p>
    <w:p w14:paraId="72248F13" w14:textId="77777777" w:rsidR="008D3D01" w:rsidRDefault="000841F0" w:rsidP="00322B1B">
      <w:pPr>
        <w:pStyle w:val="ModelNrmlSingle"/>
        <w:ind w:firstLine="567"/>
        <w:rPr>
          <w:bCs/>
          <w:sz w:val="24"/>
          <w:szCs w:val="24"/>
          <w:lang w:val="hr-HR"/>
        </w:rPr>
      </w:pPr>
      <w:r>
        <w:rPr>
          <w:bCs/>
          <w:sz w:val="24"/>
          <w:szCs w:val="24"/>
          <w:lang w:val="hr-HR"/>
        </w:rPr>
        <w:t xml:space="preserve">Zajmoprimac </w:t>
      </w:r>
      <w:r w:rsidR="008D3D01" w:rsidRPr="008D3D01">
        <w:rPr>
          <w:bCs/>
          <w:sz w:val="24"/>
          <w:szCs w:val="24"/>
          <w:lang w:val="hr-HR"/>
        </w:rPr>
        <w:t>je, putem JPP-a, obvezan:</w:t>
      </w:r>
    </w:p>
    <w:p w14:paraId="7F91C834" w14:textId="77777777" w:rsidR="00A4569D" w:rsidRDefault="00A4569D" w:rsidP="00322B1B">
      <w:pPr>
        <w:pStyle w:val="NoSpacing"/>
        <w:numPr>
          <w:ilvl w:val="1"/>
          <w:numId w:val="18"/>
        </w:numPr>
        <w:jc w:val="both"/>
      </w:pPr>
      <w:r w:rsidRPr="00A4569D">
        <w:t xml:space="preserve">osim ako se drukčije ne dogovori s Bankom, najkasnije do 15. listopada svake godine tijekom provedbe Projekta, počevši od 2020. izraditi i Banci dostaviti prijedlog Godišnjeg plana rada i proračuna za sljedeću kalendarsku godinu koji sadržava: (i) sve aktivnosti koje će se provesti u okviru Projekta u toj kalendarskoj godini; i (ii) prijedlog plana financiranja rashoda potrebnih za te aktivnosti, navodeći predložene iznose i izvore financiranja; te </w:t>
      </w:r>
    </w:p>
    <w:p w14:paraId="16BA8048" w14:textId="77777777" w:rsidR="00A4569D" w:rsidRPr="00A4569D" w:rsidRDefault="00A4569D" w:rsidP="00982CAA">
      <w:pPr>
        <w:pStyle w:val="NoSpacing"/>
        <w:ind w:left="1069"/>
        <w:jc w:val="both"/>
      </w:pPr>
    </w:p>
    <w:p w14:paraId="0BD81AB5" w14:textId="77777777" w:rsidR="00A4569D" w:rsidRDefault="00A4569D" w:rsidP="00322B1B">
      <w:pPr>
        <w:pStyle w:val="NoSpacing"/>
        <w:numPr>
          <w:ilvl w:val="1"/>
          <w:numId w:val="18"/>
        </w:numPr>
        <w:jc w:val="both"/>
      </w:pPr>
      <w:r w:rsidRPr="00A4569D">
        <w:t>omogućiti Banci razumnu priliku za razmjenu stajališta sa Zajmoprimcem o svakom takvom prijedlogu Godišnjeg plana rada i proračuna te nakon toga osigurati da se u navedenoj kalendarskoj godini Projekt provodi uz potrebnu dužnu pažnju, u skladu s Godišnjim planom rada i proračunom koji odobri Banka; te ne izmijeniti niti dopustiti izmjenu odobrenog Godišnjeg plana rada i proračuna bez prethodne pisane suglasnosti Banke.</w:t>
      </w:r>
    </w:p>
    <w:p w14:paraId="7C854F57" w14:textId="77777777" w:rsidR="00A4569D" w:rsidRPr="008D3D01" w:rsidRDefault="00A4569D" w:rsidP="00982CAA">
      <w:pPr>
        <w:pStyle w:val="NoSpacing"/>
        <w:jc w:val="both"/>
      </w:pPr>
    </w:p>
    <w:p w14:paraId="2141C8A6" w14:textId="77777777" w:rsidR="008D3D01" w:rsidRPr="008D3D01" w:rsidRDefault="008D3D01" w:rsidP="00DB1963">
      <w:pPr>
        <w:pStyle w:val="ModelNrmlSingle"/>
        <w:ind w:left="567" w:hanging="567"/>
        <w:rPr>
          <w:bCs/>
          <w:sz w:val="24"/>
          <w:szCs w:val="24"/>
          <w:lang w:val="hr-HR"/>
        </w:rPr>
      </w:pPr>
      <w:r w:rsidRPr="008D3D01">
        <w:rPr>
          <w:b/>
          <w:bCs/>
          <w:sz w:val="24"/>
          <w:szCs w:val="24"/>
          <w:lang w:val="hr-HR"/>
        </w:rPr>
        <w:t xml:space="preserve">D. </w:t>
      </w:r>
      <w:r w:rsidRPr="008D3D01">
        <w:rPr>
          <w:b/>
          <w:bCs/>
          <w:sz w:val="24"/>
          <w:szCs w:val="24"/>
          <w:lang w:val="hr-HR"/>
        </w:rPr>
        <w:tab/>
      </w:r>
      <w:r w:rsidRPr="00DB1963">
        <w:rPr>
          <w:b/>
          <w:bCs/>
          <w:sz w:val="24"/>
          <w:szCs w:val="24"/>
          <w:lang w:val="hr-HR"/>
        </w:rPr>
        <w:t>O</w:t>
      </w:r>
      <w:r w:rsidRPr="008D3D01">
        <w:rPr>
          <w:b/>
          <w:bCs/>
          <w:sz w:val="24"/>
          <w:szCs w:val="24"/>
          <w:lang w:val="hr-HR"/>
        </w:rPr>
        <w:t>kolišni i socijalni standardi</w:t>
      </w:r>
    </w:p>
    <w:p w14:paraId="73BB4E82" w14:textId="77777777" w:rsidR="0004049B" w:rsidRPr="0004049B" w:rsidRDefault="0004049B" w:rsidP="00982CAA">
      <w:pPr>
        <w:pStyle w:val="ModelNrmlSingle"/>
        <w:numPr>
          <w:ilvl w:val="0"/>
          <w:numId w:val="19"/>
        </w:numPr>
        <w:rPr>
          <w:bCs/>
          <w:sz w:val="24"/>
          <w:szCs w:val="24"/>
          <w:lang w:val="hr-HR"/>
        </w:rPr>
      </w:pPr>
      <w:r w:rsidRPr="0004049B">
        <w:rPr>
          <w:bCs/>
          <w:sz w:val="24"/>
          <w:szCs w:val="24"/>
          <w:lang w:val="hr-HR"/>
        </w:rPr>
        <w:t>Zajmoprimac, putem JPP-a, osigurava provedbu Projekta u skladu s Okolišnim i socijalnim standardima, na način koji je Banci prihvatljiv.</w:t>
      </w:r>
    </w:p>
    <w:p w14:paraId="73BFD8FE" w14:textId="77777777" w:rsidR="008D3D01" w:rsidRDefault="0004049B" w:rsidP="00982CAA">
      <w:pPr>
        <w:pStyle w:val="ModelNrmlSingle"/>
        <w:numPr>
          <w:ilvl w:val="0"/>
          <w:numId w:val="19"/>
        </w:numPr>
        <w:rPr>
          <w:bCs/>
          <w:sz w:val="24"/>
          <w:szCs w:val="24"/>
          <w:lang w:val="hr-HR"/>
        </w:rPr>
      </w:pPr>
      <w:r w:rsidRPr="0004049B">
        <w:rPr>
          <w:bCs/>
          <w:sz w:val="24"/>
          <w:szCs w:val="24"/>
          <w:lang w:val="hr-HR"/>
        </w:rPr>
        <w:t>Ne ograničavajući primjenu prethodno navedenog stavka 1., Zajmoprimac, p</w:t>
      </w:r>
      <w:r w:rsidR="008C2E88">
        <w:rPr>
          <w:bCs/>
          <w:sz w:val="24"/>
          <w:szCs w:val="24"/>
          <w:lang w:val="hr-HR"/>
        </w:rPr>
        <w:t>utem</w:t>
      </w:r>
      <w:r w:rsidRPr="0004049B">
        <w:rPr>
          <w:bCs/>
          <w:sz w:val="24"/>
          <w:szCs w:val="24"/>
          <w:lang w:val="hr-HR"/>
        </w:rPr>
        <w:t xml:space="preserve"> JPP-a, osigurava provedbu Projekta u skladu s Planom preuzimanja obveza u pogledu okolišnih i socijalnih aspekata (ESCP), na način koji je Banci prihvatljiv. U tu svrhu, Zajmoprimac, p</w:t>
      </w:r>
      <w:r w:rsidR="00363082">
        <w:rPr>
          <w:bCs/>
          <w:sz w:val="24"/>
          <w:szCs w:val="24"/>
          <w:lang w:val="hr-HR"/>
        </w:rPr>
        <w:t>utem</w:t>
      </w:r>
      <w:r w:rsidRPr="0004049B">
        <w:rPr>
          <w:bCs/>
          <w:sz w:val="24"/>
          <w:szCs w:val="24"/>
          <w:lang w:val="hr-HR"/>
        </w:rPr>
        <w:t xml:space="preserve"> JPP-a, osigurava:</w:t>
      </w:r>
    </w:p>
    <w:p w14:paraId="21F48D93" w14:textId="77777777" w:rsidR="0004049B" w:rsidRDefault="0004049B" w:rsidP="00322B1B">
      <w:pPr>
        <w:pStyle w:val="NoSpacing"/>
        <w:numPr>
          <w:ilvl w:val="1"/>
          <w:numId w:val="20"/>
        </w:numPr>
        <w:jc w:val="both"/>
      </w:pPr>
      <w:r w:rsidRPr="0004049B">
        <w:t>provedbu mjera i postupaka utvrđenih u ESCP-u na učinkovit način i uz potrebnu dužnu pažnju, kako je detaljnije utvrđeno u ESCP-u;</w:t>
      </w:r>
    </w:p>
    <w:p w14:paraId="3DE7F946" w14:textId="77777777" w:rsidR="002C583F" w:rsidRPr="0004049B" w:rsidRDefault="002C583F" w:rsidP="00982CAA">
      <w:pPr>
        <w:pStyle w:val="NoSpacing"/>
        <w:ind w:left="1068"/>
        <w:jc w:val="both"/>
      </w:pPr>
    </w:p>
    <w:p w14:paraId="0752C71A" w14:textId="77777777" w:rsidR="0004049B" w:rsidRDefault="0004049B" w:rsidP="00322B1B">
      <w:pPr>
        <w:pStyle w:val="NoSpacing"/>
        <w:numPr>
          <w:ilvl w:val="1"/>
          <w:numId w:val="20"/>
        </w:numPr>
        <w:jc w:val="both"/>
      </w:pPr>
      <w:r w:rsidRPr="0004049B">
        <w:t>dostupnost dostatnih sredstava za pokriće troškova provedbe ESCP-a;</w:t>
      </w:r>
    </w:p>
    <w:p w14:paraId="0DACEDAA" w14:textId="77777777" w:rsidR="002C583F" w:rsidRPr="0004049B" w:rsidRDefault="002C583F" w:rsidP="00982CAA">
      <w:pPr>
        <w:pStyle w:val="NoSpacing"/>
        <w:jc w:val="both"/>
      </w:pPr>
    </w:p>
    <w:p w14:paraId="3E265598" w14:textId="77777777" w:rsidR="0004049B" w:rsidRDefault="0004049B" w:rsidP="00322B1B">
      <w:pPr>
        <w:pStyle w:val="NoSpacing"/>
        <w:numPr>
          <w:ilvl w:val="1"/>
          <w:numId w:val="20"/>
        </w:numPr>
        <w:jc w:val="both"/>
      </w:pPr>
      <w:r w:rsidRPr="0004049B">
        <w:t>zadržavanje politika, postupaka i kvalificiranih zaposlenika koji će omogućiti provedbu ESCP-a, kako je detaljnije utvrđeno u ESCP-u; te</w:t>
      </w:r>
    </w:p>
    <w:p w14:paraId="5FAE82F5" w14:textId="77777777" w:rsidR="008C2E88" w:rsidRPr="0004049B" w:rsidRDefault="008C2E88" w:rsidP="00E07422">
      <w:pPr>
        <w:pStyle w:val="NoSpacing"/>
        <w:ind w:left="720"/>
        <w:jc w:val="both"/>
      </w:pPr>
    </w:p>
    <w:p w14:paraId="44E2C992" w14:textId="77777777" w:rsidR="0004049B" w:rsidRDefault="0004049B" w:rsidP="00322B1B">
      <w:pPr>
        <w:pStyle w:val="NoSpacing"/>
        <w:numPr>
          <w:ilvl w:val="1"/>
          <w:numId w:val="20"/>
        </w:numPr>
        <w:jc w:val="both"/>
      </w:pPr>
      <w:r w:rsidRPr="0004049B">
        <w:t>izbjegavanje izmjena, revizije ili izuzimanja ESCP-a ili njegovih odredbi, osim uz pisanu suglasnost Banke te naknadnu objavu revidiranog ESCP-a od strane Zajmoprimca.</w:t>
      </w:r>
    </w:p>
    <w:p w14:paraId="4B5BB457" w14:textId="77777777" w:rsidR="00E31187" w:rsidRDefault="00E31187" w:rsidP="00982CAA">
      <w:pPr>
        <w:pStyle w:val="NoSpacing"/>
        <w:ind w:left="708"/>
        <w:jc w:val="both"/>
      </w:pPr>
    </w:p>
    <w:p w14:paraId="18224054" w14:textId="77777777" w:rsidR="00E31187" w:rsidRDefault="00E31187" w:rsidP="00C13685">
      <w:pPr>
        <w:pStyle w:val="NoSpacing"/>
        <w:ind w:left="567"/>
        <w:jc w:val="both"/>
      </w:pPr>
      <w:r w:rsidRPr="00E31187">
        <w:t>U slučaju nesuglasja između ESCP-a i odredbi ovog Ugovora, prednost imaju odredbe ovog Ugovora.</w:t>
      </w:r>
    </w:p>
    <w:p w14:paraId="750A9E5E" w14:textId="77777777" w:rsidR="002B5979" w:rsidRDefault="002B5979" w:rsidP="00C13685">
      <w:pPr>
        <w:pStyle w:val="NoSpacing"/>
        <w:ind w:left="567"/>
        <w:jc w:val="both"/>
      </w:pPr>
    </w:p>
    <w:p w14:paraId="336A83C5" w14:textId="77777777" w:rsidR="002C583F" w:rsidRPr="0004049B" w:rsidRDefault="002C583F" w:rsidP="00982CAA">
      <w:pPr>
        <w:pStyle w:val="NoSpacing"/>
        <w:ind w:left="1068"/>
        <w:jc w:val="both"/>
      </w:pPr>
    </w:p>
    <w:p w14:paraId="184DEDB7" w14:textId="77777777" w:rsidR="0004049B" w:rsidRDefault="000841F0" w:rsidP="00982CAA">
      <w:pPr>
        <w:pStyle w:val="ModelNrmlSingle"/>
        <w:numPr>
          <w:ilvl w:val="0"/>
          <w:numId w:val="19"/>
        </w:numPr>
        <w:rPr>
          <w:bCs/>
          <w:sz w:val="24"/>
          <w:szCs w:val="24"/>
          <w:lang w:val="hr-HR"/>
        </w:rPr>
      </w:pPr>
      <w:r>
        <w:rPr>
          <w:bCs/>
          <w:sz w:val="24"/>
          <w:szCs w:val="24"/>
          <w:lang w:val="hr-HR"/>
        </w:rPr>
        <w:t xml:space="preserve">Zajmoprimac </w:t>
      </w:r>
      <w:r w:rsidR="0004049B" w:rsidRPr="0004049B">
        <w:rPr>
          <w:bCs/>
          <w:sz w:val="24"/>
          <w:szCs w:val="24"/>
          <w:lang w:val="hr-HR"/>
        </w:rPr>
        <w:t>se, p</w:t>
      </w:r>
      <w:r w:rsidR="008C2E88">
        <w:rPr>
          <w:bCs/>
          <w:sz w:val="24"/>
          <w:szCs w:val="24"/>
          <w:lang w:val="hr-HR"/>
        </w:rPr>
        <w:t>utem</w:t>
      </w:r>
      <w:r w:rsidR="0004049B" w:rsidRPr="0004049B">
        <w:rPr>
          <w:bCs/>
          <w:sz w:val="24"/>
          <w:szCs w:val="24"/>
          <w:lang w:val="hr-HR"/>
        </w:rPr>
        <w:t xml:space="preserve"> JPP-a, obvezuje:</w:t>
      </w:r>
    </w:p>
    <w:p w14:paraId="00A55476" w14:textId="77777777" w:rsidR="002C583F" w:rsidRDefault="002C583F" w:rsidP="00C13685">
      <w:pPr>
        <w:pStyle w:val="NoSpacing"/>
        <w:numPr>
          <w:ilvl w:val="1"/>
          <w:numId w:val="48"/>
        </w:numPr>
        <w:jc w:val="both"/>
      </w:pPr>
      <w:r w:rsidRPr="002C583F">
        <w:t>sa svoje strane poduzeti sve mjere potrebne za prikupljanje, sastavljanje i dostavljanje Banci informacija o statusu pridržavanja ESCP-a, kao i ondje navedenih upravljačkih alata i instrumenata, u obliku redovnih izvješća i dinamikom utvrđenom u ESCP-u, te bez odgode u zasebnom izvješću ili izvješćima, ako tako Banka zatraži, pri čemu će sva će ta izvješća u obliku i sadržaju koji su Banci prihvatljivi, između ostalog, sadržavati: (i) status provedbe ESCP-a; (ii) okolnosti, ako postoje, koje sprečavaju ili za koje postoji opasnost da će spriječiti provedbu ESCP-a, i (iii) korektivne i preventivne mjere koje su poduzete ili ih je potrebno poduzeti za rješavanje tih okolnosti; te</w:t>
      </w:r>
    </w:p>
    <w:p w14:paraId="61A5D136" w14:textId="77777777" w:rsidR="002C583F" w:rsidRPr="002C583F" w:rsidRDefault="002C583F" w:rsidP="00982CAA">
      <w:pPr>
        <w:pStyle w:val="NoSpacing"/>
        <w:ind w:left="1068"/>
        <w:jc w:val="both"/>
      </w:pPr>
    </w:p>
    <w:p w14:paraId="3157F41D" w14:textId="77777777" w:rsidR="002C583F" w:rsidRDefault="002C583F" w:rsidP="00C13685">
      <w:pPr>
        <w:pStyle w:val="NoSpacing"/>
        <w:numPr>
          <w:ilvl w:val="1"/>
          <w:numId w:val="48"/>
        </w:numPr>
        <w:jc w:val="both"/>
      </w:pPr>
      <w:r w:rsidRPr="002C583F">
        <w:t>bez odgode obavijestiti Banku o svakom incidentu ili nesreći koja je povezana s Projektom ili utječe na njega, a koja ima ili je vjerojatno da će imati značajan negativan utjecaj na okoliš, pogođene zajednice, javnost ili radnike, u skladu s ESCP-om, instrumentima na koje se ondje upućuje te Okolišnim i socijalnim standardima.</w:t>
      </w:r>
    </w:p>
    <w:p w14:paraId="163CC644" w14:textId="77777777" w:rsidR="002C583F" w:rsidRDefault="002C583F" w:rsidP="00982CAA">
      <w:pPr>
        <w:pStyle w:val="NoSpacing"/>
        <w:jc w:val="both"/>
      </w:pPr>
    </w:p>
    <w:p w14:paraId="348EEE5A" w14:textId="77777777" w:rsidR="00570F10" w:rsidRPr="000618E9" w:rsidRDefault="0004049B" w:rsidP="000618E9">
      <w:pPr>
        <w:pStyle w:val="ModelNrmlSingle"/>
        <w:numPr>
          <w:ilvl w:val="0"/>
          <w:numId w:val="19"/>
        </w:numPr>
        <w:rPr>
          <w:bCs/>
          <w:sz w:val="24"/>
          <w:szCs w:val="24"/>
          <w:lang w:val="hr-HR"/>
        </w:rPr>
      </w:pPr>
      <w:r w:rsidRPr="0004049B">
        <w:rPr>
          <w:bCs/>
          <w:sz w:val="24"/>
          <w:szCs w:val="24"/>
          <w:lang w:val="hr-HR"/>
        </w:rPr>
        <w:t>Zajmoprimac, p</w:t>
      </w:r>
      <w:r w:rsidR="008C2E88">
        <w:rPr>
          <w:bCs/>
          <w:sz w:val="24"/>
          <w:szCs w:val="24"/>
          <w:lang w:val="hr-HR"/>
        </w:rPr>
        <w:t>utem</w:t>
      </w:r>
      <w:r w:rsidRPr="0004049B">
        <w:rPr>
          <w:bCs/>
          <w:sz w:val="24"/>
          <w:szCs w:val="24"/>
          <w:lang w:val="hr-HR"/>
        </w:rPr>
        <w:t xml:space="preserve"> JPP-a, održava mehanizam za upravljanje pritužbama i objavljuje mogućnost njegova korištenja, u obliku i sadržaju koji su Banci prihvatljivi, za saslušanje i donošenje odluka, pravično i u dobroj vjeri, o prigovorima istaknutima u vezi s Projektom te poduzima sve mjere potrebne za provedbu rješenja donesenih u okviru tog mehanizmu na način koji je Banci prihvatljiv</w:t>
      </w:r>
      <w:r w:rsidR="00570F10">
        <w:rPr>
          <w:bCs/>
          <w:sz w:val="24"/>
          <w:szCs w:val="24"/>
          <w:lang w:val="hr-HR"/>
        </w:rPr>
        <w:t>.</w:t>
      </w:r>
    </w:p>
    <w:bookmarkEnd w:id="2"/>
    <w:p w14:paraId="6A5ACFC1" w14:textId="77777777" w:rsidR="008D3D01" w:rsidRPr="008C5AA5" w:rsidRDefault="008D3D01" w:rsidP="008C5AA5">
      <w:pPr>
        <w:pStyle w:val="BodyText"/>
        <w:rPr>
          <w:b/>
          <w:bCs/>
          <w:szCs w:val="24"/>
          <w:lang w:val="hr-HR"/>
        </w:rPr>
      </w:pPr>
      <w:r w:rsidRPr="008D3D01">
        <w:rPr>
          <w:b/>
          <w:bCs/>
          <w:szCs w:val="24"/>
          <w:lang w:val="hr-HR"/>
        </w:rPr>
        <w:t>Odjeljak II.</w:t>
      </w:r>
      <w:r w:rsidRPr="008D3D01">
        <w:rPr>
          <w:b/>
          <w:bCs/>
          <w:szCs w:val="24"/>
          <w:lang w:val="hr-HR"/>
        </w:rPr>
        <w:tab/>
      </w:r>
      <w:r w:rsidRPr="008D3D01">
        <w:rPr>
          <w:b/>
          <w:bCs/>
          <w:szCs w:val="24"/>
          <w:u w:val="single"/>
          <w:lang w:val="hr-HR"/>
        </w:rPr>
        <w:t>Praćenje, izvješćivanje i evaluacija Projekta</w:t>
      </w:r>
    </w:p>
    <w:p w14:paraId="38E10FE2" w14:textId="77777777" w:rsidR="008D3D01" w:rsidRDefault="008D3D01" w:rsidP="008D1EF7">
      <w:pPr>
        <w:pStyle w:val="NoSpacing"/>
        <w:ind w:left="708"/>
        <w:jc w:val="both"/>
      </w:pPr>
      <w:r w:rsidRPr="00570F10">
        <w:t xml:space="preserve">Svako Izvješće o Projektu koje obuhvaća određeno </w:t>
      </w:r>
      <w:r w:rsidRPr="00AF170D">
        <w:t>kalendarsko polugodište</w:t>
      </w:r>
      <w:r w:rsidRPr="00570F10">
        <w:t xml:space="preserve"> Zajmoprimac, putem JPP-a, Banci dostavlja najkasnije četrdeset pet (45) dana od isteka tog kalendarskog polugodišta.</w:t>
      </w:r>
      <w:r w:rsidRPr="00570F10">
        <w:tab/>
      </w:r>
    </w:p>
    <w:p w14:paraId="2D2B12BD" w14:textId="77777777" w:rsidR="008C5AA5" w:rsidRDefault="008C5AA5" w:rsidP="00570F10">
      <w:pPr>
        <w:pStyle w:val="NoSpacing"/>
        <w:jc w:val="both"/>
      </w:pPr>
    </w:p>
    <w:p w14:paraId="687ABAFE" w14:textId="77777777" w:rsidR="008D3D01" w:rsidRPr="008C5AA5" w:rsidRDefault="008D3D01" w:rsidP="008D3D01">
      <w:pPr>
        <w:pStyle w:val="BodyText"/>
        <w:rPr>
          <w:b/>
          <w:bCs/>
          <w:szCs w:val="24"/>
          <w:lang w:val="hr-HR"/>
        </w:rPr>
      </w:pPr>
      <w:r w:rsidRPr="008D3D01">
        <w:rPr>
          <w:b/>
          <w:bCs/>
          <w:szCs w:val="24"/>
          <w:lang w:val="hr-HR"/>
        </w:rPr>
        <w:t>Odjeljak III.</w:t>
      </w:r>
      <w:r w:rsidRPr="008D3D01">
        <w:rPr>
          <w:b/>
          <w:bCs/>
          <w:szCs w:val="24"/>
          <w:lang w:val="hr-HR"/>
        </w:rPr>
        <w:tab/>
      </w:r>
      <w:r w:rsidRPr="008D3D01">
        <w:rPr>
          <w:b/>
          <w:bCs/>
          <w:szCs w:val="24"/>
          <w:u w:val="single"/>
          <w:lang w:val="hr-HR"/>
        </w:rPr>
        <w:t>Povlačenje sredstava Zajma</w:t>
      </w:r>
    </w:p>
    <w:p w14:paraId="4764966A" w14:textId="77777777" w:rsidR="008D3D01" w:rsidRPr="008C5AA5" w:rsidRDefault="008C5AA5" w:rsidP="00DB1963">
      <w:pPr>
        <w:pStyle w:val="BodyText"/>
        <w:ind w:left="567" w:hanging="567"/>
        <w:rPr>
          <w:b/>
          <w:bCs/>
          <w:szCs w:val="24"/>
          <w:lang w:val="hr-HR"/>
        </w:rPr>
      </w:pPr>
      <w:r>
        <w:rPr>
          <w:b/>
          <w:bCs/>
          <w:szCs w:val="24"/>
          <w:lang w:val="hr-HR"/>
        </w:rPr>
        <w:t>A.</w:t>
      </w:r>
      <w:r>
        <w:rPr>
          <w:b/>
          <w:bCs/>
          <w:szCs w:val="24"/>
          <w:lang w:val="hr-HR"/>
        </w:rPr>
        <w:tab/>
        <w:t>Općenito</w:t>
      </w:r>
    </w:p>
    <w:p w14:paraId="78EB28CF" w14:textId="77777777" w:rsidR="008D3D01" w:rsidRDefault="008D3D01" w:rsidP="008D1EF7">
      <w:pPr>
        <w:pStyle w:val="NoSpacing"/>
        <w:ind w:left="708"/>
        <w:jc w:val="both"/>
      </w:pPr>
      <w:r w:rsidRPr="008D3D01">
        <w:t>Ne ograničavajući primjenu odredbi članka II. Općih uvjeta te u skladu s Pismom o isplatama s financijskim informacijama, Zajmoprimac može povući sredstva Zajma za financiranje Prihvatljivih rashoda; u alociranom iznosu i, ako je primjenjivo, do postotka navedenog za svaku Kategoriju u sljedećoj tablici:</w:t>
      </w:r>
    </w:p>
    <w:p w14:paraId="70899843" w14:textId="77777777" w:rsidR="00D353E4" w:rsidRPr="008C5AA5" w:rsidRDefault="00D353E4" w:rsidP="008C5AA5">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3"/>
        <w:gridCol w:w="2951"/>
      </w:tblGrid>
      <w:tr w:rsidR="008D3D01" w:rsidRPr="00AD37E6" w14:paraId="10459730" w14:textId="77777777" w:rsidTr="00DC393B">
        <w:trPr>
          <w:cantSplit/>
        </w:trPr>
        <w:tc>
          <w:tcPr>
            <w:tcW w:w="1667" w:type="pct"/>
          </w:tcPr>
          <w:p w14:paraId="69A34756" w14:textId="77777777" w:rsidR="008D3D01" w:rsidRPr="00D86FAE" w:rsidRDefault="008D3D01" w:rsidP="00DC393B">
            <w:pPr>
              <w:pStyle w:val="BodyText"/>
              <w:jc w:val="center"/>
              <w:rPr>
                <w:b/>
                <w:sz w:val="22"/>
                <w:szCs w:val="22"/>
                <w:lang w:val="hr-HR"/>
              </w:rPr>
            </w:pPr>
            <w:r w:rsidRPr="00D86FAE">
              <w:rPr>
                <w:b/>
                <w:sz w:val="22"/>
                <w:szCs w:val="22"/>
                <w:lang w:val="hr-HR"/>
              </w:rPr>
              <w:t>Kategorija</w:t>
            </w:r>
          </w:p>
        </w:tc>
        <w:tc>
          <w:tcPr>
            <w:tcW w:w="1667" w:type="pct"/>
          </w:tcPr>
          <w:p w14:paraId="37F497F8" w14:textId="77777777" w:rsidR="008D3D01" w:rsidRPr="00D86FAE" w:rsidRDefault="008D3D01" w:rsidP="000618E9">
            <w:pPr>
              <w:pStyle w:val="BodyText"/>
              <w:jc w:val="center"/>
              <w:rPr>
                <w:b/>
                <w:sz w:val="22"/>
                <w:szCs w:val="22"/>
                <w:lang w:val="hr-HR"/>
              </w:rPr>
            </w:pPr>
            <w:r>
              <w:rPr>
                <w:b/>
                <w:sz w:val="22"/>
                <w:szCs w:val="22"/>
                <w:lang w:val="hr-HR"/>
              </w:rPr>
              <w:t>Alocirani</w:t>
            </w:r>
            <w:r w:rsidRPr="00D86FAE">
              <w:rPr>
                <w:b/>
                <w:sz w:val="22"/>
                <w:szCs w:val="22"/>
                <w:lang w:val="hr-HR"/>
              </w:rPr>
              <w:t xml:space="preserve"> iznos Zajma</w:t>
            </w:r>
            <w:r w:rsidR="000618E9">
              <w:rPr>
                <w:b/>
                <w:sz w:val="22"/>
                <w:szCs w:val="22"/>
                <w:lang w:val="hr-HR"/>
              </w:rPr>
              <w:br/>
            </w:r>
            <w:r w:rsidRPr="00D86FAE">
              <w:rPr>
                <w:b/>
                <w:sz w:val="22"/>
                <w:szCs w:val="22"/>
                <w:lang w:val="hr-HR"/>
              </w:rPr>
              <w:t>(izražen u EUR)</w:t>
            </w:r>
          </w:p>
        </w:tc>
        <w:tc>
          <w:tcPr>
            <w:tcW w:w="1666" w:type="pct"/>
          </w:tcPr>
          <w:p w14:paraId="3D76C3E2" w14:textId="77777777" w:rsidR="008D3D01" w:rsidRPr="00D86FAE" w:rsidRDefault="008D3D01" w:rsidP="000618E9">
            <w:pPr>
              <w:pStyle w:val="BodyText"/>
              <w:jc w:val="center"/>
              <w:rPr>
                <w:b/>
                <w:sz w:val="22"/>
                <w:szCs w:val="22"/>
                <w:lang w:val="hr-HR"/>
              </w:rPr>
            </w:pPr>
            <w:r w:rsidRPr="00D86FAE">
              <w:rPr>
                <w:b/>
                <w:sz w:val="22"/>
                <w:szCs w:val="22"/>
                <w:lang w:val="hr-HR"/>
              </w:rPr>
              <w:t>Postotak rashoda koji se financiraju</w:t>
            </w:r>
            <w:r w:rsidR="000618E9">
              <w:rPr>
                <w:b/>
                <w:sz w:val="22"/>
                <w:szCs w:val="22"/>
                <w:lang w:val="hr-HR"/>
              </w:rPr>
              <w:br/>
            </w:r>
            <w:r w:rsidRPr="00D86FAE">
              <w:rPr>
                <w:b/>
                <w:bCs/>
                <w:sz w:val="22"/>
                <w:szCs w:val="22"/>
                <w:lang w:val="hr-HR"/>
              </w:rPr>
              <w:t xml:space="preserve">(uključujući poreze) </w:t>
            </w:r>
          </w:p>
        </w:tc>
      </w:tr>
      <w:tr w:rsidR="008D3D01" w:rsidRPr="00AD37E6" w14:paraId="2D5D830B" w14:textId="77777777" w:rsidTr="00DC393B">
        <w:trPr>
          <w:cantSplit/>
        </w:trPr>
        <w:tc>
          <w:tcPr>
            <w:tcW w:w="1667" w:type="pct"/>
          </w:tcPr>
          <w:p w14:paraId="58C5B6FF" w14:textId="77777777" w:rsidR="008D3D01" w:rsidRPr="00D86FAE" w:rsidRDefault="008D3D01" w:rsidP="00C368FC">
            <w:pPr>
              <w:pStyle w:val="BodyText"/>
              <w:ind w:left="306" w:hanging="306"/>
              <w:rPr>
                <w:sz w:val="22"/>
                <w:szCs w:val="22"/>
                <w:lang w:val="hr-HR"/>
              </w:rPr>
            </w:pPr>
            <w:r w:rsidRPr="00D86FAE">
              <w:rPr>
                <w:sz w:val="22"/>
                <w:szCs w:val="22"/>
                <w:lang w:val="hr-HR"/>
              </w:rPr>
              <w:t xml:space="preserve">(1) </w:t>
            </w:r>
            <w:r>
              <w:rPr>
                <w:sz w:val="22"/>
                <w:szCs w:val="22"/>
                <w:lang w:val="hr-HR"/>
              </w:rPr>
              <w:t>PPR na temelju D</w:t>
            </w:r>
            <w:r w:rsidRPr="00D86FAE">
              <w:rPr>
                <w:sz w:val="22"/>
                <w:szCs w:val="22"/>
                <w:lang w:val="hr-HR"/>
              </w:rPr>
              <w:t>ijelova 1., 2.1. i 2.2. Projekta</w:t>
            </w:r>
          </w:p>
        </w:tc>
        <w:tc>
          <w:tcPr>
            <w:tcW w:w="1667" w:type="pct"/>
          </w:tcPr>
          <w:p w14:paraId="340A3512" w14:textId="77777777" w:rsidR="008D3D01" w:rsidRPr="00D86FAE" w:rsidRDefault="008D3D01" w:rsidP="00DC393B">
            <w:pPr>
              <w:pStyle w:val="BodyText"/>
              <w:jc w:val="center"/>
              <w:rPr>
                <w:sz w:val="22"/>
                <w:szCs w:val="22"/>
                <w:lang w:val="hr-HR"/>
              </w:rPr>
            </w:pPr>
            <w:r w:rsidRPr="00D86FAE">
              <w:rPr>
                <w:sz w:val="22"/>
                <w:szCs w:val="22"/>
                <w:lang w:val="hr-HR"/>
              </w:rPr>
              <w:t>50.000.000</w:t>
            </w:r>
          </w:p>
        </w:tc>
        <w:tc>
          <w:tcPr>
            <w:tcW w:w="1666" w:type="pct"/>
          </w:tcPr>
          <w:p w14:paraId="06A2C49E" w14:textId="77777777" w:rsidR="008D3D01" w:rsidRPr="00D86FAE" w:rsidRDefault="008D3D01" w:rsidP="00DC393B">
            <w:pPr>
              <w:pStyle w:val="BodyText"/>
              <w:rPr>
                <w:sz w:val="22"/>
                <w:szCs w:val="22"/>
                <w:lang w:val="hr-HR"/>
              </w:rPr>
            </w:pPr>
            <w:r w:rsidRPr="00D86FAE">
              <w:rPr>
                <w:sz w:val="22"/>
                <w:szCs w:val="22"/>
                <w:lang w:val="hr-HR"/>
              </w:rPr>
              <w:t>Do 100 % u skladu s odredbama iz dijela B. ovog odjeljka</w:t>
            </w:r>
          </w:p>
        </w:tc>
      </w:tr>
      <w:tr w:rsidR="008D3D01" w:rsidRPr="00D86FAE" w14:paraId="331B9FB3" w14:textId="77777777" w:rsidTr="00DC393B">
        <w:trPr>
          <w:cantSplit/>
        </w:trPr>
        <w:tc>
          <w:tcPr>
            <w:tcW w:w="1667" w:type="pct"/>
          </w:tcPr>
          <w:p w14:paraId="777905D3" w14:textId="77777777" w:rsidR="008D3D01" w:rsidRPr="00D86FAE" w:rsidRDefault="008D3D01" w:rsidP="00DC393B">
            <w:pPr>
              <w:pStyle w:val="BodyText"/>
              <w:tabs>
                <w:tab w:val="left" w:pos="1876"/>
              </w:tabs>
              <w:ind w:left="306" w:hanging="284"/>
              <w:jc w:val="left"/>
              <w:rPr>
                <w:sz w:val="22"/>
                <w:szCs w:val="22"/>
                <w:lang w:val="hr-HR"/>
              </w:rPr>
            </w:pPr>
            <w:r w:rsidRPr="00D86FAE">
              <w:rPr>
                <w:sz w:val="22"/>
                <w:szCs w:val="22"/>
                <w:lang w:val="hr-HR"/>
              </w:rPr>
              <w:t>(2) Roba, radovi,  konzultantske i nekonzultantske usluge</w:t>
            </w:r>
            <w:r>
              <w:rPr>
                <w:sz w:val="22"/>
                <w:szCs w:val="22"/>
                <w:lang w:val="hr-HR"/>
              </w:rPr>
              <w:t>, Osposobljavanje</w:t>
            </w:r>
            <w:r w:rsidRPr="00D86FAE">
              <w:rPr>
                <w:sz w:val="22"/>
                <w:szCs w:val="22"/>
                <w:lang w:val="hr-HR"/>
              </w:rPr>
              <w:t xml:space="preserve"> i Operativni troškovi za </w:t>
            </w:r>
            <w:r>
              <w:rPr>
                <w:sz w:val="22"/>
                <w:szCs w:val="22"/>
                <w:lang w:val="hr-HR"/>
              </w:rPr>
              <w:t>D</w:t>
            </w:r>
            <w:r w:rsidRPr="00D86FAE">
              <w:rPr>
                <w:sz w:val="22"/>
                <w:szCs w:val="22"/>
                <w:lang w:val="hr-HR"/>
              </w:rPr>
              <w:t>ijelove 2.3. i 3.</w:t>
            </w:r>
            <w:r>
              <w:rPr>
                <w:sz w:val="22"/>
                <w:szCs w:val="22"/>
                <w:lang w:val="hr-HR"/>
              </w:rPr>
              <w:t>1.</w:t>
            </w:r>
            <w:r w:rsidRPr="00D86FAE">
              <w:rPr>
                <w:sz w:val="22"/>
                <w:szCs w:val="22"/>
                <w:lang w:val="hr-HR"/>
              </w:rPr>
              <w:t xml:space="preserve"> Projekta</w:t>
            </w:r>
          </w:p>
        </w:tc>
        <w:tc>
          <w:tcPr>
            <w:tcW w:w="1667" w:type="pct"/>
          </w:tcPr>
          <w:p w14:paraId="78E15EC5" w14:textId="77777777" w:rsidR="008D3D01" w:rsidRPr="00D86FAE" w:rsidRDefault="008D3D01" w:rsidP="00DC393B">
            <w:pPr>
              <w:pStyle w:val="BodyText"/>
              <w:jc w:val="center"/>
              <w:rPr>
                <w:sz w:val="22"/>
                <w:szCs w:val="22"/>
                <w:lang w:val="hr-HR"/>
              </w:rPr>
            </w:pPr>
            <w:r w:rsidRPr="00D86FAE">
              <w:rPr>
                <w:sz w:val="22"/>
                <w:szCs w:val="22"/>
                <w:lang w:val="hr-HR"/>
              </w:rPr>
              <w:t>50.000.000</w:t>
            </w:r>
          </w:p>
        </w:tc>
        <w:tc>
          <w:tcPr>
            <w:tcW w:w="1666" w:type="pct"/>
          </w:tcPr>
          <w:p w14:paraId="78FD93CA" w14:textId="77777777" w:rsidR="008D3D01" w:rsidRPr="00D86FAE" w:rsidRDefault="008D3D01" w:rsidP="00DC393B">
            <w:pPr>
              <w:pStyle w:val="BodyText"/>
              <w:rPr>
                <w:sz w:val="22"/>
                <w:szCs w:val="22"/>
                <w:lang w:val="hr-HR"/>
              </w:rPr>
            </w:pPr>
            <w:r w:rsidRPr="00D86FAE">
              <w:rPr>
                <w:sz w:val="22"/>
                <w:szCs w:val="22"/>
                <w:lang w:val="hr-HR"/>
              </w:rPr>
              <w:t>100 %</w:t>
            </w:r>
          </w:p>
        </w:tc>
      </w:tr>
      <w:tr w:rsidR="008D3D01" w:rsidRPr="00D86FAE" w14:paraId="79582BF7" w14:textId="77777777" w:rsidTr="00DC393B">
        <w:trPr>
          <w:cantSplit/>
        </w:trPr>
        <w:tc>
          <w:tcPr>
            <w:tcW w:w="1667" w:type="pct"/>
          </w:tcPr>
          <w:p w14:paraId="45CA5E7C" w14:textId="77777777" w:rsidR="008D3D01" w:rsidRPr="00D86FAE" w:rsidRDefault="008D3D01" w:rsidP="00DC393B">
            <w:pPr>
              <w:pStyle w:val="BodyText"/>
              <w:rPr>
                <w:sz w:val="22"/>
                <w:szCs w:val="22"/>
                <w:lang w:val="hr-HR"/>
              </w:rPr>
            </w:pPr>
            <w:r w:rsidRPr="00D86FAE">
              <w:rPr>
                <w:sz w:val="22"/>
                <w:szCs w:val="22"/>
                <w:lang w:val="hr-HR"/>
              </w:rPr>
              <w:t>UKUPAN IZNOS</w:t>
            </w:r>
          </w:p>
        </w:tc>
        <w:tc>
          <w:tcPr>
            <w:tcW w:w="1667" w:type="pct"/>
          </w:tcPr>
          <w:p w14:paraId="7F978752" w14:textId="77777777" w:rsidR="008D3D01" w:rsidRPr="00D86FAE" w:rsidRDefault="008D3D01" w:rsidP="00DC393B">
            <w:pPr>
              <w:pStyle w:val="BodyText"/>
              <w:jc w:val="center"/>
              <w:rPr>
                <w:sz w:val="22"/>
                <w:szCs w:val="22"/>
                <w:lang w:val="hr-HR"/>
              </w:rPr>
            </w:pPr>
            <w:r w:rsidRPr="00D86FAE">
              <w:rPr>
                <w:sz w:val="22"/>
                <w:szCs w:val="22"/>
                <w:lang w:val="hr-HR"/>
              </w:rPr>
              <w:t>100.000.000</w:t>
            </w:r>
          </w:p>
        </w:tc>
        <w:tc>
          <w:tcPr>
            <w:tcW w:w="1666" w:type="pct"/>
          </w:tcPr>
          <w:p w14:paraId="732F518B" w14:textId="77777777" w:rsidR="008D3D01" w:rsidRPr="00D86FAE" w:rsidRDefault="008D3D01" w:rsidP="00DC393B">
            <w:pPr>
              <w:pStyle w:val="BodyText"/>
              <w:rPr>
                <w:sz w:val="22"/>
                <w:szCs w:val="22"/>
                <w:lang w:val="hr-HR"/>
              </w:rPr>
            </w:pPr>
          </w:p>
        </w:tc>
      </w:tr>
    </w:tbl>
    <w:p w14:paraId="469BA747" w14:textId="77777777" w:rsidR="008D3D01" w:rsidRPr="008D3D01" w:rsidRDefault="008D3D01" w:rsidP="008D3D01">
      <w:pPr>
        <w:pStyle w:val="BodyText"/>
        <w:ind w:left="720"/>
        <w:rPr>
          <w:szCs w:val="24"/>
          <w:lang w:val="hr-HR"/>
        </w:rPr>
      </w:pPr>
    </w:p>
    <w:p w14:paraId="5C6D3512" w14:textId="77777777" w:rsidR="008D3D01" w:rsidRPr="008D3D01" w:rsidRDefault="008D3D01" w:rsidP="00466603">
      <w:pPr>
        <w:pStyle w:val="BodyText"/>
        <w:ind w:left="567" w:hanging="567"/>
        <w:rPr>
          <w:b/>
          <w:bCs/>
          <w:szCs w:val="24"/>
          <w:lang w:val="hr-HR"/>
        </w:rPr>
      </w:pPr>
      <w:r w:rsidRPr="008D3D01">
        <w:rPr>
          <w:b/>
          <w:bCs/>
          <w:szCs w:val="24"/>
          <w:lang w:val="hr-HR"/>
        </w:rPr>
        <w:t>B.</w:t>
      </w:r>
      <w:r w:rsidRPr="008D3D01">
        <w:rPr>
          <w:b/>
          <w:bCs/>
          <w:szCs w:val="24"/>
          <w:lang w:val="hr-HR"/>
        </w:rPr>
        <w:tab/>
      </w:r>
      <w:r w:rsidRPr="00466603">
        <w:rPr>
          <w:b/>
          <w:bCs/>
          <w:szCs w:val="24"/>
          <w:lang w:val="hr-HR"/>
        </w:rPr>
        <w:t>U</w:t>
      </w:r>
      <w:r w:rsidRPr="008D3D01">
        <w:rPr>
          <w:b/>
          <w:bCs/>
          <w:szCs w:val="24"/>
          <w:lang w:val="hr-HR"/>
        </w:rPr>
        <w:t>vjeti povlačenja sredstava; razdoblje povlačenja sredstava</w:t>
      </w:r>
    </w:p>
    <w:p w14:paraId="6499CB0E" w14:textId="77777777" w:rsidR="008D3D01" w:rsidRDefault="00B3702D" w:rsidP="0026062A">
      <w:pPr>
        <w:pStyle w:val="NoSpacing"/>
        <w:numPr>
          <w:ilvl w:val="0"/>
          <w:numId w:val="22"/>
        </w:numPr>
        <w:jc w:val="both"/>
      </w:pPr>
      <w:r w:rsidRPr="00B3702D">
        <w:t>Ne dovodeći u pitanje prethodno navedene odredbe u dijelu A., ne povlače se sredstava za:</w:t>
      </w:r>
    </w:p>
    <w:p w14:paraId="7B0FB7EA" w14:textId="77777777" w:rsidR="00B3702D" w:rsidRDefault="00B3702D" w:rsidP="00B3702D">
      <w:pPr>
        <w:pStyle w:val="NoSpacing"/>
        <w:ind w:left="720"/>
        <w:jc w:val="both"/>
      </w:pPr>
    </w:p>
    <w:p w14:paraId="250F986D" w14:textId="77777777" w:rsidR="00B3702D" w:rsidRDefault="00B3702D" w:rsidP="000374D2">
      <w:pPr>
        <w:pStyle w:val="NoSpacing"/>
        <w:numPr>
          <w:ilvl w:val="1"/>
          <w:numId w:val="23"/>
        </w:numPr>
        <w:jc w:val="both"/>
      </w:pPr>
      <w:r>
        <w:t xml:space="preserve">plaćanja izvršena prije Datuma potpisivanja, osim što su moguća povlačenja do ukupnog iznosa koji ne prelazi dvadeset milijuna eura (20.000.000 EUR) kad se radi o plaćanjima izvršenima prije tog datuma, ali na dan ili nakon 1. veljače 2020., za Prihvatljive rashode na temelju Kategorije (2); ili </w:t>
      </w:r>
    </w:p>
    <w:p w14:paraId="6257505B" w14:textId="77777777" w:rsidR="00B3702D" w:rsidRDefault="00B3702D" w:rsidP="00B3702D">
      <w:pPr>
        <w:pStyle w:val="NoSpacing"/>
        <w:ind w:left="1440"/>
        <w:jc w:val="both"/>
      </w:pPr>
    </w:p>
    <w:p w14:paraId="4AB2AD31" w14:textId="77777777" w:rsidR="00B3702D" w:rsidRDefault="00B3702D" w:rsidP="000374D2">
      <w:pPr>
        <w:pStyle w:val="NoSpacing"/>
        <w:numPr>
          <w:ilvl w:val="1"/>
          <w:numId w:val="23"/>
        </w:numPr>
        <w:jc w:val="both"/>
      </w:pPr>
      <w:r>
        <w:t xml:space="preserve">plaćanja izvršena na temelju Kategorije (1), osim: (i) ako je Zajmoprimac, putem JPP-a, dostavio dokaze za nastale PPR-ove, u obliku i sadržaju koji su Banci prihvatljivi, kako je prikazano u odgovarajućem Izvješću o potrošnji u okviru PPR-ova; i (ii) ako je Banka, na temelju dokaza koje je Zajmoprimac dostavio </w:t>
      </w:r>
      <w:r w:rsidR="008C2E88" w:rsidRPr="00E07422">
        <w:t>putem</w:t>
      </w:r>
      <w:r>
        <w:t xml:space="preserve"> JPP-a i kako je navedeno u Protokolima za provjeru, utvrdila da su DLI pokazatelji, kako je navedeno u Prilogu 4. ovom Ugovoru, ostvareni na zadovoljavajući način, kako je detaljno razrađeno u Priručniku za upravljanje projektom i Pismu o isplatama s financijskim informacijama.</w:t>
      </w:r>
    </w:p>
    <w:p w14:paraId="43AB0D7D" w14:textId="77777777" w:rsidR="00B3702D" w:rsidRDefault="00B3702D" w:rsidP="00B3702D">
      <w:pPr>
        <w:pStyle w:val="NoSpacing"/>
        <w:jc w:val="both"/>
      </w:pPr>
    </w:p>
    <w:p w14:paraId="14314257" w14:textId="77777777" w:rsidR="00B3702D" w:rsidRDefault="00B3702D" w:rsidP="0026062A">
      <w:pPr>
        <w:pStyle w:val="NoSpacing"/>
        <w:numPr>
          <w:ilvl w:val="0"/>
          <w:numId w:val="22"/>
        </w:numPr>
        <w:jc w:val="both"/>
      </w:pPr>
      <w:r w:rsidRPr="00B3702D">
        <w:t xml:space="preserve">Ne dovodeći u pitanje odredbe stavka B. 1. (b) ovog odjeljka, ako se Banka ne uvjeri da je DLI, kako je navedeno u Prilogu 4. ovom Ugovoru, iz Kategorije (1) potpuno ili djelomično ostvaren, Banka može u bilo kojem trenutku prema vlastitom nahođenju i uz slanje obavijesti Zajmoprimcu, </w:t>
      </w:r>
      <w:r w:rsidR="008C2E88">
        <w:t xml:space="preserve">putem </w:t>
      </w:r>
      <w:r w:rsidRPr="00B3702D">
        <w:t>JPP-a, odlučiti da će:</w:t>
      </w:r>
    </w:p>
    <w:p w14:paraId="40CAB37C" w14:textId="77777777" w:rsidR="00DA429C" w:rsidRDefault="00DA429C" w:rsidP="00DA429C">
      <w:pPr>
        <w:pStyle w:val="NoSpacing"/>
        <w:ind w:left="720"/>
        <w:jc w:val="both"/>
      </w:pPr>
    </w:p>
    <w:p w14:paraId="3B547882" w14:textId="77777777" w:rsidR="00DA429C" w:rsidRDefault="00A17662" w:rsidP="0026062A">
      <w:pPr>
        <w:pStyle w:val="NoSpacing"/>
        <w:numPr>
          <w:ilvl w:val="0"/>
          <w:numId w:val="24"/>
        </w:numPr>
        <w:jc w:val="both"/>
      </w:pPr>
      <w:r>
        <w:t>U</w:t>
      </w:r>
      <w:r w:rsidR="00DA429C" w:rsidRPr="00DA429C">
        <w:t xml:space="preserve"> pogledu Skalabilnih DLI pokazatelja:</w:t>
      </w:r>
    </w:p>
    <w:p w14:paraId="329FF29D" w14:textId="77777777" w:rsidR="009C7EA2" w:rsidRDefault="009C7EA2" w:rsidP="009C7EA2">
      <w:pPr>
        <w:pStyle w:val="NoSpacing"/>
        <w:ind w:left="1440"/>
        <w:jc w:val="both"/>
      </w:pPr>
    </w:p>
    <w:p w14:paraId="3D2B2D47" w14:textId="77777777" w:rsidR="00DA429C" w:rsidRPr="00DA429C" w:rsidRDefault="00DA429C" w:rsidP="00D15567">
      <w:pPr>
        <w:pStyle w:val="NoSpacing"/>
        <w:numPr>
          <w:ilvl w:val="2"/>
          <w:numId w:val="51"/>
        </w:numPr>
        <w:jc w:val="both"/>
      </w:pPr>
      <w:r w:rsidRPr="00DA429C">
        <w:t>dopustiti povlačenje smanjenog iznosa nepovučenih sredstava Zajma alociranih Skalabilnom DLI pokazatelju koji, prema mišljenju Banke, odgovara stupnju ostvarenja navedenog Skalabilnog DLI pokazatelja, izračunanom kako je navedeno u Protokolima za provjeru;</w:t>
      </w:r>
    </w:p>
    <w:p w14:paraId="3C74D822" w14:textId="77777777" w:rsidR="00DA429C" w:rsidRPr="00DA429C" w:rsidRDefault="00DA429C" w:rsidP="00DA429C">
      <w:pPr>
        <w:pStyle w:val="NoSpacing"/>
        <w:ind w:left="1416"/>
        <w:jc w:val="both"/>
      </w:pPr>
    </w:p>
    <w:p w14:paraId="699453EF" w14:textId="77777777" w:rsidR="00DA429C" w:rsidRPr="00DA429C" w:rsidRDefault="00DA429C" w:rsidP="00D15567">
      <w:pPr>
        <w:pStyle w:val="NoSpacing"/>
        <w:numPr>
          <w:ilvl w:val="2"/>
          <w:numId w:val="51"/>
        </w:numPr>
        <w:jc w:val="both"/>
      </w:pPr>
      <w:r w:rsidRPr="00DA429C">
        <w:t>dopustiti da se nepovučeni iznos koji odgovara dijelu alociranog iznosa koji nije isplaćen zbog djelomičnog ostvarenja bilo kojeg Skalabilnog DLI pokazatelja prenese na neposredno sljedeće povlačenje sredstava, ovisno o daljnjem ostvarenju odnosnog Skalabilnog DLI pokazatelja; ili</w:t>
      </w:r>
    </w:p>
    <w:p w14:paraId="7A64F1E1" w14:textId="77777777" w:rsidR="00DA429C" w:rsidRPr="00DA429C" w:rsidRDefault="00DA429C" w:rsidP="00DA429C">
      <w:pPr>
        <w:pStyle w:val="NoSpacing"/>
        <w:ind w:left="1416"/>
        <w:jc w:val="both"/>
      </w:pPr>
    </w:p>
    <w:p w14:paraId="0DA040D3" w14:textId="77777777" w:rsidR="00DA429C" w:rsidRDefault="00DA429C" w:rsidP="00D15567">
      <w:pPr>
        <w:pStyle w:val="NoSpacing"/>
        <w:numPr>
          <w:ilvl w:val="2"/>
          <w:numId w:val="51"/>
        </w:numPr>
        <w:jc w:val="both"/>
      </w:pPr>
      <w:r w:rsidRPr="00DA429C">
        <w:t>otkazati sva ili dio sredstava Zajma koji su tada alocirani navedenom Skalabilnom DLI pokazatelju.</w:t>
      </w:r>
    </w:p>
    <w:p w14:paraId="57E38A56" w14:textId="77777777" w:rsidR="00DA429C" w:rsidRPr="00DA429C" w:rsidRDefault="00DA429C" w:rsidP="00DA429C">
      <w:pPr>
        <w:pStyle w:val="NoSpacing"/>
        <w:jc w:val="both"/>
      </w:pPr>
    </w:p>
    <w:p w14:paraId="4F3EDB1C" w14:textId="77777777" w:rsidR="00DA429C" w:rsidRDefault="00A17662" w:rsidP="0026062A">
      <w:pPr>
        <w:pStyle w:val="NoSpacing"/>
        <w:numPr>
          <w:ilvl w:val="0"/>
          <w:numId w:val="24"/>
        </w:numPr>
        <w:jc w:val="both"/>
      </w:pPr>
      <w:r>
        <w:t>U</w:t>
      </w:r>
      <w:r w:rsidR="00DA429C" w:rsidRPr="00DA429C">
        <w:t xml:space="preserve"> pogledu DLI pokazatelja koji nisu Skalabilni DLI pokazatelji:</w:t>
      </w:r>
    </w:p>
    <w:p w14:paraId="3968A128" w14:textId="77777777" w:rsidR="00DA429C" w:rsidRDefault="00DA429C" w:rsidP="00DA429C">
      <w:pPr>
        <w:pStyle w:val="NoSpacing"/>
        <w:ind w:left="1440"/>
        <w:jc w:val="both"/>
      </w:pPr>
    </w:p>
    <w:p w14:paraId="7DFB4927" w14:textId="77777777" w:rsidR="00DA429C" w:rsidRDefault="00DA429C" w:rsidP="00022C4E">
      <w:pPr>
        <w:pStyle w:val="NoSpacing"/>
        <w:numPr>
          <w:ilvl w:val="2"/>
          <w:numId w:val="26"/>
        </w:numPr>
        <w:jc w:val="both"/>
      </w:pPr>
      <w:r>
        <w:t>zadržati nepovučena sredstva Zajma tada alocirana navedenom DLI pokazatelju dok se Banka ne uvjeri da je navedeni DLI pokazatelj u potpunosti ostvaren; ili</w:t>
      </w:r>
    </w:p>
    <w:p w14:paraId="2C326444" w14:textId="77777777" w:rsidR="00DA429C" w:rsidRDefault="00DA429C" w:rsidP="00DA429C">
      <w:pPr>
        <w:pStyle w:val="NoSpacing"/>
        <w:ind w:left="2160"/>
        <w:jc w:val="both"/>
      </w:pPr>
    </w:p>
    <w:p w14:paraId="243D4B5D" w14:textId="77777777" w:rsidR="00DA429C" w:rsidRDefault="00DA429C" w:rsidP="00022C4E">
      <w:pPr>
        <w:pStyle w:val="NoSpacing"/>
        <w:numPr>
          <w:ilvl w:val="2"/>
          <w:numId w:val="26"/>
        </w:numPr>
        <w:jc w:val="both"/>
      </w:pPr>
      <w:r>
        <w:t>(A) na zahtjev Zajmoprimca, p</w:t>
      </w:r>
      <w:r w:rsidR="008C2E88">
        <w:t>utem</w:t>
      </w:r>
      <w:r>
        <w:t xml:space="preserve"> JPP-a, i pod uvjetom da postoji opravdanje koje je Banci prihvatljivo, prerasporediti sva ili dio sredstava Zajma koja su tada alocirana navedenom DLI pokazatelju na bilo koji drugi DLI pokazatelj; (B) prilagoditi navedeni DLI pokazatelj ili ga zamijeniti drugim DLI pokazateljem; ili (C) otkazati sva ili dio sredstava Zajma tada alociranih navedenom DLI pokazatelju.</w:t>
      </w:r>
    </w:p>
    <w:p w14:paraId="5E80ED46" w14:textId="77777777" w:rsidR="00DA429C" w:rsidRDefault="00DA429C" w:rsidP="00DA429C">
      <w:pPr>
        <w:pStyle w:val="NoSpacing"/>
        <w:ind w:left="720"/>
        <w:jc w:val="both"/>
      </w:pPr>
    </w:p>
    <w:p w14:paraId="131B8301" w14:textId="77777777" w:rsidR="00B3702D" w:rsidRDefault="002D08D0" w:rsidP="002D08D0">
      <w:pPr>
        <w:pStyle w:val="NoSpacing"/>
        <w:jc w:val="both"/>
      </w:pPr>
      <w:r>
        <w:t>2.</w:t>
      </w:r>
      <w:r>
        <w:tab/>
      </w:r>
      <w:r w:rsidR="00B3702D" w:rsidRPr="00B3702D">
        <w:t>Datum zatvaranja je 30. lipnja 2025.</w:t>
      </w:r>
    </w:p>
    <w:p w14:paraId="217D7869" w14:textId="77777777" w:rsidR="00D90E4A" w:rsidRDefault="00D90E4A" w:rsidP="006211D9"/>
    <w:p w14:paraId="65810CB7" w14:textId="77777777" w:rsidR="00D90E4A" w:rsidRDefault="00D90E4A" w:rsidP="006211D9"/>
    <w:p w14:paraId="22D1A7A4" w14:textId="77777777" w:rsidR="008D3D01" w:rsidRDefault="008D3D01" w:rsidP="006211D9"/>
    <w:p w14:paraId="60190C47" w14:textId="77777777" w:rsidR="008D3D01" w:rsidRDefault="008D3D01" w:rsidP="006211D9"/>
    <w:p w14:paraId="3BF8E77F" w14:textId="77777777" w:rsidR="008D3D01" w:rsidRDefault="008D3D01" w:rsidP="006211D9"/>
    <w:p w14:paraId="56D5B599" w14:textId="77777777" w:rsidR="008D3D01" w:rsidRDefault="008D3D01" w:rsidP="006211D9"/>
    <w:p w14:paraId="5FA48CD7" w14:textId="77777777" w:rsidR="008D3D01" w:rsidRDefault="008D3D01" w:rsidP="006211D9"/>
    <w:p w14:paraId="46BC0147" w14:textId="77777777" w:rsidR="008D3D01" w:rsidRDefault="008D3D01" w:rsidP="006211D9"/>
    <w:p w14:paraId="3589CD39" w14:textId="77777777" w:rsidR="008D3D01" w:rsidRDefault="008D3D01" w:rsidP="006211D9"/>
    <w:p w14:paraId="0292C1AD" w14:textId="77777777" w:rsidR="002B3456" w:rsidRDefault="002B3456" w:rsidP="006211D9"/>
    <w:p w14:paraId="531CC5A4" w14:textId="77777777" w:rsidR="00020F6B" w:rsidRDefault="00020F6B" w:rsidP="006211D9">
      <w:r>
        <w:br w:type="page"/>
      </w:r>
    </w:p>
    <w:p w14:paraId="11D6FC79" w14:textId="77777777" w:rsidR="006F1481" w:rsidRDefault="006F1481" w:rsidP="006211D9"/>
    <w:p w14:paraId="7FA07AE8" w14:textId="77777777" w:rsidR="006F1481" w:rsidRPr="008D3D01" w:rsidRDefault="006F1481" w:rsidP="00BC026A">
      <w:pPr>
        <w:pStyle w:val="BodyText"/>
        <w:jc w:val="center"/>
        <w:rPr>
          <w:b/>
          <w:szCs w:val="24"/>
          <w:lang w:val="hr-HR"/>
        </w:rPr>
      </w:pPr>
      <w:r>
        <w:rPr>
          <w:b/>
          <w:szCs w:val="24"/>
          <w:lang w:val="hr-HR"/>
        </w:rPr>
        <w:t>PRILOG 3.</w:t>
      </w:r>
    </w:p>
    <w:p w14:paraId="4A980506" w14:textId="77777777" w:rsidR="008D3D01" w:rsidRPr="008D3D01" w:rsidRDefault="008D3D01" w:rsidP="006F1481">
      <w:pPr>
        <w:pStyle w:val="NoSpacing"/>
        <w:jc w:val="both"/>
      </w:pPr>
      <w:r w:rsidRPr="008D3D01">
        <w:t>U tablici u nastavku navedeni su Datumi plaćanja glavnice Zajma i postotak ukupnog iznosa glavnice Zajma plativ na svaki Datum plaćanja glavnice („</w:t>
      </w:r>
      <w:r w:rsidRPr="008D3D01" w:rsidDel="000340CE">
        <w:t xml:space="preserve"> </w:t>
      </w:r>
      <w:r w:rsidRPr="008D3D01">
        <w:t>Udio otplatne rate”).</w:t>
      </w:r>
    </w:p>
    <w:p w14:paraId="4505A300" w14:textId="77777777" w:rsidR="008D3D01" w:rsidRPr="008D3D01" w:rsidRDefault="008D3D01" w:rsidP="008D3D01">
      <w:pPr>
        <w:pStyle w:val="BodyText"/>
        <w:ind w:left="720"/>
        <w:rPr>
          <w:szCs w:val="24"/>
          <w:lang w:val="hr-HR"/>
        </w:rPr>
      </w:pPr>
    </w:p>
    <w:p w14:paraId="044B1F74" w14:textId="77777777" w:rsidR="008D3D01" w:rsidRPr="008D3D01" w:rsidRDefault="008D3D01" w:rsidP="008D3D01">
      <w:pPr>
        <w:jc w:val="center"/>
      </w:pPr>
      <w:r w:rsidRPr="008D3D01">
        <w:rPr>
          <w:b/>
        </w:rPr>
        <w:t>Otplata glavnice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4429"/>
      </w:tblGrid>
      <w:tr w:rsidR="008D3D01" w:rsidRPr="00D86FAE" w14:paraId="09229F58" w14:textId="77777777" w:rsidTr="001404B9">
        <w:trPr>
          <w:trHeight w:val="265"/>
        </w:trPr>
        <w:tc>
          <w:tcPr>
            <w:tcW w:w="2498" w:type="pct"/>
          </w:tcPr>
          <w:p w14:paraId="5102608F" w14:textId="77777777" w:rsidR="008D3D01" w:rsidRPr="00D86FAE" w:rsidRDefault="008D3D01" w:rsidP="009406BD">
            <w:pPr>
              <w:pStyle w:val="BodyText"/>
              <w:spacing w:after="100" w:afterAutospacing="1"/>
              <w:jc w:val="center"/>
              <w:rPr>
                <w:b/>
                <w:sz w:val="22"/>
                <w:szCs w:val="22"/>
                <w:lang w:val="hr-HR"/>
              </w:rPr>
            </w:pPr>
            <w:r w:rsidRPr="00D86FAE">
              <w:rPr>
                <w:b/>
                <w:sz w:val="22"/>
                <w:szCs w:val="22"/>
                <w:lang w:val="hr-HR"/>
              </w:rPr>
              <w:t>Datum plaćanja glavnice</w:t>
            </w:r>
          </w:p>
        </w:tc>
        <w:tc>
          <w:tcPr>
            <w:tcW w:w="2502" w:type="pct"/>
          </w:tcPr>
          <w:p w14:paraId="633F295C" w14:textId="77777777" w:rsidR="008D3D01" w:rsidRPr="00D86FAE" w:rsidRDefault="008D3D01" w:rsidP="009406BD">
            <w:pPr>
              <w:pStyle w:val="BodyText"/>
              <w:spacing w:after="100" w:afterAutospacing="1"/>
              <w:jc w:val="center"/>
              <w:rPr>
                <w:sz w:val="22"/>
                <w:szCs w:val="22"/>
                <w:lang w:val="hr-HR"/>
              </w:rPr>
            </w:pPr>
            <w:r w:rsidRPr="00D86FAE">
              <w:rPr>
                <w:b/>
                <w:sz w:val="22"/>
                <w:szCs w:val="22"/>
                <w:lang w:val="hr-HR"/>
              </w:rPr>
              <w:t>Udio otplatne rate</w:t>
            </w:r>
          </w:p>
        </w:tc>
      </w:tr>
      <w:tr w:rsidR="008D3D01" w:rsidRPr="00D86FAE" w14:paraId="65BBA00C" w14:textId="77777777" w:rsidTr="001404B9">
        <w:trPr>
          <w:trHeight w:val="754"/>
        </w:trPr>
        <w:tc>
          <w:tcPr>
            <w:tcW w:w="2498" w:type="pct"/>
          </w:tcPr>
          <w:p w14:paraId="10479C2F" w14:textId="77777777" w:rsidR="008D3D01" w:rsidRDefault="008D3D01" w:rsidP="006F1481">
            <w:pPr>
              <w:pStyle w:val="NoSpacing"/>
              <w:jc w:val="both"/>
            </w:pPr>
            <w:r w:rsidRPr="00D86FAE">
              <w:t>Svakog 15.</w:t>
            </w:r>
            <w:r>
              <w:t xml:space="preserve"> svibnja</w:t>
            </w:r>
            <w:r w:rsidRPr="00D86FAE">
              <w:t xml:space="preserve"> i 15.</w:t>
            </w:r>
            <w:r>
              <w:t xml:space="preserve"> </w:t>
            </w:r>
            <w:r w:rsidR="00982CAA">
              <w:t>s</w:t>
            </w:r>
            <w:r>
              <w:t>tudenog</w:t>
            </w:r>
          </w:p>
          <w:p w14:paraId="263F66CE" w14:textId="77777777" w:rsidR="008D3D01" w:rsidRPr="00D86FAE" w:rsidRDefault="00BC026A" w:rsidP="006F1481">
            <w:pPr>
              <w:pStyle w:val="NoSpacing"/>
              <w:jc w:val="both"/>
            </w:pPr>
            <w:r>
              <w:t xml:space="preserve">             </w:t>
            </w:r>
            <w:r w:rsidR="008D3D01" w:rsidRPr="00D86FAE">
              <w:t xml:space="preserve">počevši od </w:t>
            </w:r>
            <w:r w:rsidR="008D3D01">
              <w:t>15. svibnja 2025.</w:t>
            </w:r>
            <w:r w:rsidR="008D3D01" w:rsidRPr="00D86FAE">
              <w:t xml:space="preserve"> </w:t>
            </w:r>
            <w:r>
              <w:br/>
              <w:t xml:space="preserve">             </w:t>
            </w:r>
            <w:r w:rsidR="008D3D01" w:rsidRPr="00D86FAE">
              <w:t xml:space="preserve">do </w:t>
            </w:r>
            <w:r w:rsidR="008D3D01">
              <w:t>15. studenog 2029.</w:t>
            </w:r>
          </w:p>
        </w:tc>
        <w:tc>
          <w:tcPr>
            <w:tcW w:w="2502" w:type="pct"/>
            <w:vAlign w:val="bottom"/>
          </w:tcPr>
          <w:p w14:paraId="6957BB5C" w14:textId="77777777" w:rsidR="008D3D01" w:rsidRPr="00D86FAE" w:rsidRDefault="008D3D01" w:rsidP="009406BD">
            <w:pPr>
              <w:pStyle w:val="BodyText"/>
              <w:spacing w:after="0"/>
              <w:jc w:val="center"/>
              <w:rPr>
                <w:sz w:val="22"/>
                <w:szCs w:val="22"/>
                <w:lang w:val="hr-HR"/>
              </w:rPr>
            </w:pPr>
            <w:r>
              <w:rPr>
                <w:sz w:val="22"/>
                <w:szCs w:val="22"/>
                <w:lang w:val="hr-HR"/>
              </w:rPr>
              <w:t>10</w:t>
            </w:r>
            <w:r w:rsidRPr="00D86FAE">
              <w:rPr>
                <w:sz w:val="22"/>
                <w:szCs w:val="22"/>
                <w:lang w:val="hr-HR"/>
              </w:rPr>
              <w:t xml:space="preserve"> %</w:t>
            </w:r>
          </w:p>
        </w:tc>
      </w:tr>
    </w:tbl>
    <w:p w14:paraId="69F7CE37" w14:textId="77777777" w:rsidR="008D3D01" w:rsidRDefault="008D3D01" w:rsidP="006211D9"/>
    <w:p w14:paraId="62AEF65C" w14:textId="77777777" w:rsidR="008D3D01" w:rsidRDefault="008D3D01" w:rsidP="006211D9"/>
    <w:p w14:paraId="6D2E1437" w14:textId="77777777" w:rsidR="008D3D01" w:rsidRDefault="008D3D01" w:rsidP="006211D9"/>
    <w:p w14:paraId="1BCA784B" w14:textId="77777777" w:rsidR="008D3D01" w:rsidRDefault="008D3D01" w:rsidP="006211D9"/>
    <w:p w14:paraId="4175A7E4" w14:textId="77777777" w:rsidR="008D3D01" w:rsidRDefault="008D3D01" w:rsidP="006211D9"/>
    <w:p w14:paraId="59B6BD14" w14:textId="77777777" w:rsidR="008D3D01" w:rsidRDefault="008D3D01" w:rsidP="006211D9"/>
    <w:p w14:paraId="52808DA5" w14:textId="77777777" w:rsidR="008D3D01" w:rsidRDefault="008D3D01" w:rsidP="006211D9"/>
    <w:p w14:paraId="28C6C391" w14:textId="77777777" w:rsidR="008D3D01" w:rsidRDefault="008D3D01" w:rsidP="006211D9"/>
    <w:p w14:paraId="6C49563C" w14:textId="77777777" w:rsidR="008D3D01" w:rsidRDefault="008D3D01" w:rsidP="006211D9"/>
    <w:p w14:paraId="547E1D5A" w14:textId="77777777" w:rsidR="008D3D01" w:rsidRDefault="008D3D01" w:rsidP="006211D9"/>
    <w:p w14:paraId="0538F2B8" w14:textId="77777777" w:rsidR="008D3D01" w:rsidRDefault="008D3D01" w:rsidP="006211D9"/>
    <w:p w14:paraId="74C43B55" w14:textId="77777777" w:rsidR="008D3D01" w:rsidRDefault="008D3D01" w:rsidP="006211D9"/>
    <w:p w14:paraId="27251874" w14:textId="77777777" w:rsidR="008D3D01" w:rsidRDefault="008D3D01" w:rsidP="006211D9"/>
    <w:p w14:paraId="5527D542" w14:textId="77777777" w:rsidR="008D3D01" w:rsidRDefault="008D3D01" w:rsidP="006211D9"/>
    <w:p w14:paraId="742D2AE0" w14:textId="77777777" w:rsidR="008D3D01" w:rsidRDefault="008D3D01" w:rsidP="006211D9"/>
    <w:p w14:paraId="03D2D4C8" w14:textId="77777777" w:rsidR="008D3D01" w:rsidRDefault="008D3D01" w:rsidP="006211D9"/>
    <w:p w14:paraId="4A39A471" w14:textId="77777777" w:rsidR="008D3D01" w:rsidRDefault="008D3D01" w:rsidP="006211D9"/>
    <w:p w14:paraId="20666E33" w14:textId="77777777" w:rsidR="008D3D01" w:rsidRDefault="008D3D01" w:rsidP="006211D9"/>
    <w:p w14:paraId="149E6AA1" w14:textId="77777777" w:rsidR="008D3D01" w:rsidRDefault="008D3D01" w:rsidP="006211D9"/>
    <w:p w14:paraId="1C6D5CA3" w14:textId="77777777" w:rsidR="008D3D01" w:rsidRDefault="008D3D01" w:rsidP="006211D9"/>
    <w:p w14:paraId="2A878AE5" w14:textId="77777777" w:rsidR="008D3D01" w:rsidRDefault="008D3D01" w:rsidP="006211D9"/>
    <w:p w14:paraId="2CE83714" w14:textId="77777777" w:rsidR="008D3D01" w:rsidRDefault="008D3D01" w:rsidP="006211D9"/>
    <w:p w14:paraId="6395C378" w14:textId="77777777" w:rsidR="00C0085D" w:rsidRDefault="00C0085D" w:rsidP="006211D9"/>
    <w:p w14:paraId="0378BE32" w14:textId="77777777" w:rsidR="00C0085D" w:rsidRDefault="00C0085D" w:rsidP="006211D9"/>
    <w:p w14:paraId="4A253158" w14:textId="77777777" w:rsidR="0058443C" w:rsidRDefault="0058443C" w:rsidP="006211D9"/>
    <w:p w14:paraId="0FE2EB1E" w14:textId="77777777" w:rsidR="0058443C" w:rsidRDefault="0058443C" w:rsidP="006211D9"/>
    <w:p w14:paraId="0F6291D4" w14:textId="77777777" w:rsidR="008D3D01" w:rsidRDefault="008D3D01" w:rsidP="006211D9"/>
    <w:p w14:paraId="538120C5" w14:textId="77777777" w:rsidR="00312174" w:rsidRDefault="00312174" w:rsidP="006211D9"/>
    <w:p w14:paraId="1BD30C98" w14:textId="77777777" w:rsidR="00D90E4A" w:rsidRDefault="00D90E4A" w:rsidP="006211D9"/>
    <w:p w14:paraId="0A96F3B2" w14:textId="77777777" w:rsidR="00D90E4A" w:rsidRDefault="00D90E4A" w:rsidP="006211D9"/>
    <w:p w14:paraId="5C0FAA49" w14:textId="77777777" w:rsidR="00D90E4A" w:rsidRDefault="00D90E4A" w:rsidP="006211D9"/>
    <w:tbl>
      <w:tblPr>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2"/>
      </w:tblGrid>
      <w:tr w:rsidR="00E87F23" w:rsidRPr="005516A9" w14:paraId="71492ECC" w14:textId="77777777" w:rsidTr="0050171E">
        <w:trPr>
          <w:trHeight w:val="1984"/>
        </w:trPr>
        <w:tc>
          <w:tcPr>
            <w:tcW w:w="10112" w:type="dxa"/>
            <w:tcBorders>
              <w:top w:val="single" w:sz="4" w:space="0" w:color="auto"/>
              <w:bottom w:val="single" w:sz="4" w:space="0" w:color="auto"/>
            </w:tcBorders>
          </w:tcPr>
          <w:p w14:paraId="60049C51" w14:textId="77777777" w:rsidR="00E87F23" w:rsidRPr="00E87F23" w:rsidRDefault="00E87F23" w:rsidP="0050171E">
            <w:pPr>
              <w:pStyle w:val="Title"/>
              <w:rPr>
                <w:szCs w:val="24"/>
                <w:lang w:val="hr-HR"/>
              </w:rPr>
            </w:pPr>
            <w:bookmarkStart w:id="3" w:name="_Hlk38972016"/>
            <w:r w:rsidRPr="00E87F23">
              <w:rPr>
                <w:szCs w:val="24"/>
                <w:lang w:val="hr-HR"/>
              </w:rPr>
              <w:t>PRILOG 4.</w:t>
            </w:r>
          </w:p>
          <w:p w14:paraId="2BEDBB8D" w14:textId="77777777" w:rsidR="00E87F23" w:rsidRPr="002569DB" w:rsidRDefault="00E87F23" w:rsidP="0050171E">
            <w:pPr>
              <w:pStyle w:val="NoSpacing"/>
              <w:jc w:val="center"/>
              <w:rPr>
                <w:b/>
              </w:rPr>
            </w:pPr>
            <w:r w:rsidRPr="002569DB">
              <w:rPr>
                <w:b/>
              </w:rPr>
              <w:t>Pokazatelji na temelju kojih se odobrava povlačenje sredstava Zajma, prema očekivanoj kalendarskoj godini dovršetka (*)</w:t>
            </w:r>
          </w:p>
          <w:p w14:paraId="5A40C7D1" w14:textId="77777777" w:rsidR="00E87F23" w:rsidRPr="002569DB" w:rsidRDefault="00E87F23" w:rsidP="0050171E">
            <w:pPr>
              <w:pStyle w:val="NoSpacing"/>
              <w:jc w:val="center"/>
            </w:pPr>
          </w:p>
          <w:p w14:paraId="023E9497" w14:textId="77777777" w:rsidR="00E87F23" w:rsidRPr="002569DB" w:rsidRDefault="00E87F23" w:rsidP="0050171E">
            <w:pPr>
              <w:pStyle w:val="NoSpacing"/>
              <w:jc w:val="center"/>
              <w:rPr>
                <w:b/>
                <w:sz w:val="20"/>
                <w:szCs w:val="20"/>
              </w:rPr>
            </w:pPr>
            <w:r w:rsidRPr="002569DB">
              <w:rPr>
                <w:b/>
                <w:sz w:val="20"/>
                <w:szCs w:val="20"/>
              </w:rPr>
              <w:t>(* Kalendarske godine dovršetka postizanja DLI pokazatelja su indikativne: DLI pokazatelji mogu se ostvariti prije očekivanog datuma dovršetka navedenog u Prilogu IV. ili nakon navedenog datuma.)</w:t>
            </w:r>
          </w:p>
          <w:bookmarkEnd w:id="3"/>
          <w:p w14:paraId="35D71B67" w14:textId="77777777" w:rsidR="00E87F23" w:rsidRPr="008B3091" w:rsidRDefault="00E87F23" w:rsidP="0050171E">
            <w:pPr>
              <w:pStyle w:val="NoSpacing"/>
              <w:jc w:val="center"/>
              <w:rPr>
                <w:b/>
                <w:sz w:val="20"/>
                <w:szCs w:val="20"/>
              </w:rPr>
            </w:pPr>
          </w:p>
          <w:p w14:paraId="18432141" w14:textId="77777777" w:rsidR="00E87F23" w:rsidRPr="003F0CA0" w:rsidRDefault="00E87F23" w:rsidP="0050171E">
            <w:pPr>
              <w:jc w:val="center"/>
              <w:rPr>
                <w:rFonts w:ascii="Calibri" w:hAnsi="Calibri"/>
                <w:b/>
                <w:sz w:val="16"/>
                <w:szCs w:val="16"/>
              </w:rPr>
            </w:pPr>
          </w:p>
          <w:tbl>
            <w:tblPr>
              <w:tblStyle w:val="TableGrid"/>
              <w:tblW w:w="9228" w:type="dxa"/>
              <w:tblLayout w:type="fixed"/>
              <w:tblLook w:val="04A0" w:firstRow="1" w:lastRow="0" w:firstColumn="1" w:lastColumn="0" w:noHBand="0" w:noVBand="1"/>
            </w:tblPr>
            <w:tblGrid>
              <w:gridCol w:w="1413"/>
              <w:gridCol w:w="1276"/>
              <w:gridCol w:w="1679"/>
              <w:gridCol w:w="1486"/>
              <w:gridCol w:w="1328"/>
              <w:gridCol w:w="1255"/>
              <w:gridCol w:w="791"/>
            </w:tblGrid>
            <w:tr w:rsidR="00E87F23" w14:paraId="03990752" w14:textId="77777777" w:rsidTr="000E650C">
              <w:trPr>
                <w:trHeight w:val="440"/>
              </w:trPr>
              <w:tc>
                <w:tcPr>
                  <w:tcW w:w="1413" w:type="dxa"/>
                  <w:shd w:val="clear" w:color="auto" w:fill="E7E6E6" w:themeFill="background2"/>
                </w:tcPr>
                <w:p w14:paraId="625F7521" w14:textId="77777777" w:rsidR="000E650C" w:rsidRDefault="000E650C" w:rsidP="009A4D9E">
                  <w:pPr>
                    <w:spacing w:line="360" w:lineRule="auto"/>
                    <w:jc w:val="center"/>
                    <w:rPr>
                      <w:b/>
                      <w:sz w:val="18"/>
                      <w:szCs w:val="18"/>
                    </w:rPr>
                  </w:pPr>
                </w:p>
                <w:p w14:paraId="031D6DE0" w14:textId="77777777" w:rsidR="000E650C" w:rsidRDefault="000E650C" w:rsidP="009A4D9E">
                  <w:pPr>
                    <w:spacing w:line="360" w:lineRule="auto"/>
                    <w:jc w:val="center"/>
                    <w:rPr>
                      <w:b/>
                      <w:sz w:val="18"/>
                      <w:szCs w:val="18"/>
                    </w:rPr>
                  </w:pPr>
                </w:p>
                <w:p w14:paraId="1B0CD9A8" w14:textId="77777777" w:rsidR="00E87F23" w:rsidRPr="009A4D9E" w:rsidRDefault="00E87F23" w:rsidP="009A4D9E">
                  <w:pPr>
                    <w:spacing w:line="360" w:lineRule="auto"/>
                    <w:jc w:val="center"/>
                    <w:rPr>
                      <w:sz w:val="18"/>
                      <w:szCs w:val="18"/>
                    </w:rPr>
                  </w:pPr>
                  <w:r w:rsidRPr="009A4D9E">
                    <w:rPr>
                      <w:sz w:val="18"/>
                      <w:szCs w:val="18"/>
                    </w:rPr>
                    <w:t>Ciljevi</w:t>
                  </w:r>
                </w:p>
              </w:tc>
              <w:tc>
                <w:tcPr>
                  <w:tcW w:w="1276" w:type="dxa"/>
                  <w:shd w:val="clear" w:color="auto" w:fill="E7E6E6" w:themeFill="background2"/>
                </w:tcPr>
                <w:p w14:paraId="5706CD1C" w14:textId="77777777" w:rsidR="00E87F23" w:rsidRPr="008B3091" w:rsidRDefault="00E87F23" w:rsidP="009A4D9E">
                  <w:pPr>
                    <w:spacing w:line="360" w:lineRule="auto"/>
                    <w:jc w:val="center"/>
                    <w:rPr>
                      <w:b/>
                      <w:sz w:val="18"/>
                      <w:szCs w:val="18"/>
                    </w:rPr>
                  </w:pPr>
                  <w:r w:rsidRPr="008B3091">
                    <w:rPr>
                      <w:b/>
                      <w:sz w:val="18"/>
                      <w:szCs w:val="18"/>
                    </w:rPr>
                    <w:t>Skalabilnost</w:t>
                  </w:r>
                </w:p>
              </w:tc>
              <w:tc>
                <w:tcPr>
                  <w:tcW w:w="1679" w:type="dxa"/>
                  <w:shd w:val="clear" w:color="auto" w:fill="E7E6E6" w:themeFill="background2"/>
                </w:tcPr>
                <w:p w14:paraId="3AF79C2A" w14:textId="77777777" w:rsidR="000E650C" w:rsidRDefault="000E650C" w:rsidP="009A4D9E">
                  <w:pPr>
                    <w:spacing w:line="360" w:lineRule="auto"/>
                    <w:jc w:val="center"/>
                    <w:rPr>
                      <w:b/>
                      <w:sz w:val="18"/>
                      <w:szCs w:val="18"/>
                    </w:rPr>
                  </w:pPr>
                </w:p>
                <w:p w14:paraId="482ECDCD" w14:textId="77777777" w:rsidR="00E87F23" w:rsidRPr="008B3091" w:rsidRDefault="00E87F23" w:rsidP="009A4D9E">
                  <w:pPr>
                    <w:spacing w:line="360" w:lineRule="auto"/>
                    <w:jc w:val="center"/>
                    <w:rPr>
                      <w:b/>
                      <w:sz w:val="18"/>
                      <w:szCs w:val="18"/>
                    </w:rPr>
                  </w:pPr>
                  <w:r w:rsidRPr="008B3091">
                    <w:rPr>
                      <w:b/>
                      <w:sz w:val="18"/>
                      <w:szCs w:val="18"/>
                    </w:rPr>
                    <w:t>2020.</w:t>
                  </w:r>
                </w:p>
                <w:p w14:paraId="469A0372" w14:textId="77777777" w:rsidR="00E87F23" w:rsidRPr="008B3091" w:rsidRDefault="00E87F23" w:rsidP="009A4D9E">
                  <w:pPr>
                    <w:spacing w:line="360" w:lineRule="auto"/>
                    <w:jc w:val="center"/>
                    <w:rPr>
                      <w:b/>
                      <w:sz w:val="18"/>
                      <w:szCs w:val="18"/>
                    </w:rPr>
                  </w:pPr>
                  <w:r w:rsidRPr="008B3091">
                    <w:rPr>
                      <w:b/>
                      <w:sz w:val="18"/>
                      <w:szCs w:val="18"/>
                    </w:rPr>
                    <w:t>U milijunima EUR</w:t>
                  </w:r>
                </w:p>
              </w:tc>
              <w:tc>
                <w:tcPr>
                  <w:tcW w:w="1486" w:type="dxa"/>
                  <w:shd w:val="clear" w:color="auto" w:fill="E7E6E6" w:themeFill="background2"/>
                </w:tcPr>
                <w:p w14:paraId="1D82FB51" w14:textId="77777777" w:rsidR="000E650C" w:rsidRDefault="000E650C" w:rsidP="009A4D9E">
                  <w:pPr>
                    <w:spacing w:line="360" w:lineRule="auto"/>
                    <w:jc w:val="center"/>
                    <w:rPr>
                      <w:b/>
                      <w:sz w:val="18"/>
                      <w:szCs w:val="18"/>
                    </w:rPr>
                  </w:pPr>
                </w:p>
                <w:p w14:paraId="44F0102B" w14:textId="77777777" w:rsidR="00E87F23" w:rsidRPr="008B3091" w:rsidRDefault="00E87F23" w:rsidP="009A4D9E">
                  <w:pPr>
                    <w:spacing w:line="360" w:lineRule="auto"/>
                    <w:jc w:val="center"/>
                    <w:rPr>
                      <w:b/>
                      <w:sz w:val="18"/>
                      <w:szCs w:val="18"/>
                    </w:rPr>
                  </w:pPr>
                  <w:r w:rsidRPr="008B3091">
                    <w:rPr>
                      <w:b/>
                      <w:sz w:val="18"/>
                      <w:szCs w:val="18"/>
                    </w:rPr>
                    <w:t>2021.</w:t>
                  </w:r>
                </w:p>
                <w:p w14:paraId="48A90EDF" w14:textId="77777777" w:rsidR="00E87F23" w:rsidRPr="008B3091" w:rsidRDefault="00E87F23" w:rsidP="009A4D9E">
                  <w:pPr>
                    <w:spacing w:line="360" w:lineRule="auto"/>
                    <w:jc w:val="center"/>
                    <w:rPr>
                      <w:b/>
                      <w:sz w:val="18"/>
                      <w:szCs w:val="18"/>
                    </w:rPr>
                  </w:pPr>
                  <w:r w:rsidRPr="008B3091">
                    <w:rPr>
                      <w:b/>
                      <w:sz w:val="18"/>
                      <w:szCs w:val="18"/>
                    </w:rPr>
                    <w:t>U milijunima EUR</w:t>
                  </w:r>
                </w:p>
              </w:tc>
              <w:tc>
                <w:tcPr>
                  <w:tcW w:w="1328" w:type="dxa"/>
                  <w:shd w:val="clear" w:color="auto" w:fill="E7E6E6" w:themeFill="background2"/>
                </w:tcPr>
                <w:p w14:paraId="18AC6545" w14:textId="77777777" w:rsidR="000E650C" w:rsidRDefault="000E650C" w:rsidP="009A4D9E">
                  <w:pPr>
                    <w:spacing w:line="360" w:lineRule="auto"/>
                    <w:jc w:val="center"/>
                    <w:rPr>
                      <w:b/>
                      <w:sz w:val="18"/>
                      <w:szCs w:val="18"/>
                    </w:rPr>
                  </w:pPr>
                </w:p>
                <w:p w14:paraId="28B5BCE5" w14:textId="77777777" w:rsidR="00E87F23" w:rsidRPr="008B3091" w:rsidRDefault="00E87F23" w:rsidP="009A4D9E">
                  <w:pPr>
                    <w:spacing w:line="360" w:lineRule="auto"/>
                    <w:jc w:val="center"/>
                    <w:rPr>
                      <w:b/>
                      <w:sz w:val="18"/>
                      <w:szCs w:val="18"/>
                    </w:rPr>
                  </w:pPr>
                  <w:r w:rsidRPr="008B3091">
                    <w:rPr>
                      <w:b/>
                      <w:sz w:val="18"/>
                      <w:szCs w:val="18"/>
                    </w:rPr>
                    <w:t>2022.</w:t>
                  </w:r>
                </w:p>
                <w:p w14:paraId="5F1C52D7" w14:textId="77777777" w:rsidR="00E87F23" w:rsidRPr="008B3091" w:rsidRDefault="00E87F23" w:rsidP="009A4D9E">
                  <w:pPr>
                    <w:spacing w:line="360" w:lineRule="auto"/>
                    <w:jc w:val="center"/>
                    <w:rPr>
                      <w:b/>
                      <w:sz w:val="18"/>
                      <w:szCs w:val="18"/>
                    </w:rPr>
                  </w:pPr>
                  <w:r w:rsidRPr="008B3091">
                    <w:rPr>
                      <w:b/>
                      <w:sz w:val="18"/>
                      <w:szCs w:val="18"/>
                    </w:rPr>
                    <w:t>U milijunima EUR</w:t>
                  </w:r>
                </w:p>
              </w:tc>
              <w:tc>
                <w:tcPr>
                  <w:tcW w:w="1255" w:type="dxa"/>
                  <w:shd w:val="clear" w:color="auto" w:fill="E7E6E6" w:themeFill="background2"/>
                </w:tcPr>
                <w:p w14:paraId="5CA2DE0B" w14:textId="77777777" w:rsidR="000E650C" w:rsidRDefault="000E650C" w:rsidP="009A4D9E">
                  <w:pPr>
                    <w:spacing w:line="360" w:lineRule="auto"/>
                    <w:jc w:val="center"/>
                    <w:rPr>
                      <w:b/>
                      <w:sz w:val="18"/>
                      <w:szCs w:val="18"/>
                    </w:rPr>
                  </w:pPr>
                </w:p>
                <w:p w14:paraId="6F2D20F6" w14:textId="77777777" w:rsidR="00E87F23" w:rsidRPr="008B3091" w:rsidRDefault="00E87F23" w:rsidP="009A4D9E">
                  <w:pPr>
                    <w:spacing w:line="360" w:lineRule="auto"/>
                    <w:jc w:val="center"/>
                    <w:rPr>
                      <w:b/>
                      <w:sz w:val="18"/>
                      <w:szCs w:val="18"/>
                    </w:rPr>
                  </w:pPr>
                  <w:r w:rsidRPr="008B3091">
                    <w:rPr>
                      <w:b/>
                      <w:sz w:val="18"/>
                      <w:szCs w:val="18"/>
                    </w:rPr>
                    <w:t>2023.</w:t>
                  </w:r>
                </w:p>
                <w:p w14:paraId="31567CD2" w14:textId="77777777" w:rsidR="00E87F23" w:rsidRPr="008B3091" w:rsidRDefault="00E87F23" w:rsidP="009A4D9E">
                  <w:pPr>
                    <w:spacing w:line="360" w:lineRule="auto"/>
                    <w:jc w:val="center"/>
                    <w:rPr>
                      <w:b/>
                      <w:sz w:val="18"/>
                      <w:szCs w:val="18"/>
                    </w:rPr>
                  </w:pPr>
                  <w:r w:rsidRPr="008B3091">
                    <w:rPr>
                      <w:b/>
                      <w:sz w:val="18"/>
                      <w:szCs w:val="18"/>
                    </w:rPr>
                    <w:t>U milijunima EUR</w:t>
                  </w:r>
                </w:p>
              </w:tc>
              <w:tc>
                <w:tcPr>
                  <w:tcW w:w="791" w:type="dxa"/>
                  <w:shd w:val="clear" w:color="auto" w:fill="E7E6E6" w:themeFill="background2"/>
                </w:tcPr>
                <w:p w14:paraId="5DFF5D14" w14:textId="77777777" w:rsidR="00E87F23" w:rsidRPr="008B3091" w:rsidRDefault="00E87F23" w:rsidP="009A4D9E">
                  <w:pPr>
                    <w:spacing w:line="360" w:lineRule="auto"/>
                    <w:jc w:val="center"/>
                    <w:rPr>
                      <w:b/>
                      <w:sz w:val="18"/>
                      <w:szCs w:val="18"/>
                    </w:rPr>
                  </w:pPr>
                  <w:r w:rsidRPr="008B3091">
                    <w:rPr>
                      <w:b/>
                      <w:sz w:val="18"/>
                      <w:szCs w:val="18"/>
                    </w:rPr>
                    <w:t>2024.</w:t>
                  </w:r>
                </w:p>
                <w:p w14:paraId="28A2AB79" w14:textId="77777777" w:rsidR="00E87F23" w:rsidRPr="008B3091" w:rsidRDefault="000E650C" w:rsidP="009A4D9E">
                  <w:pPr>
                    <w:spacing w:line="360" w:lineRule="auto"/>
                    <w:jc w:val="center"/>
                    <w:rPr>
                      <w:b/>
                      <w:sz w:val="18"/>
                      <w:szCs w:val="18"/>
                    </w:rPr>
                  </w:pPr>
                  <w:r>
                    <w:rPr>
                      <w:b/>
                      <w:sz w:val="18"/>
                      <w:szCs w:val="18"/>
                    </w:rPr>
                    <w:t>U milijunima eura</w:t>
                  </w:r>
                </w:p>
              </w:tc>
            </w:tr>
            <w:tr w:rsidR="00E87F23" w14:paraId="26835B4A" w14:textId="77777777" w:rsidTr="00EE69F1">
              <w:tc>
                <w:tcPr>
                  <w:tcW w:w="1413" w:type="dxa"/>
                  <w:shd w:val="clear" w:color="auto" w:fill="auto"/>
                  <w:vAlign w:val="center"/>
                </w:tcPr>
                <w:p w14:paraId="20BA7768" w14:textId="77777777" w:rsidR="00E87F23" w:rsidRPr="008B3091" w:rsidRDefault="00E87F23" w:rsidP="0050171E">
                  <w:pPr>
                    <w:rPr>
                      <w:b/>
                      <w:bCs/>
                      <w:color w:val="000000" w:themeColor="text1"/>
                      <w:sz w:val="18"/>
                      <w:szCs w:val="18"/>
                    </w:rPr>
                  </w:pPr>
                  <w:r w:rsidRPr="008B3091">
                    <w:rPr>
                      <w:b/>
                      <w:sz w:val="18"/>
                      <w:szCs w:val="18"/>
                    </w:rPr>
                    <w:t xml:space="preserve">Dio 1: </w:t>
                  </w:r>
                  <w:bookmarkStart w:id="4" w:name="_Hlk32058653"/>
                  <w:r w:rsidRPr="008B3091">
                    <w:rPr>
                      <w:b/>
                      <w:sz w:val="18"/>
                      <w:szCs w:val="18"/>
                    </w:rPr>
                    <w:t xml:space="preserve">Smanjenje </w:t>
                  </w:r>
                  <w:bookmarkStart w:id="5" w:name="_Hlk32576594"/>
                  <w:r w:rsidRPr="008B3091">
                    <w:rPr>
                      <w:b/>
                      <w:sz w:val="18"/>
                      <w:szCs w:val="18"/>
                    </w:rPr>
                    <w:t>administrativnog opterećenja poduzeća u interakciji s državom</w:t>
                  </w:r>
                  <w:bookmarkEnd w:id="4"/>
                  <w:bookmarkEnd w:id="5"/>
                </w:p>
              </w:tc>
              <w:tc>
                <w:tcPr>
                  <w:tcW w:w="1276" w:type="dxa"/>
                  <w:shd w:val="clear" w:color="auto" w:fill="auto"/>
                </w:tcPr>
                <w:p w14:paraId="2C83A77A" w14:textId="77777777" w:rsidR="00E87F23" w:rsidRPr="00F170F7" w:rsidRDefault="00E87F23" w:rsidP="0050171E">
                  <w:pPr>
                    <w:jc w:val="center"/>
                    <w:rPr>
                      <w:b/>
                      <w:bCs/>
                      <w:color w:val="000000" w:themeColor="text1"/>
                      <w:sz w:val="18"/>
                      <w:szCs w:val="18"/>
                    </w:rPr>
                  </w:pPr>
                </w:p>
              </w:tc>
              <w:tc>
                <w:tcPr>
                  <w:tcW w:w="1679" w:type="dxa"/>
                  <w:shd w:val="clear" w:color="auto" w:fill="auto"/>
                  <w:vAlign w:val="center"/>
                </w:tcPr>
                <w:p w14:paraId="51BCACDD" w14:textId="77777777" w:rsidR="00E87F23" w:rsidRPr="00F170F7" w:rsidRDefault="00E87F23" w:rsidP="0050171E">
                  <w:pPr>
                    <w:jc w:val="center"/>
                    <w:rPr>
                      <w:b/>
                      <w:bCs/>
                      <w:color w:val="000000" w:themeColor="text1"/>
                      <w:sz w:val="18"/>
                      <w:szCs w:val="18"/>
                    </w:rPr>
                  </w:pPr>
                </w:p>
              </w:tc>
              <w:tc>
                <w:tcPr>
                  <w:tcW w:w="1486" w:type="dxa"/>
                  <w:shd w:val="clear" w:color="auto" w:fill="auto"/>
                  <w:vAlign w:val="center"/>
                </w:tcPr>
                <w:p w14:paraId="4E40874E" w14:textId="77777777" w:rsidR="00E87F23" w:rsidRPr="00F170F7" w:rsidRDefault="00E87F23" w:rsidP="0050171E">
                  <w:pPr>
                    <w:jc w:val="center"/>
                    <w:rPr>
                      <w:b/>
                      <w:bCs/>
                      <w:color w:val="000000" w:themeColor="text1"/>
                      <w:sz w:val="18"/>
                      <w:szCs w:val="18"/>
                    </w:rPr>
                  </w:pPr>
                </w:p>
              </w:tc>
              <w:tc>
                <w:tcPr>
                  <w:tcW w:w="1328" w:type="dxa"/>
                  <w:shd w:val="clear" w:color="auto" w:fill="auto"/>
                  <w:vAlign w:val="center"/>
                </w:tcPr>
                <w:p w14:paraId="1C93A031" w14:textId="77777777" w:rsidR="00E87F23" w:rsidRPr="00F170F7" w:rsidRDefault="00E87F23" w:rsidP="0050171E">
                  <w:pPr>
                    <w:jc w:val="center"/>
                    <w:rPr>
                      <w:b/>
                      <w:bCs/>
                      <w:color w:val="000000" w:themeColor="text1"/>
                      <w:sz w:val="18"/>
                      <w:szCs w:val="18"/>
                    </w:rPr>
                  </w:pPr>
                </w:p>
              </w:tc>
              <w:tc>
                <w:tcPr>
                  <w:tcW w:w="1255" w:type="dxa"/>
                  <w:shd w:val="clear" w:color="auto" w:fill="auto"/>
                  <w:vAlign w:val="center"/>
                </w:tcPr>
                <w:p w14:paraId="66753E02" w14:textId="77777777" w:rsidR="00E87F23" w:rsidRPr="00F170F7" w:rsidRDefault="00E87F23" w:rsidP="0050171E">
                  <w:pPr>
                    <w:jc w:val="center"/>
                    <w:rPr>
                      <w:b/>
                      <w:bCs/>
                      <w:color w:val="000000" w:themeColor="text1"/>
                      <w:sz w:val="18"/>
                      <w:szCs w:val="18"/>
                    </w:rPr>
                  </w:pPr>
                </w:p>
              </w:tc>
              <w:tc>
                <w:tcPr>
                  <w:tcW w:w="791" w:type="dxa"/>
                  <w:shd w:val="clear" w:color="auto" w:fill="auto"/>
                  <w:vAlign w:val="center"/>
                </w:tcPr>
                <w:p w14:paraId="3AD8B422" w14:textId="77777777" w:rsidR="00E87F23" w:rsidRPr="00F170F7" w:rsidRDefault="00E87F23" w:rsidP="0050171E">
                  <w:pPr>
                    <w:jc w:val="center"/>
                    <w:rPr>
                      <w:b/>
                      <w:bCs/>
                      <w:color w:val="000000" w:themeColor="text1"/>
                      <w:sz w:val="18"/>
                      <w:szCs w:val="18"/>
                    </w:rPr>
                  </w:pPr>
                </w:p>
              </w:tc>
            </w:tr>
            <w:tr w:rsidR="00E87F23" w14:paraId="0F46542E" w14:textId="77777777" w:rsidTr="00F84D70">
              <w:tc>
                <w:tcPr>
                  <w:tcW w:w="1413" w:type="dxa"/>
                  <w:vAlign w:val="center"/>
                </w:tcPr>
                <w:p w14:paraId="1851DEAE" w14:textId="77777777" w:rsidR="00E87F23" w:rsidRPr="008B3091" w:rsidRDefault="00E87F23" w:rsidP="004252CB">
                  <w:pPr>
                    <w:spacing w:line="276" w:lineRule="auto"/>
                    <w:rPr>
                      <w:sz w:val="18"/>
                      <w:szCs w:val="18"/>
                    </w:rPr>
                  </w:pPr>
                  <w:r w:rsidRPr="008B3091">
                    <w:rPr>
                      <w:b/>
                      <w:sz w:val="18"/>
                      <w:szCs w:val="18"/>
                    </w:rPr>
                    <w:t xml:space="preserve">DLI 1: </w:t>
                  </w:r>
                  <w:r w:rsidRPr="008B3091">
                    <w:rPr>
                      <w:sz w:val="18"/>
                      <w:szCs w:val="18"/>
                    </w:rPr>
                    <w:t xml:space="preserve">Uvođenje </w:t>
                  </w:r>
                  <w:bookmarkStart w:id="6" w:name="_Hlk32058941"/>
                  <w:r w:rsidRPr="008B3091">
                    <w:rPr>
                      <w:sz w:val="18"/>
                      <w:szCs w:val="18"/>
                    </w:rPr>
                    <w:t>jedinstvene digitalne platforme</w:t>
                  </w:r>
                  <w:bookmarkEnd w:id="6"/>
                  <w:r w:rsidRPr="008B3091">
                    <w:rPr>
                      <w:sz w:val="18"/>
                      <w:szCs w:val="18"/>
                    </w:rPr>
                    <w:t xml:space="preserve"> za d.o.o. - e</w:t>
                  </w:r>
                </w:p>
                <w:p w14:paraId="17D886EA" w14:textId="77777777" w:rsidR="00E87F23" w:rsidRPr="00F170F7" w:rsidRDefault="00E87F23" w:rsidP="0050171E">
                  <w:pPr>
                    <w:rPr>
                      <w:color w:val="000000" w:themeColor="text1"/>
                      <w:sz w:val="18"/>
                      <w:szCs w:val="18"/>
                    </w:rPr>
                  </w:pPr>
                </w:p>
              </w:tc>
              <w:tc>
                <w:tcPr>
                  <w:tcW w:w="1276" w:type="dxa"/>
                </w:tcPr>
                <w:p w14:paraId="68BC8058" w14:textId="77777777" w:rsidR="00E87F23" w:rsidRPr="00F170F7" w:rsidRDefault="00E87F23" w:rsidP="0050171E">
                  <w:pPr>
                    <w:jc w:val="center"/>
                    <w:rPr>
                      <w:color w:val="000000" w:themeColor="text1"/>
                      <w:sz w:val="18"/>
                      <w:szCs w:val="18"/>
                    </w:rPr>
                  </w:pPr>
                  <w:r>
                    <w:rPr>
                      <w:color w:val="000000" w:themeColor="text1"/>
                      <w:sz w:val="18"/>
                      <w:szCs w:val="18"/>
                    </w:rPr>
                    <w:t>Ne</w:t>
                  </w:r>
                </w:p>
              </w:tc>
              <w:tc>
                <w:tcPr>
                  <w:tcW w:w="1679" w:type="dxa"/>
                </w:tcPr>
                <w:p w14:paraId="229498CC" w14:textId="77777777" w:rsidR="00E87F23" w:rsidRPr="008B3091" w:rsidRDefault="00E87F23" w:rsidP="0050171E">
                  <w:pPr>
                    <w:rPr>
                      <w:sz w:val="18"/>
                      <w:szCs w:val="18"/>
                    </w:rPr>
                  </w:pPr>
                  <w:r w:rsidRPr="008B3091">
                    <w:rPr>
                      <w:sz w:val="18"/>
                      <w:szCs w:val="18"/>
                    </w:rPr>
                    <w:t xml:space="preserve">Jedinstvena digitalna platforma omogućuje izvršenje svih formalnosti koje 5 nadležnih tijela (registar trgovačkog suda, Porezna uprava, DZS, HZMO i HZZO) zahtijeva za pokretanje d.o.o. – a, putem  jedinstvenog prijavnog obrasca, ili </w:t>
                  </w:r>
                  <w:r w:rsidRPr="008B3091">
                    <w:rPr>
                      <w:i/>
                      <w:iCs/>
                      <w:sz w:val="18"/>
                      <w:szCs w:val="18"/>
                    </w:rPr>
                    <w:t>online</w:t>
                  </w:r>
                  <w:r w:rsidRPr="008B3091">
                    <w:rPr>
                      <w:sz w:val="18"/>
                      <w:szCs w:val="18"/>
                    </w:rPr>
                    <w:t xml:space="preserve"> ili putem FINA-inih fizičkih pristupnih točaka.</w:t>
                  </w:r>
                </w:p>
                <w:p w14:paraId="39B68202" w14:textId="77777777" w:rsidR="00E87F23" w:rsidRPr="008B3091" w:rsidRDefault="00E87F23" w:rsidP="0050171E">
                  <w:pPr>
                    <w:rPr>
                      <w:sz w:val="18"/>
                      <w:szCs w:val="18"/>
                    </w:rPr>
                  </w:pPr>
                </w:p>
                <w:p w14:paraId="29A64D89" w14:textId="77777777" w:rsidR="00E87F23" w:rsidRPr="008B3091" w:rsidRDefault="00E87F23" w:rsidP="0050171E">
                  <w:pPr>
                    <w:rPr>
                      <w:sz w:val="18"/>
                      <w:szCs w:val="18"/>
                    </w:rPr>
                  </w:pPr>
                  <w:r w:rsidRPr="008B3091">
                    <w:rPr>
                      <w:sz w:val="18"/>
                      <w:szCs w:val="18"/>
                    </w:rPr>
                    <w:t>Podaci o d.o.o. – ima registriranima putem fizičkih pristupnih točaka na sudovima automatski će biti dostupni jedinstvenoj digitalnoj platformi.</w:t>
                  </w:r>
                </w:p>
                <w:p w14:paraId="6BF94D32" w14:textId="77777777" w:rsidR="00E87F23" w:rsidRDefault="00E87F23" w:rsidP="0050171E">
                  <w:pPr>
                    <w:rPr>
                      <w:sz w:val="18"/>
                      <w:szCs w:val="18"/>
                    </w:rPr>
                  </w:pPr>
                </w:p>
                <w:p w14:paraId="56135B7E" w14:textId="77777777" w:rsidR="007A06F0" w:rsidRDefault="007A06F0" w:rsidP="0050171E">
                  <w:pPr>
                    <w:rPr>
                      <w:sz w:val="18"/>
                      <w:szCs w:val="18"/>
                    </w:rPr>
                  </w:pPr>
                </w:p>
                <w:p w14:paraId="3FA9D301" w14:textId="77777777" w:rsidR="007A06F0" w:rsidRPr="008B3091" w:rsidRDefault="007A06F0" w:rsidP="0050171E">
                  <w:pPr>
                    <w:rPr>
                      <w:sz w:val="18"/>
                      <w:szCs w:val="18"/>
                    </w:rPr>
                  </w:pPr>
                </w:p>
                <w:p w14:paraId="7110AC38" w14:textId="77777777" w:rsidR="00E87F23" w:rsidRDefault="00E87F23" w:rsidP="0050171E">
                  <w:pPr>
                    <w:rPr>
                      <w:sz w:val="18"/>
                      <w:szCs w:val="18"/>
                    </w:rPr>
                  </w:pPr>
                  <w:r w:rsidRPr="008B3091">
                    <w:rPr>
                      <w:sz w:val="18"/>
                      <w:szCs w:val="18"/>
                    </w:rPr>
                    <w:t>2,0</w:t>
                  </w:r>
                </w:p>
                <w:p w14:paraId="27ABDEE6" w14:textId="77777777" w:rsidR="00E87F23" w:rsidRPr="008B3091" w:rsidRDefault="00E87F23" w:rsidP="0050171E">
                  <w:pPr>
                    <w:jc w:val="center"/>
                    <w:rPr>
                      <w:sz w:val="18"/>
                      <w:szCs w:val="18"/>
                    </w:rPr>
                  </w:pPr>
                </w:p>
                <w:p w14:paraId="0792EF75" w14:textId="77777777" w:rsidR="00E87F23" w:rsidRDefault="00E87F23" w:rsidP="0050171E">
                  <w:pPr>
                    <w:rPr>
                      <w:sz w:val="18"/>
                      <w:szCs w:val="18"/>
                    </w:rPr>
                  </w:pPr>
                  <w:r w:rsidRPr="008B3091">
                    <w:rPr>
                      <w:sz w:val="18"/>
                      <w:szCs w:val="18"/>
                    </w:rPr>
                    <w:t>Podaci o d.o.o. – ima registriranima putem fizičkih pristupnih točaka na sudovima automatski će biti dostupni jedinstvenoj digitalnoj platformi.</w:t>
                  </w:r>
                </w:p>
                <w:p w14:paraId="2AF8FD13" w14:textId="77777777" w:rsidR="00E87F23" w:rsidRPr="008B3091" w:rsidRDefault="00E87F23" w:rsidP="0050171E">
                  <w:pPr>
                    <w:rPr>
                      <w:sz w:val="18"/>
                      <w:szCs w:val="18"/>
                    </w:rPr>
                  </w:pPr>
                </w:p>
                <w:p w14:paraId="2D1183C4" w14:textId="77777777" w:rsidR="00E87F23" w:rsidRPr="008B3091" w:rsidRDefault="00E87F23" w:rsidP="0050171E">
                  <w:pPr>
                    <w:rPr>
                      <w:sz w:val="18"/>
                      <w:szCs w:val="18"/>
                    </w:rPr>
                  </w:pPr>
                </w:p>
                <w:p w14:paraId="13F8C315" w14:textId="77777777" w:rsidR="00E87F23" w:rsidRPr="008B3091" w:rsidRDefault="00E87F23" w:rsidP="0050171E">
                  <w:pPr>
                    <w:jc w:val="center"/>
                    <w:rPr>
                      <w:sz w:val="18"/>
                      <w:szCs w:val="18"/>
                    </w:rPr>
                  </w:pPr>
                  <w:r w:rsidRPr="008B3091">
                    <w:rPr>
                      <w:sz w:val="18"/>
                      <w:szCs w:val="18"/>
                    </w:rPr>
                    <w:t>2,0</w:t>
                  </w:r>
                </w:p>
              </w:tc>
              <w:tc>
                <w:tcPr>
                  <w:tcW w:w="1486" w:type="dxa"/>
                  <w:vAlign w:val="center"/>
                </w:tcPr>
                <w:p w14:paraId="4960BE0B" w14:textId="77777777" w:rsidR="00E87F23" w:rsidRPr="00F170F7" w:rsidRDefault="00E87F23" w:rsidP="0050171E">
                  <w:pPr>
                    <w:jc w:val="center"/>
                    <w:rPr>
                      <w:sz w:val="18"/>
                      <w:szCs w:val="18"/>
                    </w:rPr>
                  </w:pPr>
                </w:p>
              </w:tc>
              <w:tc>
                <w:tcPr>
                  <w:tcW w:w="1328" w:type="dxa"/>
                  <w:vAlign w:val="center"/>
                </w:tcPr>
                <w:p w14:paraId="1F67756E" w14:textId="77777777" w:rsidR="00E87F23" w:rsidRDefault="00E87F23" w:rsidP="0050171E">
                  <w:pPr>
                    <w:rPr>
                      <w:sz w:val="18"/>
                      <w:szCs w:val="18"/>
                    </w:rPr>
                  </w:pPr>
                  <w:r w:rsidRPr="008B3091">
                    <w:rPr>
                      <w:sz w:val="18"/>
                      <w:szCs w:val="18"/>
                    </w:rPr>
                    <w:t>Jedinstvena digitalna platforma, kojoj se može pristupiti s različitih ulaznih točaka, jedini je sustav za izvršenje svih formalnosti koje 5 nadležnih tijela (registar trgovačkog suda, Porezna uprava, DZS, HZMO i HZZO) zahtijeva za pokretanje d.o.o. - a i upis najmanje pet vrsta promjena.</w:t>
                  </w:r>
                </w:p>
                <w:p w14:paraId="5F10B0BC" w14:textId="77777777" w:rsidR="00E87F23" w:rsidRPr="008B3091" w:rsidRDefault="00E87F23" w:rsidP="0050171E">
                  <w:pPr>
                    <w:jc w:val="center"/>
                    <w:rPr>
                      <w:sz w:val="18"/>
                      <w:szCs w:val="18"/>
                    </w:rPr>
                  </w:pPr>
                  <w:r>
                    <w:rPr>
                      <w:sz w:val="18"/>
                      <w:szCs w:val="18"/>
                    </w:rPr>
                    <w:t>8,0</w:t>
                  </w:r>
                </w:p>
                <w:p w14:paraId="1E5909D8" w14:textId="77777777" w:rsidR="00E87F23" w:rsidRPr="008B3091" w:rsidRDefault="00E87F23" w:rsidP="0050171E">
                  <w:pPr>
                    <w:rPr>
                      <w:sz w:val="18"/>
                      <w:szCs w:val="18"/>
                    </w:rPr>
                  </w:pPr>
                </w:p>
                <w:p w14:paraId="58DB6C5F" w14:textId="77777777" w:rsidR="00E87F23" w:rsidRPr="008B3091" w:rsidRDefault="00E87F23" w:rsidP="0050171E">
                  <w:pPr>
                    <w:rPr>
                      <w:sz w:val="18"/>
                      <w:szCs w:val="18"/>
                    </w:rPr>
                  </w:pPr>
                </w:p>
                <w:p w14:paraId="74D96E99" w14:textId="77777777" w:rsidR="00E87F23" w:rsidRPr="008B3091" w:rsidRDefault="00E87F23" w:rsidP="0050171E">
                  <w:pPr>
                    <w:rPr>
                      <w:sz w:val="18"/>
                      <w:szCs w:val="18"/>
                    </w:rPr>
                  </w:pPr>
                </w:p>
                <w:p w14:paraId="5474C79C" w14:textId="77777777" w:rsidR="00E87F23" w:rsidRPr="00F170F7" w:rsidRDefault="00E87F23" w:rsidP="0050171E">
                  <w:pPr>
                    <w:jc w:val="center"/>
                    <w:rPr>
                      <w:sz w:val="18"/>
                      <w:szCs w:val="18"/>
                    </w:rPr>
                  </w:pPr>
                </w:p>
              </w:tc>
              <w:tc>
                <w:tcPr>
                  <w:tcW w:w="1255" w:type="dxa"/>
                  <w:vAlign w:val="center"/>
                </w:tcPr>
                <w:p w14:paraId="1F1A9865" w14:textId="77777777" w:rsidR="00E87F23" w:rsidRPr="00F170F7" w:rsidRDefault="00E87F23" w:rsidP="0050171E">
                  <w:pPr>
                    <w:jc w:val="center"/>
                    <w:rPr>
                      <w:sz w:val="18"/>
                      <w:szCs w:val="18"/>
                    </w:rPr>
                  </w:pPr>
                </w:p>
              </w:tc>
              <w:tc>
                <w:tcPr>
                  <w:tcW w:w="791" w:type="dxa"/>
                  <w:vAlign w:val="center"/>
                </w:tcPr>
                <w:p w14:paraId="5A5523AC" w14:textId="77777777" w:rsidR="00E87F23" w:rsidRPr="00F170F7" w:rsidRDefault="00E87F23" w:rsidP="0050171E">
                  <w:pPr>
                    <w:jc w:val="center"/>
                    <w:rPr>
                      <w:sz w:val="18"/>
                      <w:szCs w:val="18"/>
                    </w:rPr>
                  </w:pPr>
                </w:p>
              </w:tc>
            </w:tr>
            <w:tr w:rsidR="00E87F23" w14:paraId="523DC8C3" w14:textId="77777777" w:rsidTr="00F84D70">
              <w:trPr>
                <w:trHeight w:val="1261"/>
              </w:trPr>
              <w:tc>
                <w:tcPr>
                  <w:tcW w:w="1413" w:type="dxa"/>
                </w:tcPr>
                <w:p w14:paraId="18182242" w14:textId="77777777" w:rsidR="00E87F23" w:rsidRPr="008B3091" w:rsidRDefault="00E87F23" w:rsidP="0050171E">
                  <w:pPr>
                    <w:rPr>
                      <w:b/>
                      <w:sz w:val="18"/>
                      <w:szCs w:val="18"/>
                    </w:rPr>
                  </w:pPr>
                </w:p>
                <w:p w14:paraId="70E704A2" w14:textId="77777777" w:rsidR="00E87F23" w:rsidRPr="008B3091" w:rsidRDefault="00E87F23" w:rsidP="0050171E">
                  <w:pPr>
                    <w:rPr>
                      <w:b/>
                      <w:sz w:val="18"/>
                      <w:szCs w:val="18"/>
                    </w:rPr>
                  </w:pPr>
                </w:p>
                <w:p w14:paraId="69A99FB4" w14:textId="77777777" w:rsidR="00E87F23" w:rsidRPr="008B3091" w:rsidRDefault="00E87F23" w:rsidP="0050171E">
                  <w:pPr>
                    <w:rPr>
                      <w:b/>
                      <w:sz w:val="18"/>
                      <w:szCs w:val="18"/>
                    </w:rPr>
                  </w:pPr>
                </w:p>
                <w:p w14:paraId="2B60A91D" w14:textId="77777777" w:rsidR="00E87F23" w:rsidRPr="008B3091" w:rsidRDefault="00E87F23" w:rsidP="0050171E">
                  <w:pPr>
                    <w:rPr>
                      <w:b/>
                      <w:sz w:val="18"/>
                      <w:szCs w:val="18"/>
                    </w:rPr>
                  </w:pPr>
                  <w:r w:rsidRPr="008B3091">
                    <w:rPr>
                      <w:b/>
                      <w:sz w:val="18"/>
                      <w:szCs w:val="18"/>
                    </w:rPr>
                    <w:t xml:space="preserve">DLI 2: </w:t>
                  </w:r>
                  <w:r w:rsidRPr="008B3091">
                    <w:rPr>
                      <w:sz w:val="18"/>
                      <w:szCs w:val="18"/>
                    </w:rPr>
                    <w:t xml:space="preserve">Zahtjevi za ishođenje dozvola objavljuju se </w:t>
                  </w:r>
                  <w:r w:rsidRPr="008B3091">
                    <w:rPr>
                      <w:i/>
                      <w:iCs/>
                      <w:sz w:val="18"/>
                      <w:szCs w:val="18"/>
                    </w:rPr>
                    <w:t>online</w:t>
                  </w:r>
                  <w:r w:rsidRPr="008B3091">
                    <w:rPr>
                      <w:sz w:val="18"/>
                      <w:szCs w:val="18"/>
                    </w:rPr>
                    <w:t xml:space="preserve"> te su odabrane dozvole digitalizirane</w:t>
                  </w:r>
                </w:p>
              </w:tc>
              <w:tc>
                <w:tcPr>
                  <w:tcW w:w="1276" w:type="dxa"/>
                </w:tcPr>
                <w:p w14:paraId="36448684" w14:textId="77777777" w:rsidR="00E87F23" w:rsidRPr="008B3091" w:rsidRDefault="00E87F23" w:rsidP="0050171E">
                  <w:pPr>
                    <w:rPr>
                      <w:sz w:val="18"/>
                      <w:szCs w:val="18"/>
                    </w:rPr>
                  </w:pPr>
                  <w:r w:rsidRPr="008B3091">
                    <w:rPr>
                      <w:sz w:val="18"/>
                      <w:szCs w:val="18"/>
                    </w:rPr>
                    <w:t xml:space="preserve">Da </w:t>
                  </w:r>
                </w:p>
              </w:tc>
              <w:tc>
                <w:tcPr>
                  <w:tcW w:w="1679" w:type="dxa"/>
                </w:tcPr>
                <w:p w14:paraId="7DE94CA4" w14:textId="77777777" w:rsidR="00E87F23" w:rsidRPr="008B3091" w:rsidRDefault="00E87F23" w:rsidP="0050171E">
                  <w:pPr>
                    <w:rPr>
                      <w:sz w:val="18"/>
                      <w:szCs w:val="18"/>
                    </w:rPr>
                  </w:pPr>
                </w:p>
                <w:p w14:paraId="7A2E35D9" w14:textId="77777777" w:rsidR="00E87F23" w:rsidRPr="008B3091" w:rsidRDefault="00E87F23" w:rsidP="0050171E">
                  <w:pPr>
                    <w:rPr>
                      <w:sz w:val="18"/>
                      <w:szCs w:val="18"/>
                    </w:rPr>
                  </w:pPr>
                  <w:r w:rsidRPr="008B3091">
                    <w:rPr>
                      <w:sz w:val="18"/>
                      <w:szCs w:val="18"/>
                    </w:rPr>
                    <w:t>Horizontalni alat za upravljanje poslovnim procesima koji omogućuje automatizirano izdavanje dozvola integriran je u državnu informacijsku infrastrukturu.</w:t>
                  </w:r>
                </w:p>
                <w:p w14:paraId="59D4B2DA" w14:textId="77777777" w:rsidR="00E87F23" w:rsidRPr="008B3091" w:rsidRDefault="00E87F23" w:rsidP="0050171E">
                  <w:pPr>
                    <w:rPr>
                      <w:sz w:val="18"/>
                      <w:szCs w:val="18"/>
                    </w:rPr>
                  </w:pPr>
                </w:p>
                <w:p w14:paraId="4FDE3A20" w14:textId="77777777" w:rsidR="00E87F23" w:rsidRPr="008B3091" w:rsidRDefault="00E87F23" w:rsidP="0050171E">
                  <w:pPr>
                    <w:jc w:val="center"/>
                    <w:rPr>
                      <w:sz w:val="18"/>
                      <w:szCs w:val="18"/>
                    </w:rPr>
                  </w:pPr>
                  <w:r w:rsidRPr="008B3091">
                    <w:rPr>
                      <w:sz w:val="18"/>
                      <w:szCs w:val="18"/>
                    </w:rPr>
                    <w:t>2,0</w:t>
                  </w:r>
                </w:p>
              </w:tc>
              <w:tc>
                <w:tcPr>
                  <w:tcW w:w="1486" w:type="dxa"/>
                </w:tcPr>
                <w:p w14:paraId="1B68AACE" w14:textId="77777777" w:rsidR="00E87F23" w:rsidRPr="008B3091" w:rsidRDefault="00E87F23" w:rsidP="0050171E">
                  <w:pPr>
                    <w:rPr>
                      <w:sz w:val="18"/>
                      <w:szCs w:val="18"/>
                    </w:rPr>
                  </w:pPr>
                </w:p>
              </w:tc>
              <w:tc>
                <w:tcPr>
                  <w:tcW w:w="1328" w:type="dxa"/>
                </w:tcPr>
                <w:p w14:paraId="196D57C3" w14:textId="77777777" w:rsidR="00E87F23" w:rsidRPr="008B3091" w:rsidRDefault="00E87F23" w:rsidP="0050171E">
                  <w:pPr>
                    <w:rPr>
                      <w:sz w:val="18"/>
                      <w:szCs w:val="18"/>
                    </w:rPr>
                  </w:pPr>
                  <w:r w:rsidRPr="008B3091">
                    <w:rPr>
                      <w:i/>
                      <w:iCs/>
                      <w:sz w:val="18"/>
                      <w:szCs w:val="18"/>
                    </w:rPr>
                    <w:t>Online</w:t>
                  </w:r>
                  <w:r w:rsidRPr="008B3091">
                    <w:rPr>
                      <w:sz w:val="18"/>
                      <w:szCs w:val="18"/>
                    </w:rPr>
                    <w:t xml:space="preserve"> informacijski portal sa zahtjevima za ishođenje dozvola započeo je s radom te je ishođenje dozvola za 15 poslovnih djelatnosti digitalizirano i u funkciji.</w:t>
                  </w:r>
                </w:p>
                <w:p w14:paraId="12CC8CCA" w14:textId="77777777" w:rsidR="00E87F23" w:rsidRPr="008B3091" w:rsidRDefault="00E87F23" w:rsidP="0050171E">
                  <w:pPr>
                    <w:rPr>
                      <w:sz w:val="18"/>
                      <w:szCs w:val="18"/>
                    </w:rPr>
                  </w:pPr>
                </w:p>
                <w:p w14:paraId="4C41D6A8" w14:textId="77777777" w:rsidR="00E87F23" w:rsidRPr="008B3091" w:rsidRDefault="00E87F23" w:rsidP="0050171E">
                  <w:pPr>
                    <w:jc w:val="center"/>
                    <w:rPr>
                      <w:sz w:val="18"/>
                      <w:szCs w:val="18"/>
                    </w:rPr>
                  </w:pPr>
                  <w:r w:rsidRPr="008B3091">
                    <w:rPr>
                      <w:sz w:val="18"/>
                      <w:szCs w:val="18"/>
                    </w:rPr>
                    <w:t>3,0</w:t>
                  </w:r>
                </w:p>
              </w:tc>
              <w:tc>
                <w:tcPr>
                  <w:tcW w:w="1255" w:type="dxa"/>
                </w:tcPr>
                <w:p w14:paraId="14D4CA7E" w14:textId="77777777" w:rsidR="00E87F23" w:rsidRPr="008B3091" w:rsidRDefault="00E87F23" w:rsidP="0050171E">
                  <w:pPr>
                    <w:rPr>
                      <w:sz w:val="18"/>
                      <w:szCs w:val="18"/>
                    </w:rPr>
                  </w:pPr>
                </w:p>
              </w:tc>
              <w:tc>
                <w:tcPr>
                  <w:tcW w:w="791" w:type="dxa"/>
                </w:tcPr>
                <w:p w14:paraId="426906FC" w14:textId="77777777" w:rsidR="00E87F23" w:rsidRPr="008B3091" w:rsidRDefault="00E87F23" w:rsidP="0050171E">
                  <w:pPr>
                    <w:rPr>
                      <w:sz w:val="18"/>
                      <w:szCs w:val="18"/>
                    </w:rPr>
                  </w:pPr>
                </w:p>
              </w:tc>
            </w:tr>
            <w:tr w:rsidR="00E87F23" w14:paraId="2F599558" w14:textId="77777777" w:rsidTr="00F84D70">
              <w:tc>
                <w:tcPr>
                  <w:tcW w:w="1413" w:type="dxa"/>
                </w:tcPr>
                <w:p w14:paraId="274BCB2A" w14:textId="77777777" w:rsidR="00E87F23" w:rsidRPr="008B3091" w:rsidRDefault="00E87F23" w:rsidP="0050171E">
                  <w:pPr>
                    <w:rPr>
                      <w:b/>
                      <w:sz w:val="18"/>
                      <w:szCs w:val="18"/>
                    </w:rPr>
                  </w:pPr>
                </w:p>
                <w:p w14:paraId="21BDDA6F" w14:textId="77777777" w:rsidR="00E87F23" w:rsidRPr="008B3091" w:rsidRDefault="00E87F23" w:rsidP="0050171E">
                  <w:pPr>
                    <w:rPr>
                      <w:b/>
                      <w:sz w:val="18"/>
                      <w:szCs w:val="18"/>
                    </w:rPr>
                  </w:pPr>
                </w:p>
                <w:p w14:paraId="0B719571" w14:textId="77777777" w:rsidR="00E87F23" w:rsidRPr="008B3091" w:rsidRDefault="00E87F23" w:rsidP="0050171E">
                  <w:pPr>
                    <w:rPr>
                      <w:b/>
                      <w:sz w:val="18"/>
                      <w:szCs w:val="18"/>
                    </w:rPr>
                  </w:pPr>
                </w:p>
                <w:p w14:paraId="1F7EBD9C" w14:textId="77777777" w:rsidR="00E87F23" w:rsidRPr="008B3091" w:rsidRDefault="00E87F23" w:rsidP="0050171E">
                  <w:pPr>
                    <w:rPr>
                      <w:b/>
                      <w:sz w:val="18"/>
                      <w:szCs w:val="18"/>
                    </w:rPr>
                  </w:pPr>
                </w:p>
                <w:p w14:paraId="5C3CCDEE" w14:textId="77777777" w:rsidR="00E87F23" w:rsidRPr="008B3091" w:rsidRDefault="00E87F23" w:rsidP="0050171E">
                  <w:pPr>
                    <w:rPr>
                      <w:b/>
                      <w:sz w:val="18"/>
                      <w:szCs w:val="18"/>
                    </w:rPr>
                  </w:pPr>
                </w:p>
                <w:p w14:paraId="23B50F82" w14:textId="77777777" w:rsidR="00E87F23" w:rsidRPr="008B3091" w:rsidRDefault="00E87F23" w:rsidP="0050171E">
                  <w:pPr>
                    <w:rPr>
                      <w:sz w:val="18"/>
                      <w:szCs w:val="18"/>
                    </w:rPr>
                  </w:pPr>
                  <w:r w:rsidRPr="008B3091">
                    <w:rPr>
                      <w:b/>
                      <w:sz w:val="18"/>
                      <w:szCs w:val="18"/>
                    </w:rPr>
                    <w:t xml:space="preserve">DLI 3.a: </w:t>
                  </w:r>
                  <w:r w:rsidRPr="008B3091">
                    <w:rPr>
                      <w:sz w:val="18"/>
                      <w:szCs w:val="18"/>
                    </w:rPr>
                    <w:t xml:space="preserve">Pojednostavljenje ishođenja dozvola za gradnju </w:t>
                  </w:r>
                </w:p>
                <w:p w14:paraId="7420C537" w14:textId="77777777" w:rsidR="00E87F23" w:rsidRPr="008B3091" w:rsidRDefault="00E87F23" w:rsidP="0050171E">
                  <w:pPr>
                    <w:rPr>
                      <w:b/>
                      <w:sz w:val="18"/>
                      <w:szCs w:val="18"/>
                    </w:rPr>
                  </w:pPr>
                </w:p>
              </w:tc>
              <w:tc>
                <w:tcPr>
                  <w:tcW w:w="1276" w:type="dxa"/>
                </w:tcPr>
                <w:p w14:paraId="283ACAC4" w14:textId="77777777" w:rsidR="00E87F23" w:rsidRPr="008B3091" w:rsidRDefault="00E87F23" w:rsidP="0050171E">
                  <w:pPr>
                    <w:rPr>
                      <w:sz w:val="18"/>
                      <w:szCs w:val="18"/>
                    </w:rPr>
                  </w:pPr>
                  <w:r w:rsidRPr="008B3091">
                    <w:rPr>
                      <w:sz w:val="18"/>
                      <w:szCs w:val="18"/>
                    </w:rPr>
                    <w:t xml:space="preserve">Ne </w:t>
                  </w:r>
                </w:p>
              </w:tc>
              <w:tc>
                <w:tcPr>
                  <w:tcW w:w="1679" w:type="dxa"/>
                </w:tcPr>
                <w:p w14:paraId="72817760" w14:textId="77777777" w:rsidR="00E87F23" w:rsidRPr="008B3091" w:rsidRDefault="00E87F23" w:rsidP="0050171E">
                  <w:pPr>
                    <w:rPr>
                      <w:color w:val="000000" w:themeColor="text1"/>
                      <w:sz w:val="18"/>
                      <w:szCs w:val="18"/>
                    </w:rPr>
                  </w:pPr>
                  <w:r w:rsidRPr="008B3091">
                    <w:rPr>
                      <w:color w:val="000000" w:themeColor="text1"/>
                      <w:sz w:val="18"/>
                      <w:szCs w:val="18"/>
                    </w:rPr>
                    <w:t>(a) Platforma e-Dozvola u potpunosti je u funkciji, (b) Akcijski plan za pojednostavnjenje postupaka ishođenja dozvola za gradnju usvojila je međuresorna Radna skupina za unapređenje uvjeta poslovanja.</w:t>
                  </w:r>
                </w:p>
                <w:p w14:paraId="6BCD843A" w14:textId="77777777" w:rsidR="00E87F23" w:rsidRPr="008B3091" w:rsidRDefault="00E87F23" w:rsidP="0050171E">
                  <w:pPr>
                    <w:rPr>
                      <w:sz w:val="18"/>
                      <w:szCs w:val="18"/>
                    </w:rPr>
                  </w:pPr>
                </w:p>
                <w:p w14:paraId="465683B4" w14:textId="77777777" w:rsidR="00E87F23" w:rsidRDefault="00E87F23" w:rsidP="0050171E">
                  <w:pPr>
                    <w:jc w:val="center"/>
                    <w:rPr>
                      <w:sz w:val="18"/>
                      <w:szCs w:val="18"/>
                    </w:rPr>
                  </w:pPr>
                </w:p>
                <w:p w14:paraId="00077A1E" w14:textId="77777777" w:rsidR="00E87F23" w:rsidRDefault="00E87F23" w:rsidP="0050171E">
                  <w:pPr>
                    <w:jc w:val="center"/>
                    <w:rPr>
                      <w:sz w:val="18"/>
                      <w:szCs w:val="18"/>
                    </w:rPr>
                  </w:pPr>
                </w:p>
                <w:p w14:paraId="39E48FB0" w14:textId="77777777" w:rsidR="00E87F23" w:rsidRDefault="00E87F23" w:rsidP="0050171E">
                  <w:pPr>
                    <w:jc w:val="center"/>
                    <w:rPr>
                      <w:sz w:val="18"/>
                      <w:szCs w:val="18"/>
                    </w:rPr>
                  </w:pPr>
                </w:p>
                <w:p w14:paraId="10693506" w14:textId="77777777" w:rsidR="00E87F23" w:rsidRDefault="00E87F23" w:rsidP="0050171E">
                  <w:pPr>
                    <w:jc w:val="center"/>
                    <w:rPr>
                      <w:sz w:val="18"/>
                      <w:szCs w:val="18"/>
                    </w:rPr>
                  </w:pPr>
                </w:p>
                <w:p w14:paraId="2F23DF61" w14:textId="77777777" w:rsidR="00E87F23" w:rsidRPr="008B3091" w:rsidRDefault="00E87F23" w:rsidP="0050171E">
                  <w:pPr>
                    <w:jc w:val="center"/>
                    <w:rPr>
                      <w:sz w:val="18"/>
                      <w:szCs w:val="18"/>
                    </w:rPr>
                  </w:pPr>
                  <w:r w:rsidRPr="008B3091">
                    <w:rPr>
                      <w:sz w:val="18"/>
                      <w:szCs w:val="18"/>
                    </w:rPr>
                    <w:t>2,0</w:t>
                  </w:r>
                </w:p>
              </w:tc>
              <w:tc>
                <w:tcPr>
                  <w:tcW w:w="1486" w:type="dxa"/>
                </w:tcPr>
                <w:p w14:paraId="0E3D488F" w14:textId="77777777" w:rsidR="00E87F23" w:rsidRPr="008B3091" w:rsidRDefault="00E87F23" w:rsidP="0050171E">
                  <w:pPr>
                    <w:rPr>
                      <w:sz w:val="18"/>
                      <w:szCs w:val="18"/>
                    </w:rPr>
                  </w:pPr>
                </w:p>
              </w:tc>
              <w:tc>
                <w:tcPr>
                  <w:tcW w:w="1328" w:type="dxa"/>
                </w:tcPr>
                <w:p w14:paraId="601551E4" w14:textId="77777777" w:rsidR="00E87F23" w:rsidRPr="008B3091" w:rsidRDefault="00E87F23" w:rsidP="0050171E">
                  <w:pPr>
                    <w:rPr>
                      <w:color w:val="000000" w:themeColor="text1"/>
                      <w:sz w:val="18"/>
                      <w:szCs w:val="18"/>
                    </w:rPr>
                  </w:pPr>
                  <w:r w:rsidRPr="008B3091">
                    <w:rPr>
                      <w:color w:val="000000" w:themeColor="text1"/>
                      <w:sz w:val="18"/>
                      <w:szCs w:val="18"/>
                    </w:rPr>
                    <w:t>Platforma e-Dozvola odražava pojednostavnjene postupke ishođenja dozvola za gradnju i nadograđena je tako da uključuje „e-Građevinski dnevnik“ i izdavanje uporabne dozvole.</w:t>
                  </w:r>
                </w:p>
                <w:p w14:paraId="2CF37DA8" w14:textId="77777777" w:rsidR="00E87F23" w:rsidRPr="008B3091" w:rsidRDefault="00E87F23" w:rsidP="0050171E">
                  <w:pPr>
                    <w:rPr>
                      <w:sz w:val="18"/>
                      <w:szCs w:val="18"/>
                    </w:rPr>
                  </w:pPr>
                </w:p>
                <w:p w14:paraId="14286A1B" w14:textId="77777777" w:rsidR="007A06F0" w:rsidRDefault="007A06F0" w:rsidP="0050171E">
                  <w:pPr>
                    <w:jc w:val="center"/>
                    <w:rPr>
                      <w:sz w:val="18"/>
                      <w:szCs w:val="18"/>
                    </w:rPr>
                  </w:pPr>
                </w:p>
                <w:p w14:paraId="6D7B39A4" w14:textId="77777777" w:rsidR="00E87F23" w:rsidRPr="008B3091" w:rsidRDefault="00E87F23" w:rsidP="0050171E">
                  <w:pPr>
                    <w:jc w:val="center"/>
                    <w:rPr>
                      <w:sz w:val="18"/>
                      <w:szCs w:val="18"/>
                    </w:rPr>
                  </w:pPr>
                  <w:r w:rsidRPr="008B3091">
                    <w:rPr>
                      <w:sz w:val="18"/>
                      <w:szCs w:val="18"/>
                    </w:rPr>
                    <w:t>5,0</w:t>
                  </w:r>
                </w:p>
              </w:tc>
              <w:tc>
                <w:tcPr>
                  <w:tcW w:w="1255" w:type="dxa"/>
                </w:tcPr>
                <w:p w14:paraId="2B5F2C62" w14:textId="77777777" w:rsidR="00E87F23" w:rsidRPr="008B3091" w:rsidRDefault="00E87F23" w:rsidP="0050171E">
                  <w:pPr>
                    <w:rPr>
                      <w:sz w:val="18"/>
                      <w:szCs w:val="18"/>
                    </w:rPr>
                  </w:pPr>
                </w:p>
              </w:tc>
              <w:tc>
                <w:tcPr>
                  <w:tcW w:w="791" w:type="dxa"/>
                </w:tcPr>
                <w:p w14:paraId="7D368357" w14:textId="77777777" w:rsidR="00E87F23" w:rsidRPr="008B3091" w:rsidRDefault="00E87F23" w:rsidP="0050171E">
                  <w:pPr>
                    <w:rPr>
                      <w:sz w:val="18"/>
                      <w:szCs w:val="18"/>
                    </w:rPr>
                  </w:pPr>
                </w:p>
              </w:tc>
            </w:tr>
            <w:tr w:rsidR="00E87F23" w14:paraId="586D6FB6" w14:textId="77777777" w:rsidTr="00F84D70">
              <w:tc>
                <w:tcPr>
                  <w:tcW w:w="1413" w:type="dxa"/>
                </w:tcPr>
                <w:p w14:paraId="1AC32ACF" w14:textId="77777777" w:rsidR="00E87F23" w:rsidRPr="008B3091" w:rsidRDefault="00E87F23" w:rsidP="0050171E">
                  <w:pPr>
                    <w:rPr>
                      <w:b/>
                      <w:sz w:val="18"/>
                      <w:szCs w:val="18"/>
                    </w:rPr>
                  </w:pPr>
                </w:p>
                <w:p w14:paraId="4C4E18DF" w14:textId="77777777" w:rsidR="00E87F23" w:rsidRPr="008B3091" w:rsidRDefault="00E87F23" w:rsidP="0050171E">
                  <w:pPr>
                    <w:rPr>
                      <w:sz w:val="18"/>
                      <w:szCs w:val="18"/>
                    </w:rPr>
                  </w:pPr>
                  <w:r w:rsidRPr="008B3091">
                    <w:rPr>
                      <w:b/>
                      <w:sz w:val="18"/>
                      <w:szCs w:val="18"/>
                    </w:rPr>
                    <w:t xml:space="preserve">DLI 3.b: </w:t>
                  </w:r>
                  <w:r w:rsidRPr="008B3091">
                    <w:rPr>
                      <w:sz w:val="18"/>
                      <w:szCs w:val="18"/>
                    </w:rPr>
                    <w:t>Pojednostavnjenje uvjeta za pružanje profesionalnih usluga u građevinskom sektoru</w:t>
                  </w:r>
                </w:p>
              </w:tc>
              <w:tc>
                <w:tcPr>
                  <w:tcW w:w="1276" w:type="dxa"/>
                </w:tcPr>
                <w:p w14:paraId="6B1CFC66" w14:textId="77777777" w:rsidR="00E87F23" w:rsidRPr="008B3091" w:rsidRDefault="00E87F23" w:rsidP="0050171E">
                  <w:pPr>
                    <w:rPr>
                      <w:sz w:val="18"/>
                      <w:szCs w:val="18"/>
                    </w:rPr>
                  </w:pPr>
                  <w:r w:rsidRPr="008B3091">
                    <w:rPr>
                      <w:sz w:val="18"/>
                      <w:szCs w:val="18"/>
                    </w:rPr>
                    <w:t>Da</w:t>
                  </w:r>
                </w:p>
              </w:tc>
              <w:tc>
                <w:tcPr>
                  <w:tcW w:w="1679" w:type="dxa"/>
                </w:tcPr>
                <w:p w14:paraId="520BC9A4" w14:textId="77777777" w:rsidR="00E87F23" w:rsidRPr="008B3091" w:rsidRDefault="00E87F23" w:rsidP="0050171E">
                  <w:pPr>
                    <w:rPr>
                      <w:color w:val="000000" w:themeColor="text1"/>
                      <w:sz w:val="18"/>
                      <w:szCs w:val="18"/>
                    </w:rPr>
                  </w:pPr>
                  <w:r w:rsidRPr="008B3091">
                    <w:rPr>
                      <w:color w:val="000000" w:themeColor="text1"/>
                      <w:sz w:val="18"/>
                      <w:szCs w:val="18"/>
                    </w:rPr>
                    <w:t>Pojednostavnjen je najmanje jedan uvjet za svaku od dvije profesije u građevinskom sektoru.</w:t>
                  </w:r>
                </w:p>
                <w:p w14:paraId="29438AB2" w14:textId="77777777" w:rsidR="00E87F23" w:rsidRPr="008B3091" w:rsidRDefault="00E87F23" w:rsidP="0050171E">
                  <w:pPr>
                    <w:rPr>
                      <w:color w:val="000000" w:themeColor="text1"/>
                      <w:sz w:val="18"/>
                      <w:szCs w:val="18"/>
                    </w:rPr>
                  </w:pPr>
                </w:p>
                <w:p w14:paraId="1F2C9AA5" w14:textId="77777777" w:rsidR="00E87F23" w:rsidRDefault="00E87F23" w:rsidP="0050171E">
                  <w:pPr>
                    <w:jc w:val="center"/>
                    <w:rPr>
                      <w:color w:val="000000" w:themeColor="text1"/>
                      <w:sz w:val="18"/>
                      <w:szCs w:val="18"/>
                    </w:rPr>
                  </w:pPr>
                </w:p>
                <w:p w14:paraId="0D356677" w14:textId="77777777" w:rsidR="00E87F23" w:rsidRDefault="00E87F23" w:rsidP="0050171E">
                  <w:pPr>
                    <w:jc w:val="center"/>
                    <w:rPr>
                      <w:color w:val="000000" w:themeColor="text1"/>
                      <w:sz w:val="18"/>
                      <w:szCs w:val="18"/>
                    </w:rPr>
                  </w:pPr>
                </w:p>
                <w:p w14:paraId="54A89163" w14:textId="77777777" w:rsidR="00E87F23" w:rsidRPr="008B3091" w:rsidRDefault="00E87F23" w:rsidP="0050171E">
                  <w:pPr>
                    <w:rPr>
                      <w:color w:val="000000" w:themeColor="text1"/>
                      <w:sz w:val="18"/>
                      <w:szCs w:val="18"/>
                    </w:rPr>
                  </w:pPr>
                  <w:r w:rsidRPr="008B3091">
                    <w:rPr>
                      <w:color w:val="000000" w:themeColor="text1"/>
                      <w:sz w:val="18"/>
                      <w:szCs w:val="18"/>
                    </w:rPr>
                    <w:t>1,0</w:t>
                  </w:r>
                </w:p>
              </w:tc>
              <w:tc>
                <w:tcPr>
                  <w:tcW w:w="1486" w:type="dxa"/>
                </w:tcPr>
                <w:p w14:paraId="61DE589B" w14:textId="77777777" w:rsidR="00E87F23" w:rsidRPr="008B3091" w:rsidRDefault="00E87F23" w:rsidP="0050171E">
                  <w:pPr>
                    <w:rPr>
                      <w:color w:val="000000" w:themeColor="text1"/>
                      <w:sz w:val="18"/>
                      <w:szCs w:val="18"/>
                    </w:rPr>
                  </w:pPr>
                </w:p>
              </w:tc>
              <w:tc>
                <w:tcPr>
                  <w:tcW w:w="1328" w:type="dxa"/>
                </w:tcPr>
                <w:p w14:paraId="29FA23C0" w14:textId="77777777" w:rsidR="00E87F23" w:rsidRPr="008B3091" w:rsidRDefault="007A06F0" w:rsidP="0050171E">
                  <w:pPr>
                    <w:rPr>
                      <w:color w:val="000000" w:themeColor="text1"/>
                      <w:sz w:val="18"/>
                      <w:szCs w:val="18"/>
                    </w:rPr>
                  </w:pPr>
                  <w:r>
                    <w:rPr>
                      <w:color w:val="000000" w:themeColor="text1"/>
                      <w:sz w:val="18"/>
                      <w:szCs w:val="18"/>
                    </w:rPr>
                    <w:t>Pojednostavnje-n</w:t>
                  </w:r>
                  <w:r w:rsidR="00E87F23" w:rsidRPr="008B3091">
                    <w:rPr>
                      <w:color w:val="000000" w:themeColor="text1"/>
                      <w:sz w:val="18"/>
                      <w:szCs w:val="18"/>
                    </w:rPr>
                    <w:t>je najmanje jedan uvjet za svaku od dodatne četiri profesije u građevinskom sektoru.</w:t>
                  </w:r>
                </w:p>
                <w:p w14:paraId="7C3A56BC" w14:textId="77777777" w:rsidR="00E87F23" w:rsidRPr="008B3091" w:rsidRDefault="00E87F23" w:rsidP="0050171E">
                  <w:pPr>
                    <w:rPr>
                      <w:color w:val="000000" w:themeColor="text1"/>
                      <w:sz w:val="18"/>
                      <w:szCs w:val="18"/>
                    </w:rPr>
                  </w:pPr>
                </w:p>
                <w:p w14:paraId="651E7044" w14:textId="77777777" w:rsidR="00E87F23" w:rsidRPr="008B3091" w:rsidRDefault="00E87F23" w:rsidP="0050171E">
                  <w:pPr>
                    <w:rPr>
                      <w:color w:val="000000" w:themeColor="text1"/>
                      <w:sz w:val="18"/>
                      <w:szCs w:val="18"/>
                    </w:rPr>
                  </w:pPr>
                  <w:r w:rsidRPr="008B3091">
                    <w:rPr>
                      <w:color w:val="000000" w:themeColor="text1"/>
                      <w:sz w:val="18"/>
                      <w:szCs w:val="18"/>
                    </w:rPr>
                    <w:t>2,0</w:t>
                  </w:r>
                </w:p>
              </w:tc>
              <w:tc>
                <w:tcPr>
                  <w:tcW w:w="1255" w:type="dxa"/>
                </w:tcPr>
                <w:p w14:paraId="5BC5D836" w14:textId="77777777" w:rsidR="00E87F23" w:rsidRPr="008B3091" w:rsidRDefault="00E87F23" w:rsidP="0050171E">
                  <w:pPr>
                    <w:rPr>
                      <w:sz w:val="18"/>
                      <w:szCs w:val="18"/>
                    </w:rPr>
                  </w:pPr>
                </w:p>
              </w:tc>
              <w:tc>
                <w:tcPr>
                  <w:tcW w:w="791" w:type="dxa"/>
                </w:tcPr>
                <w:p w14:paraId="500484F4" w14:textId="77777777" w:rsidR="00E87F23" w:rsidRPr="008B3091" w:rsidRDefault="00E87F23" w:rsidP="0050171E">
                  <w:pPr>
                    <w:rPr>
                      <w:sz w:val="18"/>
                      <w:szCs w:val="18"/>
                    </w:rPr>
                  </w:pPr>
                </w:p>
              </w:tc>
            </w:tr>
            <w:tr w:rsidR="00E87F23" w14:paraId="42CE676D" w14:textId="77777777" w:rsidTr="00EE69F1">
              <w:trPr>
                <w:trHeight w:val="485"/>
              </w:trPr>
              <w:tc>
                <w:tcPr>
                  <w:tcW w:w="1413" w:type="dxa"/>
                  <w:shd w:val="clear" w:color="auto" w:fill="auto"/>
                  <w:vAlign w:val="center"/>
                </w:tcPr>
                <w:p w14:paraId="7963889B" w14:textId="77777777" w:rsidR="00E87F23" w:rsidRPr="008B3091" w:rsidRDefault="00E87F23" w:rsidP="0050171E">
                  <w:pPr>
                    <w:rPr>
                      <w:b/>
                      <w:color w:val="000000" w:themeColor="text1"/>
                      <w:sz w:val="18"/>
                      <w:szCs w:val="18"/>
                    </w:rPr>
                  </w:pPr>
                  <w:r w:rsidRPr="008B3091">
                    <w:rPr>
                      <w:b/>
                      <w:sz w:val="18"/>
                      <w:szCs w:val="18"/>
                    </w:rPr>
                    <w:t>Dio 2:</w:t>
                  </w:r>
                  <w:r w:rsidRPr="008B3091">
                    <w:rPr>
                      <w:sz w:val="18"/>
                      <w:szCs w:val="18"/>
                    </w:rPr>
                    <w:t xml:space="preserve"> </w:t>
                  </w:r>
                  <w:bookmarkStart w:id="7" w:name="_Hlk32576646"/>
                  <w:r w:rsidRPr="008B3091">
                    <w:rPr>
                      <w:b/>
                      <w:sz w:val="18"/>
                      <w:szCs w:val="18"/>
                    </w:rPr>
                    <w:t>Poboljšanje sudskih usluga za poduzeća</w:t>
                  </w:r>
                  <w:bookmarkEnd w:id="7"/>
                </w:p>
              </w:tc>
              <w:tc>
                <w:tcPr>
                  <w:tcW w:w="1276" w:type="dxa"/>
                  <w:shd w:val="clear" w:color="auto" w:fill="auto"/>
                </w:tcPr>
                <w:p w14:paraId="7A7CAD4C" w14:textId="77777777" w:rsidR="00E87F23" w:rsidRPr="00F170F7" w:rsidRDefault="00E87F23" w:rsidP="0050171E">
                  <w:pPr>
                    <w:jc w:val="center"/>
                    <w:rPr>
                      <w:b/>
                      <w:color w:val="000000" w:themeColor="text1"/>
                      <w:sz w:val="18"/>
                      <w:szCs w:val="18"/>
                    </w:rPr>
                  </w:pPr>
                </w:p>
              </w:tc>
              <w:tc>
                <w:tcPr>
                  <w:tcW w:w="1679" w:type="dxa"/>
                  <w:shd w:val="clear" w:color="auto" w:fill="auto"/>
                  <w:vAlign w:val="center"/>
                </w:tcPr>
                <w:p w14:paraId="1C113AB7" w14:textId="77777777" w:rsidR="00E87F23" w:rsidRPr="00F170F7" w:rsidRDefault="00E87F23" w:rsidP="0050171E">
                  <w:pPr>
                    <w:jc w:val="center"/>
                    <w:rPr>
                      <w:color w:val="000000" w:themeColor="text1"/>
                      <w:sz w:val="18"/>
                      <w:szCs w:val="18"/>
                    </w:rPr>
                  </w:pPr>
                </w:p>
              </w:tc>
              <w:tc>
                <w:tcPr>
                  <w:tcW w:w="1486" w:type="dxa"/>
                  <w:shd w:val="clear" w:color="auto" w:fill="auto"/>
                  <w:vAlign w:val="center"/>
                </w:tcPr>
                <w:p w14:paraId="5C064CEE" w14:textId="77777777" w:rsidR="00E87F23" w:rsidRPr="00F170F7" w:rsidRDefault="00E87F23" w:rsidP="0050171E">
                  <w:pPr>
                    <w:jc w:val="center"/>
                    <w:rPr>
                      <w:color w:val="000000" w:themeColor="text1"/>
                      <w:sz w:val="18"/>
                      <w:szCs w:val="18"/>
                    </w:rPr>
                  </w:pPr>
                </w:p>
              </w:tc>
              <w:tc>
                <w:tcPr>
                  <w:tcW w:w="1328" w:type="dxa"/>
                  <w:shd w:val="clear" w:color="auto" w:fill="auto"/>
                  <w:vAlign w:val="center"/>
                </w:tcPr>
                <w:p w14:paraId="78C2271E" w14:textId="77777777" w:rsidR="00E87F23" w:rsidRPr="00F170F7" w:rsidRDefault="00E87F23" w:rsidP="0050171E">
                  <w:pPr>
                    <w:jc w:val="center"/>
                    <w:rPr>
                      <w:color w:val="000000" w:themeColor="text1"/>
                      <w:sz w:val="18"/>
                      <w:szCs w:val="18"/>
                    </w:rPr>
                  </w:pPr>
                </w:p>
              </w:tc>
              <w:tc>
                <w:tcPr>
                  <w:tcW w:w="1255" w:type="dxa"/>
                  <w:shd w:val="clear" w:color="auto" w:fill="auto"/>
                  <w:vAlign w:val="center"/>
                </w:tcPr>
                <w:p w14:paraId="4B638FE0" w14:textId="77777777" w:rsidR="00E87F23" w:rsidRPr="00F170F7" w:rsidRDefault="00E87F23" w:rsidP="0050171E">
                  <w:pPr>
                    <w:jc w:val="center"/>
                    <w:rPr>
                      <w:color w:val="000000" w:themeColor="text1"/>
                      <w:sz w:val="18"/>
                      <w:szCs w:val="18"/>
                    </w:rPr>
                  </w:pPr>
                </w:p>
              </w:tc>
              <w:tc>
                <w:tcPr>
                  <w:tcW w:w="791" w:type="dxa"/>
                  <w:shd w:val="clear" w:color="auto" w:fill="auto"/>
                  <w:vAlign w:val="center"/>
                </w:tcPr>
                <w:p w14:paraId="45936675" w14:textId="77777777" w:rsidR="00E87F23" w:rsidRPr="00F170F7" w:rsidRDefault="00E87F23" w:rsidP="0050171E">
                  <w:pPr>
                    <w:jc w:val="center"/>
                    <w:rPr>
                      <w:color w:val="000000" w:themeColor="text1"/>
                      <w:sz w:val="18"/>
                      <w:szCs w:val="18"/>
                    </w:rPr>
                  </w:pPr>
                </w:p>
              </w:tc>
            </w:tr>
            <w:tr w:rsidR="00E87F23" w14:paraId="37788C2E" w14:textId="77777777" w:rsidTr="00F84D70">
              <w:tc>
                <w:tcPr>
                  <w:tcW w:w="1413" w:type="dxa"/>
                </w:tcPr>
                <w:p w14:paraId="0362A109" w14:textId="77777777" w:rsidR="00674E0F" w:rsidRDefault="00674E0F" w:rsidP="0050171E">
                  <w:pPr>
                    <w:rPr>
                      <w:b/>
                      <w:sz w:val="18"/>
                      <w:szCs w:val="18"/>
                    </w:rPr>
                  </w:pPr>
                </w:p>
                <w:p w14:paraId="79C880FA" w14:textId="77777777" w:rsidR="00E87F23" w:rsidRPr="008B3091" w:rsidRDefault="00E87F23" w:rsidP="0050171E">
                  <w:pPr>
                    <w:rPr>
                      <w:b/>
                      <w:sz w:val="18"/>
                      <w:szCs w:val="18"/>
                    </w:rPr>
                  </w:pPr>
                  <w:r w:rsidRPr="008B3091">
                    <w:rPr>
                      <w:b/>
                      <w:sz w:val="18"/>
                      <w:szCs w:val="18"/>
                    </w:rPr>
                    <w:t xml:space="preserve">DLI 4: </w:t>
                  </w:r>
                  <w:r w:rsidRPr="008B3091">
                    <w:rPr>
                      <w:sz w:val="18"/>
                      <w:szCs w:val="18"/>
                    </w:rPr>
                    <w:t>Povećanje korištenja alata e-pravosuđa</w:t>
                  </w:r>
                </w:p>
              </w:tc>
              <w:tc>
                <w:tcPr>
                  <w:tcW w:w="1276" w:type="dxa"/>
                </w:tcPr>
                <w:p w14:paraId="1C08E531" w14:textId="77777777" w:rsidR="00E87F23" w:rsidRPr="008B3091" w:rsidRDefault="00E87F23" w:rsidP="0050171E">
                  <w:pPr>
                    <w:rPr>
                      <w:sz w:val="18"/>
                      <w:szCs w:val="18"/>
                    </w:rPr>
                  </w:pPr>
                  <w:r w:rsidRPr="008B3091">
                    <w:rPr>
                      <w:sz w:val="18"/>
                      <w:szCs w:val="18"/>
                    </w:rPr>
                    <w:t xml:space="preserve">Ne </w:t>
                  </w:r>
                </w:p>
              </w:tc>
              <w:tc>
                <w:tcPr>
                  <w:tcW w:w="1679" w:type="dxa"/>
                </w:tcPr>
                <w:p w14:paraId="1C4D51B5" w14:textId="77777777" w:rsidR="00E87F23" w:rsidRPr="008B3091" w:rsidRDefault="00E87F23" w:rsidP="0050171E">
                  <w:pPr>
                    <w:rPr>
                      <w:color w:val="000000" w:themeColor="text1"/>
                      <w:sz w:val="18"/>
                      <w:szCs w:val="18"/>
                    </w:rPr>
                  </w:pPr>
                  <w:r w:rsidRPr="008B3091">
                    <w:rPr>
                      <w:color w:val="000000" w:themeColor="text1"/>
                      <w:sz w:val="18"/>
                      <w:szCs w:val="18"/>
                    </w:rPr>
                    <w:t>Najmanje devetnaest općinskih sudova koristi sustav e-komunikacije te su sljedeći sudovi uključeni u eSpis: (a) svi prekršajni odjeli općinskih sudova, (b) općinski prekršajni sudovi u Zagrebu i Splitu, (c) Visoki prekršajni sud.</w:t>
                  </w:r>
                </w:p>
                <w:p w14:paraId="5D445C7A" w14:textId="77777777" w:rsidR="00E87F23" w:rsidRPr="008B3091" w:rsidRDefault="00E87F23" w:rsidP="0050171E">
                  <w:pPr>
                    <w:rPr>
                      <w:color w:val="000000" w:themeColor="text1"/>
                      <w:sz w:val="18"/>
                      <w:szCs w:val="18"/>
                    </w:rPr>
                  </w:pPr>
                </w:p>
                <w:p w14:paraId="229C985A" w14:textId="77777777" w:rsidR="00E87F23" w:rsidRPr="008B3091" w:rsidRDefault="00E87F23" w:rsidP="0050171E">
                  <w:pPr>
                    <w:jc w:val="center"/>
                    <w:rPr>
                      <w:sz w:val="18"/>
                      <w:szCs w:val="18"/>
                    </w:rPr>
                  </w:pPr>
                  <w:r w:rsidRPr="008B3091">
                    <w:rPr>
                      <w:sz w:val="18"/>
                      <w:szCs w:val="18"/>
                    </w:rPr>
                    <w:t>2,0</w:t>
                  </w:r>
                </w:p>
              </w:tc>
              <w:tc>
                <w:tcPr>
                  <w:tcW w:w="1486" w:type="dxa"/>
                </w:tcPr>
                <w:p w14:paraId="6C8D7AFA" w14:textId="77777777" w:rsidR="004252CB" w:rsidRDefault="00E87F23" w:rsidP="0050171E">
                  <w:pPr>
                    <w:rPr>
                      <w:color w:val="000000" w:themeColor="text1"/>
                      <w:sz w:val="18"/>
                      <w:szCs w:val="18"/>
                    </w:rPr>
                  </w:pPr>
                  <w:r w:rsidRPr="008B3091">
                    <w:rPr>
                      <w:color w:val="000000" w:themeColor="text1"/>
                      <w:sz w:val="18"/>
                      <w:szCs w:val="18"/>
                    </w:rPr>
                    <w:t xml:space="preserve">Visoki upravni sud </w:t>
                  </w:r>
                </w:p>
                <w:p w14:paraId="0AB3B133" w14:textId="77777777" w:rsidR="00674E0F" w:rsidRDefault="00E87F23" w:rsidP="0050171E">
                  <w:pPr>
                    <w:rPr>
                      <w:color w:val="000000" w:themeColor="text1"/>
                      <w:sz w:val="18"/>
                      <w:szCs w:val="18"/>
                    </w:rPr>
                  </w:pPr>
                  <w:r w:rsidRPr="008B3091">
                    <w:rPr>
                      <w:color w:val="000000" w:themeColor="text1"/>
                      <w:sz w:val="18"/>
                      <w:szCs w:val="18"/>
                    </w:rPr>
                    <w:t>uključen je u eSpis</w:t>
                  </w:r>
                  <w:r w:rsidR="00674E0F">
                    <w:rPr>
                      <w:color w:val="000000" w:themeColor="text1"/>
                      <w:sz w:val="18"/>
                      <w:szCs w:val="18"/>
                    </w:rPr>
                    <w:t>;</w:t>
                  </w:r>
                </w:p>
                <w:p w14:paraId="2AA1A60E" w14:textId="77777777" w:rsidR="00674E0F" w:rsidRDefault="00E87F23" w:rsidP="0050171E">
                  <w:pPr>
                    <w:rPr>
                      <w:color w:val="000000" w:themeColor="text1"/>
                      <w:sz w:val="18"/>
                      <w:szCs w:val="18"/>
                    </w:rPr>
                  </w:pPr>
                  <w:r w:rsidRPr="008B3091">
                    <w:rPr>
                      <w:color w:val="000000" w:themeColor="text1"/>
                      <w:sz w:val="18"/>
                      <w:szCs w:val="18"/>
                    </w:rPr>
                    <w:t xml:space="preserve">te najmanje </w:t>
                  </w:r>
                </w:p>
                <w:p w14:paraId="166C273A" w14:textId="77777777" w:rsidR="00674E0F" w:rsidRDefault="00E87F23" w:rsidP="0050171E">
                  <w:pPr>
                    <w:rPr>
                      <w:color w:val="000000" w:themeColor="text1"/>
                      <w:sz w:val="18"/>
                      <w:szCs w:val="18"/>
                    </w:rPr>
                  </w:pPr>
                  <w:r w:rsidRPr="008B3091">
                    <w:rPr>
                      <w:color w:val="000000" w:themeColor="text1"/>
                      <w:sz w:val="18"/>
                      <w:szCs w:val="18"/>
                    </w:rPr>
                    <w:t xml:space="preserve">devet </w:t>
                  </w:r>
                </w:p>
                <w:p w14:paraId="4E29A221" w14:textId="77777777" w:rsidR="00674E0F" w:rsidRDefault="00674E0F" w:rsidP="0050171E">
                  <w:pPr>
                    <w:rPr>
                      <w:color w:val="000000" w:themeColor="text1"/>
                      <w:sz w:val="18"/>
                      <w:szCs w:val="18"/>
                    </w:rPr>
                  </w:pPr>
                </w:p>
                <w:p w14:paraId="2E3D9F76" w14:textId="77777777" w:rsidR="00E87F23" w:rsidRPr="008B3091" w:rsidRDefault="00E87F23" w:rsidP="0050171E">
                  <w:pPr>
                    <w:rPr>
                      <w:color w:val="000000" w:themeColor="text1"/>
                      <w:sz w:val="18"/>
                      <w:szCs w:val="18"/>
                    </w:rPr>
                  </w:pPr>
                  <w:r w:rsidRPr="008B3091">
                    <w:rPr>
                      <w:color w:val="000000" w:themeColor="text1"/>
                      <w:sz w:val="18"/>
                      <w:szCs w:val="18"/>
                    </w:rPr>
                    <w:t>dodatnih općinskih sudova koristi sustav e-komunikacije.</w:t>
                  </w:r>
                </w:p>
                <w:p w14:paraId="0D1B32AF" w14:textId="77777777" w:rsidR="00E87F23" w:rsidRPr="008B3091" w:rsidRDefault="00E87F23" w:rsidP="0050171E">
                  <w:pPr>
                    <w:rPr>
                      <w:color w:val="000000" w:themeColor="text1"/>
                      <w:sz w:val="18"/>
                      <w:szCs w:val="18"/>
                    </w:rPr>
                  </w:pPr>
                </w:p>
                <w:p w14:paraId="67741B9E" w14:textId="77777777" w:rsidR="00E87F23" w:rsidRPr="008B3091" w:rsidRDefault="00E87F23" w:rsidP="0050171E">
                  <w:pPr>
                    <w:rPr>
                      <w:color w:val="000000" w:themeColor="text1"/>
                      <w:sz w:val="18"/>
                      <w:szCs w:val="18"/>
                    </w:rPr>
                  </w:pPr>
                  <w:r w:rsidRPr="008B3091">
                    <w:rPr>
                      <w:color w:val="000000" w:themeColor="text1"/>
                      <w:sz w:val="18"/>
                      <w:szCs w:val="18"/>
                    </w:rPr>
                    <w:t>Četiri (4) upravna suda uključena u eSpis.</w:t>
                  </w:r>
                </w:p>
                <w:p w14:paraId="6C547781" w14:textId="77777777" w:rsidR="00E87F23" w:rsidRPr="008B3091" w:rsidRDefault="00E87F23" w:rsidP="0050171E">
                  <w:pPr>
                    <w:rPr>
                      <w:sz w:val="18"/>
                      <w:szCs w:val="18"/>
                    </w:rPr>
                  </w:pPr>
                </w:p>
                <w:p w14:paraId="7F797A68" w14:textId="77777777" w:rsidR="00E87F23" w:rsidRPr="008B3091" w:rsidRDefault="00E87F23" w:rsidP="0050171E">
                  <w:pPr>
                    <w:jc w:val="center"/>
                    <w:rPr>
                      <w:sz w:val="18"/>
                      <w:szCs w:val="18"/>
                    </w:rPr>
                  </w:pPr>
                  <w:r w:rsidRPr="008B3091">
                    <w:rPr>
                      <w:sz w:val="18"/>
                      <w:szCs w:val="18"/>
                    </w:rPr>
                    <w:t>3,0</w:t>
                  </w:r>
                </w:p>
              </w:tc>
              <w:tc>
                <w:tcPr>
                  <w:tcW w:w="1328" w:type="dxa"/>
                </w:tcPr>
                <w:p w14:paraId="7259F35F" w14:textId="77777777" w:rsidR="00E87F23" w:rsidRPr="008B3091" w:rsidRDefault="00E87F23" w:rsidP="0050171E">
                  <w:pPr>
                    <w:rPr>
                      <w:sz w:val="18"/>
                      <w:szCs w:val="18"/>
                    </w:rPr>
                  </w:pPr>
                </w:p>
              </w:tc>
              <w:tc>
                <w:tcPr>
                  <w:tcW w:w="1255" w:type="dxa"/>
                </w:tcPr>
                <w:p w14:paraId="7FDA6CA2" w14:textId="77777777" w:rsidR="00E87F23" w:rsidRPr="008B3091" w:rsidRDefault="00E87F23" w:rsidP="0050171E">
                  <w:pPr>
                    <w:rPr>
                      <w:sz w:val="18"/>
                      <w:szCs w:val="18"/>
                    </w:rPr>
                  </w:pPr>
                </w:p>
              </w:tc>
              <w:tc>
                <w:tcPr>
                  <w:tcW w:w="791" w:type="dxa"/>
                </w:tcPr>
                <w:p w14:paraId="79867D0E" w14:textId="77777777" w:rsidR="00E87F23" w:rsidRPr="008B3091" w:rsidRDefault="00E87F23" w:rsidP="0050171E">
                  <w:pPr>
                    <w:rPr>
                      <w:sz w:val="18"/>
                      <w:szCs w:val="18"/>
                    </w:rPr>
                  </w:pPr>
                </w:p>
              </w:tc>
            </w:tr>
            <w:tr w:rsidR="00E87F23" w14:paraId="5727DE0F" w14:textId="77777777" w:rsidTr="00F84D70">
              <w:tc>
                <w:tcPr>
                  <w:tcW w:w="1413" w:type="dxa"/>
                </w:tcPr>
                <w:p w14:paraId="26A6918F" w14:textId="77777777" w:rsidR="00E87F23" w:rsidRPr="008B3091" w:rsidRDefault="00E87F23" w:rsidP="0050171E">
                  <w:pPr>
                    <w:rPr>
                      <w:b/>
                      <w:sz w:val="18"/>
                      <w:szCs w:val="18"/>
                    </w:rPr>
                  </w:pPr>
                </w:p>
                <w:p w14:paraId="5F2AF469" w14:textId="77777777" w:rsidR="00E87F23" w:rsidRPr="008B3091" w:rsidRDefault="00E87F23" w:rsidP="0050171E">
                  <w:pPr>
                    <w:rPr>
                      <w:b/>
                      <w:sz w:val="18"/>
                      <w:szCs w:val="18"/>
                    </w:rPr>
                  </w:pPr>
                  <w:r w:rsidRPr="008B3091">
                    <w:rPr>
                      <w:b/>
                      <w:sz w:val="18"/>
                      <w:szCs w:val="18"/>
                    </w:rPr>
                    <w:t xml:space="preserve">DLI 5: </w:t>
                  </w:r>
                  <w:r w:rsidRPr="008B3091">
                    <w:rPr>
                      <w:sz w:val="18"/>
                      <w:szCs w:val="18"/>
                    </w:rPr>
                    <w:t xml:space="preserve">Smanjenje </w:t>
                  </w:r>
                  <w:bookmarkStart w:id="8" w:name="_Hlk32060741"/>
                  <w:r w:rsidRPr="008B3091">
                    <w:rPr>
                      <w:sz w:val="18"/>
                      <w:szCs w:val="18"/>
                    </w:rPr>
                    <w:t>zaostataka sudskih predmeta starijih od 10 godina</w:t>
                  </w:r>
                  <w:bookmarkEnd w:id="8"/>
                </w:p>
              </w:tc>
              <w:tc>
                <w:tcPr>
                  <w:tcW w:w="1276" w:type="dxa"/>
                </w:tcPr>
                <w:p w14:paraId="0DEF5BB4" w14:textId="77777777" w:rsidR="00E87F23" w:rsidRPr="008B3091" w:rsidRDefault="00E87F23" w:rsidP="0050171E">
                  <w:pPr>
                    <w:rPr>
                      <w:sz w:val="18"/>
                      <w:szCs w:val="18"/>
                    </w:rPr>
                  </w:pPr>
                  <w:r w:rsidRPr="008B3091">
                    <w:rPr>
                      <w:sz w:val="18"/>
                      <w:szCs w:val="18"/>
                    </w:rPr>
                    <w:t xml:space="preserve">Da </w:t>
                  </w:r>
                </w:p>
              </w:tc>
              <w:tc>
                <w:tcPr>
                  <w:tcW w:w="1679" w:type="dxa"/>
                </w:tcPr>
                <w:p w14:paraId="329DD006" w14:textId="77777777" w:rsidR="00E87F23" w:rsidRPr="008B3091" w:rsidRDefault="00E87F23" w:rsidP="0050171E">
                  <w:pPr>
                    <w:rPr>
                      <w:color w:val="000000" w:themeColor="text1"/>
                      <w:sz w:val="18"/>
                      <w:szCs w:val="18"/>
                    </w:rPr>
                  </w:pPr>
                  <w:r w:rsidRPr="008B3091">
                    <w:rPr>
                      <w:color w:val="000000" w:themeColor="text1"/>
                      <w:sz w:val="18"/>
                      <w:szCs w:val="18"/>
                    </w:rPr>
                    <w:t>10 % neto smanjenje u odnosu na početnu vrijednost (9.131 predmet).</w:t>
                  </w:r>
                </w:p>
                <w:p w14:paraId="6B424288" w14:textId="77777777" w:rsidR="00E87F23" w:rsidRPr="008B3091" w:rsidRDefault="00E87F23" w:rsidP="0050171E">
                  <w:pPr>
                    <w:rPr>
                      <w:sz w:val="18"/>
                      <w:szCs w:val="18"/>
                    </w:rPr>
                  </w:pPr>
                </w:p>
                <w:p w14:paraId="67FF38C4" w14:textId="77777777" w:rsidR="00E87F23" w:rsidRDefault="00E87F23" w:rsidP="0050171E">
                  <w:pPr>
                    <w:jc w:val="center"/>
                    <w:rPr>
                      <w:sz w:val="18"/>
                      <w:szCs w:val="18"/>
                    </w:rPr>
                  </w:pPr>
                </w:p>
                <w:p w14:paraId="45319DA1" w14:textId="77777777" w:rsidR="00E87F23" w:rsidRDefault="00E87F23" w:rsidP="0050171E">
                  <w:pPr>
                    <w:jc w:val="center"/>
                    <w:rPr>
                      <w:sz w:val="18"/>
                      <w:szCs w:val="18"/>
                    </w:rPr>
                  </w:pPr>
                </w:p>
                <w:p w14:paraId="1B790EF2" w14:textId="77777777" w:rsidR="00E87F23" w:rsidRDefault="00E87F23" w:rsidP="0050171E">
                  <w:pPr>
                    <w:jc w:val="center"/>
                    <w:rPr>
                      <w:sz w:val="18"/>
                      <w:szCs w:val="18"/>
                    </w:rPr>
                  </w:pPr>
                </w:p>
                <w:p w14:paraId="0E3F0B25" w14:textId="77777777" w:rsidR="00E87F23" w:rsidRDefault="00E87F23" w:rsidP="0050171E">
                  <w:pPr>
                    <w:jc w:val="center"/>
                    <w:rPr>
                      <w:sz w:val="18"/>
                      <w:szCs w:val="18"/>
                    </w:rPr>
                  </w:pPr>
                </w:p>
                <w:p w14:paraId="239B4AE2" w14:textId="77777777" w:rsidR="00E87F23" w:rsidRDefault="00E87F23" w:rsidP="0050171E">
                  <w:pPr>
                    <w:jc w:val="center"/>
                    <w:rPr>
                      <w:sz w:val="18"/>
                      <w:szCs w:val="18"/>
                    </w:rPr>
                  </w:pPr>
                </w:p>
                <w:p w14:paraId="17947BAC" w14:textId="77777777" w:rsidR="00E87F23" w:rsidRPr="008B3091" w:rsidRDefault="00E87F23" w:rsidP="0050171E">
                  <w:pPr>
                    <w:jc w:val="center"/>
                    <w:rPr>
                      <w:sz w:val="18"/>
                      <w:szCs w:val="18"/>
                    </w:rPr>
                  </w:pPr>
                  <w:r w:rsidRPr="008B3091">
                    <w:rPr>
                      <w:sz w:val="18"/>
                      <w:szCs w:val="18"/>
                    </w:rPr>
                    <w:t>4,0</w:t>
                  </w:r>
                </w:p>
              </w:tc>
              <w:tc>
                <w:tcPr>
                  <w:tcW w:w="1486" w:type="dxa"/>
                </w:tcPr>
                <w:p w14:paraId="36593879" w14:textId="77777777" w:rsidR="00E87F23" w:rsidRPr="008B3091" w:rsidRDefault="00E87F23" w:rsidP="0050171E">
                  <w:pPr>
                    <w:rPr>
                      <w:color w:val="000000" w:themeColor="text1"/>
                      <w:sz w:val="18"/>
                      <w:szCs w:val="18"/>
                    </w:rPr>
                  </w:pPr>
                  <w:r w:rsidRPr="008B3091">
                    <w:rPr>
                      <w:color w:val="000000" w:themeColor="text1"/>
                      <w:sz w:val="18"/>
                      <w:szCs w:val="18"/>
                    </w:rPr>
                    <w:t>20 % neto smanjenje u odnosu na početnu vrijednost (9.131 predmet).</w:t>
                  </w:r>
                </w:p>
                <w:p w14:paraId="17D83C45" w14:textId="77777777" w:rsidR="00E87F23" w:rsidRPr="008B3091" w:rsidRDefault="00E87F23" w:rsidP="0050171E">
                  <w:pPr>
                    <w:rPr>
                      <w:sz w:val="18"/>
                      <w:szCs w:val="18"/>
                    </w:rPr>
                  </w:pPr>
                </w:p>
                <w:p w14:paraId="5D8CF363" w14:textId="77777777" w:rsidR="00E87F23" w:rsidRDefault="00E87F23" w:rsidP="0050171E">
                  <w:pPr>
                    <w:jc w:val="center"/>
                    <w:rPr>
                      <w:sz w:val="18"/>
                      <w:szCs w:val="18"/>
                    </w:rPr>
                  </w:pPr>
                </w:p>
                <w:p w14:paraId="03621262" w14:textId="77777777" w:rsidR="00E87F23" w:rsidRDefault="00E87F23" w:rsidP="0050171E">
                  <w:pPr>
                    <w:jc w:val="center"/>
                    <w:rPr>
                      <w:sz w:val="18"/>
                      <w:szCs w:val="18"/>
                    </w:rPr>
                  </w:pPr>
                </w:p>
                <w:p w14:paraId="6467DEEA" w14:textId="77777777" w:rsidR="00E87F23" w:rsidRDefault="00E87F23" w:rsidP="0050171E">
                  <w:pPr>
                    <w:jc w:val="center"/>
                    <w:rPr>
                      <w:sz w:val="18"/>
                      <w:szCs w:val="18"/>
                    </w:rPr>
                  </w:pPr>
                </w:p>
                <w:p w14:paraId="7FDFA260" w14:textId="77777777" w:rsidR="007A06F0" w:rsidRDefault="007A06F0" w:rsidP="0050171E">
                  <w:pPr>
                    <w:jc w:val="center"/>
                    <w:rPr>
                      <w:sz w:val="18"/>
                      <w:szCs w:val="18"/>
                    </w:rPr>
                  </w:pPr>
                </w:p>
                <w:p w14:paraId="4165483E" w14:textId="77777777" w:rsidR="00E87F23" w:rsidRPr="008B3091" w:rsidRDefault="00E87F23" w:rsidP="0050171E">
                  <w:pPr>
                    <w:jc w:val="center"/>
                    <w:rPr>
                      <w:sz w:val="18"/>
                      <w:szCs w:val="18"/>
                    </w:rPr>
                  </w:pPr>
                  <w:r w:rsidRPr="008B3091">
                    <w:rPr>
                      <w:sz w:val="18"/>
                      <w:szCs w:val="18"/>
                    </w:rPr>
                    <w:t>4,0</w:t>
                  </w:r>
                </w:p>
              </w:tc>
              <w:tc>
                <w:tcPr>
                  <w:tcW w:w="1328" w:type="dxa"/>
                </w:tcPr>
                <w:p w14:paraId="659146AA" w14:textId="77777777" w:rsidR="00E87F23" w:rsidRPr="008B3091" w:rsidRDefault="00E87F23" w:rsidP="0050171E">
                  <w:pPr>
                    <w:rPr>
                      <w:color w:val="000000" w:themeColor="text1"/>
                      <w:sz w:val="18"/>
                      <w:szCs w:val="18"/>
                    </w:rPr>
                  </w:pPr>
                  <w:r w:rsidRPr="008B3091">
                    <w:rPr>
                      <w:color w:val="000000" w:themeColor="text1"/>
                      <w:sz w:val="18"/>
                      <w:szCs w:val="18"/>
                    </w:rPr>
                    <w:t>30 % neto smanjenje u odnosu na početnu vrijednost (9.131 predmet).</w:t>
                  </w:r>
                </w:p>
                <w:p w14:paraId="1150E74A" w14:textId="77777777" w:rsidR="00E87F23" w:rsidRPr="008B3091" w:rsidRDefault="00E87F23" w:rsidP="0050171E">
                  <w:pPr>
                    <w:rPr>
                      <w:sz w:val="18"/>
                      <w:szCs w:val="18"/>
                    </w:rPr>
                  </w:pPr>
                </w:p>
                <w:p w14:paraId="67C5BB33" w14:textId="77777777" w:rsidR="00E87F23" w:rsidRPr="008B3091" w:rsidRDefault="00E87F23" w:rsidP="0050171E">
                  <w:pPr>
                    <w:jc w:val="center"/>
                    <w:rPr>
                      <w:sz w:val="18"/>
                      <w:szCs w:val="18"/>
                    </w:rPr>
                  </w:pPr>
                </w:p>
                <w:p w14:paraId="27AB9202" w14:textId="77777777" w:rsidR="00E87F23" w:rsidRPr="008B3091" w:rsidRDefault="00E87F23" w:rsidP="0050171E">
                  <w:pPr>
                    <w:jc w:val="center"/>
                    <w:rPr>
                      <w:sz w:val="18"/>
                      <w:szCs w:val="18"/>
                    </w:rPr>
                  </w:pPr>
                </w:p>
                <w:p w14:paraId="7C0D2194" w14:textId="77777777" w:rsidR="007A06F0" w:rsidRDefault="007A06F0" w:rsidP="0050171E">
                  <w:pPr>
                    <w:jc w:val="center"/>
                    <w:rPr>
                      <w:sz w:val="18"/>
                      <w:szCs w:val="18"/>
                    </w:rPr>
                  </w:pPr>
                </w:p>
                <w:p w14:paraId="1ECE1637" w14:textId="77777777" w:rsidR="00E87F23" w:rsidRPr="008B3091" w:rsidRDefault="00E87F23" w:rsidP="0050171E">
                  <w:pPr>
                    <w:jc w:val="center"/>
                    <w:rPr>
                      <w:sz w:val="18"/>
                      <w:szCs w:val="18"/>
                    </w:rPr>
                  </w:pPr>
                  <w:r w:rsidRPr="008B3091">
                    <w:rPr>
                      <w:sz w:val="18"/>
                      <w:szCs w:val="18"/>
                    </w:rPr>
                    <w:t>2,0</w:t>
                  </w:r>
                </w:p>
              </w:tc>
              <w:tc>
                <w:tcPr>
                  <w:tcW w:w="1255" w:type="dxa"/>
                </w:tcPr>
                <w:p w14:paraId="633701BD" w14:textId="77777777" w:rsidR="00E87F23" w:rsidRPr="008B3091" w:rsidRDefault="00E87F23" w:rsidP="0050171E">
                  <w:pPr>
                    <w:rPr>
                      <w:sz w:val="18"/>
                      <w:szCs w:val="18"/>
                    </w:rPr>
                  </w:pPr>
                </w:p>
              </w:tc>
              <w:tc>
                <w:tcPr>
                  <w:tcW w:w="791" w:type="dxa"/>
                </w:tcPr>
                <w:p w14:paraId="504A8D9F" w14:textId="77777777" w:rsidR="00E87F23" w:rsidRPr="008B3091" w:rsidRDefault="00E87F23" w:rsidP="0050171E">
                  <w:pPr>
                    <w:rPr>
                      <w:sz w:val="18"/>
                      <w:szCs w:val="18"/>
                    </w:rPr>
                  </w:pPr>
                </w:p>
              </w:tc>
            </w:tr>
            <w:tr w:rsidR="00E87F23" w14:paraId="7C485D46" w14:textId="77777777" w:rsidTr="00F84D70">
              <w:tc>
                <w:tcPr>
                  <w:tcW w:w="1413" w:type="dxa"/>
                </w:tcPr>
                <w:p w14:paraId="2F7EC25D" w14:textId="77777777" w:rsidR="00E87F23" w:rsidRPr="008B3091" w:rsidRDefault="00E87F23" w:rsidP="0050171E">
                  <w:pPr>
                    <w:rPr>
                      <w:b/>
                      <w:sz w:val="18"/>
                      <w:szCs w:val="18"/>
                    </w:rPr>
                  </w:pPr>
                </w:p>
                <w:p w14:paraId="2CF32641" w14:textId="77777777" w:rsidR="00E87F23" w:rsidRDefault="00E87F23" w:rsidP="0050171E">
                  <w:pPr>
                    <w:rPr>
                      <w:sz w:val="18"/>
                      <w:szCs w:val="18"/>
                    </w:rPr>
                  </w:pPr>
                  <w:r w:rsidRPr="008B3091">
                    <w:rPr>
                      <w:b/>
                      <w:sz w:val="18"/>
                      <w:szCs w:val="18"/>
                    </w:rPr>
                    <w:t xml:space="preserve">DLI 6: </w:t>
                  </w:r>
                  <w:r w:rsidRPr="008B3091">
                    <w:rPr>
                      <w:sz w:val="18"/>
                      <w:szCs w:val="18"/>
                    </w:rPr>
                    <w:t>Smanjenje Vremena rješavanja predmeta do donošenja sudskih odluka na trgovačkim sudovima.</w:t>
                  </w:r>
                </w:p>
                <w:p w14:paraId="070F557F" w14:textId="77777777" w:rsidR="00674E0F" w:rsidRPr="008B3091" w:rsidRDefault="00674E0F" w:rsidP="0050171E">
                  <w:pPr>
                    <w:rPr>
                      <w:b/>
                      <w:sz w:val="18"/>
                      <w:szCs w:val="18"/>
                    </w:rPr>
                  </w:pPr>
                </w:p>
              </w:tc>
              <w:tc>
                <w:tcPr>
                  <w:tcW w:w="1276" w:type="dxa"/>
                </w:tcPr>
                <w:p w14:paraId="724FA05B" w14:textId="77777777" w:rsidR="00E87F23" w:rsidRPr="008B3091" w:rsidRDefault="00E87F23" w:rsidP="0050171E">
                  <w:pPr>
                    <w:rPr>
                      <w:sz w:val="18"/>
                      <w:szCs w:val="18"/>
                    </w:rPr>
                  </w:pPr>
                  <w:r w:rsidRPr="008B3091">
                    <w:rPr>
                      <w:sz w:val="18"/>
                      <w:szCs w:val="18"/>
                    </w:rPr>
                    <w:t>Da</w:t>
                  </w:r>
                </w:p>
              </w:tc>
              <w:tc>
                <w:tcPr>
                  <w:tcW w:w="1679" w:type="dxa"/>
                </w:tcPr>
                <w:p w14:paraId="73C7BE3D" w14:textId="77777777" w:rsidR="00E87F23" w:rsidRPr="008B3091" w:rsidRDefault="00E87F23" w:rsidP="0050171E">
                  <w:pPr>
                    <w:rPr>
                      <w:sz w:val="18"/>
                      <w:szCs w:val="18"/>
                    </w:rPr>
                  </w:pPr>
                </w:p>
              </w:tc>
              <w:tc>
                <w:tcPr>
                  <w:tcW w:w="1486" w:type="dxa"/>
                </w:tcPr>
                <w:p w14:paraId="50DA1BAD" w14:textId="77777777" w:rsidR="00E87F23" w:rsidRPr="008B3091" w:rsidRDefault="00E87F23" w:rsidP="0050171E">
                  <w:pPr>
                    <w:rPr>
                      <w:color w:val="000000" w:themeColor="text1"/>
                      <w:sz w:val="18"/>
                      <w:szCs w:val="18"/>
                    </w:rPr>
                  </w:pPr>
                  <w:r w:rsidRPr="008B3091">
                    <w:rPr>
                      <w:color w:val="000000" w:themeColor="text1"/>
                      <w:sz w:val="18"/>
                      <w:szCs w:val="18"/>
                    </w:rPr>
                    <w:t xml:space="preserve">284 dana, što predstavlja smanjenje od 11 % u odnosu na početnu vrijednost od 320 dana. </w:t>
                  </w:r>
                </w:p>
                <w:p w14:paraId="5A649CE1" w14:textId="77777777" w:rsidR="00E87F23" w:rsidRPr="008B3091" w:rsidRDefault="00E87F23" w:rsidP="0050171E">
                  <w:pPr>
                    <w:rPr>
                      <w:sz w:val="18"/>
                      <w:szCs w:val="18"/>
                    </w:rPr>
                  </w:pPr>
                </w:p>
                <w:p w14:paraId="60E34631" w14:textId="77777777" w:rsidR="00E87F23" w:rsidRPr="008B3091" w:rsidRDefault="00E87F23" w:rsidP="0050171E">
                  <w:pPr>
                    <w:jc w:val="center"/>
                    <w:rPr>
                      <w:sz w:val="18"/>
                      <w:szCs w:val="18"/>
                    </w:rPr>
                  </w:pPr>
                  <w:r w:rsidRPr="008B3091">
                    <w:rPr>
                      <w:sz w:val="18"/>
                      <w:szCs w:val="18"/>
                    </w:rPr>
                    <w:t>4,0</w:t>
                  </w:r>
                </w:p>
              </w:tc>
              <w:tc>
                <w:tcPr>
                  <w:tcW w:w="1328" w:type="dxa"/>
                </w:tcPr>
                <w:p w14:paraId="0A08B992" w14:textId="77777777" w:rsidR="00E87F23" w:rsidRPr="008B3091" w:rsidRDefault="00E87F23" w:rsidP="0050171E">
                  <w:pPr>
                    <w:rPr>
                      <w:sz w:val="18"/>
                      <w:szCs w:val="18"/>
                    </w:rPr>
                  </w:pPr>
                </w:p>
              </w:tc>
              <w:tc>
                <w:tcPr>
                  <w:tcW w:w="1255" w:type="dxa"/>
                </w:tcPr>
                <w:p w14:paraId="0BC3BB82" w14:textId="77777777" w:rsidR="00E87F23" w:rsidRPr="008B3091" w:rsidRDefault="00E87F23" w:rsidP="0050171E">
                  <w:pPr>
                    <w:rPr>
                      <w:color w:val="000000" w:themeColor="text1"/>
                      <w:sz w:val="18"/>
                      <w:szCs w:val="18"/>
                    </w:rPr>
                  </w:pPr>
                  <w:r w:rsidRPr="008B3091">
                    <w:rPr>
                      <w:color w:val="000000" w:themeColor="text1"/>
                      <w:sz w:val="18"/>
                      <w:szCs w:val="18"/>
                    </w:rPr>
                    <w:t xml:space="preserve">240 dana, što predstavlja smanjenje od 25 % u odnosu na početnu vrijednost od 320 dana. </w:t>
                  </w:r>
                </w:p>
                <w:p w14:paraId="6EFD16CE" w14:textId="77777777" w:rsidR="00E87F23" w:rsidRPr="008B3091" w:rsidRDefault="00E87F23" w:rsidP="0050171E">
                  <w:pPr>
                    <w:rPr>
                      <w:sz w:val="18"/>
                      <w:szCs w:val="18"/>
                    </w:rPr>
                  </w:pPr>
                </w:p>
                <w:p w14:paraId="7E60DFF5" w14:textId="77777777" w:rsidR="00E87F23" w:rsidRPr="008B3091" w:rsidRDefault="00E87F23" w:rsidP="0050171E">
                  <w:pPr>
                    <w:jc w:val="center"/>
                    <w:rPr>
                      <w:sz w:val="18"/>
                      <w:szCs w:val="18"/>
                    </w:rPr>
                  </w:pPr>
                  <w:r w:rsidRPr="008B3091">
                    <w:rPr>
                      <w:sz w:val="18"/>
                      <w:szCs w:val="18"/>
                    </w:rPr>
                    <w:t>6,0</w:t>
                  </w:r>
                </w:p>
              </w:tc>
              <w:tc>
                <w:tcPr>
                  <w:tcW w:w="791" w:type="dxa"/>
                </w:tcPr>
                <w:p w14:paraId="657CB569" w14:textId="77777777" w:rsidR="00E87F23" w:rsidRPr="008B3091" w:rsidRDefault="00E87F23" w:rsidP="0050171E">
                  <w:pPr>
                    <w:rPr>
                      <w:sz w:val="18"/>
                      <w:szCs w:val="18"/>
                    </w:rPr>
                  </w:pPr>
                </w:p>
              </w:tc>
            </w:tr>
          </w:tbl>
          <w:p w14:paraId="7F2F485A" w14:textId="77777777" w:rsidR="00E87F23" w:rsidRDefault="00E87F23" w:rsidP="0050171E">
            <w:pPr>
              <w:jc w:val="center"/>
              <w:rPr>
                <w:b/>
                <w:sz w:val="20"/>
              </w:rPr>
            </w:pPr>
          </w:p>
          <w:p w14:paraId="53F7A3B3" w14:textId="77777777" w:rsidR="00E87F23" w:rsidRDefault="00E87F23" w:rsidP="0050171E">
            <w:pPr>
              <w:rPr>
                <w:b/>
                <w:sz w:val="16"/>
                <w:szCs w:val="16"/>
              </w:rPr>
            </w:pPr>
          </w:p>
          <w:p w14:paraId="5E4FDF5F" w14:textId="77777777" w:rsidR="00674E0F" w:rsidRDefault="00674E0F" w:rsidP="0050171E">
            <w:pPr>
              <w:rPr>
                <w:b/>
                <w:sz w:val="16"/>
                <w:szCs w:val="16"/>
              </w:rPr>
            </w:pPr>
          </w:p>
          <w:p w14:paraId="39391515" w14:textId="77777777" w:rsidR="00674E0F" w:rsidRDefault="00674E0F" w:rsidP="0050171E">
            <w:pPr>
              <w:rPr>
                <w:b/>
                <w:sz w:val="16"/>
                <w:szCs w:val="16"/>
              </w:rPr>
            </w:pPr>
          </w:p>
          <w:p w14:paraId="5DEA8ABD" w14:textId="77777777" w:rsidR="00674E0F" w:rsidRDefault="00674E0F" w:rsidP="0050171E">
            <w:pPr>
              <w:rPr>
                <w:b/>
                <w:sz w:val="16"/>
                <w:szCs w:val="16"/>
              </w:rPr>
            </w:pPr>
          </w:p>
          <w:p w14:paraId="09D952C6" w14:textId="77777777" w:rsidR="00674E0F" w:rsidRPr="008B3091" w:rsidRDefault="00674E0F" w:rsidP="0050171E">
            <w:pPr>
              <w:rPr>
                <w:b/>
                <w:sz w:val="16"/>
                <w:szCs w:val="16"/>
              </w:rPr>
            </w:pPr>
          </w:p>
        </w:tc>
      </w:tr>
      <w:tr w:rsidR="00E87F23" w:rsidRPr="00EC7AE8" w14:paraId="3C3D9FCF" w14:textId="77777777" w:rsidTr="0050171E">
        <w:trPr>
          <w:cantSplit/>
          <w:trHeight w:val="70"/>
        </w:trPr>
        <w:tc>
          <w:tcPr>
            <w:tcW w:w="10112" w:type="dxa"/>
            <w:tcBorders>
              <w:top w:val="single" w:sz="4" w:space="0" w:color="auto"/>
            </w:tcBorders>
          </w:tcPr>
          <w:p w14:paraId="1F954325" w14:textId="77777777" w:rsidR="00674E0F" w:rsidRPr="00EC7AE8" w:rsidRDefault="00674E0F" w:rsidP="00674E0F">
            <w:pPr>
              <w:rPr>
                <w:b/>
              </w:rPr>
            </w:pPr>
          </w:p>
        </w:tc>
      </w:tr>
    </w:tbl>
    <w:p w14:paraId="232898F9" w14:textId="77777777" w:rsidR="001E5245" w:rsidRDefault="001E5245" w:rsidP="006211D9"/>
    <w:p w14:paraId="67815AF3" w14:textId="77777777" w:rsidR="001E5245" w:rsidRDefault="001E5245" w:rsidP="006211D9"/>
    <w:p w14:paraId="688B1BF4" w14:textId="77777777" w:rsidR="001E5245" w:rsidRDefault="001E5245" w:rsidP="006211D9"/>
    <w:p w14:paraId="3BBC4D43" w14:textId="77777777" w:rsidR="001E5245" w:rsidRDefault="001E5245" w:rsidP="006211D9"/>
    <w:p w14:paraId="41ECD337" w14:textId="77777777" w:rsidR="001E5245" w:rsidRDefault="001E5245" w:rsidP="006211D9"/>
    <w:p w14:paraId="356FB096" w14:textId="77777777" w:rsidR="001E5245" w:rsidRDefault="001E5245" w:rsidP="006211D9"/>
    <w:p w14:paraId="18D62889" w14:textId="77777777" w:rsidR="001E5245" w:rsidRDefault="001E5245" w:rsidP="006211D9"/>
    <w:p w14:paraId="6ADDD287" w14:textId="77777777" w:rsidR="001E5245" w:rsidRDefault="001E5245" w:rsidP="006211D9"/>
    <w:p w14:paraId="5AE27F2D" w14:textId="77777777" w:rsidR="001E5245" w:rsidRDefault="001E5245" w:rsidP="006211D9"/>
    <w:p w14:paraId="3E35BE2F" w14:textId="77777777" w:rsidR="001E5245" w:rsidRDefault="001E5245" w:rsidP="006211D9"/>
    <w:p w14:paraId="2ECDECF0" w14:textId="77777777" w:rsidR="001E5245" w:rsidRDefault="001E5245" w:rsidP="006211D9"/>
    <w:p w14:paraId="2D078130" w14:textId="77777777" w:rsidR="001E5245" w:rsidRDefault="001E5245" w:rsidP="006211D9"/>
    <w:p w14:paraId="13F3EBA7" w14:textId="77777777" w:rsidR="001E5245" w:rsidRDefault="001E5245" w:rsidP="006211D9"/>
    <w:p w14:paraId="0FA417A6" w14:textId="77777777" w:rsidR="001E5245" w:rsidRDefault="001E5245" w:rsidP="006211D9"/>
    <w:p w14:paraId="252BF4B4" w14:textId="77777777" w:rsidR="001E5245" w:rsidRDefault="001E5245" w:rsidP="006211D9"/>
    <w:p w14:paraId="2257561D" w14:textId="77777777" w:rsidR="001E5245" w:rsidRDefault="001E5245" w:rsidP="006211D9"/>
    <w:p w14:paraId="0B8F5D45" w14:textId="77777777" w:rsidR="001E5245" w:rsidRDefault="001E5245" w:rsidP="006211D9"/>
    <w:p w14:paraId="15F9E587" w14:textId="77777777" w:rsidR="00141330" w:rsidRDefault="00141330" w:rsidP="006211D9"/>
    <w:p w14:paraId="2EE72E22" w14:textId="77777777" w:rsidR="00141330" w:rsidRDefault="00141330" w:rsidP="006211D9"/>
    <w:p w14:paraId="75E189C4" w14:textId="77777777" w:rsidR="00493BAC" w:rsidRDefault="00493BAC" w:rsidP="006211D9"/>
    <w:p w14:paraId="686F25FA" w14:textId="77777777" w:rsidR="001E5245" w:rsidRPr="00242981" w:rsidRDefault="008A689C" w:rsidP="008A689C">
      <w:pPr>
        <w:pStyle w:val="BodyText"/>
        <w:ind w:left="720" w:hanging="720"/>
        <w:jc w:val="center"/>
        <w:rPr>
          <w:b/>
          <w:bCs/>
          <w:szCs w:val="24"/>
          <w:lang w:val="hr-HR"/>
        </w:rPr>
      </w:pPr>
      <w:r w:rsidRPr="00242981">
        <w:rPr>
          <w:b/>
          <w:bCs/>
          <w:szCs w:val="24"/>
          <w:lang w:val="hr-HR"/>
        </w:rPr>
        <w:t>DODATAK</w:t>
      </w:r>
    </w:p>
    <w:p w14:paraId="0B10D8BE" w14:textId="77777777" w:rsidR="001E5245" w:rsidRPr="00242981" w:rsidRDefault="001E5245" w:rsidP="00CE7B75">
      <w:pPr>
        <w:pStyle w:val="BodyText"/>
        <w:ind w:left="720" w:firstLine="414"/>
        <w:rPr>
          <w:b/>
          <w:bCs/>
          <w:szCs w:val="24"/>
          <w:lang w:val="hr-HR"/>
        </w:rPr>
      </w:pPr>
      <w:r w:rsidRPr="00242981">
        <w:rPr>
          <w:b/>
          <w:bCs/>
          <w:szCs w:val="24"/>
          <w:u w:val="single"/>
          <w:lang w:val="hr-HR"/>
        </w:rPr>
        <w:t>Definicije</w:t>
      </w:r>
    </w:p>
    <w:p w14:paraId="20579A3C" w14:textId="77777777" w:rsidR="008A689C" w:rsidRDefault="008A689C" w:rsidP="0026062A">
      <w:pPr>
        <w:pStyle w:val="NoSpacing"/>
        <w:numPr>
          <w:ilvl w:val="0"/>
          <w:numId w:val="27"/>
        </w:numPr>
        <w:jc w:val="both"/>
      </w:pPr>
      <w:r>
        <w:t>„Godišnji plan rada i proračun” znači plan rada i proračun koje svake godine Zajmoprimac izrađuje i odobrava u skladu s odjeljkom I. C. Priloga 2. ovom Ugovoru; „Godišnji planovi rada i proračuni” znači više od jednog takvog Godišnjeg plana rada i proračuna.</w:t>
      </w:r>
    </w:p>
    <w:p w14:paraId="5BC4C5E3" w14:textId="77777777" w:rsidR="008A689C" w:rsidRDefault="008A689C" w:rsidP="008A689C">
      <w:pPr>
        <w:pStyle w:val="NoSpacing"/>
        <w:ind w:left="720"/>
        <w:jc w:val="both"/>
      </w:pPr>
    </w:p>
    <w:p w14:paraId="26E88A5B" w14:textId="77777777" w:rsidR="008A689C" w:rsidRDefault="008A689C" w:rsidP="0026062A">
      <w:pPr>
        <w:pStyle w:val="NoSpacing"/>
        <w:numPr>
          <w:ilvl w:val="0"/>
          <w:numId w:val="27"/>
        </w:numPr>
        <w:jc w:val="both"/>
      </w:pPr>
      <w:r>
        <w:t>„Smjernice za suzbijanje korupcije” znači, u smislu stavka 5. Dodatka Općim uvjetima, „Smjernice za sprečavanje i borbu protiv prijevara i korupcije u projektima koji se financiraju zajmovima IBRD-a te kreditima i darovnicama IDA-e”, od 15. listopada 2006. s revizijom iz siječnja 2011. i od 1. srpnja 2016.</w:t>
      </w:r>
    </w:p>
    <w:p w14:paraId="42108652" w14:textId="77777777" w:rsidR="008A689C" w:rsidRDefault="008A689C" w:rsidP="008A689C">
      <w:pPr>
        <w:pStyle w:val="NoSpacing"/>
        <w:jc w:val="both"/>
      </w:pPr>
    </w:p>
    <w:p w14:paraId="0EFDD9A6" w14:textId="77777777" w:rsidR="008A689C" w:rsidRDefault="008A689C" w:rsidP="0026062A">
      <w:pPr>
        <w:pStyle w:val="NoSpacing"/>
        <w:numPr>
          <w:ilvl w:val="0"/>
          <w:numId w:val="27"/>
        </w:numPr>
        <w:jc w:val="both"/>
      </w:pPr>
      <w:r>
        <w:t>„Kategorija” znači kategorija iz tablice u odjeljku III. A. Priloga 2. ovom Ugovoru.</w:t>
      </w:r>
    </w:p>
    <w:p w14:paraId="3B937153" w14:textId="77777777" w:rsidR="008A689C" w:rsidRDefault="008A689C" w:rsidP="008A689C">
      <w:pPr>
        <w:pStyle w:val="NoSpacing"/>
        <w:jc w:val="both"/>
      </w:pPr>
    </w:p>
    <w:p w14:paraId="226F4396" w14:textId="77777777" w:rsidR="008A689C" w:rsidRDefault="008A689C" w:rsidP="0026062A">
      <w:pPr>
        <w:pStyle w:val="NoSpacing"/>
        <w:numPr>
          <w:ilvl w:val="0"/>
          <w:numId w:val="27"/>
        </w:numPr>
        <w:jc w:val="both"/>
      </w:pPr>
      <w:r>
        <w:t>„Zakon o sudovima” znači Zajmoprimčev zakon o ustrojstvu sudova u Hrvatskoj te njihovoj upravi, unutarnjem ustrojstvu i nadležnostima,  objavljen u Narodnim novinama br. 28/13</w:t>
      </w:r>
      <w:r w:rsidR="00485064">
        <w:t>;</w:t>
      </w:r>
      <w:r>
        <w:t xml:space="preserve"> 33/15</w:t>
      </w:r>
      <w:r w:rsidR="00485064">
        <w:t>;</w:t>
      </w:r>
      <w:r>
        <w:t xml:space="preserve"> 82/15</w:t>
      </w:r>
      <w:r w:rsidR="00485064">
        <w:t>;</w:t>
      </w:r>
      <w:r>
        <w:t xml:space="preserve"> 67/18</w:t>
      </w:r>
      <w:r w:rsidR="00485064">
        <w:t>;</w:t>
      </w:r>
      <w:r>
        <w:t>126/2019.</w:t>
      </w:r>
    </w:p>
    <w:p w14:paraId="2180A171" w14:textId="77777777" w:rsidR="008A689C" w:rsidRDefault="008A689C" w:rsidP="008A689C">
      <w:pPr>
        <w:pStyle w:val="NoSpacing"/>
        <w:jc w:val="both"/>
      </w:pPr>
    </w:p>
    <w:p w14:paraId="5EBE3E9F" w14:textId="77777777" w:rsidR="008A689C" w:rsidRDefault="008A689C" w:rsidP="0026062A">
      <w:pPr>
        <w:pStyle w:val="NoSpacing"/>
        <w:numPr>
          <w:ilvl w:val="0"/>
          <w:numId w:val="27"/>
        </w:numPr>
        <w:jc w:val="both"/>
      </w:pPr>
      <w:r>
        <w:t xml:space="preserve">„Zakon o područjima i sjedištima sudova” znači Zajmoprimčev zakon o ustanovljavaju županijskih, općinskih, trgovačkih i upravnih sudova te o određivanju područja njihove nadležnosti i načina njihova djelovanja, objavljen u Narodnim novinama </w:t>
      </w:r>
      <w:r w:rsidR="002D08D0">
        <w:t xml:space="preserve">br. </w:t>
      </w:r>
      <w:r>
        <w:t>67/18.</w:t>
      </w:r>
    </w:p>
    <w:p w14:paraId="43753A0B" w14:textId="77777777" w:rsidR="008A689C" w:rsidRDefault="008A689C" w:rsidP="008A689C">
      <w:pPr>
        <w:pStyle w:val="NoSpacing"/>
        <w:jc w:val="both"/>
      </w:pPr>
    </w:p>
    <w:p w14:paraId="0340A180" w14:textId="77777777" w:rsidR="008A689C" w:rsidRDefault="008A689C" w:rsidP="0026062A">
      <w:pPr>
        <w:pStyle w:val="NoSpacing"/>
        <w:numPr>
          <w:ilvl w:val="0"/>
          <w:numId w:val="27"/>
        </w:numPr>
        <w:jc w:val="both"/>
      </w:pPr>
      <w:r>
        <w:t>„Pokazatelji na temelju kojih se odobrava povlačenje sredstava Zajma” ili „DLI pokazatelji” znači skup pokazatelja navedenih u Prilogu 4. ovom Ugovoru. za koje su operativne definicije i odgovarajući mehanizmi provjere uključeni u Protokole za provjeru i Priručnik za upravljanje Projektom (kako je definiran u nastavku).</w:t>
      </w:r>
    </w:p>
    <w:p w14:paraId="61805562" w14:textId="77777777" w:rsidR="008A689C" w:rsidRDefault="008A689C" w:rsidP="008A689C">
      <w:pPr>
        <w:pStyle w:val="NoSpacing"/>
        <w:jc w:val="both"/>
      </w:pPr>
    </w:p>
    <w:p w14:paraId="13587F0D" w14:textId="77777777" w:rsidR="008A689C" w:rsidRDefault="008A689C" w:rsidP="0026062A">
      <w:pPr>
        <w:pStyle w:val="NoSpacing"/>
        <w:numPr>
          <w:ilvl w:val="0"/>
          <w:numId w:val="27"/>
        </w:numPr>
        <w:jc w:val="both"/>
      </w:pPr>
      <w:r>
        <w:t xml:space="preserve">„Vrijeme rješavanja predmeta” znači omjer broja neriješenih predmeta tijekom promatrane kalendarske godine i broja riješenih predmeta na kraju te kalendarske godine. Ovaj odnos mjeri koliko brzo trgovački sudovi obrću primljene predmete na temelju projekcija (365/Case Turnover Ratio (Case Turnover Ratio = broj riješenih predmeta/broj neriješenih predmeta)). </w:t>
      </w:r>
    </w:p>
    <w:p w14:paraId="450ED629" w14:textId="77777777" w:rsidR="008A689C" w:rsidRDefault="008A689C" w:rsidP="008A689C">
      <w:pPr>
        <w:pStyle w:val="NoSpacing"/>
        <w:jc w:val="both"/>
      </w:pPr>
    </w:p>
    <w:p w14:paraId="653AC4D3" w14:textId="77777777" w:rsidR="008A689C" w:rsidRDefault="008A689C" w:rsidP="0026062A">
      <w:pPr>
        <w:pStyle w:val="NoSpacing"/>
        <w:numPr>
          <w:ilvl w:val="0"/>
          <w:numId w:val="27"/>
        </w:numPr>
        <w:jc w:val="both"/>
      </w:pPr>
      <w:r>
        <w:t xml:space="preserve">„E-Dozvola” znači jedinstveni informacijski sustav MGIPU-a (kako je definiran u nastavku) za izdavanje dozvola za gradnju i obavljanje povezanih postupaka u skladu sa Zajmoprimčevim Zakonom o prostornom uređenju objavljenim u </w:t>
      </w:r>
      <w:r w:rsidRPr="00485064">
        <w:t>NN</w:t>
      </w:r>
      <w:r>
        <w:t xml:space="preserve"> (NN 153/13; 65/17; 114/18; 39/19; 98/19) i Zakonom o gradnji objavljenim u </w:t>
      </w:r>
      <w:r w:rsidRPr="00485064">
        <w:t>NN</w:t>
      </w:r>
      <w:r>
        <w:t xml:space="preserve">  (NN 153/13; 20/17; 39/19; 125/19).</w:t>
      </w:r>
    </w:p>
    <w:p w14:paraId="1A9DBC01" w14:textId="77777777" w:rsidR="008A689C" w:rsidRDefault="008A689C" w:rsidP="008A689C">
      <w:pPr>
        <w:pStyle w:val="NoSpacing"/>
        <w:jc w:val="both"/>
      </w:pPr>
    </w:p>
    <w:p w14:paraId="304234AD" w14:textId="77777777" w:rsidR="008A689C" w:rsidRDefault="008A689C" w:rsidP="0026062A">
      <w:pPr>
        <w:pStyle w:val="NoSpacing"/>
        <w:numPr>
          <w:ilvl w:val="0"/>
          <w:numId w:val="27"/>
        </w:numPr>
        <w:jc w:val="both"/>
      </w:pPr>
      <w:r>
        <w:t>„Izvješće o potrošnji u okviru PPR-ova” znači izvješće o stanju potrošnje u okviru PPR-ova koje izrađuje Zajmoprimac, putem JPP-a (kako je definiran u nastavku), u skladu s Pismom o isplatama s financijskim informacijama te kako je utvrđeno u Priručniku za upravljanje Projektom (kako je definiran u nastavku).</w:t>
      </w:r>
    </w:p>
    <w:p w14:paraId="76EBA12B" w14:textId="77777777" w:rsidR="008A689C" w:rsidRDefault="008A689C" w:rsidP="008A689C">
      <w:pPr>
        <w:pStyle w:val="NoSpacing"/>
        <w:jc w:val="both"/>
      </w:pPr>
    </w:p>
    <w:p w14:paraId="4892E409" w14:textId="77777777" w:rsidR="008A689C" w:rsidRDefault="008A689C" w:rsidP="0026062A">
      <w:pPr>
        <w:pStyle w:val="NoSpacing"/>
        <w:numPr>
          <w:ilvl w:val="0"/>
          <w:numId w:val="27"/>
        </w:numPr>
        <w:jc w:val="both"/>
      </w:pPr>
      <w:r>
        <w:t>„Alati e-pravosuđa” znači skup automatiziranih platformi i informacijskih sustava koje  MP (kako je definiran u nastavku) u Hrvatskoj osigurava kao potporu za rad pravosudnog sektora na državnom području Zajmoprimca.</w:t>
      </w:r>
    </w:p>
    <w:p w14:paraId="4642F906" w14:textId="77777777" w:rsidR="008A689C" w:rsidRDefault="008A689C" w:rsidP="008A689C">
      <w:pPr>
        <w:pStyle w:val="NoSpacing"/>
        <w:jc w:val="both"/>
      </w:pPr>
    </w:p>
    <w:p w14:paraId="12582729" w14:textId="77777777" w:rsidR="008A689C" w:rsidRDefault="008A689C" w:rsidP="0026062A">
      <w:pPr>
        <w:pStyle w:val="NoSpacing"/>
        <w:numPr>
          <w:ilvl w:val="0"/>
          <w:numId w:val="27"/>
        </w:numPr>
        <w:jc w:val="both"/>
      </w:pPr>
      <w:r>
        <w:t xml:space="preserve">„Programi prihvatljivih rashoda” ili „PPR-ovi” znači skup utvrđenih rashoda, koji su Banci prihvatljivi i koji su povezani s prijenosima izvršenima Zajmoprimcu za plaćanje rashoda koji nisu predmet nabave, a koji su vezani uz aktivnosti iz dijelova 1., 2.1. i 2.2. Projekta, kako je detaljnije opisano u Pismu o isplatama s financijskim informacijama i Priručniku za upravljanje Projektom (kako je definiran u nastavku) (te ti rashodi čine podskup Prihvatljivih rashoda utvrđenih u Općim uvjetima). </w:t>
      </w:r>
    </w:p>
    <w:p w14:paraId="5AE30A6A" w14:textId="77777777" w:rsidR="008A689C" w:rsidRDefault="008A689C" w:rsidP="008A689C">
      <w:pPr>
        <w:pStyle w:val="NoSpacing"/>
        <w:jc w:val="both"/>
      </w:pPr>
    </w:p>
    <w:p w14:paraId="53135907" w14:textId="77777777" w:rsidR="008A689C" w:rsidRDefault="008A689C" w:rsidP="0026062A">
      <w:pPr>
        <w:pStyle w:val="NoSpacing"/>
        <w:numPr>
          <w:ilvl w:val="0"/>
          <w:numId w:val="27"/>
        </w:numPr>
        <w:jc w:val="both"/>
      </w:pPr>
      <w:r>
        <w:t>„Plan preuzimanja obveza u pogledu okolišnih i socijalnih aspekata” ili „ESCP” znači Zajmoprimčev plan preuzimanja obveza u pogledu okolišnih i socijalnih aspekata, koji je Banci prihvatljiv, od 12. veljače 2020., u kojem je utvrđen kratak opis materijalnih mjera i postupaka za rješavanje potencijalnih okolišnih i socijalnih rizika te utjecaja Projekta, uključujući vremenski raspored postupaka i mjera, institucionalne aranžmane, ljudske resurse, osposobljavanje, praćenje i izvješćivanje te sve instrumente koji će se na temelju toga pripremiti; s obzirom na to da se, uz prethodnu pisanu suglasnost Banke, ESCP može s vremena na vrijeme revidirati, taj izraz obuhvaća sve priloge ili dodatke tom planu.</w:t>
      </w:r>
    </w:p>
    <w:p w14:paraId="284B3730" w14:textId="77777777" w:rsidR="008A689C" w:rsidRDefault="008A689C" w:rsidP="008A689C">
      <w:pPr>
        <w:pStyle w:val="NoSpacing"/>
        <w:jc w:val="both"/>
      </w:pPr>
    </w:p>
    <w:p w14:paraId="6890F783" w14:textId="77777777" w:rsidR="008A689C" w:rsidRDefault="008A689C" w:rsidP="0026062A">
      <w:pPr>
        <w:pStyle w:val="NoSpacing"/>
        <w:numPr>
          <w:ilvl w:val="0"/>
          <w:numId w:val="27"/>
        </w:numPr>
        <w:jc w:val="both"/>
      </w:pPr>
      <w:r>
        <w:t>„Okolišni i socijalni standardi” znači zajedno: (i) „Okolišni i socijalni standard 1.: Procjena i upravljanje okolišnim i socijalnim rizicima i utjecajima”; (ii) „Okolišni i socijalni standard 2.: Uvjeti zapošljavanja i rada”; (iii) „Okolišni i socijalni standard 3.: Efikasno korištenje resursa te sprečavanje i upravljanje onečišćenjem”; (iv) „Okolišni i socijalni standard  4.: Zdravlje i sigurnost zajednice”; (v) „Okolišni i socijalni standard 5.: Stjecanje zemljišta, ograničenja korištenja zemljišta i prisilno preseljenje”; (vi) „Okolišni i socijalni standard 6.: Očuvanje bioraznolikosti i održivo upravljanje živim prirodnim resursima”; (vii) „Okolišni i socijalni standard 7.: Domorodci/tradicionalne lokalne zajednice subsaharske Afrike koje prije nisu imale dovoljan pristup uslugama”; (viii) „Okolišni i socijalni standard 8.: Kulturna baština”; (ix) „Okolišni i socijalni standard 9.: Financijski posrednici”; i (x) „Okolišni i socijalni standard 10.: Uključivanje dionika i objava informacija”; koji su stupili na snagu 1. listopada 2018., kako je Banka objavila na svojoj mrežnoj stranici.</w:t>
      </w:r>
    </w:p>
    <w:p w14:paraId="1C745CF2" w14:textId="77777777" w:rsidR="008A689C" w:rsidRDefault="008A689C" w:rsidP="008A689C">
      <w:pPr>
        <w:pStyle w:val="NoSpacing"/>
        <w:jc w:val="both"/>
      </w:pPr>
    </w:p>
    <w:p w14:paraId="371E6929" w14:textId="77777777" w:rsidR="008A689C" w:rsidRDefault="008A689C" w:rsidP="0026062A">
      <w:pPr>
        <w:pStyle w:val="NoSpacing"/>
        <w:numPr>
          <w:ilvl w:val="0"/>
          <w:numId w:val="27"/>
        </w:numPr>
        <w:jc w:val="both"/>
      </w:pPr>
      <w:r>
        <w:t>„FINA” znači Financijska agencija, Zajmoprimčevo poduzeće u državnom vlasništvu specijalizirano za financijsko posredovanje i pružanje financijskih i elektroničkih usluga, osnovano u skladu sa Zajmoprimčevim Zakonom o financijskoj agenciji objavljenim u NN 42/05.</w:t>
      </w:r>
    </w:p>
    <w:p w14:paraId="24B51B0B" w14:textId="77777777" w:rsidR="008A689C" w:rsidRDefault="008A689C" w:rsidP="008A689C">
      <w:pPr>
        <w:pStyle w:val="NoSpacing"/>
        <w:jc w:val="both"/>
      </w:pPr>
    </w:p>
    <w:p w14:paraId="52DB43F8" w14:textId="77777777" w:rsidR="008A689C" w:rsidRDefault="008A689C" w:rsidP="0026062A">
      <w:pPr>
        <w:pStyle w:val="NoSpacing"/>
        <w:numPr>
          <w:ilvl w:val="0"/>
          <w:numId w:val="27"/>
        </w:numPr>
        <w:jc w:val="both"/>
      </w:pPr>
      <w:r>
        <w:t>„Opći uvjeti” znači „Opći uvjeti Međunarodne banke za obnovu i razvoj za financiranje od strane IBRD-a i financiranje investicijskih projekata” od 14. prosinca 2018.</w:t>
      </w:r>
    </w:p>
    <w:p w14:paraId="40CB6C2B" w14:textId="77777777" w:rsidR="008A689C" w:rsidRDefault="008A689C" w:rsidP="008A689C">
      <w:pPr>
        <w:pStyle w:val="NoSpacing"/>
        <w:jc w:val="both"/>
      </w:pPr>
    </w:p>
    <w:p w14:paraId="570176C0" w14:textId="77777777" w:rsidR="008A689C" w:rsidRDefault="008A689C" w:rsidP="0026062A">
      <w:pPr>
        <w:pStyle w:val="NoSpacing"/>
        <w:numPr>
          <w:ilvl w:val="0"/>
          <w:numId w:val="27"/>
        </w:numPr>
        <w:jc w:val="both"/>
      </w:pPr>
      <w:r>
        <w:t>„eSpis” znači integrirani sustav za upravljanje sudskim predmetima.</w:t>
      </w:r>
    </w:p>
    <w:p w14:paraId="6E358860" w14:textId="77777777" w:rsidR="008A689C" w:rsidRDefault="008A689C" w:rsidP="008A689C">
      <w:pPr>
        <w:pStyle w:val="NoSpacing"/>
        <w:jc w:val="both"/>
      </w:pPr>
    </w:p>
    <w:p w14:paraId="16BDC8E8" w14:textId="77777777" w:rsidR="008A689C" w:rsidRDefault="008A689C" w:rsidP="0026062A">
      <w:pPr>
        <w:pStyle w:val="NoSpacing"/>
        <w:numPr>
          <w:ilvl w:val="0"/>
          <w:numId w:val="27"/>
        </w:numPr>
        <w:jc w:val="both"/>
      </w:pPr>
      <w:r>
        <w:t>„D.o.o.” znači društvo s ograničenom odgovornošću (uključujući njegov jednostavni oblik) osnovano na državnom području Zajmoprimca u skladu sa Zajmoprimčevim Zakonom o trgovačkim društvima objavljenim u NN 40/19.</w:t>
      </w:r>
    </w:p>
    <w:p w14:paraId="09D133D7" w14:textId="77777777" w:rsidR="008A689C" w:rsidRDefault="008A689C" w:rsidP="008A689C">
      <w:pPr>
        <w:pStyle w:val="NoSpacing"/>
        <w:jc w:val="both"/>
      </w:pPr>
    </w:p>
    <w:p w14:paraId="39BE847D" w14:textId="77777777" w:rsidR="008A689C" w:rsidRDefault="008A689C" w:rsidP="0026062A">
      <w:pPr>
        <w:pStyle w:val="NoSpacing"/>
        <w:numPr>
          <w:ilvl w:val="0"/>
          <w:numId w:val="27"/>
        </w:numPr>
        <w:jc w:val="both"/>
      </w:pPr>
      <w:r>
        <w:t>„Ministarstvo graditeljstva i prostornoga uređenja” ili „MGIPU” znači Zajmoprimčevo Ministarstvo graditeljstva i prostornoga uređenja ili pravni sljednik navedenog ministarstva koji je Banci prihvatljiv.</w:t>
      </w:r>
    </w:p>
    <w:p w14:paraId="5CED90E4" w14:textId="77777777" w:rsidR="008A689C" w:rsidRDefault="008A689C" w:rsidP="008A689C">
      <w:pPr>
        <w:pStyle w:val="NoSpacing"/>
        <w:jc w:val="both"/>
      </w:pPr>
    </w:p>
    <w:p w14:paraId="20DC60BC" w14:textId="77777777" w:rsidR="008A689C" w:rsidRDefault="008A689C" w:rsidP="0026062A">
      <w:pPr>
        <w:pStyle w:val="NoSpacing"/>
        <w:numPr>
          <w:ilvl w:val="0"/>
          <w:numId w:val="27"/>
        </w:numPr>
        <w:jc w:val="both"/>
      </w:pPr>
      <w:r>
        <w:t>„Ministarstvo gospodarstva, poduzetništva i obrta” ili „MINGPO” znači Zajmoprimčevo Ministarstvo gospodarstva, poduzetništva i obrta ili pravni sljednik navedenog ministarstva koji je Banci prihvatljiv.</w:t>
      </w:r>
    </w:p>
    <w:p w14:paraId="4177C0F9" w14:textId="77777777" w:rsidR="008A689C" w:rsidRDefault="008A689C" w:rsidP="008A689C">
      <w:pPr>
        <w:pStyle w:val="NoSpacing"/>
        <w:jc w:val="both"/>
      </w:pPr>
    </w:p>
    <w:p w14:paraId="2A32DE89" w14:textId="77777777" w:rsidR="008A689C" w:rsidRDefault="008A689C" w:rsidP="0026062A">
      <w:pPr>
        <w:pStyle w:val="NoSpacing"/>
        <w:numPr>
          <w:ilvl w:val="0"/>
          <w:numId w:val="27"/>
        </w:numPr>
        <w:jc w:val="both"/>
      </w:pPr>
      <w:r>
        <w:t>„Ministarstvo financija” ili „MFIN” znači Zajmoprimčevo Ministarstvo financija ili pravni sljednik navedenog ministarstva koji je Banci prihvatljiv.</w:t>
      </w:r>
    </w:p>
    <w:p w14:paraId="7C8FEB95" w14:textId="77777777" w:rsidR="008A689C" w:rsidRDefault="008A689C" w:rsidP="008A689C">
      <w:pPr>
        <w:pStyle w:val="NoSpacing"/>
        <w:jc w:val="both"/>
      </w:pPr>
    </w:p>
    <w:p w14:paraId="384DADB6" w14:textId="77777777" w:rsidR="008A689C" w:rsidRDefault="008A689C" w:rsidP="0026062A">
      <w:pPr>
        <w:pStyle w:val="NoSpacing"/>
        <w:numPr>
          <w:ilvl w:val="0"/>
          <w:numId w:val="27"/>
        </w:numPr>
        <w:jc w:val="both"/>
      </w:pPr>
      <w:r>
        <w:t>„Ministarstvo pravosuđa” ili „MP” znači Zajmoprimčevo Ministarstvo pravosuđa ili pravni sljednik navedenog ministarstva koji je Banci prihvatljiv.</w:t>
      </w:r>
    </w:p>
    <w:p w14:paraId="170DFF41" w14:textId="77777777" w:rsidR="008A689C" w:rsidRDefault="008A689C" w:rsidP="008A689C">
      <w:pPr>
        <w:pStyle w:val="NoSpacing"/>
        <w:jc w:val="both"/>
      </w:pPr>
    </w:p>
    <w:p w14:paraId="0F0615D1" w14:textId="77777777" w:rsidR="00466603" w:rsidRDefault="008A689C" w:rsidP="00466603">
      <w:pPr>
        <w:pStyle w:val="NoSpacing"/>
        <w:numPr>
          <w:ilvl w:val="0"/>
          <w:numId w:val="27"/>
        </w:numPr>
        <w:jc w:val="both"/>
      </w:pPr>
      <w:r>
        <w:t xml:space="preserve">„Operativni troškovi” znači rashodi Zajmoprimca na račun provedbe Projekta koji uključuju uredski materijal, režije, bankovne naknade, komunikacijske alate, naknade za oglašavanje, usluge pisanog i usmenog prevođenja, unajmljivanje automobila i troškove goriva, unajmljivanje i održavanje uredskog prostora, troškove selidbe, osiguranje, održavanje i popravak opreme, ispis i publikacije, dnevnice za službena putovanja i troškove smještaja za osoblje JPP-a i njihove plaće, uključujući socijalne doprinose, ali isključujući plaće državnih službenika Zajmoprimca. </w:t>
      </w:r>
    </w:p>
    <w:p w14:paraId="777FA50D" w14:textId="77777777" w:rsidR="00466603" w:rsidRDefault="00466603" w:rsidP="007307C1"/>
    <w:p w14:paraId="76EBD16A" w14:textId="77777777" w:rsidR="008A689C" w:rsidRPr="00466603" w:rsidRDefault="008A689C" w:rsidP="00466603">
      <w:pPr>
        <w:pStyle w:val="NoSpacing"/>
        <w:numPr>
          <w:ilvl w:val="0"/>
          <w:numId w:val="27"/>
        </w:numPr>
        <w:jc w:val="both"/>
      </w:pPr>
      <w:r w:rsidRPr="00466603">
        <w:t>„Propisi o nabavi” znači, za potrebe stavka 85. Dodatka Općim uvjetima, „Propisi Svjetske banke o nabavi za Zajmoprimce IPF-a”, iz srpnja 2016., revidirani u studenom 2017. i kolovozu 2018.</w:t>
      </w:r>
    </w:p>
    <w:p w14:paraId="4FCDCCB6" w14:textId="77777777" w:rsidR="008A689C" w:rsidRDefault="008A689C" w:rsidP="008A689C">
      <w:pPr>
        <w:pStyle w:val="NoSpacing"/>
        <w:jc w:val="both"/>
      </w:pPr>
    </w:p>
    <w:p w14:paraId="2533500A" w14:textId="77777777" w:rsidR="008A689C" w:rsidRDefault="008A689C" w:rsidP="0026062A">
      <w:pPr>
        <w:pStyle w:val="NoSpacing"/>
        <w:numPr>
          <w:ilvl w:val="0"/>
          <w:numId w:val="27"/>
        </w:numPr>
        <w:jc w:val="both"/>
      </w:pPr>
      <w:r>
        <w:t>„Priručnik za upravljanje Projektom” znači priručnik Zajmoprimca koji je Zajmoprimac izradio p</w:t>
      </w:r>
      <w:r w:rsidR="00363082">
        <w:t>utem</w:t>
      </w:r>
      <w:r>
        <w:t xml:space="preserve"> JPP-a, naveden u odjeljku I.B. Priloga 2. ovom Ugovoru, i koji Zajmoprimac, p</w:t>
      </w:r>
      <w:r w:rsidR="00363082">
        <w:t>utem</w:t>
      </w:r>
      <w:r>
        <w:t xml:space="preserve"> JPP-a, s vremena na vrijeme može izmijeniti, uz suglasnost Banke.</w:t>
      </w:r>
    </w:p>
    <w:p w14:paraId="3C925504" w14:textId="77777777" w:rsidR="008A689C" w:rsidRDefault="008A689C" w:rsidP="008A689C">
      <w:pPr>
        <w:pStyle w:val="NoSpacing"/>
        <w:jc w:val="both"/>
      </w:pPr>
    </w:p>
    <w:p w14:paraId="54D45BEF" w14:textId="77777777" w:rsidR="008A689C" w:rsidRDefault="008A689C" w:rsidP="0026062A">
      <w:pPr>
        <w:pStyle w:val="NoSpacing"/>
        <w:numPr>
          <w:ilvl w:val="0"/>
          <w:numId w:val="27"/>
        </w:numPr>
        <w:jc w:val="both"/>
      </w:pPr>
      <w:r>
        <w:t>„Skalabilni DLI pokazatelji” znači DLI pokazatelji 2, 3(b), 5 i 6 navedeni u Prilogu 4. ovom Ugovoru, koji se u slučaju neostvarenja ili djelomičnog ostvarenja mogu isplatiti razmjerno stupnju ostvarenja i prenijeti na sljedeće razdoblje povlačenja sredstava kako je navedeno u odjeljku III. B. 2. (a) Priloga 2. ovom Ugovoru.</w:t>
      </w:r>
    </w:p>
    <w:p w14:paraId="71D7C5B9" w14:textId="77777777" w:rsidR="008A689C" w:rsidRDefault="008A689C" w:rsidP="008A689C">
      <w:pPr>
        <w:pStyle w:val="NoSpacing"/>
        <w:jc w:val="both"/>
      </w:pPr>
    </w:p>
    <w:p w14:paraId="7DC94B9B" w14:textId="77777777" w:rsidR="008A689C" w:rsidRDefault="008A689C" w:rsidP="0026062A">
      <w:pPr>
        <w:pStyle w:val="NoSpacing"/>
        <w:numPr>
          <w:ilvl w:val="0"/>
          <w:numId w:val="27"/>
        </w:numPr>
        <w:jc w:val="both"/>
      </w:pPr>
      <w:r>
        <w:t>„Datum potpisivanja” znači kasniji od dvaju datuma na koje su Zajmoprimac i Banka potpisali ovaj Ugovor te se ista definicija primjenjuje na svako upućivanje na „datum Ugovora o zajmu” u Općim uvjetima.</w:t>
      </w:r>
    </w:p>
    <w:p w14:paraId="2E666DD3" w14:textId="77777777" w:rsidR="008A689C" w:rsidRDefault="008A689C" w:rsidP="008A689C">
      <w:pPr>
        <w:pStyle w:val="NoSpacing"/>
        <w:jc w:val="both"/>
      </w:pPr>
    </w:p>
    <w:p w14:paraId="2A8FFC83" w14:textId="77777777" w:rsidR="008A689C" w:rsidRDefault="008A689C" w:rsidP="0026062A">
      <w:pPr>
        <w:pStyle w:val="NoSpacing"/>
        <w:numPr>
          <w:ilvl w:val="0"/>
          <w:numId w:val="27"/>
        </w:numPr>
        <w:jc w:val="both"/>
      </w:pPr>
      <w:r>
        <w:t>„Upravljački odbor” znači odbor koji će Zajmoprimac uspostaviti za potrebe Projekta u skladu s odjeljkom I.A stavkom (b) Priloga 2 ovom Ugovoru.</w:t>
      </w:r>
    </w:p>
    <w:p w14:paraId="70D704A7" w14:textId="77777777" w:rsidR="008A689C" w:rsidRDefault="008A689C" w:rsidP="008A689C">
      <w:pPr>
        <w:pStyle w:val="NoSpacing"/>
        <w:jc w:val="both"/>
      </w:pPr>
    </w:p>
    <w:p w14:paraId="03DA7D6C" w14:textId="77777777" w:rsidR="008A689C" w:rsidRDefault="008A689C" w:rsidP="0026062A">
      <w:pPr>
        <w:pStyle w:val="NoSpacing"/>
        <w:numPr>
          <w:ilvl w:val="0"/>
          <w:numId w:val="27"/>
        </w:numPr>
        <w:jc w:val="both"/>
      </w:pPr>
      <w:r>
        <w:t xml:space="preserve">„Osposobljavanje” znači studijska putovanja, tečajevi, seminari, radionice i druge edukacije vezane uz Projekt, uključujući troškove materijala za osposobljavanje, najma prostora i opreme, putovanja, smještaja i dnevnica za polaznike i voditelje osposobljavanja, honorara voditelja osposobljavanja i ostale troškove povezane s osposobljavanjem. </w:t>
      </w:r>
    </w:p>
    <w:p w14:paraId="700A4A5C" w14:textId="77777777" w:rsidR="008A689C" w:rsidRDefault="008A689C" w:rsidP="008A689C">
      <w:pPr>
        <w:pStyle w:val="NoSpacing"/>
        <w:jc w:val="both"/>
      </w:pPr>
    </w:p>
    <w:p w14:paraId="55D3991E" w14:textId="77777777" w:rsidR="008A689C" w:rsidRDefault="008A689C" w:rsidP="0026062A">
      <w:pPr>
        <w:pStyle w:val="NoSpacing"/>
        <w:numPr>
          <w:ilvl w:val="0"/>
          <w:numId w:val="27"/>
        </w:numPr>
        <w:jc w:val="both"/>
      </w:pPr>
      <w:r>
        <w:t>„Protokoli za provjeru” znači skup protokola u kojima su utvrđeni postupci i mehanizmi potrebni za provjeru DLI pokazatelja, koje je Zajmoprimac izradio putem JPP-a i koji su usuglašeni s Bankom te uključeni u Priručnik za upravljanje Projektom i Pismo o isplatama s financijskim informacijama, a koji se s vremena na vrijeme mogu izmijeniti uz suglasnost Banke.</w:t>
      </w:r>
    </w:p>
    <w:p w14:paraId="31A5EABE" w14:textId="77777777" w:rsidR="001E5245" w:rsidRDefault="001E5245" w:rsidP="006211D9"/>
    <w:p w14:paraId="452B4281" w14:textId="77777777" w:rsidR="00DC393B" w:rsidRPr="004A33BB" w:rsidRDefault="00DC393B" w:rsidP="002B7E52">
      <w:pPr>
        <w:pStyle w:val="Title"/>
        <w:rPr>
          <w:lang w:val="hr-HR"/>
        </w:rPr>
      </w:pPr>
    </w:p>
    <w:p w14:paraId="27A333A5" w14:textId="77777777" w:rsidR="00DC393B" w:rsidRPr="004A33BB" w:rsidRDefault="00DC393B" w:rsidP="002B7E52">
      <w:pPr>
        <w:pStyle w:val="Title"/>
        <w:rPr>
          <w:lang w:val="hr-HR"/>
        </w:rPr>
      </w:pPr>
    </w:p>
    <w:p w14:paraId="3B01002E" w14:textId="77777777" w:rsidR="009644A2" w:rsidRPr="002172F9" w:rsidRDefault="009644A2" w:rsidP="009644A2">
      <w:pPr>
        <w:rPr>
          <w:lang w:eastAsia="en-GB"/>
        </w:rPr>
      </w:pPr>
    </w:p>
    <w:p w14:paraId="3070CA3D" w14:textId="77777777" w:rsidR="009644A2" w:rsidRPr="002172F9" w:rsidRDefault="009644A2" w:rsidP="009644A2">
      <w:pPr>
        <w:rPr>
          <w:lang w:eastAsia="en-GB"/>
        </w:rPr>
      </w:pPr>
    </w:p>
    <w:p w14:paraId="720B64B8" w14:textId="77777777" w:rsidR="009644A2" w:rsidRPr="002172F9" w:rsidRDefault="009644A2" w:rsidP="009644A2">
      <w:pPr>
        <w:rPr>
          <w:lang w:eastAsia="en-GB"/>
        </w:rPr>
      </w:pPr>
    </w:p>
    <w:p w14:paraId="3A23C986" w14:textId="77777777" w:rsidR="009644A2" w:rsidRPr="002172F9" w:rsidRDefault="009644A2" w:rsidP="009644A2">
      <w:pPr>
        <w:rPr>
          <w:lang w:eastAsia="en-GB"/>
        </w:rPr>
      </w:pPr>
    </w:p>
    <w:p w14:paraId="09F6FC10" w14:textId="77777777" w:rsidR="009644A2" w:rsidRPr="002172F9" w:rsidRDefault="009644A2" w:rsidP="009644A2">
      <w:pPr>
        <w:rPr>
          <w:lang w:eastAsia="en-GB"/>
        </w:rPr>
      </w:pPr>
    </w:p>
    <w:p w14:paraId="6330B83E" w14:textId="77777777" w:rsidR="009644A2" w:rsidRPr="002172F9" w:rsidRDefault="009644A2" w:rsidP="009644A2">
      <w:pPr>
        <w:rPr>
          <w:lang w:eastAsia="en-GB"/>
        </w:rPr>
      </w:pPr>
    </w:p>
    <w:p w14:paraId="5F1918D5" w14:textId="77777777" w:rsidR="009644A2" w:rsidRPr="002172F9" w:rsidRDefault="009644A2" w:rsidP="009644A2">
      <w:pPr>
        <w:rPr>
          <w:lang w:eastAsia="en-GB"/>
        </w:rPr>
      </w:pPr>
    </w:p>
    <w:p w14:paraId="60DA9C50" w14:textId="77777777" w:rsidR="009644A2" w:rsidRPr="002172F9" w:rsidRDefault="009644A2" w:rsidP="009644A2">
      <w:pPr>
        <w:rPr>
          <w:lang w:eastAsia="en-GB"/>
        </w:rPr>
      </w:pPr>
    </w:p>
    <w:p w14:paraId="3DAB8959" w14:textId="77777777" w:rsidR="009644A2" w:rsidRPr="002172F9" w:rsidRDefault="009644A2" w:rsidP="009644A2">
      <w:pPr>
        <w:rPr>
          <w:lang w:eastAsia="en-GB"/>
        </w:rPr>
      </w:pPr>
    </w:p>
    <w:p w14:paraId="78C0DE77" w14:textId="77777777" w:rsidR="009644A2" w:rsidRPr="002172F9" w:rsidRDefault="009644A2" w:rsidP="009644A2">
      <w:pPr>
        <w:rPr>
          <w:lang w:eastAsia="en-GB"/>
        </w:rPr>
      </w:pPr>
    </w:p>
    <w:p w14:paraId="1A2371D8" w14:textId="77777777" w:rsidR="009644A2" w:rsidRPr="002172F9" w:rsidRDefault="009644A2" w:rsidP="009644A2">
      <w:pPr>
        <w:rPr>
          <w:lang w:eastAsia="en-GB"/>
        </w:rPr>
      </w:pPr>
    </w:p>
    <w:p w14:paraId="5CD333A0" w14:textId="77777777" w:rsidR="009644A2" w:rsidRPr="002172F9" w:rsidRDefault="009644A2" w:rsidP="009644A2">
      <w:pPr>
        <w:rPr>
          <w:lang w:eastAsia="en-GB"/>
        </w:rPr>
      </w:pPr>
    </w:p>
    <w:p w14:paraId="2D7057E5" w14:textId="77777777" w:rsidR="009644A2" w:rsidRPr="002172F9" w:rsidRDefault="009644A2" w:rsidP="009644A2">
      <w:pPr>
        <w:rPr>
          <w:lang w:eastAsia="en-GB"/>
        </w:rPr>
      </w:pPr>
    </w:p>
    <w:p w14:paraId="49E8ACB4" w14:textId="77777777" w:rsidR="009644A2" w:rsidRPr="002172F9" w:rsidRDefault="009644A2" w:rsidP="009644A2">
      <w:pPr>
        <w:rPr>
          <w:lang w:eastAsia="en-GB"/>
        </w:rPr>
      </w:pPr>
    </w:p>
    <w:p w14:paraId="7E365E49" w14:textId="77777777" w:rsidR="009644A2" w:rsidRPr="002172F9" w:rsidRDefault="009644A2" w:rsidP="009644A2">
      <w:pPr>
        <w:rPr>
          <w:lang w:eastAsia="en-GB"/>
        </w:rPr>
      </w:pPr>
    </w:p>
    <w:p w14:paraId="06CC221D" w14:textId="77777777" w:rsidR="009644A2" w:rsidRPr="002172F9" w:rsidRDefault="009644A2" w:rsidP="009644A2">
      <w:pPr>
        <w:rPr>
          <w:lang w:eastAsia="en-GB"/>
        </w:rPr>
      </w:pPr>
    </w:p>
    <w:p w14:paraId="6045754B" w14:textId="77777777" w:rsidR="009644A2" w:rsidRPr="002172F9" w:rsidRDefault="009644A2" w:rsidP="009644A2">
      <w:pPr>
        <w:rPr>
          <w:lang w:eastAsia="en-GB"/>
        </w:rPr>
      </w:pPr>
    </w:p>
    <w:p w14:paraId="63B1B861" w14:textId="77777777" w:rsidR="009644A2" w:rsidRPr="002172F9" w:rsidRDefault="009644A2" w:rsidP="009644A2">
      <w:pPr>
        <w:rPr>
          <w:lang w:eastAsia="en-GB"/>
        </w:rPr>
      </w:pPr>
    </w:p>
    <w:p w14:paraId="33FB3DED" w14:textId="77777777" w:rsidR="00254692" w:rsidRPr="002172F9" w:rsidRDefault="00254692" w:rsidP="009644A2">
      <w:pPr>
        <w:rPr>
          <w:lang w:eastAsia="en-GB"/>
        </w:rPr>
      </w:pPr>
    </w:p>
    <w:p w14:paraId="48837B06" w14:textId="77777777" w:rsidR="009644A2" w:rsidRPr="002172F9" w:rsidRDefault="009644A2" w:rsidP="009644A2">
      <w:pPr>
        <w:rPr>
          <w:lang w:eastAsia="en-GB"/>
        </w:rPr>
      </w:pPr>
    </w:p>
    <w:p w14:paraId="77136B6B" w14:textId="77777777" w:rsidR="009644A2" w:rsidRPr="002172F9" w:rsidRDefault="009644A2" w:rsidP="009644A2">
      <w:pPr>
        <w:rPr>
          <w:lang w:eastAsia="en-GB"/>
        </w:rPr>
      </w:pPr>
    </w:p>
    <w:p w14:paraId="3F0CEAB2" w14:textId="77777777" w:rsidR="009644A2" w:rsidRPr="002172F9" w:rsidRDefault="009644A2" w:rsidP="009644A2">
      <w:pPr>
        <w:rPr>
          <w:lang w:eastAsia="en-GB"/>
        </w:rPr>
      </w:pPr>
    </w:p>
    <w:p w14:paraId="6D948E32" w14:textId="77777777" w:rsidR="009644A2" w:rsidRPr="002172F9" w:rsidRDefault="009644A2" w:rsidP="009644A2">
      <w:pPr>
        <w:rPr>
          <w:lang w:eastAsia="en-GB"/>
        </w:rPr>
      </w:pPr>
    </w:p>
    <w:p w14:paraId="772004B4" w14:textId="77777777" w:rsidR="00043FF8" w:rsidRPr="002172F9" w:rsidRDefault="00043FF8" w:rsidP="009644A2">
      <w:pPr>
        <w:rPr>
          <w:lang w:eastAsia="en-GB"/>
        </w:rPr>
      </w:pPr>
    </w:p>
    <w:p w14:paraId="22616700" w14:textId="77777777" w:rsidR="00043FF8" w:rsidRPr="002172F9" w:rsidRDefault="00043FF8" w:rsidP="009644A2">
      <w:pPr>
        <w:rPr>
          <w:lang w:eastAsia="en-GB"/>
        </w:rPr>
      </w:pPr>
    </w:p>
    <w:p w14:paraId="0DB93D59" w14:textId="77777777" w:rsidR="00043FF8" w:rsidRPr="002172F9" w:rsidRDefault="00043FF8" w:rsidP="009644A2">
      <w:pPr>
        <w:rPr>
          <w:lang w:eastAsia="en-GB"/>
        </w:rPr>
      </w:pPr>
    </w:p>
    <w:p w14:paraId="16734AB6" w14:textId="77777777" w:rsidR="00043FF8" w:rsidRPr="002172F9" w:rsidRDefault="00043FF8" w:rsidP="009644A2">
      <w:pPr>
        <w:rPr>
          <w:lang w:eastAsia="en-GB"/>
        </w:rPr>
      </w:pPr>
    </w:p>
    <w:p w14:paraId="6005F79D" w14:textId="77777777" w:rsidR="00043FF8" w:rsidRPr="002172F9" w:rsidRDefault="00043FF8" w:rsidP="009644A2">
      <w:pPr>
        <w:rPr>
          <w:lang w:eastAsia="en-GB"/>
        </w:rPr>
      </w:pPr>
    </w:p>
    <w:p w14:paraId="5FF93785" w14:textId="77777777" w:rsidR="009644A2" w:rsidRPr="002172F9" w:rsidRDefault="009644A2" w:rsidP="009644A2">
      <w:pPr>
        <w:rPr>
          <w:lang w:eastAsia="en-GB"/>
        </w:rPr>
      </w:pPr>
    </w:p>
    <w:p w14:paraId="76D3E253" w14:textId="77777777" w:rsidR="00961585" w:rsidRPr="002172F9" w:rsidRDefault="00961585" w:rsidP="00961585">
      <w:pPr>
        <w:suppressAutoHyphens/>
        <w:jc w:val="right"/>
        <w:rPr>
          <w:b/>
          <w:sz w:val="22"/>
          <w:szCs w:val="22"/>
          <w:lang w:eastAsia="en-US"/>
        </w:rPr>
      </w:pPr>
    </w:p>
    <w:p w14:paraId="399E7167" w14:textId="77777777" w:rsidR="00961585" w:rsidRPr="00961585" w:rsidRDefault="00961585" w:rsidP="00961585">
      <w:pPr>
        <w:suppressAutoHyphens/>
        <w:jc w:val="right"/>
        <w:rPr>
          <w:b/>
          <w:sz w:val="22"/>
          <w:szCs w:val="22"/>
          <w:lang w:val="en-US" w:eastAsia="en-US"/>
        </w:rPr>
      </w:pPr>
      <w:r>
        <w:rPr>
          <w:b/>
          <w:sz w:val="22"/>
          <w:szCs w:val="22"/>
          <w:lang w:val="en-US" w:eastAsia="en-US"/>
        </w:rPr>
        <w:t>LOAN NUMBER 9057-HR</w:t>
      </w:r>
    </w:p>
    <w:p w14:paraId="0E7161F3" w14:textId="77777777" w:rsidR="00961585" w:rsidRPr="00961585" w:rsidRDefault="00961585" w:rsidP="00961585">
      <w:pPr>
        <w:suppressAutoHyphens/>
        <w:rPr>
          <w:b/>
          <w:sz w:val="22"/>
          <w:szCs w:val="22"/>
          <w:lang w:val="en-US" w:eastAsia="en-US"/>
        </w:rPr>
      </w:pPr>
    </w:p>
    <w:p w14:paraId="2EC75F7A" w14:textId="77777777" w:rsidR="00961585" w:rsidRPr="00961585" w:rsidRDefault="00961585" w:rsidP="00961585">
      <w:pPr>
        <w:suppressAutoHyphens/>
        <w:rPr>
          <w:b/>
          <w:sz w:val="22"/>
          <w:szCs w:val="22"/>
          <w:lang w:val="en-US" w:eastAsia="en-US"/>
        </w:rPr>
      </w:pPr>
    </w:p>
    <w:p w14:paraId="31A687A4" w14:textId="77777777" w:rsidR="00961585" w:rsidRPr="00961585" w:rsidRDefault="00961585" w:rsidP="00961585">
      <w:pPr>
        <w:suppressAutoHyphens/>
        <w:jc w:val="center"/>
        <w:rPr>
          <w:b/>
          <w:sz w:val="50"/>
          <w:szCs w:val="20"/>
          <w:lang w:val="en-US" w:eastAsia="en-US"/>
        </w:rPr>
      </w:pPr>
      <w:r w:rsidRPr="00961585">
        <w:rPr>
          <w:b/>
          <w:sz w:val="50"/>
          <w:szCs w:val="20"/>
          <w:lang w:val="en-US" w:eastAsia="en-US"/>
        </w:rPr>
        <w:t>Loan Agreement</w:t>
      </w:r>
    </w:p>
    <w:p w14:paraId="5CAE5A85" w14:textId="77777777" w:rsidR="00961585" w:rsidRPr="00961585" w:rsidRDefault="00961585" w:rsidP="00961585">
      <w:pPr>
        <w:suppressAutoHyphens/>
        <w:jc w:val="center"/>
        <w:rPr>
          <w:b/>
          <w:szCs w:val="20"/>
          <w:lang w:val="en-US" w:eastAsia="en-US"/>
        </w:rPr>
      </w:pPr>
    </w:p>
    <w:p w14:paraId="27D38625" w14:textId="77777777" w:rsidR="00961585" w:rsidRPr="00961585" w:rsidRDefault="00961585" w:rsidP="00961585">
      <w:pPr>
        <w:suppressAutoHyphens/>
        <w:jc w:val="center"/>
        <w:rPr>
          <w:b/>
          <w:szCs w:val="20"/>
          <w:lang w:val="en-US" w:eastAsia="en-US"/>
        </w:rPr>
      </w:pPr>
    </w:p>
    <w:p w14:paraId="78CE0D82"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(Justice for Business Project)</w:t>
      </w:r>
    </w:p>
    <w:p w14:paraId="13E92CCA" w14:textId="77777777" w:rsidR="00961585" w:rsidRPr="00961585" w:rsidRDefault="00961585" w:rsidP="00961585">
      <w:pPr>
        <w:suppressAutoHyphens/>
        <w:jc w:val="center"/>
        <w:rPr>
          <w:b/>
          <w:sz w:val="22"/>
          <w:szCs w:val="22"/>
          <w:lang w:val="en-US" w:eastAsia="en-US"/>
        </w:rPr>
      </w:pPr>
    </w:p>
    <w:p w14:paraId="7367FEE5" w14:textId="77777777" w:rsidR="00961585" w:rsidRPr="00961585" w:rsidRDefault="00961585" w:rsidP="00961585">
      <w:pPr>
        <w:suppressAutoHyphens/>
        <w:jc w:val="center"/>
        <w:rPr>
          <w:b/>
          <w:sz w:val="22"/>
          <w:szCs w:val="22"/>
          <w:lang w:val="en-US" w:eastAsia="en-US"/>
        </w:rPr>
      </w:pPr>
    </w:p>
    <w:p w14:paraId="77AA9C43" w14:textId="77777777" w:rsidR="00961585" w:rsidRPr="00961585" w:rsidRDefault="00961585" w:rsidP="00961585">
      <w:pPr>
        <w:suppressAutoHyphens/>
        <w:jc w:val="center"/>
        <w:rPr>
          <w:b/>
          <w:sz w:val="22"/>
          <w:szCs w:val="22"/>
          <w:lang w:val="en-US" w:eastAsia="en-US"/>
        </w:rPr>
      </w:pPr>
    </w:p>
    <w:p w14:paraId="6739A6F4"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between</w:t>
      </w:r>
    </w:p>
    <w:p w14:paraId="29C6DF25" w14:textId="77777777" w:rsidR="00961585" w:rsidRPr="00961585" w:rsidRDefault="00961585" w:rsidP="00961585">
      <w:pPr>
        <w:suppressAutoHyphens/>
        <w:jc w:val="center"/>
        <w:rPr>
          <w:b/>
          <w:sz w:val="22"/>
          <w:szCs w:val="22"/>
          <w:lang w:val="en-US" w:eastAsia="en-US"/>
        </w:rPr>
      </w:pPr>
    </w:p>
    <w:p w14:paraId="4D6B559F" w14:textId="77777777" w:rsidR="00961585" w:rsidRPr="00961585" w:rsidRDefault="00961585" w:rsidP="00961585">
      <w:pPr>
        <w:suppressAutoHyphens/>
        <w:jc w:val="center"/>
        <w:rPr>
          <w:b/>
          <w:sz w:val="22"/>
          <w:szCs w:val="22"/>
          <w:lang w:val="en-US" w:eastAsia="en-US"/>
        </w:rPr>
      </w:pPr>
    </w:p>
    <w:p w14:paraId="29C0A408"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REPUBLIC OF CROATIA</w:t>
      </w:r>
    </w:p>
    <w:p w14:paraId="5E6196A1" w14:textId="77777777" w:rsidR="00961585" w:rsidRPr="00961585" w:rsidRDefault="00961585" w:rsidP="00961585">
      <w:pPr>
        <w:suppressAutoHyphens/>
        <w:jc w:val="center"/>
        <w:rPr>
          <w:b/>
          <w:sz w:val="22"/>
          <w:szCs w:val="22"/>
          <w:lang w:val="en-US" w:eastAsia="en-US"/>
        </w:rPr>
      </w:pPr>
    </w:p>
    <w:p w14:paraId="60DC8284" w14:textId="77777777" w:rsidR="00961585" w:rsidRPr="00961585" w:rsidRDefault="00961585" w:rsidP="00961585">
      <w:pPr>
        <w:suppressAutoHyphens/>
        <w:jc w:val="center"/>
        <w:rPr>
          <w:b/>
          <w:sz w:val="22"/>
          <w:szCs w:val="22"/>
          <w:lang w:val="en-US" w:eastAsia="en-US"/>
        </w:rPr>
      </w:pPr>
    </w:p>
    <w:p w14:paraId="0687EE9A"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and</w:t>
      </w:r>
    </w:p>
    <w:p w14:paraId="27D94BF5" w14:textId="77777777" w:rsidR="00961585" w:rsidRPr="00961585" w:rsidRDefault="00961585" w:rsidP="00961585">
      <w:pPr>
        <w:tabs>
          <w:tab w:val="left" w:pos="3435"/>
        </w:tabs>
        <w:suppressAutoHyphens/>
        <w:rPr>
          <w:b/>
          <w:sz w:val="22"/>
          <w:szCs w:val="22"/>
          <w:lang w:val="en-US" w:eastAsia="en-US"/>
        </w:rPr>
      </w:pPr>
      <w:r w:rsidRPr="00961585">
        <w:rPr>
          <w:b/>
          <w:sz w:val="22"/>
          <w:szCs w:val="22"/>
          <w:lang w:val="en-US" w:eastAsia="en-US"/>
        </w:rPr>
        <w:tab/>
      </w:r>
    </w:p>
    <w:p w14:paraId="5643D0D1" w14:textId="77777777" w:rsidR="00961585" w:rsidRPr="00961585" w:rsidRDefault="00961585" w:rsidP="00961585">
      <w:pPr>
        <w:suppressAutoHyphens/>
        <w:jc w:val="center"/>
        <w:rPr>
          <w:b/>
          <w:sz w:val="22"/>
          <w:szCs w:val="22"/>
          <w:lang w:val="en-US" w:eastAsia="en-US"/>
        </w:rPr>
      </w:pPr>
    </w:p>
    <w:p w14:paraId="02AEC177"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INTERNATIONAL BANK FOR RECONSTRUCTION</w:t>
      </w:r>
    </w:p>
    <w:p w14:paraId="0540960D" w14:textId="77777777" w:rsidR="00961585" w:rsidRPr="00961585" w:rsidRDefault="00961585" w:rsidP="00961585">
      <w:pPr>
        <w:suppressAutoHyphens/>
        <w:jc w:val="center"/>
        <w:rPr>
          <w:b/>
          <w:sz w:val="22"/>
          <w:szCs w:val="22"/>
          <w:lang w:val="en-US" w:eastAsia="en-US"/>
        </w:rPr>
      </w:pPr>
      <w:r w:rsidRPr="00961585">
        <w:rPr>
          <w:b/>
          <w:sz w:val="22"/>
          <w:szCs w:val="22"/>
          <w:lang w:val="en-US" w:eastAsia="en-US"/>
        </w:rPr>
        <w:t>AND DEVELOPMENT</w:t>
      </w:r>
    </w:p>
    <w:p w14:paraId="19C91D76" w14:textId="77777777" w:rsidR="00961585" w:rsidRPr="00961585" w:rsidRDefault="00961585" w:rsidP="00961585">
      <w:pPr>
        <w:suppressAutoHyphens/>
        <w:rPr>
          <w:b/>
          <w:sz w:val="22"/>
          <w:szCs w:val="22"/>
          <w:lang w:val="en-US" w:eastAsia="en-US"/>
        </w:rPr>
      </w:pPr>
    </w:p>
    <w:p w14:paraId="537BECD5" w14:textId="77777777" w:rsidR="00DC393B" w:rsidRDefault="00DC393B" w:rsidP="00DC393B">
      <w:pPr>
        <w:rPr>
          <w:b/>
        </w:rPr>
      </w:pPr>
    </w:p>
    <w:p w14:paraId="54398214" w14:textId="77777777" w:rsidR="00043FF8" w:rsidRDefault="00043FF8" w:rsidP="00DC393B">
      <w:pPr>
        <w:rPr>
          <w:b/>
        </w:rPr>
      </w:pPr>
    </w:p>
    <w:p w14:paraId="3D402191" w14:textId="77777777" w:rsidR="00043FF8" w:rsidRDefault="00043FF8" w:rsidP="00DC393B">
      <w:pPr>
        <w:rPr>
          <w:b/>
        </w:rPr>
      </w:pPr>
    </w:p>
    <w:p w14:paraId="60548B85" w14:textId="77777777" w:rsidR="00043FF8" w:rsidRDefault="00043FF8" w:rsidP="00DC393B">
      <w:pPr>
        <w:rPr>
          <w:b/>
        </w:rPr>
      </w:pPr>
    </w:p>
    <w:p w14:paraId="267950F9" w14:textId="77777777" w:rsidR="00043FF8" w:rsidRDefault="00043FF8" w:rsidP="00DC393B">
      <w:pPr>
        <w:rPr>
          <w:b/>
        </w:rPr>
      </w:pPr>
    </w:p>
    <w:p w14:paraId="17242A44" w14:textId="77777777" w:rsidR="00043FF8" w:rsidRDefault="00043FF8" w:rsidP="00DC393B">
      <w:pPr>
        <w:rPr>
          <w:b/>
        </w:rPr>
      </w:pPr>
    </w:p>
    <w:p w14:paraId="617622F5" w14:textId="77777777" w:rsidR="00043FF8" w:rsidRDefault="00043FF8" w:rsidP="00DC393B">
      <w:pPr>
        <w:rPr>
          <w:b/>
        </w:rPr>
      </w:pPr>
    </w:p>
    <w:p w14:paraId="0C27E9F3" w14:textId="77777777" w:rsidR="00043FF8" w:rsidRDefault="00043FF8" w:rsidP="00DC393B">
      <w:pPr>
        <w:rPr>
          <w:b/>
        </w:rPr>
      </w:pPr>
    </w:p>
    <w:p w14:paraId="7246B3B1" w14:textId="77777777" w:rsidR="00043FF8" w:rsidRDefault="00043FF8" w:rsidP="00DC393B">
      <w:pPr>
        <w:rPr>
          <w:b/>
        </w:rPr>
      </w:pPr>
    </w:p>
    <w:p w14:paraId="1D6871C8" w14:textId="77777777" w:rsidR="00043FF8" w:rsidRDefault="00043FF8" w:rsidP="00DC393B">
      <w:pPr>
        <w:rPr>
          <w:b/>
        </w:rPr>
      </w:pPr>
    </w:p>
    <w:p w14:paraId="4AE1CF76" w14:textId="77777777" w:rsidR="00043FF8" w:rsidRDefault="00043FF8" w:rsidP="00DC393B">
      <w:pPr>
        <w:rPr>
          <w:b/>
        </w:rPr>
      </w:pPr>
    </w:p>
    <w:p w14:paraId="53E0B87C" w14:textId="77777777" w:rsidR="00043FF8" w:rsidRDefault="00043FF8" w:rsidP="00DC393B">
      <w:pPr>
        <w:rPr>
          <w:b/>
        </w:rPr>
      </w:pPr>
    </w:p>
    <w:p w14:paraId="6F1245FC" w14:textId="77777777" w:rsidR="00043FF8" w:rsidRDefault="00043FF8" w:rsidP="00DC393B">
      <w:pPr>
        <w:rPr>
          <w:b/>
        </w:rPr>
      </w:pPr>
    </w:p>
    <w:p w14:paraId="2B13C5B1" w14:textId="77777777" w:rsidR="00043FF8" w:rsidRDefault="00043FF8" w:rsidP="00DC393B">
      <w:pPr>
        <w:rPr>
          <w:b/>
        </w:rPr>
      </w:pPr>
    </w:p>
    <w:p w14:paraId="3093D591" w14:textId="77777777" w:rsidR="00043FF8" w:rsidRDefault="00043FF8" w:rsidP="00DC393B">
      <w:pPr>
        <w:rPr>
          <w:b/>
        </w:rPr>
      </w:pPr>
    </w:p>
    <w:p w14:paraId="3274F358" w14:textId="77777777" w:rsidR="00043FF8" w:rsidRDefault="00043FF8" w:rsidP="00DC393B">
      <w:pPr>
        <w:rPr>
          <w:b/>
        </w:rPr>
      </w:pPr>
    </w:p>
    <w:p w14:paraId="4BA83E60" w14:textId="77777777" w:rsidR="00043FF8" w:rsidRDefault="00043FF8" w:rsidP="00DC393B">
      <w:pPr>
        <w:rPr>
          <w:b/>
        </w:rPr>
      </w:pPr>
    </w:p>
    <w:p w14:paraId="106DC6B0" w14:textId="77777777" w:rsidR="00961585" w:rsidRPr="00DC393B" w:rsidRDefault="00961585" w:rsidP="00DC393B">
      <w:pPr>
        <w:rPr>
          <w:lang w:val="en-GB" w:eastAsia="en-GB"/>
        </w:rPr>
      </w:pPr>
    </w:p>
    <w:p w14:paraId="5E6C114C" w14:textId="77777777" w:rsidR="00DC393B" w:rsidRPr="00DC393B" w:rsidRDefault="00DC393B" w:rsidP="00E25259">
      <w:pPr>
        <w:pStyle w:val="Title"/>
      </w:pPr>
      <w:r w:rsidRPr="00DC393B">
        <w:t>LOAN AGREEMENT</w:t>
      </w:r>
    </w:p>
    <w:p w14:paraId="72E075C3" w14:textId="77777777" w:rsidR="00DC393B" w:rsidRDefault="00DC393B" w:rsidP="003444A2">
      <w:pPr>
        <w:jc w:val="both"/>
      </w:pPr>
      <w:r w:rsidRPr="00DC393B">
        <w:tab/>
        <w:t>AGREEMENT dated as of the Signature Date between REPUBLIC OF CROATIA (“Borrower”) and INTERNATIONAL BANK FOR RECONSTRUCTION AND DEVELOPMENT (“Bank”).  The Borrower and the Bank hereby agree as follows:</w:t>
      </w:r>
    </w:p>
    <w:p w14:paraId="28129BEC" w14:textId="77777777" w:rsidR="003444A2" w:rsidRPr="00DC393B" w:rsidRDefault="003444A2" w:rsidP="003444A2">
      <w:pPr>
        <w:jc w:val="both"/>
      </w:pPr>
    </w:p>
    <w:p w14:paraId="6CF47DBB" w14:textId="77777777" w:rsidR="00DC393B" w:rsidRPr="00DC393B" w:rsidRDefault="00DC393B" w:rsidP="002B7E52">
      <w:pPr>
        <w:pStyle w:val="Title"/>
      </w:pPr>
      <w:r w:rsidRPr="00DC393B">
        <w:t>ARTICLE I — GENERAL CONDITIONS; DEFINITIONS</w:t>
      </w:r>
    </w:p>
    <w:p w14:paraId="7A885655" w14:textId="77777777" w:rsidR="00DC393B" w:rsidRPr="00DC393B" w:rsidRDefault="008A5414" w:rsidP="008A5414">
      <w:pPr>
        <w:pStyle w:val="BodyText"/>
        <w:spacing w:after="0"/>
        <w:rPr>
          <w:szCs w:val="24"/>
        </w:rPr>
      </w:pPr>
      <w:r>
        <w:rPr>
          <w:szCs w:val="24"/>
        </w:rPr>
        <w:t xml:space="preserve">1.01.   </w:t>
      </w:r>
      <w:r w:rsidR="00DC393B" w:rsidRPr="00DC393B">
        <w:rPr>
          <w:szCs w:val="24"/>
        </w:rPr>
        <w:t xml:space="preserve">The General Conditions (as defined in the Appendix to this Agreement) apply to </w:t>
      </w:r>
      <w:r>
        <w:rPr>
          <w:szCs w:val="24"/>
        </w:rPr>
        <w:t xml:space="preserve">   </w:t>
      </w:r>
      <w:r w:rsidRPr="008A5414">
        <w:t xml:space="preserve"> </w:t>
      </w:r>
    </w:p>
    <w:p w14:paraId="5B64EE31" w14:textId="77777777" w:rsidR="00DC393B" w:rsidRPr="00DC393B" w:rsidRDefault="008A5414" w:rsidP="00DC393B">
      <w:pPr>
        <w:pStyle w:val="BodyText"/>
        <w:tabs>
          <w:tab w:val="num" w:pos="720"/>
        </w:tabs>
        <w:ind w:left="720" w:hanging="720"/>
        <w:rPr>
          <w:szCs w:val="24"/>
        </w:rPr>
      </w:pPr>
      <w:r>
        <w:rPr>
          <w:szCs w:val="24"/>
        </w:rPr>
        <w:tab/>
      </w:r>
      <w:r w:rsidRPr="008A5414">
        <w:rPr>
          <w:szCs w:val="24"/>
        </w:rPr>
        <w:t>and form part of this Agreement.</w:t>
      </w:r>
    </w:p>
    <w:p w14:paraId="4A12BC9F" w14:textId="77777777" w:rsidR="00DC393B" w:rsidRPr="00DC393B" w:rsidRDefault="008A5414" w:rsidP="008A5414">
      <w:pPr>
        <w:pStyle w:val="BodyText"/>
        <w:spacing w:after="0"/>
        <w:ind w:left="705" w:hanging="705"/>
        <w:rPr>
          <w:szCs w:val="24"/>
        </w:rPr>
      </w:pPr>
      <w:r>
        <w:rPr>
          <w:szCs w:val="24"/>
        </w:rPr>
        <w:t>1.02.</w:t>
      </w:r>
      <w:r>
        <w:rPr>
          <w:szCs w:val="24"/>
        </w:rPr>
        <w:tab/>
      </w:r>
      <w:r w:rsidR="00DC393B" w:rsidRPr="00DC393B">
        <w:rPr>
          <w:szCs w:val="24"/>
        </w:rPr>
        <w:t>Unless the context requires otherwise, the capitalized terms used in this Agreement have the meanings ascribed to them in the General Conditions or in the Appendix to this Agreement.</w:t>
      </w:r>
    </w:p>
    <w:p w14:paraId="4BDAEC0A" w14:textId="77777777" w:rsidR="00DC393B" w:rsidRPr="00DC393B" w:rsidRDefault="00DC393B" w:rsidP="00DC393B">
      <w:pPr>
        <w:pStyle w:val="BodyText"/>
        <w:rPr>
          <w:szCs w:val="24"/>
        </w:rPr>
      </w:pPr>
    </w:p>
    <w:p w14:paraId="289E1207" w14:textId="77777777" w:rsidR="00DC393B" w:rsidRPr="00DC393B" w:rsidRDefault="00DC393B" w:rsidP="002B7E52">
      <w:pPr>
        <w:pStyle w:val="Title"/>
      </w:pPr>
      <w:r w:rsidRPr="00DC393B">
        <w:t>ARTICLE II — LOAN</w:t>
      </w:r>
    </w:p>
    <w:p w14:paraId="53265A94" w14:textId="77777777" w:rsidR="00DC393B" w:rsidRPr="00DC393B" w:rsidRDefault="00DC393B" w:rsidP="003F6F34">
      <w:pPr>
        <w:pStyle w:val="BodyText"/>
        <w:ind w:left="720" w:hanging="720"/>
        <w:rPr>
          <w:szCs w:val="24"/>
        </w:rPr>
      </w:pPr>
      <w:r w:rsidRPr="00DC393B">
        <w:rPr>
          <w:szCs w:val="24"/>
        </w:rPr>
        <w:t>2.01.</w:t>
      </w:r>
      <w:r w:rsidRPr="00DC393B">
        <w:rPr>
          <w:szCs w:val="24"/>
        </w:rPr>
        <w:tab/>
        <w:t>The Bank agrees to lend to the Borrower the amount of one hundred million Euro (€100,000,000), as such amount may be converted from time to time through a Currency Conversion (“Loan”), to assist in financing the Parts 1, 2.1, 2.2, 2.3 and 3.1 of the project described in Schedule 1 to this Agreement (“Project”).</w:t>
      </w:r>
    </w:p>
    <w:p w14:paraId="016DB6E9" w14:textId="77777777" w:rsidR="00DC393B" w:rsidRDefault="003F6F34" w:rsidP="003F6F34">
      <w:pPr>
        <w:pStyle w:val="BodyText"/>
        <w:spacing w:after="0"/>
        <w:ind w:left="705" w:hanging="705"/>
        <w:rPr>
          <w:szCs w:val="24"/>
        </w:rPr>
      </w:pPr>
      <w:r>
        <w:rPr>
          <w:szCs w:val="24"/>
        </w:rPr>
        <w:t>2.02.</w:t>
      </w:r>
      <w:r>
        <w:rPr>
          <w:szCs w:val="24"/>
        </w:rPr>
        <w:tab/>
      </w:r>
      <w:r w:rsidR="00DC393B" w:rsidRPr="00DC393B">
        <w:rPr>
          <w:szCs w:val="24"/>
        </w:rPr>
        <w:t>The Borrower may withdraw the proceeds of the Loan in accordance with Section III of Schedule 2 to this Agreement.</w:t>
      </w:r>
      <w:r w:rsidR="00DC393B" w:rsidRPr="00DC393B">
        <w:rPr>
          <w:rStyle w:val="FootnoteReference"/>
          <w:szCs w:val="24"/>
        </w:rPr>
        <w:t xml:space="preserve"> </w:t>
      </w:r>
      <w:r w:rsidR="00DC393B" w:rsidRPr="00DC393B">
        <w:rPr>
          <w:szCs w:val="24"/>
        </w:rPr>
        <w:t xml:space="preserve"> </w:t>
      </w:r>
    </w:p>
    <w:p w14:paraId="690EC5A2" w14:textId="77777777" w:rsidR="003F6F34" w:rsidRPr="00DC393B" w:rsidRDefault="003F6F34" w:rsidP="003F6F34">
      <w:pPr>
        <w:pStyle w:val="BodyText"/>
        <w:spacing w:after="0"/>
        <w:ind w:left="705" w:hanging="705"/>
        <w:rPr>
          <w:szCs w:val="24"/>
        </w:rPr>
      </w:pPr>
    </w:p>
    <w:p w14:paraId="76C0D282" w14:textId="77777777" w:rsidR="00DC393B" w:rsidRDefault="003F6F34" w:rsidP="003F6F34">
      <w:pPr>
        <w:pStyle w:val="BodyText"/>
        <w:spacing w:after="0"/>
        <w:rPr>
          <w:szCs w:val="24"/>
        </w:rPr>
      </w:pPr>
      <w:r>
        <w:rPr>
          <w:szCs w:val="24"/>
        </w:rPr>
        <w:t>2.03.</w:t>
      </w:r>
      <w:r>
        <w:rPr>
          <w:szCs w:val="24"/>
        </w:rPr>
        <w:tab/>
      </w:r>
      <w:r w:rsidR="00DC393B" w:rsidRPr="00DC393B">
        <w:rPr>
          <w:szCs w:val="24"/>
        </w:rPr>
        <w:t>The Front-end Fee is one quarter of one percent (0.25%) of the Loan amount.</w:t>
      </w:r>
    </w:p>
    <w:p w14:paraId="5E58B7CA" w14:textId="77777777" w:rsidR="003F6F34" w:rsidRPr="00DC393B" w:rsidRDefault="003F6F34" w:rsidP="003F6F34">
      <w:pPr>
        <w:pStyle w:val="BodyText"/>
        <w:spacing w:after="0"/>
        <w:rPr>
          <w:szCs w:val="24"/>
        </w:rPr>
      </w:pPr>
    </w:p>
    <w:p w14:paraId="0C8FB640" w14:textId="77777777" w:rsidR="00DC393B" w:rsidRPr="00DC393B" w:rsidRDefault="003F6F34" w:rsidP="003F6F34">
      <w:pPr>
        <w:pStyle w:val="BodyText"/>
        <w:spacing w:after="0"/>
        <w:rPr>
          <w:szCs w:val="24"/>
        </w:rPr>
      </w:pPr>
      <w:r>
        <w:rPr>
          <w:szCs w:val="24"/>
        </w:rPr>
        <w:t>2.04</w:t>
      </w:r>
      <w:r>
        <w:rPr>
          <w:szCs w:val="24"/>
        </w:rPr>
        <w:tab/>
      </w:r>
      <w:r w:rsidR="00DC393B" w:rsidRPr="00DC393B">
        <w:rPr>
          <w:szCs w:val="24"/>
        </w:rPr>
        <w:t xml:space="preserve">The Commitment Charge is one quarter of one percent (0.25%) per annum on the </w:t>
      </w:r>
    </w:p>
    <w:p w14:paraId="004F5E04" w14:textId="77777777" w:rsidR="00DC393B" w:rsidRPr="00DC393B" w:rsidRDefault="003F6F34" w:rsidP="00DC393B">
      <w:pPr>
        <w:pStyle w:val="BodyText"/>
        <w:ind w:left="720" w:hanging="720"/>
        <w:rPr>
          <w:szCs w:val="24"/>
        </w:rPr>
      </w:pPr>
      <w:r>
        <w:rPr>
          <w:szCs w:val="24"/>
        </w:rPr>
        <w:tab/>
      </w:r>
      <w:r w:rsidRPr="003F6F34">
        <w:rPr>
          <w:szCs w:val="24"/>
        </w:rPr>
        <w:t>Unwithdrawn Loan Balance.</w:t>
      </w:r>
    </w:p>
    <w:p w14:paraId="7FD66BBB" w14:textId="77777777" w:rsidR="00DC393B" w:rsidRPr="00115CF5" w:rsidRDefault="00DC393B" w:rsidP="003F6F34">
      <w:pPr>
        <w:pStyle w:val="BodyText"/>
        <w:ind w:left="720" w:hanging="720"/>
        <w:rPr>
          <w:sz w:val="22"/>
          <w:szCs w:val="22"/>
        </w:rPr>
      </w:pPr>
      <w:r w:rsidRPr="00DC393B">
        <w:rPr>
          <w:szCs w:val="24"/>
        </w:rPr>
        <w:t>2.05.</w:t>
      </w:r>
      <w:r w:rsidRPr="00DC393B">
        <w:rPr>
          <w:szCs w:val="24"/>
        </w:rPr>
        <w:tab/>
        <w:t>The interest rate is the Reference Rate plus the Fixed Spread</w:t>
      </w:r>
      <w:r w:rsidRPr="00DC393B" w:rsidDel="00E7408F">
        <w:rPr>
          <w:rStyle w:val="FootnoteReference"/>
          <w:szCs w:val="24"/>
        </w:rPr>
        <w:t xml:space="preserve"> </w:t>
      </w:r>
      <w:r w:rsidRPr="00DC393B">
        <w:rPr>
          <w:szCs w:val="24"/>
        </w:rPr>
        <w:t>or such rate as may apply following a Conversion; subject to Section 3.02(e) of the General Conditions</w:t>
      </w:r>
      <w:r>
        <w:rPr>
          <w:sz w:val="22"/>
          <w:szCs w:val="22"/>
        </w:rPr>
        <w:t>.</w:t>
      </w:r>
    </w:p>
    <w:p w14:paraId="5FEFF28C" w14:textId="77777777" w:rsidR="00DC393B" w:rsidRPr="00DC393B" w:rsidRDefault="00DC393B" w:rsidP="00E25259">
      <w:pPr>
        <w:pStyle w:val="BodyText"/>
        <w:ind w:left="720" w:hanging="720"/>
        <w:rPr>
          <w:szCs w:val="24"/>
        </w:rPr>
      </w:pPr>
      <w:r w:rsidRPr="00DC393B">
        <w:rPr>
          <w:szCs w:val="24"/>
        </w:rPr>
        <w:t>2.06.</w:t>
      </w:r>
      <w:r w:rsidRPr="00DC393B">
        <w:rPr>
          <w:szCs w:val="24"/>
        </w:rPr>
        <w:tab/>
        <w:t>The Payment Dates are May 15 and November 15 in each year.</w:t>
      </w:r>
    </w:p>
    <w:p w14:paraId="1338D8A0" w14:textId="77777777" w:rsidR="00DC393B" w:rsidRPr="00E25259" w:rsidRDefault="00DC393B" w:rsidP="00E25259">
      <w:pPr>
        <w:pStyle w:val="BodyText"/>
        <w:ind w:left="720" w:hanging="720"/>
        <w:rPr>
          <w:szCs w:val="24"/>
        </w:rPr>
      </w:pPr>
      <w:r w:rsidRPr="00DC393B">
        <w:rPr>
          <w:szCs w:val="24"/>
        </w:rPr>
        <w:t>2.07.</w:t>
      </w:r>
      <w:r w:rsidRPr="00DC393B">
        <w:rPr>
          <w:szCs w:val="24"/>
        </w:rPr>
        <w:tab/>
        <w:t>The principal amount of the Loan shall be repaid in accordance with Schedule 3 to this Agreement.</w:t>
      </w:r>
    </w:p>
    <w:p w14:paraId="06DB3DF5" w14:textId="77777777" w:rsidR="00DC393B" w:rsidRPr="00254692" w:rsidRDefault="00254692" w:rsidP="002B7E52">
      <w:pPr>
        <w:pStyle w:val="Title"/>
      </w:pPr>
      <w:r>
        <w:t>ARTICLE III — PROJECT</w:t>
      </w:r>
    </w:p>
    <w:p w14:paraId="23E48C97" w14:textId="77777777" w:rsidR="00254692" w:rsidRDefault="00DC393B" w:rsidP="00254692">
      <w:pPr>
        <w:numPr>
          <w:ilvl w:val="1"/>
          <w:numId w:val="3"/>
        </w:numPr>
        <w:tabs>
          <w:tab w:val="clear" w:pos="1320"/>
          <w:tab w:val="num" w:pos="720"/>
        </w:tabs>
        <w:ind w:left="720" w:hanging="720"/>
        <w:jc w:val="both"/>
      </w:pPr>
      <w:r w:rsidRPr="00DC393B">
        <w:t>The Borrower declares its commitment to the objectives of the Project.  To this end, the Borrower shall carry out Part 1.1 of the Project through the MOEEC, Part 1.2 of the Project through the MOCPP, Part 3.2 (a) through MOEEC and MOCPP respectively, and Parts 2, 3.1 and 3.2 (b) of the Project through MOJ, all in accordance with the provisions of Article V of the General Conditions and Schedule 2 to this Agreement.</w:t>
      </w:r>
    </w:p>
    <w:p w14:paraId="11F23342" w14:textId="77777777" w:rsidR="00254692" w:rsidRDefault="00254692" w:rsidP="00254692">
      <w:pPr>
        <w:ind w:left="720"/>
        <w:jc w:val="both"/>
      </w:pPr>
    </w:p>
    <w:p w14:paraId="13A51983" w14:textId="77777777" w:rsidR="00254692" w:rsidRPr="00DC393B" w:rsidRDefault="00254692" w:rsidP="0024528F">
      <w:pPr>
        <w:pStyle w:val="Heading1"/>
        <w:rPr>
          <w:szCs w:val="24"/>
        </w:rPr>
      </w:pPr>
      <w:r w:rsidRPr="00DC393B">
        <w:rPr>
          <w:szCs w:val="24"/>
        </w:rPr>
        <w:t>ARTICLE IV — REMEDIES OF THE BANK</w:t>
      </w:r>
    </w:p>
    <w:p w14:paraId="3FD06259" w14:textId="77777777" w:rsidR="00254692" w:rsidRPr="00DC393B" w:rsidRDefault="00254692" w:rsidP="0024528F">
      <w:pPr>
        <w:jc w:val="center"/>
      </w:pPr>
    </w:p>
    <w:p w14:paraId="3859CD2B" w14:textId="77777777" w:rsidR="00254692" w:rsidRPr="00DC393B" w:rsidRDefault="00254692" w:rsidP="0024528F">
      <w:pPr>
        <w:autoSpaceDE w:val="0"/>
        <w:autoSpaceDN w:val="0"/>
        <w:adjustRightInd w:val="0"/>
        <w:ind w:left="720" w:hanging="720"/>
        <w:jc w:val="both"/>
      </w:pPr>
      <w:r w:rsidRPr="00DC393B">
        <w:t>4.01.</w:t>
      </w:r>
      <w:r w:rsidRPr="00DC393B">
        <w:tab/>
        <w:t>The Additional Event of Suspension consists of the following, namely that the Borrower’s Courts Act and Courts Areas and Seats Act shall have been amended, suspended, abrogated, repealed or waived so as to affect, materially and adversely, in the opinion of the Bank, the ability of the Borrower to carry out the Project.</w:t>
      </w:r>
    </w:p>
    <w:p w14:paraId="6820C67B" w14:textId="77777777" w:rsidR="00254692" w:rsidRPr="00DC393B" w:rsidRDefault="00254692" w:rsidP="005B433E">
      <w:pPr>
        <w:pStyle w:val="BodyText"/>
        <w:spacing w:after="0"/>
        <w:rPr>
          <w:szCs w:val="24"/>
        </w:rPr>
      </w:pPr>
    </w:p>
    <w:p w14:paraId="4C6B510C" w14:textId="77777777" w:rsidR="00254692" w:rsidRPr="00E25259" w:rsidRDefault="00254692" w:rsidP="00E25259">
      <w:pPr>
        <w:pStyle w:val="BodyText"/>
        <w:ind w:left="720" w:hanging="720"/>
        <w:rPr>
          <w:szCs w:val="24"/>
        </w:rPr>
      </w:pPr>
      <w:r w:rsidRPr="00DC393B">
        <w:rPr>
          <w:szCs w:val="24"/>
        </w:rPr>
        <w:t>4.02.</w:t>
      </w:r>
      <w:r w:rsidRPr="00DC393B">
        <w:rPr>
          <w:szCs w:val="24"/>
        </w:rPr>
        <w:tab/>
        <w:t>The Additional Event of Acceleration consists of the following, namely that the event specified in Section 4.01 of this Agreement occurs and is continuing for a period of 60 days after notice of the event has been giv</w:t>
      </w:r>
      <w:r>
        <w:rPr>
          <w:szCs w:val="24"/>
        </w:rPr>
        <w:t>en by the Bank to the Borrower.</w:t>
      </w:r>
    </w:p>
    <w:p w14:paraId="4C111692" w14:textId="77777777" w:rsidR="00254692" w:rsidRPr="00DC393B" w:rsidRDefault="00254692" w:rsidP="00E25259">
      <w:pPr>
        <w:pStyle w:val="BodyText"/>
        <w:jc w:val="center"/>
        <w:rPr>
          <w:szCs w:val="24"/>
        </w:rPr>
      </w:pPr>
      <w:r w:rsidRPr="00DC393B">
        <w:rPr>
          <w:b/>
          <w:bCs/>
          <w:szCs w:val="24"/>
        </w:rPr>
        <w:t>ARTICLE V — EFFECTIVENESS; TERMINATION</w:t>
      </w:r>
    </w:p>
    <w:p w14:paraId="469BB761" w14:textId="77777777" w:rsidR="00254692" w:rsidRPr="00DC393B" w:rsidRDefault="00254692" w:rsidP="00E25259">
      <w:pPr>
        <w:pStyle w:val="BodyText"/>
        <w:ind w:left="720" w:hanging="720"/>
        <w:rPr>
          <w:szCs w:val="24"/>
        </w:rPr>
      </w:pPr>
      <w:r w:rsidRPr="00DC393B">
        <w:rPr>
          <w:szCs w:val="24"/>
        </w:rPr>
        <w:t>5.01.</w:t>
      </w:r>
      <w:r w:rsidRPr="00DC393B">
        <w:rPr>
          <w:szCs w:val="24"/>
        </w:rPr>
        <w:tab/>
        <w:t>The Additional Condition of Effectiveness consists of the following, namely that the Borrower has established a Project Implementation Unit (PIU) under terms, conditions, composition, functions, and resources satisfactory to the Bank.</w:t>
      </w:r>
    </w:p>
    <w:p w14:paraId="5ED6E3FF" w14:textId="77777777" w:rsidR="00020F6B" w:rsidRPr="00DC393B" w:rsidRDefault="00254692" w:rsidP="005B433E">
      <w:pPr>
        <w:pStyle w:val="BodyText"/>
        <w:rPr>
          <w:szCs w:val="24"/>
        </w:rPr>
      </w:pPr>
      <w:r w:rsidRPr="00DC393B">
        <w:rPr>
          <w:szCs w:val="24"/>
        </w:rPr>
        <w:t>5.02</w:t>
      </w:r>
      <w:r w:rsidRPr="00DC393B">
        <w:rPr>
          <w:szCs w:val="24"/>
        </w:rPr>
        <w:tab/>
        <w:t>The Effectiveness Deadline is the date ninety (90)</w:t>
      </w:r>
      <w:r w:rsidR="00A836C5">
        <w:rPr>
          <w:szCs w:val="24"/>
        </w:rPr>
        <w:t xml:space="preserve"> days after the Signature Date.</w:t>
      </w:r>
    </w:p>
    <w:p w14:paraId="74F58CB8" w14:textId="77777777" w:rsidR="00254692" w:rsidRPr="00DC393B" w:rsidRDefault="00254692" w:rsidP="00FD66E7">
      <w:pPr>
        <w:pStyle w:val="BodyText"/>
        <w:jc w:val="center"/>
        <w:rPr>
          <w:szCs w:val="24"/>
        </w:rPr>
      </w:pPr>
      <w:r w:rsidRPr="00DC393B">
        <w:rPr>
          <w:b/>
          <w:bCs/>
          <w:szCs w:val="24"/>
        </w:rPr>
        <w:t>ARTICLE VI — REPRESENTATIVE; ADDRESSES</w:t>
      </w:r>
    </w:p>
    <w:p w14:paraId="0B245BF1" w14:textId="77777777" w:rsidR="00254692" w:rsidRPr="00DC393B" w:rsidRDefault="00254692" w:rsidP="005B433E">
      <w:pPr>
        <w:pStyle w:val="BodyText"/>
        <w:ind w:left="720" w:hanging="720"/>
        <w:rPr>
          <w:szCs w:val="24"/>
        </w:rPr>
      </w:pPr>
      <w:r w:rsidRPr="00DC393B">
        <w:rPr>
          <w:szCs w:val="24"/>
        </w:rPr>
        <w:t>6.01.</w:t>
      </w:r>
      <w:r w:rsidRPr="00DC393B">
        <w:rPr>
          <w:szCs w:val="24"/>
        </w:rPr>
        <w:tab/>
        <w:t xml:space="preserve">The Borrower’s Representative is the Minister in charge of finance.  </w:t>
      </w:r>
    </w:p>
    <w:p w14:paraId="0CE7F203" w14:textId="77777777" w:rsidR="00254692" w:rsidRPr="00DC393B" w:rsidRDefault="00254692" w:rsidP="00020F6B">
      <w:pPr>
        <w:pStyle w:val="BodyText"/>
        <w:ind w:left="705" w:hanging="705"/>
        <w:rPr>
          <w:szCs w:val="24"/>
        </w:rPr>
      </w:pPr>
      <w:r w:rsidRPr="00DC393B">
        <w:rPr>
          <w:szCs w:val="24"/>
        </w:rPr>
        <w:t>6.02.</w:t>
      </w:r>
      <w:r w:rsidRPr="00DC393B">
        <w:rPr>
          <w:szCs w:val="24"/>
        </w:rPr>
        <w:tab/>
        <w:t>For purposes of Section 10.01 of the General Conditions the Borrower’s address is:</w:t>
      </w:r>
    </w:p>
    <w:p w14:paraId="393C1F2D" w14:textId="77777777" w:rsidR="00254692" w:rsidRPr="00DC393B" w:rsidRDefault="00254692" w:rsidP="0024528F">
      <w:pPr>
        <w:tabs>
          <w:tab w:val="left" w:pos="0"/>
        </w:tabs>
        <w:suppressAutoHyphens/>
        <w:jc w:val="both"/>
      </w:pPr>
      <w:r w:rsidRPr="00DC393B">
        <w:tab/>
        <w:t>Ministry of Finance</w:t>
      </w:r>
    </w:p>
    <w:p w14:paraId="5284E321" w14:textId="77777777" w:rsidR="00254692" w:rsidRPr="00DC393B" w:rsidRDefault="00254692" w:rsidP="0024528F">
      <w:pPr>
        <w:tabs>
          <w:tab w:val="left" w:pos="0"/>
        </w:tabs>
        <w:suppressAutoHyphens/>
        <w:jc w:val="both"/>
      </w:pPr>
      <w:r w:rsidRPr="00DC393B">
        <w:tab/>
        <w:t>Katanciceva 5</w:t>
      </w:r>
    </w:p>
    <w:p w14:paraId="4F0A4466" w14:textId="77777777" w:rsidR="00254692" w:rsidRPr="00DC393B" w:rsidRDefault="00254692" w:rsidP="0024528F">
      <w:pPr>
        <w:tabs>
          <w:tab w:val="left" w:pos="0"/>
        </w:tabs>
        <w:suppressAutoHyphens/>
        <w:jc w:val="both"/>
      </w:pPr>
      <w:r w:rsidRPr="00DC393B">
        <w:tab/>
        <w:t>10000 Zagreb</w:t>
      </w:r>
    </w:p>
    <w:p w14:paraId="57EEEDF8" w14:textId="77777777" w:rsidR="00254692" w:rsidRPr="00DC393B" w:rsidRDefault="00254692" w:rsidP="0024528F">
      <w:pPr>
        <w:tabs>
          <w:tab w:val="left" w:pos="0"/>
        </w:tabs>
        <w:suppressAutoHyphens/>
        <w:jc w:val="both"/>
      </w:pPr>
      <w:r w:rsidRPr="00DC393B">
        <w:tab/>
        <w:t>Republic of Croatia</w:t>
      </w:r>
    </w:p>
    <w:p w14:paraId="042C3909" w14:textId="77777777" w:rsidR="00254692" w:rsidRPr="00DC393B" w:rsidRDefault="00254692" w:rsidP="0024528F">
      <w:pPr>
        <w:tabs>
          <w:tab w:val="left" w:pos="0"/>
        </w:tabs>
        <w:suppressAutoHyphens/>
        <w:jc w:val="both"/>
        <w:rPr>
          <w:bCs/>
        </w:rPr>
      </w:pPr>
      <w:r w:rsidRPr="00DC393B">
        <w:rPr>
          <w:bCs/>
        </w:rPr>
        <w:tab/>
      </w:r>
    </w:p>
    <w:p w14:paraId="2F94BE00" w14:textId="77777777" w:rsidR="00254692" w:rsidRPr="00DC393B" w:rsidRDefault="00254692" w:rsidP="0024528F">
      <w:pPr>
        <w:tabs>
          <w:tab w:val="left" w:pos="0"/>
        </w:tabs>
        <w:suppressAutoHyphens/>
        <w:jc w:val="both"/>
        <w:rPr>
          <w:bCs/>
        </w:rPr>
      </w:pPr>
      <w:r w:rsidRPr="00DC393B">
        <w:rPr>
          <w:bCs/>
        </w:rPr>
        <w:tab/>
        <w:t xml:space="preserve">Facsimile:  </w:t>
      </w:r>
      <w:r w:rsidRPr="00DC393B">
        <w:t>(385-1) 4922-598</w:t>
      </w:r>
    </w:p>
    <w:p w14:paraId="7849D486" w14:textId="77777777" w:rsidR="00254692" w:rsidRPr="00DC393B" w:rsidRDefault="00254692" w:rsidP="0024528F">
      <w:pPr>
        <w:pStyle w:val="BodyText"/>
        <w:rPr>
          <w:szCs w:val="24"/>
        </w:rPr>
      </w:pPr>
    </w:p>
    <w:p w14:paraId="436B004E" w14:textId="77777777" w:rsidR="00254692" w:rsidRPr="00DC393B" w:rsidRDefault="00254692" w:rsidP="00020F6B">
      <w:pPr>
        <w:ind w:left="705" w:hanging="705"/>
      </w:pPr>
      <w:r w:rsidRPr="00DC393B">
        <w:t>6.03.</w:t>
      </w:r>
      <w:r w:rsidRPr="00DC393B">
        <w:tab/>
        <w:t>For purposes of Section 10.01 of the General Conditions: (a) the Bank’s address is:</w:t>
      </w:r>
    </w:p>
    <w:p w14:paraId="7AF79244" w14:textId="77777777" w:rsidR="00254692" w:rsidRPr="00115CF5" w:rsidRDefault="00254692" w:rsidP="00FD66E7">
      <w:pPr>
        <w:pStyle w:val="BodyText"/>
        <w:spacing w:after="0"/>
        <w:rPr>
          <w:sz w:val="22"/>
          <w:szCs w:val="22"/>
        </w:rPr>
      </w:pPr>
    </w:p>
    <w:p w14:paraId="06B3240E" w14:textId="77777777" w:rsidR="00254692" w:rsidRPr="00DB2FD9" w:rsidRDefault="00254692" w:rsidP="00FD66E7">
      <w:pPr>
        <w:pStyle w:val="BodyText"/>
        <w:ind w:left="720"/>
        <w:jc w:val="left"/>
        <w:rPr>
          <w:szCs w:val="24"/>
        </w:rPr>
      </w:pPr>
      <w:r w:rsidRPr="00DB2FD9">
        <w:rPr>
          <w:szCs w:val="24"/>
        </w:rPr>
        <w:t>International Bank for Reconstruction and Development</w:t>
      </w:r>
      <w:r w:rsidR="005B433E">
        <w:rPr>
          <w:szCs w:val="24"/>
        </w:rPr>
        <w:br/>
      </w:r>
      <w:r w:rsidRPr="00DB2FD9">
        <w:rPr>
          <w:szCs w:val="24"/>
        </w:rPr>
        <w:t>1818 H Street, N.W.</w:t>
      </w:r>
      <w:r w:rsidR="00FD66E7">
        <w:rPr>
          <w:szCs w:val="24"/>
        </w:rPr>
        <w:br/>
      </w:r>
      <w:r w:rsidRPr="00DB2FD9">
        <w:rPr>
          <w:szCs w:val="24"/>
        </w:rPr>
        <w:t>Washington, D.C. 20433</w:t>
      </w:r>
      <w:r w:rsidR="00FD66E7">
        <w:rPr>
          <w:szCs w:val="24"/>
        </w:rPr>
        <w:br/>
      </w:r>
      <w:r w:rsidRPr="00DB2FD9">
        <w:rPr>
          <w:szCs w:val="24"/>
        </w:rPr>
        <w:t>United States of America; and</w:t>
      </w:r>
    </w:p>
    <w:p w14:paraId="217AEF8D" w14:textId="77777777" w:rsidR="00254692" w:rsidRPr="00DB2FD9" w:rsidRDefault="00254692" w:rsidP="0024528F">
      <w:pPr>
        <w:pStyle w:val="BodyText"/>
        <w:ind w:left="720"/>
        <w:rPr>
          <w:szCs w:val="24"/>
        </w:rPr>
      </w:pPr>
      <w:r w:rsidRPr="00DB2FD9">
        <w:rPr>
          <w:szCs w:val="24"/>
        </w:rPr>
        <w:t>(b) the Bank’s Electronic Address is:</w:t>
      </w:r>
    </w:p>
    <w:p w14:paraId="0444AC20" w14:textId="77777777" w:rsidR="00FD66E7" w:rsidRDefault="00254692" w:rsidP="00FD66E7">
      <w:pPr>
        <w:pStyle w:val="BodyText"/>
        <w:ind w:left="720"/>
        <w:rPr>
          <w:szCs w:val="24"/>
        </w:rPr>
      </w:pPr>
      <w:r w:rsidRPr="00DB2FD9">
        <w:rPr>
          <w:szCs w:val="24"/>
        </w:rPr>
        <w:t>Facsimile:  1-202-477-6391</w:t>
      </w:r>
      <w:r w:rsidRPr="00DB2FD9">
        <w:rPr>
          <w:szCs w:val="24"/>
        </w:rPr>
        <w:tab/>
      </w:r>
      <w:r w:rsidRPr="00DB2FD9">
        <w:rPr>
          <w:szCs w:val="24"/>
        </w:rPr>
        <w:tab/>
      </w:r>
      <w:r w:rsidR="00FD66E7">
        <w:rPr>
          <w:szCs w:val="24"/>
        </w:rPr>
        <w:br w:type="page"/>
      </w:r>
    </w:p>
    <w:p w14:paraId="598BE811" w14:textId="77777777" w:rsidR="00254692" w:rsidRPr="00DB2FD9" w:rsidRDefault="00254692" w:rsidP="00FD66E7">
      <w:pPr>
        <w:pStyle w:val="BodyText"/>
        <w:rPr>
          <w:szCs w:val="24"/>
        </w:rPr>
      </w:pPr>
      <w:r w:rsidRPr="00DB2FD9">
        <w:rPr>
          <w:szCs w:val="24"/>
        </w:rPr>
        <w:t xml:space="preserve">  </w:t>
      </w:r>
    </w:p>
    <w:p w14:paraId="6752C6F7" w14:textId="77777777" w:rsidR="00254692" w:rsidRPr="00DB2FD9" w:rsidRDefault="00254692" w:rsidP="0024528F">
      <w:r w:rsidRPr="00DB2FD9">
        <w:t>AGREED as of the Signature Date.</w:t>
      </w:r>
    </w:p>
    <w:p w14:paraId="6DA7D60F" w14:textId="77777777" w:rsidR="00254692" w:rsidRDefault="00254692" w:rsidP="0024528F">
      <w:pPr>
        <w:pStyle w:val="BodyText"/>
        <w:rPr>
          <w:sz w:val="22"/>
          <w:szCs w:val="22"/>
        </w:rPr>
      </w:pPr>
      <w:r w:rsidRPr="00115CF5">
        <w:rPr>
          <w:sz w:val="22"/>
          <w:szCs w:val="22"/>
        </w:rPr>
        <w:tab/>
      </w:r>
    </w:p>
    <w:p w14:paraId="5ACBDF9B" w14:textId="77777777" w:rsidR="00254692" w:rsidRPr="00CF2390" w:rsidRDefault="00254692" w:rsidP="000C4CDB">
      <w:pPr>
        <w:pStyle w:val="BodyText"/>
        <w:ind w:left="3540" w:firstLine="708"/>
        <w:rPr>
          <w:b/>
          <w:sz w:val="22"/>
          <w:szCs w:val="22"/>
        </w:rPr>
      </w:pPr>
      <w:r>
        <w:rPr>
          <w:b/>
          <w:sz w:val="22"/>
          <w:szCs w:val="22"/>
        </w:rPr>
        <w:t>REPUBLIC OF CROATIA</w:t>
      </w:r>
    </w:p>
    <w:p w14:paraId="5A4E1559" w14:textId="77777777" w:rsidR="00254692" w:rsidRDefault="00254692" w:rsidP="0024528F">
      <w:pPr>
        <w:rPr>
          <w:b/>
          <w:sz w:val="22"/>
          <w:szCs w:val="22"/>
        </w:rPr>
      </w:pPr>
    </w:p>
    <w:p w14:paraId="0095E196" w14:textId="77777777" w:rsidR="00254692" w:rsidRDefault="00254692" w:rsidP="0024528F">
      <w:pPr>
        <w:pStyle w:val="BodyText"/>
        <w:rPr>
          <w:b/>
          <w:sz w:val="22"/>
          <w:szCs w:val="22"/>
        </w:rPr>
      </w:pPr>
      <w:r w:rsidRPr="00753779">
        <w:rPr>
          <w:rStyle w:val="Style1"/>
        </w:rPr>
        <w:t>/s1/</w:t>
      </w:r>
    </w:p>
    <w:p w14:paraId="10FBDA56" w14:textId="77777777" w:rsidR="00254692" w:rsidRDefault="00254692" w:rsidP="000C4CDB">
      <w:pPr>
        <w:ind w:left="4253"/>
        <w:rPr>
          <w:b/>
          <w:sz w:val="22"/>
          <w:szCs w:val="22"/>
        </w:rPr>
      </w:pPr>
      <w:r>
        <w:rPr>
          <w:b/>
          <w:sz w:val="22"/>
          <w:szCs w:val="22"/>
        </w:rPr>
        <w:t xml:space="preserve">Name: </w:t>
      </w:r>
      <w:r w:rsidR="00C11783" w:rsidRPr="00E07422">
        <w:rPr>
          <w:b/>
          <w:sz w:val="22"/>
          <w:szCs w:val="22"/>
        </w:rPr>
        <w:t>Z</w:t>
      </w:r>
      <w:r w:rsidR="00C11783" w:rsidRPr="000C4CDB">
        <w:rPr>
          <w:b/>
          <w:sz w:val="22"/>
          <w:szCs w:val="22"/>
        </w:rPr>
        <w:t>dravko</w:t>
      </w:r>
      <w:r w:rsidR="00C11783" w:rsidRPr="00E07422">
        <w:rPr>
          <w:b/>
          <w:sz w:val="22"/>
          <w:szCs w:val="22"/>
        </w:rPr>
        <w:t xml:space="preserve"> M</w:t>
      </w:r>
      <w:r w:rsidR="00C11783" w:rsidRPr="00C11783">
        <w:rPr>
          <w:b/>
          <w:sz w:val="22"/>
          <w:szCs w:val="22"/>
        </w:rPr>
        <w:t>ari</w:t>
      </w:r>
      <w:r w:rsidR="000C4CDB">
        <w:rPr>
          <w:b/>
          <w:sz w:val="22"/>
          <w:szCs w:val="22"/>
        </w:rPr>
        <w:t>ć</w:t>
      </w:r>
      <w:sdt>
        <w:sdtPr>
          <w:rPr>
            <w:rStyle w:val="Style1"/>
          </w:rPr>
          <w:alias w:val="DocuSign Anchor Tag"/>
          <w:tag w:val="DocuSign Anchor Tag"/>
          <w:id w:val="-725062655"/>
          <w:lock w:val="contentLocked"/>
          <w:placeholder>
            <w:docPart w:val="7EE7D6170FC44B7BBF4A80009B593812"/>
          </w:placeholder>
        </w:sdtPr>
        <w:sdtEndPr>
          <w:rPr>
            <w:rStyle w:val="Style1"/>
          </w:rPr>
        </w:sdtEndPr>
        <w:sdtContent>
          <w:r w:rsidRPr="00753779">
            <w:rPr>
              <w:rStyle w:val="Style1"/>
            </w:rPr>
            <w:t>/n1/</w:t>
          </w:r>
        </w:sdtContent>
      </w:sdt>
    </w:p>
    <w:p w14:paraId="28F3DA7B" w14:textId="77777777" w:rsidR="00254692" w:rsidRDefault="00254692" w:rsidP="0024528F">
      <w:pPr>
        <w:jc w:val="right"/>
        <w:rPr>
          <w:b/>
          <w:sz w:val="22"/>
          <w:szCs w:val="22"/>
        </w:rPr>
      </w:pPr>
    </w:p>
    <w:p w14:paraId="2E11595E" w14:textId="77777777" w:rsidR="003C789B" w:rsidRPr="00C11783" w:rsidRDefault="00254692" w:rsidP="000C4CDB">
      <w:pPr>
        <w:ind w:left="3540" w:firstLine="708"/>
        <w:rPr>
          <w:b/>
          <w:sz w:val="22"/>
          <w:szCs w:val="22"/>
        </w:rPr>
      </w:pPr>
      <w:r>
        <w:rPr>
          <w:b/>
          <w:sz w:val="22"/>
          <w:szCs w:val="22"/>
        </w:rPr>
        <w:t xml:space="preserve">Title: </w:t>
      </w:r>
      <w:r w:rsidR="00C11783" w:rsidRPr="00C11783">
        <w:rPr>
          <w:b/>
          <w:sz w:val="22"/>
          <w:szCs w:val="22"/>
        </w:rPr>
        <w:t>Deputy Prime Minister</w:t>
      </w:r>
    </w:p>
    <w:p w14:paraId="6A9E4193" w14:textId="77777777" w:rsidR="00254692" w:rsidRDefault="000C4CDB" w:rsidP="000C4CDB">
      <w:pPr>
        <w:ind w:left="4248"/>
        <w:rPr>
          <w:b/>
          <w:sz w:val="22"/>
          <w:szCs w:val="22"/>
        </w:rPr>
      </w:pPr>
      <w:r>
        <w:rPr>
          <w:b/>
          <w:sz w:val="22"/>
          <w:szCs w:val="22"/>
        </w:rPr>
        <w:t xml:space="preserve">          </w:t>
      </w:r>
      <w:r w:rsidR="00C11783" w:rsidRPr="00C11783">
        <w:rPr>
          <w:b/>
          <w:sz w:val="22"/>
          <w:szCs w:val="22"/>
        </w:rPr>
        <w:t>and Minister of Finance</w:t>
      </w:r>
      <w:sdt>
        <w:sdtPr>
          <w:rPr>
            <w:rStyle w:val="Style1"/>
          </w:rPr>
          <w:alias w:val="DocuSign Anchor Tag"/>
          <w:tag w:val="DocuSign Anchor Tag"/>
          <w:id w:val="-1049995015"/>
          <w:lock w:val="contentLocked"/>
          <w:placeholder>
            <w:docPart w:val="7EE7D6170FC44B7BBF4A80009B593812"/>
          </w:placeholder>
        </w:sdtPr>
        <w:sdtEndPr>
          <w:rPr>
            <w:rStyle w:val="Style1"/>
          </w:rPr>
        </w:sdtEndPr>
        <w:sdtContent>
          <w:r w:rsidR="00254692" w:rsidRPr="00753779">
            <w:rPr>
              <w:rStyle w:val="Style1"/>
            </w:rPr>
            <w:t>/t1/</w:t>
          </w:r>
        </w:sdtContent>
      </w:sdt>
    </w:p>
    <w:p w14:paraId="5446A577" w14:textId="77777777" w:rsidR="00254692" w:rsidRDefault="00254692" w:rsidP="0024528F">
      <w:pPr>
        <w:jc w:val="right"/>
        <w:rPr>
          <w:b/>
          <w:sz w:val="22"/>
          <w:szCs w:val="22"/>
        </w:rPr>
      </w:pPr>
    </w:p>
    <w:p w14:paraId="3546AE88" w14:textId="77777777" w:rsidR="00254692" w:rsidRDefault="00254692" w:rsidP="000C4CDB">
      <w:pPr>
        <w:ind w:left="4253"/>
        <w:rPr>
          <w:b/>
          <w:sz w:val="22"/>
          <w:szCs w:val="22"/>
        </w:rPr>
      </w:pPr>
      <w:r>
        <w:rPr>
          <w:b/>
          <w:sz w:val="22"/>
          <w:szCs w:val="22"/>
        </w:rPr>
        <w:t xml:space="preserve">Date: </w:t>
      </w:r>
      <w:r w:rsidR="00C11783">
        <w:rPr>
          <w:b/>
          <w:sz w:val="22"/>
          <w:szCs w:val="22"/>
        </w:rPr>
        <w:t>15 April 2020</w:t>
      </w:r>
      <w:sdt>
        <w:sdtPr>
          <w:rPr>
            <w:rStyle w:val="Style1"/>
          </w:rPr>
          <w:alias w:val="DocuSign Anchor Tag"/>
          <w:tag w:val="DocuSign Anchor Tag"/>
          <w:id w:val="-1350642528"/>
          <w:lock w:val="contentLocked"/>
          <w:placeholder>
            <w:docPart w:val="7EE7D6170FC44B7BBF4A80009B593812"/>
          </w:placeholder>
        </w:sdtPr>
        <w:sdtEndPr>
          <w:rPr>
            <w:rStyle w:val="Style1"/>
          </w:rPr>
        </w:sdtEndPr>
        <w:sdtContent>
          <w:r w:rsidRPr="00753779">
            <w:rPr>
              <w:rStyle w:val="Style1"/>
            </w:rPr>
            <w:t>/d1/</w:t>
          </w:r>
        </w:sdtContent>
      </w:sdt>
    </w:p>
    <w:p w14:paraId="73A26B40" w14:textId="77777777" w:rsidR="00254692" w:rsidRDefault="00254692" w:rsidP="0024528F">
      <w:pPr>
        <w:rPr>
          <w:b/>
          <w:sz w:val="22"/>
          <w:szCs w:val="22"/>
        </w:rPr>
      </w:pPr>
    </w:p>
    <w:p w14:paraId="38F959E8" w14:textId="77777777" w:rsidR="00254692" w:rsidRDefault="00254692" w:rsidP="0024528F">
      <w:pPr>
        <w:pStyle w:val="BodyText"/>
        <w:ind w:right="-360"/>
        <w:jc w:val="left"/>
        <w:rPr>
          <w:b/>
          <w:sz w:val="22"/>
          <w:szCs w:val="22"/>
          <w:lang w:val="hr-HR" w:eastAsia="hr-HR"/>
        </w:rPr>
      </w:pPr>
    </w:p>
    <w:p w14:paraId="50FAE33C" w14:textId="77777777" w:rsidR="00254692" w:rsidRDefault="00254692" w:rsidP="0024528F">
      <w:pPr>
        <w:pStyle w:val="BodyText"/>
        <w:ind w:right="-360"/>
        <w:jc w:val="left"/>
        <w:rPr>
          <w:b/>
          <w:sz w:val="22"/>
          <w:szCs w:val="22"/>
          <w:lang w:val="hr-HR" w:eastAsia="hr-HR"/>
        </w:rPr>
      </w:pPr>
    </w:p>
    <w:p w14:paraId="43EC595A" w14:textId="77777777" w:rsidR="00254692" w:rsidRPr="004327C2" w:rsidRDefault="00254692" w:rsidP="000C4CDB">
      <w:pPr>
        <w:pStyle w:val="BodyText"/>
        <w:ind w:left="4248" w:right="-360"/>
        <w:jc w:val="left"/>
        <w:rPr>
          <w:b/>
          <w:sz w:val="22"/>
          <w:szCs w:val="22"/>
        </w:rPr>
      </w:pPr>
      <w:r w:rsidRPr="004327C2">
        <w:rPr>
          <w:b/>
          <w:sz w:val="22"/>
          <w:szCs w:val="22"/>
        </w:rPr>
        <w:t>INTERNATIONAL BANK FOR</w:t>
      </w:r>
      <w:r>
        <w:rPr>
          <w:b/>
          <w:sz w:val="22"/>
          <w:szCs w:val="22"/>
        </w:rPr>
        <w:t xml:space="preserve"> </w:t>
      </w:r>
      <w:r w:rsidR="000C4CDB">
        <w:rPr>
          <w:b/>
          <w:sz w:val="22"/>
          <w:szCs w:val="22"/>
        </w:rPr>
        <w:t xml:space="preserve">  </w:t>
      </w:r>
      <w:r w:rsidRPr="004327C2">
        <w:rPr>
          <w:b/>
          <w:sz w:val="22"/>
          <w:szCs w:val="22"/>
        </w:rPr>
        <w:t>RECONSTRUCTION</w:t>
      </w:r>
      <w:r>
        <w:rPr>
          <w:b/>
          <w:sz w:val="22"/>
          <w:szCs w:val="22"/>
        </w:rPr>
        <w:t xml:space="preserve"> </w:t>
      </w:r>
      <w:r w:rsidRPr="004327C2">
        <w:rPr>
          <w:b/>
          <w:sz w:val="22"/>
          <w:szCs w:val="22"/>
        </w:rPr>
        <w:t xml:space="preserve">AND </w:t>
      </w:r>
      <w:r>
        <w:rPr>
          <w:b/>
          <w:sz w:val="22"/>
          <w:szCs w:val="22"/>
        </w:rPr>
        <w:t>D</w:t>
      </w:r>
      <w:r w:rsidRPr="004327C2">
        <w:rPr>
          <w:b/>
          <w:sz w:val="22"/>
          <w:szCs w:val="22"/>
        </w:rPr>
        <w:t>EVELOPMENT</w:t>
      </w:r>
    </w:p>
    <w:p w14:paraId="5D2CA264" w14:textId="77777777" w:rsidR="00254692" w:rsidRPr="00CF2390" w:rsidRDefault="00254692" w:rsidP="0024528F">
      <w:pPr>
        <w:jc w:val="both"/>
        <w:rPr>
          <w:b/>
          <w:sz w:val="22"/>
          <w:szCs w:val="22"/>
        </w:rPr>
      </w:pPr>
    </w:p>
    <w:p w14:paraId="145EC839" w14:textId="77777777" w:rsidR="00254692" w:rsidRDefault="00254692" w:rsidP="0024528F">
      <w:pPr>
        <w:jc w:val="right"/>
        <w:rPr>
          <w:b/>
          <w:sz w:val="22"/>
          <w:szCs w:val="22"/>
        </w:rPr>
      </w:pPr>
      <w:r w:rsidRPr="00753779">
        <w:rPr>
          <w:rStyle w:val="Style1"/>
        </w:rPr>
        <w:t>/s2/</w:t>
      </w:r>
    </w:p>
    <w:p w14:paraId="1333E9C8" w14:textId="77777777" w:rsidR="00254692" w:rsidRDefault="00254692" w:rsidP="003A52F7">
      <w:pPr>
        <w:ind w:left="3540" w:firstLine="708"/>
        <w:rPr>
          <w:b/>
          <w:sz w:val="22"/>
          <w:szCs w:val="22"/>
        </w:rPr>
      </w:pPr>
      <w:r>
        <w:rPr>
          <w:b/>
          <w:sz w:val="22"/>
          <w:szCs w:val="22"/>
        </w:rPr>
        <w:t>Name:</w:t>
      </w:r>
      <w:r w:rsidR="00826207">
        <w:rPr>
          <w:b/>
          <w:sz w:val="22"/>
          <w:szCs w:val="22"/>
        </w:rPr>
        <w:t xml:space="preserve"> </w:t>
      </w:r>
      <w:r w:rsidR="00C11783">
        <w:rPr>
          <w:b/>
        </w:rPr>
        <w:t>E</w:t>
      </w:r>
      <w:r w:rsidR="00C11783" w:rsidRPr="00C11783">
        <w:rPr>
          <w:b/>
        </w:rPr>
        <w:t xml:space="preserve">lisabetta </w:t>
      </w:r>
      <w:r w:rsidR="00C11783">
        <w:rPr>
          <w:b/>
        </w:rPr>
        <w:t>C</w:t>
      </w:r>
      <w:r w:rsidR="00C11783" w:rsidRPr="00E07422">
        <w:rPr>
          <w:b/>
        </w:rPr>
        <w:t>apannelli</w:t>
      </w:r>
      <w:sdt>
        <w:sdtPr>
          <w:rPr>
            <w:rStyle w:val="Style1"/>
          </w:rPr>
          <w:alias w:val="DocuSign Anchor Tag"/>
          <w:tag w:val="DocuSign Anchor Tag"/>
          <w:id w:val="2006008989"/>
          <w:lock w:val="contentLocked"/>
          <w:placeholder>
            <w:docPart w:val="7EE7D6170FC44B7BBF4A80009B593812"/>
          </w:placeholder>
        </w:sdtPr>
        <w:sdtEndPr>
          <w:rPr>
            <w:rStyle w:val="Style1"/>
          </w:rPr>
        </w:sdtEndPr>
        <w:sdtContent>
          <w:r w:rsidRPr="00753779">
            <w:rPr>
              <w:rStyle w:val="Style1"/>
            </w:rPr>
            <w:t>/n2/</w:t>
          </w:r>
        </w:sdtContent>
      </w:sdt>
    </w:p>
    <w:p w14:paraId="499C648A" w14:textId="77777777" w:rsidR="00254692" w:rsidRDefault="00254692" w:rsidP="0024528F">
      <w:pPr>
        <w:jc w:val="right"/>
        <w:rPr>
          <w:b/>
          <w:sz w:val="22"/>
          <w:szCs w:val="22"/>
        </w:rPr>
      </w:pPr>
      <w:r>
        <w:rPr>
          <w:b/>
          <w:sz w:val="22"/>
          <w:szCs w:val="22"/>
        </w:rPr>
        <w:tab/>
      </w:r>
    </w:p>
    <w:p w14:paraId="0FC9D588" w14:textId="77777777" w:rsidR="00254692" w:rsidRDefault="00254692" w:rsidP="003A52F7">
      <w:pPr>
        <w:ind w:left="3540" w:firstLine="708"/>
        <w:rPr>
          <w:b/>
          <w:sz w:val="22"/>
          <w:szCs w:val="22"/>
        </w:rPr>
      </w:pPr>
      <w:r>
        <w:rPr>
          <w:b/>
          <w:sz w:val="22"/>
          <w:szCs w:val="22"/>
        </w:rPr>
        <w:t xml:space="preserve">Title: </w:t>
      </w:r>
      <w:r w:rsidR="003C789B">
        <w:rPr>
          <w:b/>
          <w:sz w:val="22"/>
          <w:szCs w:val="22"/>
        </w:rPr>
        <w:t>Country Manager</w:t>
      </w:r>
      <w:sdt>
        <w:sdtPr>
          <w:rPr>
            <w:rStyle w:val="Style1"/>
          </w:rPr>
          <w:alias w:val="DocuSign Anchor Tag"/>
          <w:tag w:val="DocuSign Anchor Tag"/>
          <w:id w:val="-1704387221"/>
          <w:lock w:val="contentLocked"/>
          <w:placeholder>
            <w:docPart w:val="7EE7D6170FC44B7BBF4A80009B593812"/>
          </w:placeholder>
        </w:sdtPr>
        <w:sdtEndPr>
          <w:rPr>
            <w:rStyle w:val="Style1"/>
          </w:rPr>
        </w:sdtEndPr>
        <w:sdtContent>
          <w:r w:rsidRPr="00DC49EF">
            <w:rPr>
              <w:rStyle w:val="Style1"/>
            </w:rPr>
            <w:t>/t2/</w:t>
          </w:r>
        </w:sdtContent>
      </w:sdt>
    </w:p>
    <w:p w14:paraId="4D117C40" w14:textId="77777777" w:rsidR="00254692" w:rsidRDefault="00254692" w:rsidP="0024528F">
      <w:pPr>
        <w:jc w:val="right"/>
        <w:rPr>
          <w:b/>
          <w:sz w:val="22"/>
          <w:szCs w:val="22"/>
        </w:rPr>
      </w:pPr>
    </w:p>
    <w:p w14:paraId="32D885C8" w14:textId="77777777" w:rsidR="00254692" w:rsidRDefault="00254692" w:rsidP="003A52F7">
      <w:pPr>
        <w:ind w:left="3540" w:firstLine="708"/>
        <w:jc w:val="both"/>
      </w:pPr>
      <w:r>
        <w:rPr>
          <w:b/>
          <w:sz w:val="22"/>
          <w:szCs w:val="22"/>
        </w:rPr>
        <w:t xml:space="preserve">Date: </w:t>
      </w:r>
      <w:r w:rsidR="00C11783">
        <w:rPr>
          <w:b/>
          <w:sz w:val="22"/>
          <w:szCs w:val="22"/>
        </w:rPr>
        <w:t>14</w:t>
      </w:r>
      <w:r w:rsidR="003C789B">
        <w:rPr>
          <w:b/>
          <w:sz w:val="22"/>
          <w:szCs w:val="22"/>
        </w:rPr>
        <w:t xml:space="preserve"> </w:t>
      </w:r>
      <w:r w:rsidR="00C11783">
        <w:rPr>
          <w:b/>
          <w:sz w:val="22"/>
          <w:szCs w:val="22"/>
        </w:rPr>
        <w:t xml:space="preserve">April </w:t>
      </w:r>
      <w:r w:rsidR="003C789B">
        <w:rPr>
          <w:b/>
          <w:sz w:val="22"/>
          <w:szCs w:val="22"/>
        </w:rPr>
        <w:t xml:space="preserve">2020 </w:t>
      </w:r>
      <w:sdt>
        <w:sdtPr>
          <w:rPr>
            <w:rStyle w:val="Style1"/>
          </w:rPr>
          <w:alias w:val="DocuSign Anchor Tag"/>
          <w:tag w:val="DocuSign Anchor Tag"/>
          <w:id w:val="-272639705"/>
          <w:lock w:val="contentLocked"/>
          <w:placeholder>
            <w:docPart w:val="7EE7D6170FC44B7BBF4A80009B593812"/>
          </w:placeholder>
        </w:sdtPr>
        <w:sdtEndPr>
          <w:rPr>
            <w:rStyle w:val="Style1"/>
          </w:rPr>
        </w:sdtEndPr>
        <w:sdtContent>
          <w:r w:rsidRPr="00DC49EF">
            <w:rPr>
              <w:rStyle w:val="Style1"/>
            </w:rPr>
            <w:t>/d2/</w:t>
          </w:r>
        </w:sdtContent>
      </w:sdt>
    </w:p>
    <w:p w14:paraId="37911E07" w14:textId="77777777" w:rsidR="00254692" w:rsidRDefault="00254692" w:rsidP="00254692">
      <w:pPr>
        <w:jc w:val="both"/>
      </w:pPr>
    </w:p>
    <w:p w14:paraId="76F29BE6" w14:textId="77777777" w:rsidR="00254692" w:rsidRPr="00DC393B" w:rsidRDefault="00254692" w:rsidP="00254692">
      <w:pPr>
        <w:jc w:val="both"/>
        <w:sectPr w:rsidR="00254692" w:rsidRPr="00DC393B" w:rsidSect="00DC393B">
          <w:headerReference w:type="default" r:id="rId9"/>
          <w:footerReference w:type="default" r:id="rId10"/>
          <w:footerReference w:type="first" r:id="rId11"/>
          <w:pgSz w:w="12240" w:h="15840"/>
          <w:pgMar w:top="1296" w:right="1800" w:bottom="1152" w:left="1800" w:header="720" w:footer="720" w:gutter="0"/>
          <w:pgNumType w:start="1"/>
          <w:cols w:space="720"/>
          <w:titlePg/>
          <w:docGrid w:linePitch="326"/>
        </w:sectPr>
      </w:pPr>
    </w:p>
    <w:p w14:paraId="5453B1A0" w14:textId="77777777" w:rsidR="00514FBA" w:rsidRPr="00514FBA" w:rsidRDefault="00514FBA" w:rsidP="004B2603">
      <w:pPr>
        <w:pStyle w:val="BodyText"/>
        <w:jc w:val="center"/>
        <w:rPr>
          <w:b/>
          <w:bCs/>
          <w:szCs w:val="24"/>
        </w:rPr>
      </w:pPr>
      <w:r w:rsidRPr="00514FBA">
        <w:rPr>
          <w:b/>
          <w:bCs/>
          <w:szCs w:val="24"/>
        </w:rPr>
        <w:t>SCHEDULE 1</w:t>
      </w:r>
    </w:p>
    <w:p w14:paraId="29D236B2" w14:textId="77777777" w:rsidR="00514FBA" w:rsidRPr="00514FBA" w:rsidRDefault="00514FBA" w:rsidP="00514FBA">
      <w:pPr>
        <w:pStyle w:val="BodyText"/>
        <w:jc w:val="center"/>
        <w:rPr>
          <w:b/>
          <w:bCs/>
          <w:szCs w:val="24"/>
        </w:rPr>
      </w:pPr>
      <w:r w:rsidRPr="00514FBA">
        <w:rPr>
          <w:b/>
          <w:bCs/>
          <w:szCs w:val="24"/>
        </w:rPr>
        <w:t>Project Description</w:t>
      </w:r>
    </w:p>
    <w:p w14:paraId="00890FE7" w14:textId="77777777" w:rsidR="00514FBA" w:rsidRPr="00514FBA" w:rsidRDefault="00514FBA" w:rsidP="004F3515">
      <w:pPr>
        <w:pStyle w:val="NoSpacing"/>
        <w:jc w:val="both"/>
      </w:pPr>
    </w:p>
    <w:p w14:paraId="2533BE1A" w14:textId="77777777" w:rsidR="00514FBA" w:rsidRPr="00514FBA" w:rsidRDefault="00514FBA" w:rsidP="00CD1D10">
      <w:pPr>
        <w:pStyle w:val="NoSpacing"/>
        <w:ind w:firstLine="567"/>
        <w:jc w:val="both"/>
      </w:pPr>
      <w:r w:rsidRPr="00514FBA">
        <w:t xml:space="preserve">The objective of the Project is to improve the business regulatory procedures and justice service standards for businesses and citizens. </w:t>
      </w:r>
    </w:p>
    <w:p w14:paraId="4D10B33A" w14:textId="77777777" w:rsidR="00514FBA" w:rsidRPr="00514FBA" w:rsidRDefault="00514FBA" w:rsidP="004F3515">
      <w:pPr>
        <w:pStyle w:val="NoSpacing"/>
        <w:jc w:val="both"/>
      </w:pPr>
    </w:p>
    <w:p w14:paraId="14B89DDD" w14:textId="77777777" w:rsidR="00514FBA" w:rsidRPr="00514FBA" w:rsidRDefault="00514FBA" w:rsidP="00CD1D10">
      <w:pPr>
        <w:pStyle w:val="NoSpacing"/>
        <w:ind w:firstLine="567"/>
        <w:jc w:val="both"/>
      </w:pPr>
      <w:r w:rsidRPr="00514FBA">
        <w:t>The Project consists of the following parts:</w:t>
      </w:r>
    </w:p>
    <w:p w14:paraId="098CE4BB" w14:textId="77777777" w:rsidR="00514FBA" w:rsidRPr="00514FBA" w:rsidRDefault="00514FBA" w:rsidP="00514FBA">
      <w:pPr>
        <w:pStyle w:val="BodyText"/>
        <w:rPr>
          <w:szCs w:val="24"/>
        </w:rPr>
      </w:pPr>
    </w:p>
    <w:p w14:paraId="7D2F8B4F" w14:textId="77777777" w:rsidR="00514FBA" w:rsidRPr="00514FBA" w:rsidRDefault="00514FBA" w:rsidP="00514FBA">
      <w:pPr>
        <w:keepNext/>
        <w:jc w:val="both"/>
        <w:rPr>
          <w:rFonts w:eastAsia="Calibri"/>
          <w:b/>
          <w:bCs/>
          <w:u w:val="single"/>
        </w:rPr>
      </w:pPr>
      <w:r w:rsidRPr="00514FBA">
        <w:rPr>
          <w:rFonts w:eastAsia="Calibri"/>
          <w:b/>
          <w:bCs/>
          <w:u w:val="single"/>
        </w:rPr>
        <w:t xml:space="preserve">Part 1 – Reducing the administrative burden for businesses to interact with government </w:t>
      </w:r>
    </w:p>
    <w:p w14:paraId="24004A71" w14:textId="77777777" w:rsidR="00514FBA" w:rsidRPr="00514FBA" w:rsidRDefault="00514FBA" w:rsidP="00514FBA">
      <w:pPr>
        <w:pStyle w:val="ListParagraph"/>
        <w:keepNext/>
        <w:widowControl w:val="0"/>
        <w:autoSpaceDE w:val="0"/>
        <w:autoSpaceDN w:val="0"/>
        <w:adjustRightInd w:val="0"/>
        <w:spacing w:line="240" w:lineRule="auto"/>
        <w:ind w:left="0"/>
        <w:jc w:val="both"/>
        <w:rPr>
          <w:bCs/>
          <w:sz w:val="24"/>
          <w:szCs w:val="24"/>
        </w:rPr>
      </w:pPr>
    </w:p>
    <w:p w14:paraId="3A348487" w14:textId="77777777" w:rsidR="004F3515" w:rsidRDefault="004F3515" w:rsidP="0026062A">
      <w:pPr>
        <w:pStyle w:val="NoSpacing"/>
        <w:numPr>
          <w:ilvl w:val="0"/>
          <w:numId w:val="28"/>
        </w:numPr>
        <w:jc w:val="both"/>
      </w:pPr>
      <w:r w:rsidRPr="004F3515">
        <w:t>Provision of financing of payments for Eligible Expenditure Programs (EEPs) to support the simplification and automatization of procedures to start and operate a business in the Borrower’s territory, through the carrying out of the following activities:</w:t>
      </w:r>
    </w:p>
    <w:p w14:paraId="0BCD00B8" w14:textId="77777777" w:rsidR="004F3515" w:rsidRDefault="004F3515" w:rsidP="004F3515">
      <w:pPr>
        <w:pStyle w:val="NoSpacing"/>
        <w:ind w:left="720"/>
        <w:jc w:val="both"/>
      </w:pPr>
    </w:p>
    <w:p w14:paraId="52A145DE" w14:textId="77777777" w:rsidR="004F3515" w:rsidRDefault="004F3515" w:rsidP="00821FFF">
      <w:pPr>
        <w:pStyle w:val="NoSpacing"/>
        <w:numPr>
          <w:ilvl w:val="1"/>
          <w:numId w:val="29"/>
        </w:numPr>
        <w:jc w:val="both"/>
      </w:pPr>
      <w:r>
        <w:t>Implementing and expanding a single digital window to enable a one-stop-shop online registration of and key changes to Limited Liability Companies (LLCs) established in the Borrower’s territory.</w:t>
      </w:r>
    </w:p>
    <w:p w14:paraId="10024A3D" w14:textId="77777777" w:rsidR="004F3515" w:rsidRDefault="004F3515" w:rsidP="004F3515">
      <w:pPr>
        <w:pStyle w:val="NoSpacing"/>
        <w:ind w:left="1440"/>
        <w:jc w:val="both"/>
      </w:pPr>
    </w:p>
    <w:p w14:paraId="42E6D1EA" w14:textId="77777777" w:rsidR="004F3515" w:rsidRDefault="004F3515" w:rsidP="00821FFF">
      <w:pPr>
        <w:pStyle w:val="NoSpacing"/>
        <w:numPr>
          <w:ilvl w:val="1"/>
          <w:numId w:val="29"/>
        </w:numPr>
        <w:jc w:val="both"/>
      </w:pPr>
      <w:r>
        <w:t>Online publishing and consolidating of licensing requirements to start a business activity in the Borrower’s territory and digitalization of selected licenses procedures.</w:t>
      </w:r>
    </w:p>
    <w:p w14:paraId="2C0FC9FD" w14:textId="77777777" w:rsidR="00514FBA" w:rsidRDefault="00514FBA" w:rsidP="004F3515">
      <w:pPr>
        <w:pStyle w:val="NoSpacing"/>
        <w:jc w:val="both"/>
      </w:pPr>
    </w:p>
    <w:p w14:paraId="74C4A96D" w14:textId="77777777" w:rsidR="004F3515" w:rsidRDefault="004F3515" w:rsidP="0026062A">
      <w:pPr>
        <w:pStyle w:val="NoSpacing"/>
        <w:numPr>
          <w:ilvl w:val="0"/>
          <w:numId w:val="28"/>
        </w:numPr>
        <w:jc w:val="both"/>
      </w:pPr>
      <w:r w:rsidRPr="004F3515">
        <w:t>Provision of financing of payments for EEPs to support the simplification of construction permitting and improve availability of construction services, through:</w:t>
      </w:r>
    </w:p>
    <w:p w14:paraId="37A4B57B" w14:textId="77777777" w:rsidR="00FF5820" w:rsidRDefault="00FF5820" w:rsidP="00FF5820">
      <w:pPr>
        <w:pStyle w:val="NoSpacing"/>
        <w:ind w:left="720"/>
        <w:jc w:val="both"/>
      </w:pPr>
    </w:p>
    <w:p w14:paraId="44D30554" w14:textId="77777777" w:rsidR="004D31AD" w:rsidRDefault="004D31AD" w:rsidP="00821FFF">
      <w:pPr>
        <w:pStyle w:val="NoSpacing"/>
        <w:numPr>
          <w:ilvl w:val="1"/>
          <w:numId w:val="30"/>
        </w:numPr>
        <w:jc w:val="both"/>
      </w:pPr>
      <w:r>
        <w:t>The expanded use of E-Dozvola.</w:t>
      </w:r>
    </w:p>
    <w:p w14:paraId="6E803297" w14:textId="77777777" w:rsidR="004D31AD" w:rsidRDefault="004D31AD" w:rsidP="004D31AD">
      <w:pPr>
        <w:pStyle w:val="NoSpacing"/>
        <w:ind w:left="1440"/>
        <w:jc w:val="both"/>
      </w:pPr>
    </w:p>
    <w:p w14:paraId="4721CB35" w14:textId="77777777" w:rsidR="004D31AD" w:rsidRPr="004F3515" w:rsidRDefault="004D31AD" w:rsidP="00821FFF">
      <w:pPr>
        <w:pStyle w:val="NoSpacing"/>
        <w:numPr>
          <w:ilvl w:val="1"/>
          <w:numId w:val="30"/>
        </w:numPr>
        <w:jc w:val="both"/>
      </w:pPr>
      <w:r>
        <w:t>Simplification of the requirements for the provision of professional services in the construction sector</w:t>
      </w:r>
    </w:p>
    <w:p w14:paraId="767D8FEF" w14:textId="77777777" w:rsidR="00514FBA" w:rsidRPr="00514FBA" w:rsidRDefault="00514FBA" w:rsidP="00514FBA">
      <w:pPr>
        <w:pStyle w:val="ListParagraph"/>
        <w:spacing w:line="256" w:lineRule="auto"/>
        <w:jc w:val="both"/>
        <w:rPr>
          <w:b/>
          <w:bCs/>
          <w:sz w:val="24"/>
          <w:szCs w:val="24"/>
        </w:rPr>
      </w:pPr>
    </w:p>
    <w:p w14:paraId="4A07C24E" w14:textId="77777777" w:rsidR="00514FBA" w:rsidRPr="00514FBA" w:rsidRDefault="00514FBA" w:rsidP="00514FBA">
      <w:pPr>
        <w:spacing w:line="256" w:lineRule="auto"/>
        <w:contextualSpacing/>
        <w:jc w:val="both"/>
        <w:rPr>
          <w:rFonts w:eastAsia="Calibri"/>
          <w:b/>
          <w:bCs/>
          <w:u w:val="single"/>
        </w:rPr>
      </w:pPr>
      <w:r w:rsidRPr="00514FBA">
        <w:rPr>
          <w:rFonts w:eastAsia="Calibri"/>
          <w:b/>
          <w:bCs/>
          <w:u w:val="single"/>
        </w:rPr>
        <w:t xml:space="preserve">Part 2 – Improving justice services for businesses </w:t>
      </w:r>
      <w:r w:rsidRPr="00514FBA">
        <w:rPr>
          <w:b/>
          <w:u w:val="single"/>
        </w:rPr>
        <w:t>and citizens</w:t>
      </w:r>
      <w:r w:rsidRPr="00514FBA">
        <w:rPr>
          <w:rFonts w:eastAsia="Calibri"/>
          <w:b/>
          <w:bCs/>
          <w:u w:val="single"/>
        </w:rPr>
        <w:t xml:space="preserve"> </w:t>
      </w:r>
    </w:p>
    <w:p w14:paraId="26B5F531" w14:textId="77777777" w:rsidR="00514FBA" w:rsidRDefault="00514FBA" w:rsidP="00514FBA">
      <w:pPr>
        <w:pStyle w:val="ListParagraph"/>
        <w:spacing w:line="257" w:lineRule="auto"/>
        <w:ind w:left="0"/>
        <w:jc w:val="both"/>
        <w:rPr>
          <w:sz w:val="24"/>
          <w:szCs w:val="24"/>
        </w:rPr>
      </w:pPr>
    </w:p>
    <w:p w14:paraId="2D8C1DE3" w14:textId="77777777" w:rsidR="004569ED" w:rsidRDefault="004569ED" w:rsidP="0026062A">
      <w:pPr>
        <w:pStyle w:val="NoSpacing"/>
        <w:numPr>
          <w:ilvl w:val="0"/>
          <w:numId w:val="31"/>
        </w:numPr>
        <w:jc w:val="both"/>
      </w:pPr>
      <w:r>
        <w:t>Provision of financing of payments for EEPs to support the expanded use of electronic services in the justice sector by justice sector users and interested stakeholders, including e-communication systems and the use of an integrated court management system (ICMS) by courts.</w:t>
      </w:r>
    </w:p>
    <w:p w14:paraId="73635312" w14:textId="77777777" w:rsidR="004569ED" w:rsidRDefault="004569ED" w:rsidP="004569ED">
      <w:pPr>
        <w:pStyle w:val="NoSpacing"/>
        <w:ind w:left="720"/>
        <w:jc w:val="both"/>
      </w:pPr>
    </w:p>
    <w:p w14:paraId="4476CFED" w14:textId="77777777" w:rsidR="004569ED" w:rsidRDefault="004569ED" w:rsidP="0026062A">
      <w:pPr>
        <w:pStyle w:val="NoSpacing"/>
        <w:numPr>
          <w:ilvl w:val="0"/>
          <w:numId w:val="31"/>
        </w:numPr>
        <w:jc w:val="both"/>
      </w:pPr>
      <w:r>
        <w:t xml:space="preserve">Provision of financing of payments for EEPs to support the reduction of: (a) the judiciary courts’ backlog of pending cases older than 10 years; and (b) the Disposition Time for the issuance of judicial decisions in cases before commercial courts, all through the adoption of procedural regulatory reforms, case management improvements, and facilitating access to management tools. </w:t>
      </w:r>
    </w:p>
    <w:p w14:paraId="1D1390A4" w14:textId="77777777" w:rsidR="004569ED" w:rsidRDefault="004569ED" w:rsidP="004569ED">
      <w:pPr>
        <w:pStyle w:val="NoSpacing"/>
        <w:jc w:val="both"/>
      </w:pPr>
    </w:p>
    <w:p w14:paraId="12A09961" w14:textId="77777777" w:rsidR="004569ED" w:rsidRDefault="004569ED" w:rsidP="0026062A">
      <w:pPr>
        <w:pStyle w:val="NoSpacing"/>
        <w:numPr>
          <w:ilvl w:val="0"/>
          <w:numId w:val="31"/>
        </w:numPr>
        <w:jc w:val="both"/>
      </w:pPr>
      <w:r>
        <w:t xml:space="preserve">Provision of technical assistance, Training, goods and works to rehabilitate and upgrade selected judicial court facilities in Zagreb, Vinkovci, Kutina and Varazdin for better court performance and user experience, including, as applicable, aspects related to: (a) standardized spaces for judges and courts; (b) user access and public spaces including separate circulation where feasible, and waiting areas for victims and court personnel; (c) inclusive design focused on gender aspects and people with disabilities; (d) environmentally friendly designs and features, including adoption of energy efficiency standards, waste and recycling management systems; (e) extensive use of information technology support systems for automated operations of the building and judicial services; and (f) security and safety standards and procedures for both internal and exterior areas and the use of safety related equipment as necessary. </w:t>
      </w:r>
    </w:p>
    <w:p w14:paraId="3628E1C0" w14:textId="77777777" w:rsidR="004569ED" w:rsidRDefault="004569ED" w:rsidP="004569ED">
      <w:pPr>
        <w:pStyle w:val="NoSpacing"/>
        <w:jc w:val="both"/>
      </w:pPr>
    </w:p>
    <w:p w14:paraId="59694F7A" w14:textId="77777777" w:rsidR="004569ED" w:rsidRDefault="004569ED" w:rsidP="0026062A">
      <w:pPr>
        <w:pStyle w:val="NoSpacing"/>
        <w:numPr>
          <w:ilvl w:val="0"/>
          <w:numId w:val="31"/>
        </w:numPr>
        <w:jc w:val="both"/>
      </w:pPr>
      <w:r>
        <w:t>Provision of technical assistance to strengthen public investment management practices on the judiciary to optimize infrastructure spending.</w:t>
      </w:r>
    </w:p>
    <w:p w14:paraId="381AD529" w14:textId="77777777" w:rsidR="004569ED" w:rsidRPr="00514FBA" w:rsidRDefault="004569ED" w:rsidP="004569ED">
      <w:pPr>
        <w:pStyle w:val="NoSpacing"/>
        <w:jc w:val="both"/>
      </w:pPr>
    </w:p>
    <w:p w14:paraId="78705790" w14:textId="77777777" w:rsidR="00514FBA" w:rsidRPr="00514FBA" w:rsidRDefault="00F47D7C" w:rsidP="00514FBA">
      <w:pPr>
        <w:pStyle w:val="BodyText"/>
        <w:rPr>
          <w:b/>
          <w:szCs w:val="24"/>
          <w:u w:val="single"/>
        </w:rPr>
      </w:pPr>
      <w:r>
        <w:rPr>
          <w:b/>
          <w:szCs w:val="24"/>
          <w:u w:val="single"/>
        </w:rPr>
        <w:t>Part 3: Project Management</w:t>
      </w:r>
    </w:p>
    <w:p w14:paraId="08DC2F12" w14:textId="77777777" w:rsidR="00514FBA" w:rsidRDefault="00514FBA" w:rsidP="0026062A">
      <w:pPr>
        <w:pStyle w:val="NoSpacing"/>
        <w:numPr>
          <w:ilvl w:val="0"/>
          <w:numId w:val="32"/>
        </w:numPr>
        <w:jc w:val="both"/>
      </w:pPr>
      <w:r w:rsidRPr="009644A2">
        <w:t xml:space="preserve">Provision of goods, technical assistance, Training, and Operating Costs to support the PIU in the overall day-to-day implementation of the Project, including procurement, financial management, monitoring, and evaluation, carrying out of audits, safeguards and carrying out of engagement surveys. </w:t>
      </w:r>
    </w:p>
    <w:p w14:paraId="02066D7B" w14:textId="77777777" w:rsidR="009644A2" w:rsidRPr="009644A2" w:rsidRDefault="009644A2" w:rsidP="00F47D7C">
      <w:pPr>
        <w:pStyle w:val="NoSpacing"/>
        <w:jc w:val="both"/>
      </w:pPr>
    </w:p>
    <w:p w14:paraId="4BA2B40A" w14:textId="77777777" w:rsidR="00514FBA" w:rsidRPr="00514FBA" w:rsidRDefault="00514FBA" w:rsidP="0026062A">
      <w:pPr>
        <w:pStyle w:val="NoSpacing"/>
        <w:numPr>
          <w:ilvl w:val="0"/>
          <w:numId w:val="32"/>
        </w:numPr>
        <w:jc w:val="both"/>
      </w:pPr>
      <w:r w:rsidRPr="009644A2">
        <w:t xml:space="preserve">Provision of additional technical assistance to provide advisory </w:t>
      </w:r>
      <w:r w:rsidR="009644A2" w:rsidRPr="009644A2">
        <w:t xml:space="preserve">services for the implementation </w:t>
      </w:r>
      <w:r w:rsidRPr="009644A2">
        <w:t>of the Project in areas related to: (a) reducing the administrative burden for businesses to interact with government; and (b) improving justice services for businesses and citizens; as further elaborated in the Project Operations Manual</w:t>
      </w:r>
      <w:r w:rsidRPr="00514FBA">
        <w:t xml:space="preserve">. </w:t>
      </w:r>
    </w:p>
    <w:p w14:paraId="3BE1D1DB" w14:textId="77777777" w:rsidR="00514FBA" w:rsidRPr="00F10DB5" w:rsidRDefault="00514FBA" w:rsidP="00514FBA">
      <w:pPr>
        <w:keepNext/>
        <w:jc w:val="both"/>
        <w:rPr>
          <w:sz w:val="22"/>
          <w:szCs w:val="22"/>
        </w:rPr>
      </w:pPr>
    </w:p>
    <w:p w14:paraId="613C9074" w14:textId="77777777" w:rsidR="00514FBA" w:rsidRDefault="00514FBA" w:rsidP="006211D9"/>
    <w:p w14:paraId="6B7EA06F" w14:textId="77777777" w:rsidR="00514FBA" w:rsidRDefault="00514FBA" w:rsidP="006211D9"/>
    <w:p w14:paraId="73DDAA8C" w14:textId="77777777" w:rsidR="00514FBA" w:rsidRDefault="00514FBA" w:rsidP="006211D9"/>
    <w:p w14:paraId="19E4B02D" w14:textId="77777777" w:rsidR="00514FBA" w:rsidRDefault="00514FBA" w:rsidP="006211D9"/>
    <w:p w14:paraId="754776CD" w14:textId="77777777" w:rsidR="00514FBA" w:rsidRDefault="00514FBA" w:rsidP="006211D9"/>
    <w:p w14:paraId="51A5891D" w14:textId="77777777" w:rsidR="00514FBA" w:rsidRDefault="00514FBA" w:rsidP="006211D9"/>
    <w:p w14:paraId="5689F414" w14:textId="77777777" w:rsidR="00514FBA" w:rsidRDefault="00514FBA" w:rsidP="006211D9"/>
    <w:p w14:paraId="0565753E" w14:textId="77777777" w:rsidR="00514FBA" w:rsidRDefault="00514FBA" w:rsidP="006211D9"/>
    <w:p w14:paraId="204F7410" w14:textId="77777777" w:rsidR="00514FBA" w:rsidRDefault="00514FBA" w:rsidP="006211D9"/>
    <w:p w14:paraId="2324478E" w14:textId="77777777" w:rsidR="00514FBA" w:rsidRDefault="00514FBA" w:rsidP="006211D9"/>
    <w:p w14:paraId="41D9DFD6" w14:textId="77777777" w:rsidR="00514FBA" w:rsidRDefault="00514FBA" w:rsidP="006211D9"/>
    <w:p w14:paraId="5E6CF8FF" w14:textId="77777777" w:rsidR="00514FBA" w:rsidRDefault="00514FBA" w:rsidP="006211D9"/>
    <w:p w14:paraId="159929D4" w14:textId="77777777" w:rsidR="00514FBA" w:rsidRDefault="00514FBA" w:rsidP="006211D9"/>
    <w:p w14:paraId="2FE65FAA" w14:textId="77777777" w:rsidR="00514FBA" w:rsidRDefault="00514FBA" w:rsidP="006211D9"/>
    <w:p w14:paraId="33F0D8B2" w14:textId="77777777" w:rsidR="00514FBA" w:rsidRDefault="00514FBA" w:rsidP="006211D9"/>
    <w:p w14:paraId="39B5F9A2" w14:textId="77777777" w:rsidR="00514FBA" w:rsidRDefault="00514FBA" w:rsidP="006211D9"/>
    <w:p w14:paraId="153694F2" w14:textId="77777777" w:rsidR="00514FBA" w:rsidRDefault="00514FBA" w:rsidP="006211D9"/>
    <w:p w14:paraId="69FCBA43" w14:textId="77777777" w:rsidR="00F47D7C" w:rsidRDefault="00F47D7C" w:rsidP="006211D9"/>
    <w:p w14:paraId="1F829EF1" w14:textId="77777777" w:rsidR="00F47D7C" w:rsidRDefault="00F47D7C" w:rsidP="006211D9"/>
    <w:p w14:paraId="71184E07" w14:textId="77777777" w:rsidR="00F47D7C" w:rsidRDefault="00F47D7C" w:rsidP="006211D9"/>
    <w:p w14:paraId="4C765183" w14:textId="77777777" w:rsidR="00F47D7C" w:rsidRDefault="00F47D7C" w:rsidP="006211D9"/>
    <w:p w14:paraId="7221E8E0" w14:textId="77777777" w:rsidR="00F47D7C" w:rsidRDefault="00F47D7C" w:rsidP="006211D9"/>
    <w:p w14:paraId="19EFD4DC" w14:textId="77777777" w:rsidR="00514FBA" w:rsidRDefault="00020F6B" w:rsidP="006211D9">
      <w:r>
        <w:br w:type="page"/>
      </w:r>
    </w:p>
    <w:p w14:paraId="20C5BC96" w14:textId="77777777" w:rsidR="00514FBA" w:rsidRPr="00514FBA" w:rsidRDefault="00514FBA" w:rsidP="00341BA1">
      <w:pPr>
        <w:pStyle w:val="BodyText"/>
        <w:jc w:val="center"/>
        <w:rPr>
          <w:szCs w:val="24"/>
        </w:rPr>
      </w:pPr>
      <w:r w:rsidRPr="00514FBA">
        <w:rPr>
          <w:b/>
          <w:bCs/>
          <w:szCs w:val="24"/>
        </w:rPr>
        <w:t>SCHEDULE 2</w:t>
      </w:r>
    </w:p>
    <w:p w14:paraId="5CE096F7" w14:textId="77777777" w:rsidR="00514FBA" w:rsidRPr="00F47D7C" w:rsidRDefault="00F47D7C" w:rsidP="00F47D7C">
      <w:pPr>
        <w:pStyle w:val="BodyText"/>
        <w:jc w:val="center"/>
        <w:rPr>
          <w:b/>
          <w:bCs/>
          <w:szCs w:val="24"/>
        </w:rPr>
      </w:pPr>
      <w:r>
        <w:rPr>
          <w:b/>
          <w:bCs/>
          <w:szCs w:val="24"/>
        </w:rPr>
        <w:t>Project Execution</w:t>
      </w:r>
    </w:p>
    <w:p w14:paraId="2F0C5EB8" w14:textId="77777777" w:rsidR="00514FBA" w:rsidRPr="00F47D7C" w:rsidRDefault="00514FBA" w:rsidP="00514FBA">
      <w:pPr>
        <w:pStyle w:val="BodyText"/>
        <w:rPr>
          <w:b/>
          <w:bCs/>
          <w:szCs w:val="24"/>
        </w:rPr>
      </w:pPr>
      <w:r w:rsidRPr="00514FBA">
        <w:rPr>
          <w:b/>
          <w:bCs/>
          <w:szCs w:val="24"/>
        </w:rPr>
        <w:t>Section I.</w:t>
      </w:r>
      <w:r w:rsidRPr="00514FBA">
        <w:rPr>
          <w:b/>
          <w:bCs/>
          <w:szCs w:val="24"/>
        </w:rPr>
        <w:tab/>
      </w:r>
      <w:r w:rsidRPr="00514FBA">
        <w:rPr>
          <w:b/>
          <w:bCs/>
          <w:szCs w:val="24"/>
          <w:u w:val="single"/>
        </w:rPr>
        <w:t>Implementation Arrangements</w:t>
      </w:r>
    </w:p>
    <w:p w14:paraId="089A7C48" w14:textId="77777777" w:rsidR="00514FBA" w:rsidRPr="00514FBA" w:rsidRDefault="00E9736D" w:rsidP="00E9736D">
      <w:pPr>
        <w:pStyle w:val="ModelNrmlDouble"/>
        <w:spacing w:after="0" w:line="240" w:lineRule="auto"/>
        <w:ind w:firstLine="0"/>
        <w:rPr>
          <w:bCs/>
          <w:sz w:val="24"/>
          <w:szCs w:val="24"/>
        </w:rPr>
      </w:pPr>
      <w:r w:rsidRPr="00E9736D">
        <w:rPr>
          <w:b/>
          <w:bCs/>
          <w:sz w:val="24"/>
          <w:szCs w:val="24"/>
        </w:rPr>
        <w:t>A.</w:t>
      </w:r>
      <w:r>
        <w:rPr>
          <w:b/>
          <w:bCs/>
          <w:sz w:val="24"/>
          <w:szCs w:val="24"/>
        </w:rPr>
        <w:t xml:space="preserve">      </w:t>
      </w:r>
      <w:r w:rsidR="00514FBA" w:rsidRPr="00514FBA">
        <w:rPr>
          <w:b/>
          <w:bCs/>
          <w:sz w:val="24"/>
          <w:szCs w:val="24"/>
        </w:rPr>
        <w:t>Institutional Arrangements</w:t>
      </w:r>
      <w:r w:rsidR="00514FBA" w:rsidRPr="00514FBA">
        <w:rPr>
          <w:bCs/>
          <w:sz w:val="24"/>
          <w:szCs w:val="24"/>
        </w:rPr>
        <w:t xml:space="preserve"> </w:t>
      </w:r>
    </w:p>
    <w:p w14:paraId="299E9BEB" w14:textId="77777777" w:rsidR="00514FBA" w:rsidRPr="00514FBA" w:rsidRDefault="00514FBA" w:rsidP="00514FBA">
      <w:pPr>
        <w:pStyle w:val="ModelNrmlDouble"/>
        <w:spacing w:after="0" w:line="240" w:lineRule="auto"/>
        <w:ind w:left="1080" w:firstLine="0"/>
        <w:rPr>
          <w:bCs/>
          <w:sz w:val="24"/>
          <w:szCs w:val="24"/>
        </w:rPr>
      </w:pPr>
    </w:p>
    <w:p w14:paraId="44D03DF8" w14:textId="77777777" w:rsidR="00514FBA" w:rsidRPr="00514FBA" w:rsidRDefault="00514FBA" w:rsidP="0026062A">
      <w:pPr>
        <w:pStyle w:val="NoSpacing"/>
        <w:numPr>
          <w:ilvl w:val="0"/>
          <w:numId w:val="33"/>
        </w:numPr>
      </w:pPr>
      <w:r w:rsidRPr="00514FBA">
        <w:t>Without limitation to the provisions of Article V of the General Conditions, and</w:t>
      </w:r>
      <w:r w:rsidR="00A5101B">
        <w:br/>
      </w:r>
      <w:r w:rsidR="00120E05">
        <w:t xml:space="preserve"> </w:t>
      </w:r>
      <w:r w:rsidRPr="00514FBA">
        <w:t>except as the Bank shall otherwise agree, the Borrower shall:</w:t>
      </w:r>
    </w:p>
    <w:p w14:paraId="03E62465" w14:textId="77777777" w:rsidR="00514FBA" w:rsidRPr="00514FBA" w:rsidRDefault="00514FBA" w:rsidP="00F47D7C">
      <w:pPr>
        <w:pStyle w:val="NoSpacing"/>
        <w:rPr>
          <w:bCs/>
        </w:rPr>
      </w:pPr>
    </w:p>
    <w:p w14:paraId="2F0EED3E" w14:textId="77777777" w:rsidR="00514FBA" w:rsidRDefault="00514FBA" w:rsidP="00A5101B">
      <w:pPr>
        <w:pStyle w:val="NoSpacing"/>
        <w:numPr>
          <w:ilvl w:val="1"/>
          <w:numId w:val="34"/>
        </w:numPr>
        <w:jc w:val="both"/>
      </w:pPr>
      <w:r w:rsidRPr="00514FBA">
        <w:t>maintain at all times during the implementation of the Project, a PIU, within the MOJ, with composition, resources, terms of reference and functions acceptable to the Bank. The PIU shall be responsible for the day-to-day implementation of the Project including disbursement, procurement, monitoring and evaluation, reporting, carrying out engagement surveys, and ensuring safeguards compliance under the Project as further elaborated in the Project Operations Manual; and</w:t>
      </w:r>
    </w:p>
    <w:p w14:paraId="6AB01FFD" w14:textId="77777777" w:rsidR="00F47D7C" w:rsidRPr="00514FBA" w:rsidRDefault="00F47D7C" w:rsidP="00F47D7C">
      <w:pPr>
        <w:pStyle w:val="NoSpacing"/>
        <w:ind w:left="1440"/>
        <w:jc w:val="both"/>
      </w:pPr>
    </w:p>
    <w:p w14:paraId="01C81D28" w14:textId="77777777" w:rsidR="00514FBA" w:rsidRPr="00F47D7C" w:rsidRDefault="00F47D7C" w:rsidP="00A5101B">
      <w:pPr>
        <w:pStyle w:val="NoSpacing"/>
        <w:numPr>
          <w:ilvl w:val="1"/>
          <w:numId w:val="34"/>
        </w:numPr>
        <w:jc w:val="both"/>
      </w:pPr>
      <w:r>
        <w:t>e</w:t>
      </w:r>
      <w:r w:rsidR="00514FBA" w:rsidRPr="00514FBA">
        <w:t xml:space="preserve">stablish by not later than three months following the Effective Date and thereafter maintain at all times during the implementation of the Project, a high-level Steering Committee, with composition, resources, terms of reference and functions acceptable to the Bank. The Steering Committee shall be responsible for providing strategic guidance, overall oversight of the Project and coordination and monitoring of the Project led initiatives and reforms </w:t>
      </w:r>
      <w:r w:rsidR="00514FBA" w:rsidRPr="00514FBA">
        <w:rPr>
          <w:bCs/>
        </w:rPr>
        <w:t>among the various ministries and agencies involved in the implementation of the Project.</w:t>
      </w:r>
    </w:p>
    <w:p w14:paraId="75133EC0" w14:textId="77777777" w:rsidR="00F47D7C" w:rsidRPr="00514FBA" w:rsidRDefault="00F47D7C" w:rsidP="00F47D7C">
      <w:pPr>
        <w:pStyle w:val="NoSpacing"/>
        <w:jc w:val="both"/>
      </w:pPr>
    </w:p>
    <w:p w14:paraId="7E5B46EE" w14:textId="77777777" w:rsidR="00341BA1" w:rsidRDefault="00514FBA" w:rsidP="00120E05">
      <w:pPr>
        <w:pStyle w:val="NoSpacing"/>
        <w:numPr>
          <w:ilvl w:val="0"/>
          <w:numId w:val="33"/>
        </w:numPr>
        <w:jc w:val="both"/>
      </w:pPr>
      <w:r w:rsidRPr="00514FBA">
        <w:t>The Borrower shall by not later than 2 months following the Effective Date appoint the focal points within: (a) the MOEEC to support the implementation of Part 1.1 of the Project; (b) the MOCPP to support the implementation of Part 1.2  of the Project; and (c) the MOJ to support the implementation of Parts 2 and 3.1 of the Project, all under terms of reference and functions acceptable to the Bank, and in line with the P</w:t>
      </w:r>
      <w:r w:rsidR="00341BA1">
        <w:t>OM.</w:t>
      </w:r>
    </w:p>
    <w:p w14:paraId="0EBD210F" w14:textId="77777777" w:rsidR="00F47D7C" w:rsidRDefault="00F47D7C" w:rsidP="00E07422">
      <w:pPr>
        <w:pStyle w:val="NoSpacing"/>
        <w:ind w:left="720"/>
        <w:jc w:val="both"/>
      </w:pPr>
    </w:p>
    <w:p w14:paraId="08A9F506" w14:textId="77777777" w:rsidR="00514FBA" w:rsidRPr="00E9736D" w:rsidRDefault="00E9736D" w:rsidP="00E9736D">
      <w:pPr>
        <w:spacing w:after="256"/>
        <w:ind w:right="23"/>
        <w:jc w:val="both"/>
      </w:pPr>
      <w:r>
        <w:rPr>
          <w:b/>
        </w:rPr>
        <w:t xml:space="preserve">B.     </w:t>
      </w:r>
      <w:r w:rsidR="000440B0">
        <w:rPr>
          <w:b/>
        </w:rPr>
        <w:t xml:space="preserve"> </w:t>
      </w:r>
      <w:r w:rsidR="00514FBA" w:rsidRPr="00E9736D">
        <w:rPr>
          <w:b/>
        </w:rPr>
        <w:t>Project Operations Manual</w:t>
      </w:r>
    </w:p>
    <w:p w14:paraId="7B299FF9" w14:textId="77777777" w:rsidR="00514FBA" w:rsidRDefault="00514FBA" w:rsidP="000440B0">
      <w:pPr>
        <w:pStyle w:val="NoSpacing"/>
        <w:numPr>
          <w:ilvl w:val="0"/>
          <w:numId w:val="35"/>
        </w:numPr>
        <w:ind w:left="567" w:hanging="567"/>
        <w:jc w:val="both"/>
      </w:pPr>
      <w:r w:rsidRPr="00514FBA">
        <w:t xml:space="preserve">The Borrower, through the PIU, shall adopt not later than two (2) months after the Effective Date, and thereafter carry out the Project, in accordance with a manual (“Project Operations Manual” or “POM”), satisfactory to the Bank, which shall include the rules, methods, guidelines, standard documents and procedures for the carrying out of the Project, including the following: (a) the detailed description of the Project activities and the institutional arrangements of the Project; (b) the description of DLIs and the criteria, detailed rules and procedures for DLIs implementation and monitoring; (c) the DLI Verification Protocols; (d) the Project accounting, auditing, reporting, financial, procurement and disbursement procedures; (e) the monitoring indicators for the Project; and (f) the detailed Project costs and financing.  </w:t>
      </w:r>
    </w:p>
    <w:p w14:paraId="06EB0786" w14:textId="77777777" w:rsidR="00341BA1" w:rsidRPr="00514FBA" w:rsidRDefault="00341BA1" w:rsidP="00E07422">
      <w:pPr>
        <w:pStyle w:val="NoSpacing"/>
        <w:ind w:left="360"/>
        <w:jc w:val="both"/>
      </w:pPr>
    </w:p>
    <w:p w14:paraId="018C6119" w14:textId="77777777" w:rsidR="00514FBA" w:rsidRDefault="00514FBA" w:rsidP="005674F5">
      <w:pPr>
        <w:pStyle w:val="NoSpacing"/>
        <w:numPr>
          <w:ilvl w:val="0"/>
          <w:numId w:val="35"/>
        </w:numPr>
        <w:ind w:left="567" w:hanging="567"/>
        <w:jc w:val="both"/>
      </w:pPr>
      <w:r w:rsidRPr="00514FBA">
        <w:t xml:space="preserve">The POM may not be assigned, amended, abrogated or waived, or permitted to be assigned, amended, abrogated or waived, or any provision thereof, in a manner which, in the opinion of the Bank, may materially and adversely affect the implementation of the Project. The POM may only be amended in consultation with, and after approval of, the Bank.  In case of any conflict between the terms of the POM and those of this Agreement, the terms of this Agreement shall prevail. </w:t>
      </w:r>
    </w:p>
    <w:p w14:paraId="01759F27" w14:textId="77777777" w:rsidR="00E44119" w:rsidRDefault="00E44119" w:rsidP="00E44119">
      <w:pPr>
        <w:spacing w:after="256"/>
        <w:ind w:right="23"/>
        <w:jc w:val="both"/>
        <w:rPr>
          <w:b/>
        </w:rPr>
      </w:pPr>
    </w:p>
    <w:p w14:paraId="18674EF3" w14:textId="77777777" w:rsidR="00F47D7C" w:rsidRPr="00020F6B" w:rsidRDefault="00E44119" w:rsidP="00020F6B">
      <w:pPr>
        <w:spacing w:after="256"/>
        <w:ind w:right="23"/>
        <w:jc w:val="both"/>
        <w:rPr>
          <w:b/>
        </w:rPr>
      </w:pPr>
      <w:r>
        <w:rPr>
          <w:b/>
        </w:rPr>
        <w:t>C.</w:t>
      </w:r>
      <w:r w:rsidR="00F470B8">
        <w:rPr>
          <w:b/>
        </w:rPr>
        <w:t xml:space="preserve"> </w:t>
      </w:r>
      <w:r w:rsidR="006343DB">
        <w:rPr>
          <w:b/>
        </w:rPr>
        <w:t xml:space="preserve">    </w:t>
      </w:r>
      <w:r w:rsidR="00514FBA" w:rsidRPr="00E44119">
        <w:rPr>
          <w:b/>
        </w:rPr>
        <w:t>Annual Work Plan and Budget</w:t>
      </w:r>
    </w:p>
    <w:p w14:paraId="4E4C6C98" w14:textId="77777777" w:rsidR="00514FBA" w:rsidRPr="00F470B8" w:rsidRDefault="006343DB" w:rsidP="006343DB">
      <w:pPr>
        <w:spacing w:after="256"/>
        <w:ind w:right="23"/>
        <w:jc w:val="both"/>
      </w:pPr>
      <w:r>
        <w:rPr>
          <w:bCs/>
        </w:rPr>
        <w:t xml:space="preserve">         </w:t>
      </w:r>
      <w:r w:rsidR="00514FBA" w:rsidRPr="00F470B8">
        <w:rPr>
          <w:bCs/>
        </w:rPr>
        <w:t>The Borrower, through PIU, shall</w:t>
      </w:r>
      <w:r w:rsidR="00514FBA" w:rsidRPr="00F470B8">
        <w:t>:</w:t>
      </w:r>
    </w:p>
    <w:p w14:paraId="64EEEA21" w14:textId="77777777" w:rsidR="00020F6B" w:rsidRDefault="00514FBA" w:rsidP="005674F5">
      <w:pPr>
        <w:pStyle w:val="NoSpacing"/>
        <w:numPr>
          <w:ilvl w:val="1"/>
          <w:numId w:val="36"/>
        </w:numPr>
        <w:jc w:val="both"/>
        <w:rPr>
          <w:rFonts w:eastAsia="Calibri"/>
        </w:rPr>
      </w:pPr>
      <w:r w:rsidRPr="00514FBA">
        <w:rPr>
          <w:rFonts w:eastAsia="Calibri"/>
        </w:rPr>
        <w:t>unless otherwise agreed with the Bank, prepare and furnish to the Bank not later than October 15  of each year during the implementation of the Project, starting in 2020 a proposed Annual Work Plan and Budget for the next calendar year containing: (i) all activities to be carried out under the Project during that calendar year; and (ii) a proposed financing plan for expenditures required for such activities, setting forth the proposed amounts and sources of financing; and</w:t>
      </w:r>
    </w:p>
    <w:p w14:paraId="3C98F384" w14:textId="77777777" w:rsidR="00020F6B" w:rsidRDefault="00020F6B" w:rsidP="00020F6B">
      <w:pPr>
        <w:pStyle w:val="NoSpacing"/>
        <w:ind w:left="720"/>
        <w:jc w:val="both"/>
        <w:rPr>
          <w:rFonts w:eastAsia="Calibri"/>
        </w:rPr>
      </w:pPr>
    </w:p>
    <w:p w14:paraId="52C2EEA3" w14:textId="77777777" w:rsidR="00514FBA" w:rsidRPr="00020F6B" w:rsidRDefault="00514FBA" w:rsidP="005674F5">
      <w:pPr>
        <w:pStyle w:val="NoSpacing"/>
        <w:numPr>
          <w:ilvl w:val="1"/>
          <w:numId w:val="36"/>
        </w:numPr>
        <w:jc w:val="both"/>
        <w:rPr>
          <w:rFonts w:eastAsia="Calibri"/>
        </w:rPr>
      </w:pPr>
      <w:r w:rsidRPr="00020F6B">
        <w:rPr>
          <w:rFonts w:eastAsia="Calibri"/>
        </w:rPr>
        <w:t>provide the Bank a reasonable opportunity to exchange views with the Borrower on each such proposed Annual Work Plan and Budget, and shall thereafter ensure that the Project is implemented with due diligence during said following year, in accordance with such Annual Work Plan and Budget as shall have been approved by the Bank; and not make or allow to be made any change to the approved Annual Work Plan and Budget without the Bank’s prior written approval.</w:t>
      </w:r>
    </w:p>
    <w:p w14:paraId="1B49BB55" w14:textId="77777777" w:rsidR="00094A3E" w:rsidRPr="00514FBA" w:rsidRDefault="00094A3E" w:rsidP="00094A3E">
      <w:pPr>
        <w:pStyle w:val="NoSpacing"/>
        <w:jc w:val="both"/>
        <w:rPr>
          <w:rFonts w:eastAsia="Calibri"/>
        </w:rPr>
      </w:pPr>
    </w:p>
    <w:p w14:paraId="76A476BB" w14:textId="77777777" w:rsidR="00514FBA" w:rsidRPr="00514FBA" w:rsidRDefault="00514FBA" w:rsidP="00514FBA">
      <w:pPr>
        <w:pStyle w:val="ModelNrmlSingle"/>
        <w:ind w:left="720" w:hanging="720"/>
        <w:rPr>
          <w:bCs/>
          <w:sz w:val="24"/>
          <w:szCs w:val="24"/>
        </w:rPr>
      </w:pPr>
      <w:r w:rsidRPr="00514FBA">
        <w:rPr>
          <w:b/>
          <w:bCs/>
          <w:sz w:val="24"/>
          <w:szCs w:val="24"/>
        </w:rPr>
        <w:t>D.</w:t>
      </w:r>
      <w:r w:rsidR="005D71B5">
        <w:rPr>
          <w:b/>
          <w:bCs/>
          <w:sz w:val="24"/>
          <w:szCs w:val="24"/>
        </w:rPr>
        <w:t xml:space="preserve">      </w:t>
      </w:r>
      <w:r w:rsidRPr="00514FBA">
        <w:rPr>
          <w:b/>
          <w:bCs/>
          <w:sz w:val="24"/>
          <w:szCs w:val="24"/>
        </w:rPr>
        <w:t>Environmental and Social Standards</w:t>
      </w:r>
    </w:p>
    <w:p w14:paraId="1E6BCF62" w14:textId="77777777" w:rsidR="00094A3E" w:rsidRDefault="00094A3E" w:rsidP="0026062A">
      <w:pPr>
        <w:pStyle w:val="NoSpacing"/>
        <w:numPr>
          <w:ilvl w:val="0"/>
          <w:numId w:val="37"/>
        </w:numPr>
        <w:jc w:val="both"/>
      </w:pPr>
      <w:r>
        <w:t>The Borrower, through the PIU, shall ensure that the Project is carried out in accordance with the Environmental and Social Standards, in a manner acceptable to the Bank.</w:t>
      </w:r>
    </w:p>
    <w:p w14:paraId="28FFA85D" w14:textId="77777777" w:rsidR="00094A3E" w:rsidRDefault="00094A3E" w:rsidP="00094A3E">
      <w:pPr>
        <w:pStyle w:val="NoSpacing"/>
        <w:ind w:left="720"/>
        <w:jc w:val="both"/>
      </w:pPr>
    </w:p>
    <w:p w14:paraId="72EAAF61" w14:textId="77777777" w:rsidR="00094A3E" w:rsidRDefault="00094A3E" w:rsidP="0026062A">
      <w:pPr>
        <w:pStyle w:val="NoSpacing"/>
        <w:numPr>
          <w:ilvl w:val="0"/>
          <w:numId w:val="37"/>
        </w:numPr>
        <w:jc w:val="both"/>
      </w:pPr>
      <w:r>
        <w:t>Without limitation upon paragraph 1 above, the Borrower, through the PIU, shall ensure that the Project is implemented in accordance with the Environmental and Social Commitment Plan (“ESCP”), in a manner acceptable to the Bank. To this end, the Borrower, through the PIU, shall ensure that:</w:t>
      </w:r>
    </w:p>
    <w:p w14:paraId="305713E6" w14:textId="77777777" w:rsidR="00094A3E" w:rsidRDefault="00094A3E" w:rsidP="00094A3E">
      <w:pPr>
        <w:pStyle w:val="NoSpacing"/>
        <w:jc w:val="both"/>
      </w:pPr>
    </w:p>
    <w:p w14:paraId="17A33B8B" w14:textId="77777777" w:rsidR="00094A3E" w:rsidRDefault="00094A3E" w:rsidP="00882351">
      <w:pPr>
        <w:pStyle w:val="NoSpacing"/>
        <w:numPr>
          <w:ilvl w:val="0"/>
          <w:numId w:val="52"/>
        </w:numPr>
        <w:jc w:val="both"/>
      </w:pPr>
      <w:r>
        <w:t xml:space="preserve">the measures and actions specified in the ESCP are implemented with due diligence and efficiency, and as further specified in the ESCP; </w:t>
      </w:r>
    </w:p>
    <w:p w14:paraId="6C3006EE" w14:textId="77777777" w:rsidR="00094A3E" w:rsidRDefault="00094A3E" w:rsidP="009F7BA1">
      <w:pPr>
        <w:pStyle w:val="NoSpacing"/>
        <w:ind w:left="1842"/>
        <w:jc w:val="both"/>
      </w:pPr>
    </w:p>
    <w:p w14:paraId="0986C496" w14:textId="77777777" w:rsidR="00094A3E" w:rsidRDefault="00094A3E" w:rsidP="00882351">
      <w:pPr>
        <w:pStyle w:val="NoSpacing"/>
        <w:numPr>
          <w:ilvl w:val="0"/>
          <w:numId w:val="52"/>
        </w:numPr>
        <w:jc w:val="both"/>
      </w:pPr>
      <w:r>
        <w:t>sufficient funds are available to cover the costs of implementing the ESCP;</w:t>
      </w:r>
    </w:p>
    <w:p w14:paraId="1230662B" w14:textId="77777777" w:rsidR="00094A3E" w:rsidRDefault="00094A3E" w:rsidP="009F7BA1">
      <w:pPr>
        <w:pStyle w:val="NoSpacing"/>
        <w:ind w:left="414"/>
        <w:jc w:val="both"/>
      </w:pPr>
    </w:p>
    <w:p w14:paraId="65CC3185" w14:textId="77777777" w:rsidR="00094A3E" w:rsidRDefault="00094A3E" w:rsidP="00882351">
      <w:pPr>
        <w:pStyle w:val="NoSpacing"/>
        <w:numPr>
          <w:ilvl w:val="0"/>
          <w:numId w:val="52"/>
        </w:numPr>
        <w:jc w:val="both"/>
      </w:pPr>
      <w:r>
        <w:t xml:space="preserve">policies, procedures and qualified staff are maintained to enable it to implement the ESCP, as further specified in the ESCP; and </w:t>
      </w:r>
    </w:p>
    <w:p w14:paraId="6594BA78" w14:textId="77777777" w:rsidR="00094A3E" w:rsidRDefault="00094A3E" w:rsidP="009F7BA1">
      <w:pPr>
        <w:pStyle w:val="NoSpacing"/>
        <w:ind w:left="414"/>
        <w:jc w:val="both"/>
      </w:pPr>
    </w:p>
    <w:p w14:paraId="15C270CD" w14:textId="77777777" w:rsidR="00094A3E" w:rsidRDefault="00094A3E" w:rsidP="00882351">
      <w:pPr>
        <w:pStyle w:val="NoSpacing"/>
        <w:numPr>
          <w:ilvl w:val="0"/>
          <w:numId w:val="52"/>
        </w:numPr>
        <w:jc w:val="both"/>
      </w:pPr>
      <w:r>
        <w:t>the ESCP or any provision thereof, is not amended, revised or waived, except as the Bank shall otherwise agree in writing and the Borrower has, thereafter, disclosed the revised ESCP.</w:t>
      </w:r>
    </w:p>
    <w:p w14:paraId="5F6E2ED4" w14:textId="77777777" w:rsidR="00094A3E" w:rsidRDefault="00094A3E" w:rsidP="00094A3E">
      <w:pPr>
        <w:pStyle w:val="ListParagraph"/>
      </w:pPr>
    </w:p>
    <w:p w14:paraId="21076A5C" w14:textId="77777777" w:rsidR="00094A3E" w:rsidRDefault="00094A3E" w:rsidP="00882351">
      <w:pPr>
        <w:pStyle w:val="NoSpacing"/>
        <w:ind w:left="567"/>
        <w:jc w:val="both"/>
      </w:pPr>
      <w:r w:rsidRPr="00094A3E">
        <w:t xml:space="preserve">In case of any inconsistencies between the ESCP and the provisions of this Agreement, the provisions of this Agreement shall prevail.  </w:t>
      </w:r>
    </w:p>
    <w:p w14:paraId="3488221D" w14:textId="77777777" w:rsidR="00094A3E" w:rsidRDefault="00020F6B" w:rsidP="00094A3E">
      <w:pPr>
        <w:pStyle w:val="NoSpacing"/>
        <w:jc w:val="both"/>
      </w:pPr>
      <w:r>
        <w:br w:type="page"/>
      </w:r>
    </w:p>
    <w:p w14:paraId="65919271" w14:textId="77777777" w:rsidR="00094A3E" w:rsidRDefault="00094A3E" w:rsidP="0026062A">
      <w:pPr>
        <w:pStyle w:val="NoSpacing"/>
        <w:numPr>
          <w:ilvl w:val="0"/>
          <w:numId w:val="37"/>
        </w:numPr>
        <w:jc w:val="both"/>
      </w:pPr>
      <w:r w:rsidRPr="00094A3E">
        <w:t>The Borrower, through the PIU, shall:</w:t>
      </w:r>
    </w:p>
    <w:p w14:paraId="1CABE613" w14:textId="77777777" w:rsidR="00346F2F" w:rsidRDefault="00346F2F" w:rsidP="00346F2F">
      <w:pPr>
        <w:pStyle w:val="NoSpacing"/>
        <w:ind w:left="360"/>
        <w:jc w:val="both"/>
      </w:pPr>
    </w:p>
    <w:p w14:paraId="09A62565" w14:textId="77777777" w:rsidR="00346F2F" w:rsidRDefault="00346F2F" w:rsidP="005D71B5">
      <w:pPr>
        <w:pStyle w:val="NoSpacing"/>
        <w:numPr>
          <w:ilvl w:val="1"/>
          <w:numId w:val="39"/>
        </w:numPr>
        <w:jc w:val="both"/>
      </w:pPr>
      <w:r>
        <w:t>take all measures necessary on its part to collect, compile, and furnish to the Bank through regular reports, with the frequency specified in the ESCP, and promptly in a separate report or reports, if so requested by the Bank, information on the status of compliance with the ESCP and the management tools and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 and</w:t>
      </w:r>
    </w:p>
    <w:p w14:paraId="45F559E6" w14:textId="77777777" w:rsidR="00346F2F" w:rsidRDefault="00346F2F" w:rsidP="00346F2F">
      <w:pPr>
        <w:pStyle w:val="NoSpacing"/>
        <w:ind w:left="1440"/>
        <w:jc w:val="both"/>
      </w:pPr>
    </w:p>
    <w:p w14:paraId="7086ADF5" w14:textId="77777777" w:rsidR="00346F2F" w:rsidRDefault="00346F2F" w:rsidP="005D71B5">
      <w:pPr>
        <w:pStyle w:val="NoSpacing"/>
        <w:numPr>
          <w:ilvl w:val="1"/>
          <w:numId w:val="39"/>
        </w:numPr>
        <w:jc w:val="both"/>
      </w:pPr>
      <w:r>
        <w:t>promptly notify the Bank of any incident or accident related to or having an impact on the Project which has, or is likely to have, a significant adverse effect on the environment, the affected communities, the public or workers, in accordance with the ESCP, the instruments referenced therein and the Environmental and Social Standards.</w:t>
      </w:r>
    </w:p>
    <w:p w14:paraId="79CC954C" w14:textId="77777777" w:rsidR="00094A3E" w:rsidRDefault="00094A3E" w:rsidP="00094A3E">
      <w:pPr>
        <w:pStyle w:val="NoSpacing"/>
        <w:ind w:left="720"/>
        <w:jc w:val="both"/>
      </w:pPr>
    </w:p>
    <w:p w14:paraId="38888A35" w14:textId="77777777" w:rsidR="00094A3E" w:rsidRDefault="00094A3E" w:rsidP="0026062A">
      <w:pPr>
        <w:pStyle w:val="NoSpacing"/>
        <w:numPr>
          <w:ilvl w:val="0"/>
          <w:numId w:val="37"/>
        </w:numPr>
        <w:jc w:val="both"/>
      </w:pPr>
      <w:r w:rsidRPr="00094A3E">
        <w:t>The Borrower, through the PIU, shall maintain and publicize the availability of a grievance mechanism, in form and substance satisfactory to the Bank, to hear and determine fairly and in good faith all complaints raised in relation to the Project, and take all measures necessary to implement the determinations made by such mechanism in a manner satisfactory to the Bank.</w:t>
      </w:r>
    </w:p>
    <w:p w14:paraId="692AE7FF" w14:textId="77777777" w:rsidR="00E31187" w:rsidRDefault="00E31187" w:rsidP="00E31187">
      <w:pPr>
        <w:pStyle w:val="NoSpacing"/>
        <w:ind w:left="720"/>
        <w:jc w:val="both"/>
      </w:pPr>
    </w:p>
    <w:p w14:paraId="2E130C30" w14:textId="77777777" w:rsidR="00E31187" w:rsidRPr="00514FBA" w:rsidRDefault="00E31187" w:rsidP="00E31187">
      <w:pPr>
        <w:pStyle w:val="NoSpacing"/>
        <w:ind w:left="720"/>
        <w:jc w:val="both"/>
      </w:pPr>
    </w:p>
    <w:p w14:paraId="2BC74C27" w14:textId="77777777" w:rsidR="00514FBA" w:rsidRPr="00E31187" w:rsidRDefault="00514FBA" w:rsidP="00E31187">
      <w:pPr>
        <w:pStyle w:val="BodyText"/>
        <w:rPr>
          <w:b/>
          <w:bCs/>
          <w:szCs w:val="24"/>
        </w:rPr>
      </w:pPr>
      <w:r w:rsidRPr="00514FBA">
        <w:rPr>
          <w:b/>
          <w:bCs/>
          <w:szCs w:val="24"/>
        </w:rPr>
        <w:t>Section II.</w:t>
      </w:r>
      <w:r w:rsidRPr="00514FBA">
        <w:rPr>
          <w:b/>
          <w:bCs/>
          <w:szCs w:val="24"/>
        </w:rPr>
        <w:tab/>
      </w:r>
      <w:r w:rsidRPr="00514FBA">
        <w:rPr>
          <w:b/>
          <w:bCs/>
          <w:szCs w:val="24"/>
          <w:u w:val="single"/>
        </w:rPr>
        <w:t>Project Monitoring Reporting and Evaluation</w:t>
      </w:r>
    </w:p>
    <w:p w14:paraId="17C14F49" w14:textId="77777777" w:rsidR="00514FBA" w:rsidRPr="00514FBA" w:rsidRDefault="00514FBA" w:rsidP="00AF148C">
      <w:pPr>
        <w:pStyle w:val="NoSpacing"/>
        <w:ind w:left="567"/>
        <w:jc w:val="both"/>
      </w:pPr>
      <w:r w:rsidRPr="00514FBA">
        <w:t xml:space="preserve">The Borrower, through the PIU, shall furnish to the Bank each Project Report not later than forty-five (45) days after the end of each calendar semester, covering the calendar semester. </w:t>
      </w:r>
    </w:p>
    <w:p w14:paraId="6E0B5233" w14:textId="77777777" w:rsidR="001D1A8A" w:rsidRPr="00514FBA" w:rsidRDefault="001D1A8A" w:rsidP="00514FBA">
      <w:pPr>
        <w:pStyle w:val="BodyText"/>
        <w:rPr>
          <w:iCs/>
          <w:szCs w:val="24"/>
        </w:rPr>
      </w:pPr>
    </w:p>
    <w:p w14:paraId="435D4E96" w14:textId="77777777" w:rsidR="00514FBA" w:rsidRPr="001D1A8A" w:rsidRDefault="00514FBA" w:rsidP="00514FBA">
      <w:pPr>
        <w:pStyle w:val="BodyText"/>
        <w:rPr>
          <w:b/>
          <w:bCs/>
          <w:szCs w:val="24"/>
        </w:rPr>
      </w:pPr>
      <w:r w:rsidRPr="00514FBA">
        <w:rPr>
          <w:b/>
          <w:bCs/>
          <w:szCs w:val="24"/>
        </w:rPr>
        <w:t>Section III.</w:t>
      </w:r>
      <w:r w:rsidRPr="00514FBA">
        <w:rPr>
          <w:b/>
          <w:bCs/>
          <w:szCs w:val="24"/>
        </w:rPr>
        <w:tab/>
      </w:r>
      <w:r w:rsidRPr="00514FBA">
        <w:rPr>
          <w:b/>
          <w:bCs/>
          <w:szCs w:val="24"/>
          <w:u w:val="single"/>
        </w:rPr>
        <w:t>Withdrawal of Loan Proceeds</w:t>
      </w:r>
    </w:p>
    <w:p w14:paraId="6D9CA53C" w14:textId="77777777" w:rsidR="00514FBA" w:rsidRPr="005224DA" w:rsidRDefault="00514FBA" w:rsidP="005224DA">
      <w:pPr>
        <w:pStyle w:val="BodyText"/>
        <w:ind w:left="720" w:hanging="720"/>
        <w:rPr>
          <w:b/>
          <w:bCs/>
          <w:szCs w:val="24"/>
        </w:rPr>
      </w:pPr>
      <w:r w:rsidRPr="00514FBA">
        <w:rPr>
          <w:b/>
          <w:bCs/>
          <w:szCs w:val="24"/>
        </w:rPr>
        <w:t>A.</w:t>
      </w:r>
      <w:r w:rsidRPr="00514FBA">
        <w:rPr>
          <w:b/>
          <w:bCs/>
          <w:szCs w:val="24"/>
        </w:rPr>
        <w:tab/>
        <w:t>General</w:t>
      </w:r>
    </w:p>
    <w:p w14:paraId="2D7BD959" w14:textId="77777777" w:rsidR="00020F6B" w:rsidRDefault="00514FBA" w:rsidP="005224DA">
      <w:pPr>
        <w:pStyle w:val="NoSpacing"/>
        <w:ind w:left="708"/>
        <w:jc w:val="both"/>
      </w:pPr>
      <w:r w:rsidRPr="001D1A8A">
        <w:t>Without limitation upon the provisions of Article II of the General Conditions and in accordance with the</w:t>
      </w:r>
      <w:r w:rsidRPr="001D1A8A">
        <w:rPr>
          <w:color w:val="000000"/>
        </w:rPr>
        <w:t xml:space="preserve"> Disbursement and Financial Information Letter</w:t>
      </w:r>
      <w:r w:rsidRPr="001D1A8A">
        <w:t>, the Borrower may withdraw the proceeds of the Loan to finance Eligible Expenditures; in the amount allocated and, if applicable, up to the percentage set forth against each Category of the following table:</w:t>
      </w:r>
    </w:p>
    <w:p w14:paraId="034DEA33" w14:textId="77777777" w:rsidR="001D1A8A" w:rsidRPr="001D1A8A" w:rsidRDefault="001D1A8A" w:rsidP="001D1A8A">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4"/>
      </w:tblGrid>
      <w:tr w:rsidR="00514FBA" w:rsidRPr="002503E1" w14:paraId="39C647FB" w14:textId="77777777" w:rsidTr="00C700DC">
        <w:trPr>
          <w:cantSplit/>
        </w:trPr>
        <w:tc>
          <w:tcPr>
            <w:tcW w:w="1667" w:type="pct"/>
          </w:tcPr>
          <w:p w14:paraId="5F1E6936" w14:textId="77777777" w:rsidR="00514FBA" w:rsidRPr="001D1A8A" w:rsidRDefault="00514FBA" w:rsidP="001D1A8A">
            <w:pPr>
              <w:pStyle w:val="NoSpacing"/>
              <w:jc w:val="center"/>
              <w:rPr>
                <w:b/>
              </w:rPr>
            </w:pPr>
            <w:r w:rsidRPr="001D1A8A">
              <w:rPr>
                <w:b/>
              </w:rPr>
              <w:t>Category</w:t>
            </w:r>
          </w:p>
        </w:tc>
        <w:tc>
          <w:tcPr>
            <w:tcW w:w="1667" w:type="pct"/>
          </w:tcPr>
          <w:p w14:paraId="2CB72FC9" w14:textId="77777777" w:rsidR="00514FBA" w:rsidRPr="001D1A8A" w:rsidRDefault="00514FBA" w:rsidP="001D1A8A">
            <w:pPr>
              <w:pStyle w:val="NoSpacing"/>
              <w:jc w:val="center"/>
              <w:rPr>
                <w:b/>
              </w:rPr>
            </w:pPr>
            <w:r w:rsidRPr="001D1A8A">
              <w:rPr>
                <w:b/>
              </w:rPr>
              <w:t>Amount of the Loan</w:t>
            </w:r>
          </w:p>
          <w:p w14:paraId="0AB10378" w14:textId="77777777" w:rsidR="00514FBA" w:rsidRPr="001D1A8A" w:rsidRDefault="00514FBA" w:rsidP="001D1A8A">
            <w:pPr>
              <w:pStyle w:val="NoSpacing"/>
              <w:jc w:val="center"/>
              <w:rPr>
                <w:b/>
              </w:rPr>
            </w:pPr>
            <w:r w:rsidRPr="001D1A8A">
              <w:rPr>
                <w:b/>
              </w:rPr>
              <w:t>Allocated</w:t>
            </w:r>
          </w:p>
          <w:p w14:paraId="43DED714" w14:textId="77777777" w:rsidR="00514FBA" w:rsidRPr="001D1A8A" w:rsidRDefault="00514FBA" w:rsidP="001D1A8A">
            <w:pPr>
              <w:pStyle w:val="NoSpacing"/>
              <w:jc w:val="center"/>
              <w:rPr>
                <w:b/>
              </w:rPr>
            </w:pPr>
            <w:r w:rsidRPr="001D1A8A">
              <w:rPr>
                <w:b/>
              </w:rPr>
              <w:t>(expressed in Euro)</w:t>
            </w:r>
          </w:p>
        </w:tc>
        <w:tc>
          <w:tcPr>
            <w:tcW w:w="1666" w:type="pct"/>
          </w:tcPr>
          <w:p w14:paraId="56EDF4DA" w14:textId="77777777" w:rsidR="00514FBA" w:rsidRPr="001D1A8A" w:rsidRDefault="00514FBA" w:rsidP="001D1A8A">
            <w:pPr>
              <w:pStyle w:val="NoSpacing"/>
              <w:jc w:val="center"/>
              <w:rPr>
                <w:b/>
              </w:rPr>
            </w:pPr>
            <w:r w:rsidRPr="001D1A8A">
              <w:rPr>
                <w:b/>
              </w:rPr>
              <w:t>Percentage of Expenditures to be financed</w:t>
            </w:r>
          </w:p>
          <w:p w14:paraId="01D74031" w14:textId="77777777" w:rsidR="00514FBA" w:rsidRPr="001D1A8A" w:rsidRDefault="00514FBA" w:rsidP="001D1A8A">
            <w:pPr>
              <w:pStyle w:val="NoSpacing"/>
              <w:jc w:val="center"/>
              <w:rPr>
                <w:b/>
              </w:rPr>
            </w:pPr>
            <w:r w:rsidRPr="001D1A8A">
              <w:rPr>
                <w:b/>
                <w:bCs/>
              </w:rPr>
              <w:t>(inclusive of Taxes)</w:t>
            </w:r>
          </w:p>
        </w:tc>
      </w:tr>
      <w:tr w:rsidR="00514FBA" w:rsidRPr="002503E1" w14:paraId="62AD4CDC" w14:textId="77777777" w:rsidTr="00C700DC">
        <w:trPr>
          <w:cantSplit/>
        </w:trPr>
        <w:tc>
          <w:tcPr>
            <w:tcW w:w="1667" w:type="pct"/>
          </w:tcPr>
          <w:p w14:paraId="06C43A29" w14:textId="77777777" w:rsidR="00514FBA" w:rsidRPr="00CD1D10" w:rsidRDefault="00514FBA" w:rsidP="00CD1D10">
            <w:pPr>
              <w:pStyle w:val="BodyText"/>
              <w:numPr>
                <w:ilvl w:val="0"/>
                <w:numId w:val="8"/>
              </w:numPr>
              <w:spacing w:after="0"/>
              <w:ind w:left="342"/>
              <w:rPr>
                <w:szCs w:val="24"/>
              </w:rPr>
            </w:pPr>
            <w:r w:rsidRPr="00514FBA">
              <w:rPr>
                <w:szCs w:val="24"/>
              </w:rPr>
              <w:t>EEP under Parts 1, 2.1 and 2.2 of the Project</w:t>
            </w:r>
          </w:p>
        </w:tc>
        <w:tc>
          <w:tcPr>
            <w:tcW w:w="1667" w:type="pct"/>
          </w:tcPr>
          <w:p w14:paraId="30F7F66F" w14:textId="77777777" w:rsidR="00514FBA" w:rsidRPr="00514FBA" w:rsidRDefault="00514FBA" w:rsidP="00C700DC">
            <w:pPr>
              <w:pStyle w:val="BodyText"/>
              <w:tabs>
                <w:tab w:val="right" w:pos="1788"/>
              </w:tabs>
              <w:rPr>
                <w:szCs w:val="24"/>
              </w:rPr>
            </w:pPr>
            <w:r w:rsidRPr="00514FBA">
              <w:rPr>
                <w:szCs w:val="24"/>
              </w:rPr>
              <w:tab/>
              <w:t>50,000,000</w:t>
            </w:r>
          </w:p>
        </w:tc>
        <w:tc>
          <w:tcPr>
            <w:tcW w:w="1666" w:type="pct"/>
          </w:tcPr>
          <w:p w14:paraId="33B5DB5D" w14:textId="77777777" w:rsidR="00514FBA" w:rsidRPr="00514FBA" w:rsidRDefault="00514FBA" w:rsidP="009406BD">
            <w:pPr>
              <w:pStyle w:val="BodyText"/>
              <w:spacing w:after="0"/>
              <w:rPr>
                <w:szCs w:val="24"/>
              </w:rPr>
            </w:pPr>
            <w:r w:rsidRPr="00514FBA">
              <w:rPr>
                <w:szCs w:val="24"/>
              </w:rPr>
              <w:t>Up to 100% subject to the provisions of Part B of this Section</w:t>
            </w:r>
          </w:p>
        </w:tc>
      </w:tr>
      <w:tr w:rsidR="00514FBA" w:rsidRPr="002503E1" w14:paraId="41DDF464" w14:textId="77777777" w:rsidTr="00C700DC">
        <w:trPr>
          <w:cantSplit/>
        </w:trPr>
        <w:tc>
          <w:tcPr>
            <w:tcW w:w="1667" w:type="pct"/>
          </w:tcPr>
          <w:p w14:paraId="2D6A781A" w14:textId="77777777" w:rsidR="00514FBA" w:rsidRPr="001404B9" w:rsidRDefault="00514FBA" w:rsidP="001404B9">
            <w:pPr>
              <w:pStyle w:val="BodyText"/>
              <w:numPr>
                <w:ilvl w:val="0"/>
                <w:numId w:val="8"/>
              </w:numPr>
              <w:tabs>
                <w:tab w:val="left" w:pos="1876"/>
              </w:tabs>
              <w:spacing w:after="0"/>
              <w:ind w:left="342"/>
              <w:rPr>
                <w:szCs w:val="24"/>
              </w:rPr>
            </w:pPr>
            <w:r w:rsidRPr="00514FBA">
              <w:rPr>
                <w:szCs w:val="24"/>
              </w:rPr>
              <w:t>Goods, works, consultant and non-consultant services, Training and Operating Costs for Parts 2.3 and 3.1 of the Project</w:t>
            </w:r>
          </w:p>
        </w:tc>
        <w:tc>
          <w:tcPr>
            <w:tcW w:w="1667" w:type="pct"/>
          </w:tcPr>
          <w:p w14:paraId="688E51AA" w14:textId="77777777" w:rsidR="00514FBA" w:rsidRPr="00514FBA" w:rsidRDefault="00514FBA" w:rsidP="00C700DC">
            <w:pPr>
              <w:pStyle w:val="BodyText"/>
              <w:tabs>
                <w:tab w:val="right" w:pos="1788"/>
              </w:tabs>
              <w:rPr>
                <w:szCs w:val="24"/>
              </w:rPr>
            </w:pPr>
            <w:r w:rsidRPr="00514FBA">
              <w:rPr>
                <w:szCs w:val="24"/>
              </w:rPr>
              <w:tab/>
              <w:t>50,000,000</w:t>
            </w:r>
          </w:p>
        </w:tc>
        <w:tc>
          <w:tcPr>
            <w:tcW w:w="1666" w:type="pct"/>
          </w:tcPr>
          <w:p w14:paraId="36DFC6E4" w14:textId="77777777" w:rsidR="00514FBA" w:rsidRPr="00514FBA" w:rsidRDefault="00514FBA" w:rsidP="00C700DC">
            <w:pPr>
              <w:pStyle w:val="BodyText"/>
              <w:rPr>
                <w:szCs w:val="24"/>
              </w:rPr>
            </w:pPr>
            <w:r w:rsidRPr="00514FBA">
              <w:rPr>
                <w:szCs w:val="24"/>
              </w:rPr>
              <w:t>100%</w:t>
            </w:r>
          </w:p>
        </w:tc>
      </w:tr>
      <w:tr w:rsidR="00514FBA" w:rsidRPr="002503E1" w14:paraId="7E7D92C9" w14:textId="77777777" w:rsidTr="001404B9">
        <w:trPr>
          <w:cantSplit/>
          <w:trHeight w:val="315"/>
        </w:trPr>
        <w:tc>
          <w:tcPr>
            <w:tcW w:w="1667" w:type="pct"/>
          </w:tcPr>
          <w:p w14:paraId="7AF578D1" w14:textId="77777777" w:rsidR="00514FBA" w:rsidRPr="00514FBA" w:rsidRDefault="00514FBA" w:rsidP="009406BD">
            <w:pPr>
              <w:pStyle w:val="BodyText"/>
              <w:spacing w:after="0"/>
              <w:rPr>
                <w:szCs w:val="24"/>
              </w:rPr>
            </w:pPr>
            <w:r w:rsidRPr="00514FBA">
              <w:rPr>
                <w:szCs w:val="24"/>
              </w:rPr>
              <w:t>TOTAL AMOUNT</w:t>
            </w:r>
          </w:p>
        </w:tc>
        <w:tc>
          <w:tcPr>
            <w:tcW w:w="1667" w:type="pct"/>
          </w:tcPr>
          <w:p w14:paraId="3628D79F" w14:textId="77777777" w:rsidR="00514FBA" w:rsidRPr="00514FBA" w:rsidRDefault="00514FBA" w:rsidP="009406BD">
            <w:pPr>
              <w:pStyle w:val="BodyText"/>
              <w:tabs>
                <w:tab w:val="right" w:pos="1788"/>
              </w:tabs>
              <w:spacing w:after="0"/>
              <w:rPr>
                <w:szCs w:val="24"/>
              </w:rPr>
            </w:pPr>
            <w:r w:rsidRPr="00514FBA">
              <w:rPr>
                <w:szCs w:val="24"/>
              </w:rPr>
              <w:tab/>
              <w:t>100,000,000</w:t>
            </w:r>
          </w:p>
        </w:tc>
        <w:tc>
          <w:tcPr>
            <w:tcW w:w="1666" w:type="pct"/>
          </w:tcPr>
          <w:p w14:paraId="57E4C59A" w14:textId="77777777" w:rsidR="00514FBA" w:rsidRPr="00514FBA" w:rsidRDefault="00514FBA" w:rsidP="009406BD">
            <w:pPr>
              <w:pStyle w:val="BodyText"/>
              <w:spacing w:after="0"/>
              <w:rPr>
                <w:szCs w:val="24"/>
              </w:rPr>
            </w:pPr>
          </w:p>
        </w:tc>
      </w:tr>
    </w:tbl>
    <w:p w14:paraId="3275342A" w14:textId="77777777" w:rsidR="00514FBA" w:rsidRDefault="00514FBA" w:rsidP="00514FBA">
      <w:pPr>
        <w:pStyle w:val="BodyText"/>
        <w:rPr>
          <w:sz w:val="22"/>
          <w:szCs w:val="22"/>
        </w:rPr>
      </w:pPr>
    </w:p>
    <w:p w14:paraId="555EEE92" w14:textId="77777777" w:rsidR="00514FBA" w:rsidRPr="00514FBA" w:rsidRDefault="00514FBA" w:rsidP="00514FBA">
      <w:pPr>
        <w:pStyle w:val="BodyText"/>
        <w:ind w:left="810" w:hanging="810"/>
        <w:rPr>
          <w:b/>
          <w:bCs/>
          <w:szCs w:val="24"/>
        </w:rPr>
      </w:pPr>
      <w:r w:rsidRPr="00514FBA">
        <w:rPr>
          <w:b/>
          <w:bCs/>
          <w:szCs w:val="24"/>
        </w:rPr>
        <w:t>B.</w:t>
      </w:r>
      <w:r w:rsidR="005224DA">
        <w:rPr>
          <w:b/>
          <w:bCs/>
          <w:szCs w:val="24"/>
        </w:rPr>
        <w:t xml:space="preserve">      </w:t>
      </w:r>
      <w:r w:rsidRPr="00514FBA">
        <w:rPr>
          <w:b/>
          <w:bCs/>
          <w:szCs w:val="24"/>
        </w:rPr>
        <w:t>Withdrawal Conditions; Withdrawal Period</w:t>
      </w:r>
    </w:p>
    <w:p w14:paraId="35F34389" w14:textId="77777777" w:rsidR="00825A94" w:rsidRDefault="00825A94" w:rsidP="00825A94">
      <w:pPr>
        <w:pStyle w:val="BodyText"/>
        <w:spacing w:after="0"/>
        <w:rPr>
          <w:bCs/>
          <w:szCs w:val="24"/>
        </w:rPr>
      </w:pPr>
    </w:p>
    <w:p w14:paraId="5072B935" w14:textId="77777777" w:rsidR="00514FBA" w:rsidRDefault="002671D8" w:rsidP="0026062A">
      <w:pPr>
        <w:pStyle w:val="NoSpacing"/>
        <w:numPr>
          <w:ilvl w:val="0"/>
          <w:numId w:val="40"/>
        </w:numPr>
        <w:jc w:val="both"/>
      </w:pPr>
      <w:r w:rsidRPr="002671D8">
        <w:t>Notwithstanding the provisions of Part A above, no withdrawal shall be made for:</w:t>
      </w:r>
    </w:p>
    <w:p w14:paraId="5C38094F" w14:textId="77777777" w:rsidR="002671D8" w:rsidRDefault="002671D8" w:rsidP="002671D8">
      <w:pPr>
        <w:pStyle w:val="NoSpacing"/>
        <w:ind w:left="720"/>
        <w:jc w:val="both"/>
      </w:pPr>
    </w:p>
    <w:p w14:paraId="6CC9FA7B" w14:textId="77777777" w:rsidR="002671D8" w:rsidRDefault="002671D8" w:rsidP="005224DA">
      <w:pPr>
        <w:pStyle w:val="NoSpacing"/>
        <w:numPr>
          <w:ilvl w:val="1"/>
          <w:numId w:val="41"/>
        </w:numPr>
        <w:jc w:val="both"/>
      </w:pPr>
      <w:r>
        <w:t xml:space="preserve">payments made prior to the Signature Date, except that withdrawals up to an aggregate amount not to exceed twenty million Euro (€20,000,000) may be made for payments made prior to this date but on or after February 1, 2020, for Eligible Expenditures under Category (2); or </w:t>
      </w:r>
    </w:p>
    <w:p w14:paraId="1B9B3846" w14:textId="77777777" w:rsidR="002671D8" w:rsidRDefault="002671D8" w:rsidP="002671D8">
      <w:pPr>
        <w:pStyle w:val="NoSpacing"/>
        <w:ind w:left="1440"/>
        <w:jc w:val="both"/>
      </w:pPr>
    </w:p>
    <w:p w14:paraId="2CCA8503" w14:textId="77777777" w:rsidR="002671D8" w:rsidRDefault="002671D8" w:rsidP="005224DA">
      <w:pPr>
        <w:pStyle w:val="NoSpacing"/>
        <w:numPr>
          <w:ilvl w:val="1"/>
          <w:numId w:val="41"/>
        </w:numPr>
        <w:jc w:val="both"/>
      </w:pPr>
      <w:r>
        <w:t>for payments made under Category (1) unless: (i) the Borrower, through the PIU, has furnished evidence, in form and substance satisfactory to the Bank, of EEPs incurred, as presented in the corresponding EEPs Spending Report; and (ii) the Bank has determined, on the basis of the evidence furnished by the Borrower, through the PIU, as set forth in the Verification Protocols, that the DLIs, as set forth in the Schedule 4 to this Agreement, have been satisfactorily achieved, as further elaborated in the POM and in the Disbursement and Financial Information Letter.</w:t>
      </w:r>
    </w:p>
    <w:p w14:paraId="705D84AD" w14:textId="77777777" w:rsidR="002671D8" w:rsidRDefault="002671D8" w:rsidP="002671D8">
      <w:pPr>
        <w:pStyle w:val="NoSpacing"/>
        <w:jc w:val="both"/>
      </w:pPr>
    </w:p>
    <w:p w14:paraId="4EB7D0B7" w14:textId="77777777" w:rsidR="002671D8" w:rsidRDefault="002671D8" w:rsidP="0026062A">
      <w:pPr>
        <w:pStyle w:val="NoSpacing"/>
        <w:numPr>
          <w:ilvl w:val="0"/>
          <w:numId w:val="40"/>
        </w:numPr>
        <w:jc w:val="both"/>
      </w:pPr>
      <w:r w:rsidRPr="002671D8">
        <w:t>Notwithstanding the provisions of paragraphs B.1(b) of this Section, if the Bank is not satisfied that a DLI, as set forth in Schedule 4 to this Agreement, under Category (1) has been achieved, or partially achieved, the Bank may at any time, and by notice to the Borrower, through the PIU, decide, in its sole discretion, to:</w:t>
      </w:r>
    </w:p>
    <w:p w14:paraId="7CCEDDA9" w14:textId="77777777" w:rsidR="00AF79A3" w:rsidRDefault="00AF79A3" w:rsidP="00AF79A3">
      <w:pPr>
        <w:pStyle w:val="NoSpacing"/>
        <w:ind w:left="720"/>
        <w:jc w:val="both"/>
      </w:pPr>
    </w:p>
    <w:p w14:paraId="271A8CCA" w14:textId="77777777" w:rsidR="00AF79A3" w:rsidRDefault="00D01E7A" w:rsidP="009A0FD0">
      <w:pPr>
        <w:pStyle w:val="NoSpacing"/>
        <w:numPr>
          <w:ilvl w:val="1"/>
          <w:numId w:val="42"/>
        </w:numPr>
        <w:jc w:val="both"/>
      </w:pPr>
      <w:r>
        <w:t xml:space="preserve">In </w:t>
      </w:r>
      <w:r w:rsidR="00AF79A3" w:rsidRPr="00AF79A3">
        <w:t>respect of Scalable DLIs:</w:t>
      </w:r>
    </w:p>
    <w:p w14:paraId="4097E68B" w14:textId="77777777" w:rsidR="0063238B" w:rsidRDefault="0063238B" w:rsidP="0063238B">
      <w:pPr>
        <w:pStyle w:val="NoSpacing"/>
        <w:ind w:left="1440"/>
        <w:jc w:val="both"/>
      </w:pPr>
    </w:p>
    <w:p w14:paraId="1E742F13" w14:textId="77777777" w:rsidR="0063238B" w:rsidRPr="00447544" w:rsidRDefault="0063238B" w:rsidP="009A0FD0">
      <w:pPr>
        <w:pStyle w:val="NoSpacing"/>
        <w:numPr>
          <w:ilvl w:val="2"/>
          <w:numId w:val="43"/>
        </w:numPr>
        <w:jc w:val="both"/>
      </w:pPr>
      <w:r w:rsidRPr="00447544">
        <w:t xml:space="preserve">authorize that the withdrawal of a reduced amount of the unwithdrawn proceeds of the Loan allocated to the Scalable DLI which, in the opinion of the Bank, corresponds to the degree of achievement of said Scalable DLI calculated as set forth in the Verification Protocols; </w:t>
      </w:r>
    </w:p>
    <w:p w14:paraId="6A3EB7CD" w14:textId="77777777" w:rsidR="0063238B" w:rsidRPr="00447544" w:rsidRDefault="0063238B" w:rsidP="0063238B">
      <w:pPr>
        <w:pStyle w:val="NoSpacing"/>
        <w:ind w:left="2160"/>
        <w:jc w:val="both"/>
      </w:pPr>
    </w:p>
    <w:p w14:paraId="031E33C1" w14:textId="77777777" w:rsidR="0063238B" w:rsidRPr="00447544" w:rsidRDefault="0063238B" w:rsidP="009A0FD0">
      <w:pPr>
        <w:pStyle w:val="NoSpacing"/>
        <w:numPr>
          <w:ilvl w:val="2"/>
          <w:numId w:val="43"/>
        </w:numPr>
        <w:jc w:val="both"/>
      </w:pPr>
      <w:r w:rsidRPr="00447544">
        <w:t>authorize that the unwithdrawn amount corresponding to the portion of the allocated amount not disbursed due to partial achievement of any Scalable DLI be carried forward to the immediately subsequent withdrawal, pending further achievement of the respective Scalable DLI; or</w:t>
      </w:r>
    </w:p>
    <w:p w14:paraId="38B42564" w14:textId="77777777" w:rsidR="0063238B" w:rsidRPr="00447544" w:rsidRDefault="0063238B" w:rsidP="0063238B">
      <w:pPr>
        <w:pStyle w:val="NoSpacing"/>
        <w:jc w:val="both"/>
      </w:pPr>
    </w:p>
    <w:p w14:paraId="720B4299" w14:textId="77777777" w:rsidR="00AF79A3" w:rsidRPr="00447544" w:rsidRDefault="0063238B" w:rsidP="009A0FD0">
      <w:pPr>
        <w:pStyle w:val="NoSpacing"/>
        <w:numPr>
          <w:ilvl w:val="2"/>
          <w:numId w:val="43"/>
        </w:numPr>
        <w:jc w:val="both"/>
      </w:pPr>
      <w:r w:rsidRPr="00447544">
        <w:t>cancel all or a portion of the proceeds of the Loan then allocated to said Scalable DLI.</w:t>
      </w:r>
    </w:p>
    <w:p w14:paraId="3506CD30" w14:textId="77777777" w:rsidR="0063238B" w:rsidRPr="00447544" w:rsidRDefault="0063238B" w:rsidP="0063238B">
      <w:pPr>
        <w:pStyle w:val="NoSpacing"/>
        <w:jc w:val="both"/>
      </w:pPr>
    </w:p>
    <w:p w14:paraId="60FA699A" w14:textId="77777777" w:rsidR="00AF79A3" w:rsidRPr="00447544" w:rsidRDefault="00AF79A3" w:rsidP="009A0FD0">
      <w:pPr>
        <w:pStyle w:val="NoSpacing"/>
        <w:numPr>
          <w:ilvl w:val="1"/>
          <w:numId w:val="42"/>
        </w:numPr>
        <w:jc w:val="both"/>
      </w:pPr>
      <w:r w:rsidRPr="00447544">
        <w:t>In respect of any DLI which is not a Scalable DLI:</w:t>
      </w:r>
    </w:p>
    <w:p w14:paraId="01B21782" w14:textId="77777777" w:rsidR="0063238B" w:rsidRPr="00447544" w:rsidRDefault="0063238B" w:rsidP="0063238B">
      <w:pPr>
        <w:pStyle w:val="NoSpacing"/>
        <w:ind w:left="1440"/>
        <w:jc w:val="both"/>
      </w:pPr>
    </w:p>
    <w:p w14:paraId="283C928C" w14:textId="77777777" w:rsidR="0063238B" w:rsidRPr="00447544" w:rsidRDefault="0063238B" w:rsidP="0026062A">
      <w:pPr>
        <w:pStyle w:val="NoSpacing"/>
        <w:numPr>
          <w:ilvl w:val="0"/>
          <w:numId w:val="44"/>
        </w:numPr>
        <w:jc w:val="both"/>
      </w:pPr>
      <w:r w:rsidRPr="00447544">
        <w:t>withhold the unwithdrawn proceeds of the Loan then allocated to said DLI until the Bank is satisfied that said DLI has been fully achieved; or</w:t>
      </w:r>
    </w:p>
    <w:p w14:paraId="36CEC0CE" w14:textId="77777777" w:rsidR="0063238B" w:rsidRPr="00447544" w:rsidRDefault="0063238B" w:rsidP="0063238B">
      <w:pPr>
        <w:pStyle w:val="NoSpacing"/>
        <w:ind w:left="1440"/>
        <w:jc w:val="both"/>
      </w:pPr>
    </w:p>
    <w:p w14:paraId="34C7754E" w14:textId="77777777" w:rsidR="0063238B" w:rsidRPr="00447544" w:rsidRDefault="0063238B" w:rsidP="0026062A">
      <w:pPr>
        <w:pStyle w:val="NoSpacing"/>
        <w:numPr>
          <w:ilvl w:val="0"/>
          <w:numId w:val="44"/>
        </w:numPr>
        <w:jc w:val="both"/>
      </w:pPr>
      <w:r w:rsidRPr="00447544">
        <w:t>(A) at the Borrower’s request, through the PIU, and providing there is a justification acceptable to the Bank, reallocate all or a portion of the proceeds of the Loan then allocated to said DLI to any other DLI; (B) adjust or replace said DLI for another DLI; or (C) cancel all or a portion of the proceeds of the Loan then allocated to said DLI.</w:t>
      </w:r>
    </w:p>
    <w:p w14:paraId="62EBFC56" w14:textId="77777777" w:rsidR="00AF79A3" w:rsidRDefault="00AF79A3" w:rsidP="00AF79A3">
      <w:pPr>
        <w:pStyle w:val="NoSpacing"/>
        <w:ind w:left="1416"/>
        <w:jc w:val="both"/>
      </w:pPr>
    </w:p>
    <w:p w14:paraId="123C68A1" w14:textId="77777777" w:rsidR="002671D8" w:rsidRDefault="00A95281" w:rsidP="00A95281">
      <w:pPr>
        <w:pStyle w:val="NoSpacing"/>
        <w:ind w:left="360"/>
        <w:jc w:val="both"/>
      </w:pPr>
      <w:r>
        <w:t xml:space="preserve">2. </w:t>
      </w:r>
      <w:r>
        <w:tab/>
      </w:r>
      <w:r w:rsidR="002671D8" w:rsidRPr="002671D8">
        <w:t>The Closing Date is June 30, 202</w:t>
      </w:r>
      <w:r w:rsidR="002671D8">
        <w:t>5.</w:t>
      </w:r>
    </w:p>
    <w:p w14:paraId="3286A5DB" w14:textId="77777777" w:rsidR="0063238B" w:rsidRDefault="0063238B" w:rsidP="0063238B">
      <w:pPr>
        <w:pStyle w:val="NoSpacing"/>
        <w:jc w:val="both"/>
      </w:pPr>
    </w:p>
    <w:p w14:paraId="72959354" w14:textId="77777777" w:rsidR="0063238B" w:rsidRDefault="0063238B" w:rsidP="0063238B">
      <w:pPr>
        <w:pStyle w:val="NoSpacing"/>
        <w:jc w:val="both"/>
      </w:pPr>
    </w:p>
    <w:p w14:paraId="6F41F65F" w14:textId="77777777" w:rsidR="0063238B" w:rsidRDefault="0063238B" w:rsidP="0063238B">
      <w:pPr>
        <w:pStyle w:val="NoSpacing"/>
        <w:jc w:val="both"/>
      </w:pPr>
    </w:p>
    <w:p w14:paraId="50959A44" w14:textId="77777777" w:rsidR="0063238B" w:rsidRDefault="0063238B" w:rsidP="0063238B">
      <w:pPr>
        <w:pStyle w:val="NoSpacing"/>
        <w:jc w:val="both"/>
      </w:pPr>
    </w:p>
    <w:p w14:paraId="164BF102" w14:textId="77777777" w:rsidR="0063238B" w:rsidRDefault="0063238B" w:rsidP="0063238B">
      <w:pPr>
        <w:pStyle w:val="NoSpacing"/>
        <w:jc w:val="both"/>
      </w:pPr>
    </w:p>
    <w:p w14:paraId="7A698615" w14:textId="77777777" w:rsidR="0063238B" w:rsidRDefault="0063238B" w:rsidP="0063238B">
      <w:pPr>
        <w:pStyle w:val="NoSpacing"/>
        <w:jc w:val="both"/>
      </w:pPr>
    </w:p>
    <w:p w14:paraId="3D49C1D9" w14:textId="77777777" w:rsidR="0063238B" w:rsidRDefault="0063238B" w:rsidP="0063238B">
      <w:pPr>
        <w:pStyle w:val="NoSpacing"/>
        <w:jc w:val="both"/>
      </w:pPr>
    </w:p>
    <w:p w14:paraId="519E832A" w14:textId="77777777" w:rsidR="0063238B" w:rsidRDefault="0063238B" w:rsidP="0063238B">
      <w:pPr>
        <w:pStyle w:val="NoSpacing"/>
        <w:jc w:val="both"/>
      </w:pPr>
    </w:p>
    <w:p w14:paraId="491ABA39" w14:textId="77777777" w:rsidR="0063238B" w:rsidRDefault="0063238B" w:rsidP="0063238B">
      <w:pPr>
        <w:pStyle w:val="NoSpacing"/>
        <w:jc w:val="both"/>
      </w:pPr>
    </w:p>
    <w:p w14:paraId="2166FFFD" w14:textId="77777777" w:rsidR="0063238B" w:rsidRDefault="0063238B" w:rsidP="0063238B">
      <w:pPr>
        <w:pStyle w:val="NoSpacing"/>
        <w:jc w:val="both"/>
      </w:pPr>
    </w:p>
    <w:p w14:paraId="07775A3D" w14:textId="77777777" w:rsidR="0063238B" w:rsidRDefault="0063238B" w:rsidP="0063238B">
      <w:pPr>
        <w:pStyle w:val="NoSpacing"/>
        <w:jc w:val="both"/>
      </w:pPr>
    </w:p>
    <w:p w14:paraId="08CD9B06" w14:textId="77777777" w:rsidR="0063238B" w:rsidRDefault="0063238B" w:rsidP="0063238B">
      <w:pPr>
        <w:pStyle w:val="NoSpacing"/>
        <w:jc w:val="both"/>
      </w:pPr>
    </w:p>
    <w:p w14:paraId="52C0E5E2" w14:textId="77777777" w:rsidR="0063238B" w:rsidRDefault="0063238B" w:rsidP="0063238B">
      <w:pPr>
        <w:pStyle w:val="NoSpacing"/>
        <w:jc w:val="both"/>
      </w:pPr>
    </w:p>
    <w:p w14:paraId="4D3FEB7D" w14:textId="77777777" w:rsidR="0063238B" w:rsidRDefault="0063238B" w:rsidP="0063238B">
      <w:pPr>
        <w:pStyle w:val="NoSpacing"/>
        <w:jc w:val="both"/>
      </w:pPr>
    </w:p>
    <w:p w14:paraId="2839F2D4" w14:textId="77777777" w:rsidR="0063238B" w:rsidRDefault="0063238B" w:rsidP="0063238B">
      <w:pPr>
        <w:pStyle w:val="NoSpacing"/>
        <w:jc w:val="both"/>
      </w:pPr>
    </w:p>
    <w:p w14:paraId="52256F61" w14:textId="77777777" w:rsidR="0063238B" w:rsidRDefault="0063238B" w:rsidP="0063238B">
      <w:pPr>
        <w:pStyle w:val="NoSpacing"/>
        <w:jc w:val="both"/>
      </w:pPr>
    </w:p>
    <w:p w14:paraId="012EB735" w14:textId="77777777" w:rsidR="0063238B" w:rsidRDefault="0063238B" w:rsidP="0063238B">
      <w:pPr>
        <w:pStyle w:val="NoSpacing"/>
        <w:jc w:val="both"/>
      </w:pPr>
    </w:p>
    <w:p w14:paraId="78370CFF" w14:textId="77777777" w:rsidR="0063238B" w:rsidRDefault="0063238B" w:rsidP="0063238B">
      <w:pPr>
        <w:pStyle w:val="NoSpacing"/>
        <w:jc w:val="both"/>
      </w:pPr>
    </w:p>
    <w:p w14:paraId="72FA7AEF" w14:textId="77777777" w:rsidR="0063238B" w:rsidRDefault="0063238B" w:rsidP="0063238B">
      <w:pPr>
        <w:pStyle w:val="NoSpacing"/>
        <w:jc w:val="both"/>
      </w:pPr>
    </w:p>
    <w:p w14:paraId="0E4B2893" w14:textId="77777777" w:rsidR="00514FBA" w:rsidRDefault="00514FBA" w:rsidP="00514FBA">
      <w:pPr>
        <w:pStyle w:val="BodyText"/>
        <w:rPr>
          <w:sz w:val="22"/>
          <w:szCs w:val="22"/>
        </w:rPr>
      </w:pPr>
    </w:p>
    <w:p w14:paraId="74604BB7" w14:textId="77777777" w:rsidR="00514FBA" w:rsidRDefault="00514FBA" w:rsidP="00514FBA">
      <w:pPr>
        <w:pStyle w:val="BodyText"/>
        <w:rPr>
          <w:sz w:val="22"/>
          <w:szCs w:val="22"/>
        </w:rPr>
      </w:pPr>
    </w:p>
    <w:p w14:paraId="2D45B427" w14:textId="77777777" w:rsidR="00514FBA" w:rsidRDefault="00514FBA" w:rsidP="00514FBA">
      <w:pPr>
        <w:pStyle w:val="BodyText"/>
        <w:rPr>
          <w:sz w:val="22"/>
          <w:szCs w:val="22"/>
        </w:rPr>
      </w:pPr>
    </w:p>
    <w:p w14:paraId="661CFBA1" w14:textId="77777777" w:rsidR="00514FBA" w:rsidRDefault="00514FBA" w:rsidP="00514FBA">
      <w:pPr>
        <w:pStyle w:val="BodyText"/>
        <w:rPr>
          <w:sz w:val="22"/>
          <w:szCs w:val="22"/>
        </w:rPr>
      </w:pPr>
    </w:p>
    <w:p w14:paraId="00EE49ED" w14:textId="77777777" w:rsidR="00514FBA" w:rsidRDefault="00514FBA" w:rsidP="00514FBA">
      <w:pPr>
        <w:pStyle w:val="BodyText"/>
        <w:rPr>
          <w:sz w:val="22"/>
          <w:szCs w:val="22"/>
        </w:rPr>
      </w:pPr>
    </w:p>
    <w:p w14:paraId="5096B4EE" w14:textId="77777777" w:rsidR="00514FBA" w:rsidRDefault="00514FBA" w:rsidP="00514FBA">
      <w:pPr>
        <w:pStyle w:val="BodyText"/>
        <w:rPr>
          <w:sz w:val="22"/>
          <w:szCs w:val="22"/>
        </w:rPr>
      </w:pPr>
    </w:p>
    <w:p w14:paraId="40A7F244" w14:textId="77777777" w:rsidR="009C6F72" w:rsidRDefault="009C6F72" w:rsidP="00514FBA">
      <w:pPr>
        <w:pStyle w:val="BodyText"/>
        <w:rPr>
          <w:sz w:val="22"/>
          <w:szCs w:val="22"/>
        </w:rPr>
      </w:pPr>
      <w:r>
        <w:rPr>
          <w:sz w:val="22"/>
          <w:szCs w:val="22"/>
        </w:rPr>
        <w:br w:type="page"/>
      </w:r>
    </w:p>
    <w:p w14:paraId="0605FDE9" w14:textId="77777777" w:rsidR="00514FBA" w:rsidRDefault="00514FBA" w:rsidP="00514FBA">
      <w:pPr>
        <w:pStyle w:val="BodyText"/>
        <w:rPr>
          <w:sz w:val="22"/>
          <w:szCs w:val="22"/>
        </w:rPr>
      </w:pPr>
    </w:p>
    <w:p w14:paraId="2EEA9A01" w14:textId="77777777" w:rsidR="00514FBA" w:rsidRPr="00514FBA" w:rsidRDefault="00514FBA" w:rsidP="00514FBA">
      <w:pPr>
        <w:pStyle w:val="BodyText"/>
        <w:jc w:val="center"/>
        <w:rPr>
          <w:b/>
          <w:szCs w:val="24"/>
        </w:rPr>
      </w:pPr>
      <w:r w:rsidRPr="00514FBA">
        <w:rPr>
          <w:b/>
          <w:szCs w:val="24"/>
        </w:rPr>
        <w:t>SCHEDULE 3</w:t>
      </w:r>
    </w:p>
    <w:p w14:paraId="7922E157" w14:textId="77777777" w:rsidR="00514FBA" w:rsidRPr="00514FBA" w:rsidRDefault="00514FBA" w:rsidP="00130B1F">
      <w:pPr>
        <w:pStyle w:val="NoSpacing"/>
        <w:jc w:val="both"/>
      </w:pPr>
      <w:r w:rsidRPr="00514FBA">
        <w:t xml:space="preserve">The following table sets forth the Principal Payment Dates of the Loan and the percentage of the total principal amount of the Loan payable on each Principal Payment Date (“Installment Share”). </w:t>
      </w:r>
    </w:p>
    <w:p w14:paraId="4A2BC3A9" w14:textId="77777777" w:rsidR="00514FBA" w:rsidRPr="00514FBA" w:rsidRDefault="00514FBA" w:rsidP="009406BD">
      <w:pPr>
        <w:pStyle w:val="BodyText"/>
        <w:spacing w:after="0"/>
        <w:ind w:left="720"/>
        <w:jc w:val="center"/>
        <w:rPr>
          <w:b/>
          <w:i/>
          <w:szCs w:val="24"/>
        </w:rPr>
      </w:pPr>
      <w:r w:rsidRPr="00514FBA">
        <w:rPr>
          <w:b/>
          <w:szCs w:val="24"/>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514FBA" w:rsidRPr="002D3E9E" w14:paraId="70B81704" w14:textId="77777777" w:rsidTr="00C700DC">
        <w:tc>
          <w:tcPr>
            <w:tcW w:w="2500" w:type="pct"/>
          </w:tcPr>
          <w:p w14:paraId="0BFE0A62" w14:textId="77777777" w:rsidR="00514FBA" w:rsidRPr="002D3E9E" w:rsidRDefault="00514FBA" w:rsidP="009406BD">
            <w:pPr>
              <w:pStyle w:val="BodyText"/>
              <w:spacing w:after="0"/>
              <w:jc w:val="center"/>
              <w:rPr>
                <w:b/>
                <w:sz w:val="22"/>
                <w:szCs w:val="22"/>
              </w:rPr>
            </w:pPr>
            <w:r w:rsidRPr="002D3E9E">
              <w:rPr>
                <w:b/>
                <w:sz w:val="22"/>
                <w:szCs w:val="22"/>
              </w:rPr>
              <w:t>Principal Payment Date</w:t>
            </w:r>
          </w:p>
        </w:tc>
        <w:tc>
          <w:tcPr>
            <w:tcW w:w="2500" w:type="pct"/>
          </w:tcPr>
          <w:p w14:paraId="2BE0F8DE" w14:textId="77777777" w:rsidR="00514FBA" w:rsidRPr="002D3E9E" w:rsidRDefault="00514FBA" w:rsidP="009406BD">
            <w:pPr>
              <w:pStyle w:val="BodyText"/>
              <w:spacing w:after="0"/>
              <w:jc w:val="center"/>
              <w:rPr>
                <w:sz w:val="22"/>
                <w:szCs w:val="22"/>
              </w:rPr>
            </w:pPr>
            <w:r w:rsidRPr="002D3E9E">
              <w:rPr>
                <w:b/>
                <w:sz w:val="22"/>
                <w:szCs w:val="22"/>
              </w:rPr>
              <w:t>Installment Share</w:t>
            </w:r>
          </w:p>
        </w:tc>
      </w:tr>
      <w:tr w:rsidR="00514FBA" w:rsidRPr="002D3E9E" w14:paraId="0770928E" w14:textId="77777777" w:rsidTr="001404B9">
        <w:tc>
          <w:tcPr>
            <w:tcW w:w="2500" w:type="pct"/>
          </w:tcPr>
          <w:p w14:paraId="6157E166" w14:textId="77777777" w:rsidR="00514FBA" w:rsidRDefault="00514FBA" w:rsidP="00D61404">
            <w:pPr>
              <w:pStyle w:val="NoSpacing"/>
              <w:jc w:val="both"/>
            </w:pPr>
            <w:r w:rsidRPr="002D3E9E">
              <w:t xml:space="preserve">On each </w:t>
            </w:r>
            <w:r>
              <w:t>May</w:t>
            </w:r>
            <w:r w:rsidRPr="002D3E9E">
              <w:t xml:space="preserve"> 15</w:t>
            </w:r>
            <w:r>
              <w:t xml:space="preserve"> </w:t>
            </w:r>
            <w:r w:rsidRPr="002D3E9E">
              <w:t xml:space="preserve">and </w:t>
            </w:r>
            <w:r>
              <w:t xml:space="preserve">November </w:t>
            </w:r>
            <w:r w:rsidRPr="002D3E9E">
              <w:t>15</w:t>
            </w:r>
          </w:p>
          <w:p w14:paraId="036EE418" w14:textId="77777777" w:rsidR="00514FBA" w:rsidRPr="002D3E9E" w:rsidRDefault="00CD0CC6" w:rsidP="00D61404">
            <w:pPr>
              <w:pStyle w:val="NoSpacing"/>
              <w:jc w:val="both"/>
            </w:pPr>
            <w:r>
              <w:t xml:space="preserve">              </w:t>
            </w:r>
            <w:r w:rsidR="00514FBA" w:rsidRPr="002D3E9E">
              <w:t xml:space="preserve">Beginning </w:t>
            </w:r>
            <w:r w:rsidR="00514FBA">
              <w:t>May 15, 2025</w:t>
            </w:r>
            <w:r w:rsidR="00514FBA" w:rsidRPr="002D3E9E">
              <w:t xml:space="preserve">, </w:t>
            </w:r>
            <w:r>
              <w:br/>
              <w:t xml:space="preserve">              </w:t>
            </w:r>
            <w:r w:rsidR="00514FBA" w:rsidRPr="002D3E9E">
              <w:t xml:space="preserve">through </w:t>
            </w:r>
            <w:r w:rsidR="00514FBA">
              <w:t>November 15</w:t>
            </w:r>
            <w:r w:rsidR="00514FBA" w:rsidRPr="002D3E9E">
              <w:t>, 2</w:t>
            </w:r>
            <w:r w:rsidR="00514FBA">
              <w:t>029</w:t>
            </w:r>
          </w:p>
        </w:tc>
        <w:tc>
          <w:tcPr>
            <w:tcW w:w="2500" w:type="pct"/>
            <w:vAlign w:val="bottom"/>
          </w:tcPr>
          <w:p w14:paraId="50311E9F" w14:textId="77777777" w:rsidR="00514FBA" w:rsidRPr="002D3E9E" w:rsidRDefault="00514FBA" w:rsidP="009406BD">
            <w:pPr>
              <w:pStyle w:val="BodyText"/>
              <w:spacing w:after="0"/>
              <w:jc w:val="center"/>
              <w:rPr>
                <w:sz w:val="22"/>
                <w:szCs w:val="22"/>
              </w:rPr>
            </w:pPr>
            <w:r>
              <w:rPr>
                <w:sz w:val="22"/>
                <w:szCs w:val="22"/>
              </w:rPr>
              <w:t>10</w:t>
            </w:r>
            <w:r w:rsidRPr="002D3E9E">
              <w:rPr>
                <w:sz w:val="22"/>
                <w:szCs w:val="22"/>
              </w:rPr>
              <w:t>%</w:t>
            </w:r>
          </w:p>
        </w:tc>
      </w:tr>
    </w:tbl>
    <w:p w14:paraId="04B30E6F" w14:textId="77777777" w:rsidR="00514FBA" w:rsidRDefault="00514FBA" w:rsidP="00514FBA">
      <w:pPr>
        <w:pStyle w:val="BodyText"/>
        <w:rPr>
          <w:sz w:val="22"/>
          <w:szCs w:val="22"/>
        </w:rPr>
      </w:pPr>
    </w:p>
    <w:p w14:paraId="643D5851" w14:textId="77777777" w:rsidR="00514FBA" w:rsidRDefault="00514FBA" w:rsidP="00514FBA">
      <w:pPr>
        <w:pStyle w:val="BodyText"/>
        <w:rPr>
          <w:sz w:val="22"/>
          <w:szCs w:val="22"/>
        </w:rPr>
      </w:pPr>
    </w:p>
    <w:p w14:paraId="20720AC5" w14:textId="77777777" w:rsidR="00514FBA" w:rsidRDefault="00514FBA" w:rsidP="00514FBA">
      <w:pPr>
        <w:pStyle w:val="BodyText"/>
        <w:rPr>
          <w:sz w:val="22"/>
          <w:szCs w:val="22"/>
        </w:rPr>
      </w:pPr>
    </w:p>
    <w:p w14:paraId="5213FE42" w14:textId="77777777" w:rsidR="00514FBA" w:rsidRDefault="00514FBA" w:rsidP="00514FBA">
      <w:pPr>
        <w:pStyle w:val="BodyText"/>
        <w:rPr>
          <w:sz w:val="22"/>
          <w:szCs w:val="22"/>
        </w:rPr>
      </w:pPr>
    </w:p>
    <w:p w14:paraId="640E09E2" w14:textId="77777777" w:rsidR="00514FBA" w:rsidRDefault="00514FBA" w:rsidP="00514FBA">
      <w:pPr>
        <w:pStyle w:val="BodyText"/>
        <w:rPr>
          <w:sz w:val="22"/>
          <w:szCs w:val="22"/>
        </w:rPr>
      </w:pPr>
    </w:p>
    <w:p w14:paraId="099E1020" w14:textId="77777777" w:rsidR="00514FBA" w:rsidRDefault="00514FBA" w:rsidP="00514FBA">
      <w:pPr>
        <w:pStyle w:val="BodyText"/>
        <w:rPr>
          <w:sz w:val="22"/>
          <w:szCs w:val="22"/>
        </w:rPr>
      </w:pPr>
    </w:p>
    <w:p w14:paraId="0FDD5A1E" w14:textId="77777777" w:rsidR="00514FBA" w:rsidRDefault="00514FBA" w:rsidP="00514FBA">
      <w:pPr>
        <w:pStyle w:val="BodyText"/>
        <w:rPr>
          <w:sz w:val="22"/>
          <w:szCs w:val="22"/>
        </w:rPr>
      </w:pPr>
    </w:p>
    <w:p w14:paraId="39D6F71B" w14:textId="77777777" w:rsidR="00514FBA" w:rsidRDefault="00514FBA" w:rsidP="00514FBA">
      <w:pPr>
        <w:pStyle w:val="BodyText"/>
        <w:rPr>
          <w:sz w:val="22"/>
          <w:szCs w:val="22"/>
        </w:rPr>
      </w:pPr>
    </w:p>
    <w:p w14:paraId="06D2A838" w14:textId="77777777" w:rsidR="00514FBA" w:rsidRDefault="00514FBA" w:rsidP="00514FBA">
      <w:pPr>
        <w:pStyle w:val="BodyText"/>
        <w:rPr>
          <w:sz w:val="22"/>
          <w:szCs w:val="22"/>
        </w:rPr>
      </w:pPr>
    </w:p>
    <w:p w14:paraId="5A8C24EA" w14:textId="77777777" w:rsidR="00514FBA" w:rsidRDefault="00514FBA" w:rsidP="00514FBA">
      <w:pPr>
        <w:pStyle w:val="BodyText"/>
        <w:rPr>
          <w:sz w:val="22"/>
          <w:szCs w:val="22"/>
        </w:rPr>
      </w:pPr>
    </w:p>
    <w:p w14:paraId="4D71042B" w14:textId="77777777" w:rsidR="00514FBA" w:rsidRDefault="00514FBA" w:rsidP="00514FBA">
      <w:pPr>
        <w:pStyle w:val="BodyText"/>
        <w:rPr>
          <w:sz w:val="22"/>
          <w:szCs w:val="22"/>
        </w:rPr>
      </w:pPr>
    </w:p>
    <w:p w14:paraId="03B9B353" w14:textId="77777777" w:rsidR="00514FBA" w:rsidRDefault="00514FBA" w:rsidP="00514FBA">
      <w:pPr>
        <w:pStyle w:val="BodyText"/>
        <w:rPr>
          <w:sz w:val="22"/>
          <w:szCs w:val="22"/>
        </w:rPr>
      </w:pPr>
    </w:p>
    <w:p w14:paraId="0621387E" w14:textId="77777777" w:rsidR="00514FBA" w:rsidRDefault="00514FBA" w:rsidP="00514FBA">
      <w:pPr>
        <w:pStyle w:val="BodyText"/>
        <w:rPr>
          <w:sz w:val="22"/>
          <w:szCs w:val="22"/>
        </w:rPr>
      </w:pPr>
    </w:p>
    <w:p w14:paraId="4380FC3C" w14:textId="77777777" w:rsidR="00514FBA" w:rsidRDefault="00514FBA" w:rsidP="00514FBA">
      <w:pPr>
        <w:pStyle w:val="BodyText"/>
        <w:rPr>
          <w:sz w:val="22"/>
          <w:szCs w:val="22"/>
        </w:rPr>
      </w:pPr>
    </w:p>
    <w:p w14:paraId="4659680E" w14:textId="77777777" w:rsidR="00514FBA" w:rsidRDefault="00514FBA" w:rsidP="00514FBA">
      <w:pPr>
        <w:pStyle w:val="BodyText"/>
        <w:rPr>
          <w:sz w:val="22"/>
          <w:szCs w:val="22"/>
        </w:rPr>
      </w:pPr>
    </w:p>
    <w:p w14:paraId="6EF9CE41" w14:textId="77777777" w:rsidR="00514FBA" w:rsidRDefault="00514FBA" w:rsidP="00514FBA">
      <w:pPr>
        <w:pStyle w:val="BodyText"/>
        <w:rPr>
          <w:sz w:val="22"/>
          <w:szCs w:val="22"/>
        </w:rPr>
      </w:pPr>
    </w:p>
    <w:p w14:paraId="006A8668" w14:textId="77777777" w:rsidR="00514FBA" w:rsidRDefault="00514FBA" w:rsidP="00514FBA">
      <w:pPr>
        <w:pStyle w:val="BodyText"/>
        <w:rPr>
          <w:sz w:val="22"/>
          <w:szCs w:val="22"/>
        </w:rPr>
      </w:pPr>
    </w:p>
    <w:p w14:paraId="11B301C0" w14:textId="77777777" w:rsidR="00514FBA" w:rsidRDefault="00514FBA" w:rsidP="00514FBA">
      <w:pPr>
        <w:pStyle w:val="BodyText"/>
        <w:rPr>
          <w:sz w:val="22"/>
          <w:szCs w:val="22"/>
        </w:rPr>
      </w:pPr>
    </w:p>
    <w:p w14:paraId="1B56DE8C" w14:textId="77777777" w:rsidR="00514FBA" w:rsidRDefault="00514FBA" w:rsidP="00514FBA">
      <w:pPr>
        <w:pStyle w:val="BodyText"/>
        <w:rPr>
          <w:sz w:val="22"/>
          <w:szCs w:val="22"/>
        </w:rPr>
      </w:pPr>
    </w:p>
    <w:p w14:paraId="6EA45DE3" w14:textId="77777777" w:rsidR="00514FBA" w:rsidRDefault="00514FBA" w:rsidP="00514FBA">
      <w:pPr>
        <w:pStyle w:val="BodyText"/>
        <w:rPr>
          <w:sz w:val="22"/>
          <w:szCs w:val="22"/>
        </w:rPr>
      </w:pPr>
    </w:p>
    <w:p w14:paraId="32B2B86D" w14:textId="77777777" w:rsidR="000E2D1C" w:rsidRDefault="000E2D1C" w:rsidP="00514FBA">
      <w:pPr>
        <w:pStyle w:val="BodyText"/>
        <w:rPr>
          <w:sz w:val="22"/>
          <w:szCs w:val="22"/>
        </w:rPr>
      </w:pPr>
    </w:p>
    <w:tbl>
      <w:tblPr>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2"/>
      </w:tblGrid>
      <w:tr w:rsidR="00514FBA" w:rsidRPr="005516A9" w14:paraId="37E0C8E6" w14:textId="77777777" w:rsidTr="00C700DC">
        <w:trPr>
          <w:trHeight w:val="323"/>
        </w:trPr>
        <w:tc>
          <w:tcPr>
            <w:tcW w:w="10112" w:type="dxa"/>
            <w:tcBorders>
              <w:top w:val="single" w:sz="4" w:space="0" w:color="auto"/>
              <w:bottom w:val="single" w:sz="4" w:space="0" w:color="auto"/>
            </w:tcBorders>
          </w:tcPr>
          <w:p w14:paraId="0D59FF7F" w14:textId="77777777" w:rsidR="00514FBA" w:rsidRDefault="00514FBA" w:rsidP="00C700DC">
            <w:pPr>
              <w:jc w:val="center"/>
              <w:rPr>
                <w:b/>
              </w:rPr>
            </w:pPr>
            <w:r w:rsidRPr="00514FBA">
              <w:rPr>
                <w:b/>
              </w:rPr>
              <w:t xml:space="preserve">SCHEDULE 4 </w:t>
            </w:r>
          </w:p>
          <w:p w14:paraId="50AB7311" w14:textId="77777777" w:rsidR="007B4591" w:rsidRPr="00514FBA" w:rsidRDefault="007B4591" w:rsidP="00C700DC">
            <w:pPr>
              <w:jc w:val="center"/>
              <w:rPr>
                <w:b/>
              </w:rPr>
            </w:pPr>
          </w:p>
          <w:p w14:paraId="5C6A3B66" w14:textId="77777777" w:rsidR="00514FBA" w:rsidRPr="00E07422" w:rsidRDefault="00514FBA" w:rsidP="00447544">
            <w:pPr>
              <w:pStyle w:val="NoSpacing"/>
              <w:jc w:val="center"/>
              <w:rPr>
                <w:b/>
              </w:rPr>
            </w:pPr>
            <w:r w:rsidRPr="00E07422">
              <w:rPr>
                <w:b/>
              </w:rPr>
              <w:t xml:space="preserve">Disbursement-Linked Indicators, by expected calendar year of completion (*)  </w:t>
            </w:r>
          </w:p>
          <w:p w14:paraId="7275AB4B" w14:textId="77777777" w:rsidR="00447544" w:rsidRPr="00E07422" w:rsidRDefault="00447544" w:rsidP="00094EB5">
            <w:pPr>
              <w:pStyle w:val="NoSpacing"/>
              <w:rPr>
                <w:b/>
              </w:rPr>
            </w:pPr>
          </w:p>
          <w:p w14:paraId="27394406" w14:textId="77777777" w:rsidR="00514FBA" w:rsidRPr="00E07422" w:rsidRDefault="00514FBA" w:rsidP="00447544">
            <w:pPr>
              <w:pStyle w:val="NoSpacing"/>
              <w:jc w:val="center"/>
              <w:rPr>
                <w:b/>
                <w:sz w:val="20"/>
                <w:szCs w:val="20"/>
              </w:rPr>
            </w:pPr>
            <w:r w:rsidRPr="00E07422">
              <w:rPr>
                <w:b/>
                <w:sz w:val="20"/>
                <w:szCs w:val="20"/>
              </w:rPr>
              <w:t>(* Calendar years of completion of DLIs are indicative; DLls may be achieved prior to the expected completion date set out in Schedule IV or after said date.)</w:t>
            </w:r>
          </w:p>
          <w:p w14:paraId="5AF363AF" w14:textId="77777777" w:rsidR="00514FBA" w:rsidRPr="003F0CA0" w:rsidRDefault="00514FBA" w:rsidP="00C700DC">
            <w:pPr>
              <w:jc w:val="center"/>
              <w:rPr>
                <w:rFonts w:ascii="Calibri" w:hAnsi="Calibri" w:cstheme="minorBidi"/>
                <w:b/>
                <w:sz w:val="16"/>
                <w:szCs w:val="16"/>
              </w:rPr>
            </w:pPr>
          </w:p>
          <w:tbl>
            <w:tblPr>
              <w:tblStyle w:val="TableGrid"/>
              <w:tblW w:w="9228" w:type="dxa"/>
              <w:tblLayout w:type="fixed"/>
              <w:tblLook w:val="04A0" w:firstRow="1" w:lastRow="0" w:firstColumn="1" w:lastColumn="0" w:noHBand="0" w:noVBand="1"/>
            </w:tblPr>
            <w:tblGrid>
              <w:gridCol w:w="1528"/>
              <w:gridCol w:w="1045"/>
              <w:gridCol w:w="1795"/>
              <w:gridCol w:w="1486"/>
              <w:gridCol w:w="1328"/>
              <w:gridCol w:w="1255"/>
              <w:gridCol w:w="791"/>
            </w:tblGrid>
            <w:tr w:rsidR="00514FBA" w14:paraId="3CAC43A5" w14:textId="77777777" w:rsidTr="004252CB">
              <w:trPr>
                <w:trHeight w:val="440"/>
              </w:trPr>
              <w:tc>
                <w:tcPr>
                  <w:tcW w:w="1528" w:type="dxa"/>
                  <w:shd w:val="clear" w:color="auto" w:fill="E7E6E6" w:themeFill="background2"/>
                  <w:vAlign w:val="center"/>
                </w:tcPr>
                <w:p w14:paraId="464411AE" w14:textId="77777777" w:rsidR="00514FBA" w:rsidRPr="009A4D9E" w:rsidRDefault="00514FBA" w:rsidP="009A4D9E">
                  <w:pPr>
                    <w:spacing w:line="360" w:lineRule="auto"/>
                    <w:jc w:val="center"/>
                    <w:rPr>
                      <w:sz w:val="18"/>
                      <w:szCs w:val="18"/>
                    </w:rPr>
                  </w:pPr>
                  <w:r w:rsidRPr="009A4D9E">
                    <w:rPr>
                      <w:sz w:val="18"/>
                      <w:szCs w:val="18"/>
                    </w:rPr>
                    <w:t>Objectives</w:t>
                  </w:r>
                </w:p>
              </w:tc>
              <w:tc>
                <w:tcPr>
                  <w:tcW w:w="1045" w:type="dxa"/>
                  <w:shd w:val="clear" w:color="auto" w:fill="E7E6E6" w:themeFill="background2"/>
                </w:tcPr>
                <w:p w14:paraId="3C6729A3" w14:textId="77777777" w:rsidR="00514FBA" w:rsidRPr="009A4D9E" w:rsidRDefault="00514FBA" w:rsidP="009A4D9E">
                  <w:pPr>
                    <w:spacing w:line="360" w:lineRule="auto"/>
                    <w:jc w:val="center"/>
                    <w:rPr>
                      <w:rFonts w:eastAsia="Calibri"/>
                      <w:b/>
                      <w:color w:val="000000" w:themeColor="text1"/>
                      <w:sz w:val="18"/>
                      <w:szCs w:val="18"/>
                    </w:rPr>
                  </w:pPr>
                  <w:r w:rsidRPr="009A4D9E">
                    <w:rPr>
                      <w:rFonts w:eastAsia="Calibri"/>
                      <w:b/>
                      <w:color w:val="000000" w:themeColor="text1"/>
                      <w:sz w:val="18"/>
                      <w:szCs w:val="18"/>
                    </w:rPr>
                    <w:t>scalability</w:t>
                  </w:r>
                </w:p>
              </w:tc>
              <w:tc>
                <w:tcPr>
                  <w:tcW w:w="1795" w:type="dxa"/>
                  <w:shd w:val="clear" w:color="auto" w:fill="E7E6E6" w:themeFill="background2"/>
                  <w:vAlign w:val="center"/>
                </w:tcPr>
                <w:p w14:paraId="5CB51B7E" w14:textId="77777777" w:rsidR="00514FBA" w:rsidRPr="009A4D9E" w:rsidRDefault="00514FBA" w:rsidP="009A4D9E">
                  <w:pPr>
                    <w:spacing w:line="360" w:lineRule="auto"/>
                    <w:jc w:val="center"/>
                    <w:rPr>
                      <w:b/>
                      <w:sz w:val="18"/>
                      <w:szCs w:val="18"/>
                    </w:rPr>
                  </w:pPr>
                  <w:r w:rsidRPr="009A4D9E">
                    <w:rPr>
                      <w:rFonts w:eastAsia="Calibri"/>
                      <w:b/>
                      <w:color w:val="000000" w:themeColor="text1"/>
                      <w:sz w:val="18"/>
                      <w:szCs w:val="18"/>
                    </w:rPr>
                    <w:t>2020</w:t>
                  </w:r>
                  <w:r w:rsidRPr="009A4D9E">
                    <w:rPr>
                      <w:b/>
                      <w:sz w:val="18"/>
                      <w:szCs w:val="18"/>
                    </w:rPr>
                    <w:t xml:space="preserve"> In million euros</w:t>
                  </w:r>
                </w:p>
              </w:tc>
              <w:tc>
                <w:tcPr>
                  <w:tcW w:w="1486" w:type="dxa"/>
                  <w:shd w:val="clear" w:color="auto" w:fill="E7E6E6" w:themeFill="background2"/>
                  <w:vAlign w:val="center"/>
                </w:tcPr>
                <w:p w14:paraId="2AECA357" w14:textId="77777777" w:rsidR="00514FBA" w:rsidRPr="009A4D9E" w:rsidRDefault="00514FBA" w:rsidP="009A4D9E">
                  <w:pPr>
                    <w:spacing w:line="360" w:lineRule="auto"/>
                    <w:jc w:val="center"/>
                    <w:rPr>
                      <w:b/>
                      <w:sz w:val="18"/>
                      <w:szCs w:val="18"/>
                    </w:rPr>
                  </w:pPr>
                  <w:r w:rsidRPr="009A4D9E">
                    <w:rPr>
                      <w:rFonts w:eastAsia="Calibri"/>
                      <w:b/>
                      <w:color w:val="000000" w:themeColor="text1"/>
                      <w:sz w:val="18"/>
                      <w:szCs w:val="18"/>
                    </w:rPr>
                    <w:t>2021</w:t>
                  </w:r>
                  <w:r w:rsidRPr="009A4D9E">
                    <w:rPr>
                      <w:b/>
                      <w:sz w:val="18"/>
                      <w:szCs w:val="18"/>
                    </w:rPr>
                    <w:t xml:space="preserve"> In million euros</w:t>
                  </w:r>
                </w:p>
              </w:tc>
              <w:tc>
                <w:tcPr>
                  <w:tcW w:w="1328" w:type="dxa"/>
                  <w:shd w:val="clear" w:color="auto" w:fill="E7E6E6" w:themeFill="background2"/>
                  <w:vAlign w:val="center"/>
                </w:tcPr>
                <w:p w14:paraId="53431007" w14:textId="77777777" w:rsidR="00514FBA" w:rsidRPr="009A4D9E" w:rsidRDefault="00514FBA" w:rsidP="009A4D9E">
                  <w:pPr>
                    <w:spacing w:line="360" w:lineRule="auto"/>
                    <w:jc w:val="center"/>
                    <w:rPr>
                      <w:b/>
                      <w:sz w:val="18"/>
                      <w:szCs w:val="18"/>
                    </w:rPr>
                  </w:pPr>
                  <w:r w:rsidRPr="009A4D9E">
                    <w:rPr>
                      <w:rFonts w:eastAsia="Calibri"/>
                      <w:b/>
                      <w:color w:val="000000" w:themeColor="text1"/>
                      <w:sz w:val="18"/>
                      <w:szCs w:val="18"/>
                    </w:rPr>
                    <w:t>2022</w:t>
                  </w:r>
                  <w:r w:rsidRPr="009A4D9E">
                    <w:rPr>
                      <w:b/>
                      <w:sz w:val="18"/>
                      <w:szCs w:val="18"/>
                    </w:rPr>
                    <w:t xml:space="preserve"> In million euros</w:t>
                  </w:r>
                </w:p>
              </w:tc>
              <w:tc>
                <w:tcPr>
                  <w:tcW w:w="1255" w:type="dxa"/>
                  <w:shd w:val="clear" w:color="auto" w:fill="E7E6E6" w:themeFill="background2"/>
                  <w:vAlign w:val="center"/>
                </w:tcPr>
                <w:p w14:paraId="4ECACB10" w14:textId="77777777" w:rsidR="00514FBA" w:rsidRPr="009A4D9E" w:rsidRDefault="00514FBA" w:rsidP="009A4D9E">
                  <w:pPr>
                    <w:spacing w:line="360" w:lineRule="auto"/>
                    <w:jc w:val="center"/>
                    <w:rPr>
                      <w:b/>
                      <w:sz w:val="18"/>
                      <w:szCs w:val="18"/>
                    </w:rPr>
                  </w:pPr>
                  <w:r w:rsidRPr="009A4D9E">
                    <w:rPr>
                      <w:rFonts w:eastAsia="Calibri"/>
                      <w:b/>
                      <w:color w:val="000000" w:themeColor="text1"/>
                      <w:sz w:val="18"/>
                      <w:szCs w:val="18"/>
                    </w:rPr>
                    <w:t>2023</w:t>
                  </w:r>
                  <w:r w:rsidRPr="009A4D9E">
                    <w:rPr>
                      <w:b/>
                      <w:sz w:val="18"/>
                      <w:szCs w:val="18"/>
                    </w:rPr>
                    <w:t xml:space="preserve"> In million euros</w:t>
                  </w:r>
                </w:p>
              </w:tc>
              <w:tc>
                <w:tcPr>
                  <w:tcW w:w="791" w:type="dxa"/>
                  <w:shd w:val="clear" w:color="auto" w:fill="E7E6E6" w:themeFill="background2"/>
                  <w:vAlign w:val="center"/>
                </w:tcPr>
                <w:p w14:paraId="54DCFB94" w14:textId="77777777" w:rsidR="00514FBA" w:rsidRPr="009A4D9E" w:rsidRDefault="00514FBA" w:rsidP="009A4D9E">
                  <w:pPr>
                    <w:spacing w:line="360" w:lineRule="auto"/>
                    <w:jc w:val="center"/>
                    <w:rPr>
                      <w:b/>
                      <w:sz w:val="18"/>
                      <w:szCs w:val="18"/>
                    </w:rPr>
                  </w:pPr>
                  <w:r w:rsidRPr="009A4D9E">
                    <w:rPr>
                      <w:rFonts w:eastAsia="Calibri"/>
                      <w:b/>
                      <w:color w:val="000000" w:themeColor="text1"/>
                      <w:sz w:val="18"/>
                      <w:szCs w:val="18"/>
                    </w:rPr>
                    <w:t>2024</w:t>
                  </w:r>
                  <w:r w:rsidRPr="009A4D9E">
                    <w:rPr>
                      <w:b/>
                      <w:sz w:val="18"/>
                      <w:szCs w:val="18"/>
                    </w:rPr>
                    <w:t xml:space="preserve"> In million euros</w:t>
                  </w:r>
                </w:p>
              </w:tc>
            </w:tr>
            <w:tr w:rsidR="00514FBA" w14:paraId="3DEF0115" w14:textId="77777777" w:rsidTr="000E650C">
              <w:tc>
                <w:tcPr>
                  <w:tcW w:w="1528" w:type="dxa"/>
                  <w:shd w:val="clear" w:color="auto" w:fill="auto"/>
                  <w:vAlign w:val="center"/>
                </w:tcPr>
                <w:p w14:paraId="37ABD37B" w14:textId="77777777" w:rsidR="000E650C" w:rsidRDefault="00514FBA" w:rsidP="00C700DC">
                  <w:pPr>
                    <w:rPr>
                      <w:rFonts w:eastAsia="Calibri"/>
                      <w:b/>
                      <w:bCs/>
                      <w:color w:val="000000" w:themeColor="text1"/>
                      <w:sz w:val="18"/>
                      <w:szCs w:val="18"/>
                    </w:rPr>
                  </w:pPr>
                  <w:r w:rsidRPr="00F170F7">
                    <w:rPr>
                      <w:rFonts w:eastAsia="Calibri"/>
                      <w:b/>
                      <w:bCs/>
                      <w:color w:val="000000" w:themeColor="text1"/>
                      <w:sz w:val="18"/>
                      <w:szCs w:val="18"/>
                    </w:rPr>
                    <w:t xml:space="preserve">Part 1: </w:t>
                  </w:r>
                </w:p>
                <w:p w14:paraId="55DCD48C" w14:textId="77777777" w:rsidR="00514FBA" w:rsidRPr="00F170F7" w:rsidRDefault="00514FBA" w:rsidP="00C700DC">
                  <w:pPr>
                    <w:rPr>
                      <w:rFonts w:eastAsia="Calibri"/>
                      <w:b/>
                      <w:bCs/>
                      <w:color w:val="000000" w:themeColor="text1"/>
                      <w:sz w:val="18"/>
                      <w:szCs w:val="18"/>
                    </w:rPr>
                  </w:pPr>
                  <w:r w:rsidRPr="00F170F7">
                    <w:rPr>
                      <w:rFonts w:eastAsia="Calibri"/>
                      <w:b/>
                      <w:bCs/>
                      <w:color w:val="000000" w:themeColor="text1"/>
                      <w:sz w:val="18"/>
                      <w:szCs w:val="18"/>
                    </w:rPr>
                    <w:t>Reducing the administrative burden for businesses to interact with Government</w:t>
                  </w:r>
                </w:p>
              </w:tc>
              <w:tc>
                <w:tcPr>
                  <w:tcW w:w="1045" w:type="dxa"/>
                  <w:shd w:val="clear" w:color="auto" w:fill="auto"/>
                </w:tcPr>
                <w:p w14:paraId="13D2E7E9" w14:textId="77777777" w:rsidR="00514FBA" w:rsidRPr="00F170F7" w:rsidRDefault="00514FBA" w:rsidP="00C700DC">
                  <w:pPr>
                    <w:jc w:val="center"/>
                    <w:rPr>
                      <w:rFonts w:eastAsia="Calibri"/>
                      <w:b/>
                      <w:bCs/>
                      <w:color w:val="000000" w:themeColor="text1"/>
                      <w:sz w:val="18"/>
                      <w:szCs w:val="18"/>
                    </w:rPr>
                  </w:pPr>
                </w:p>
              </w:tc>
              <w:tc>
                <w:tcPr>
                  <w:tcW w:w="1795" w:type="dxa"/>
                  <w:shd w:val="clear" w:color="auto" w:fill="auto"/>
                  <w:vAlign w:val="center"/>
                </w:tcPr>
                <w:p w14:paraId="1D17A273" w14:textId="77777777" w:rsidR="00514FBA" w:rsidRPr="00F170F7" w:rsidRDefault="00514FBA" w:rsidP="00C700DC">
                  <w:pPr>
                    <w:jc w:val="center"/>
                    <w:rPr>
                      <w:rFonts w:eastAsia="Calibri"/>
                      <w:b/>
                      <w:bCs/>
                      <w:color w:val="000000" w:themeColor="text1"/>
                      <w:sz w:val="18"/>
                      <w:szCs w:val="18"/>
                    </w:rPr>
                  </w:pPr>
                </w:p>
              </w:tc>
              <w:tc>
                <w:tcPr>
                  <w:tcW w:w="1486" w:type="dxa"/>
                  <w:shd w:val="clear" w:color="auto" w:fill="auto"/>
                  <w:vAlign w:val="center"/>
                </w:tcPr>
                <w:p w14:paraId="2EBFD039" w14:textId="77777777" w:rsidR="00514FBA" w:rsidRPr="00F170F7" w:rsidRDefault="00514FBA" w:rsidP="00C700DC">
                  <w:pPr>
                    <w:jc w:val="center"/>
                    <w:rPr>
                      <w:rFonts w:eastAsia="Calibri"/>
                      <w:b/>
                      <w:bCs/>
                      <w:color w:val="000000" w:themeColor="text1"/>
                      <w:sz w:val="18"/>
                      <w:szCs w:val="18"/>
                    </w:rPr>
                  </w:pPr>
                </w:p>
              </w:tc>
              <w:tc>
                <w:tcPr>
                  <w:tcW w:w="1328" w:type="dxa"/>
                  <w:shd w:val="clear" w:color="auto" w:fill="auto"/>
                  <w:vAlign w:val="center"/>
                </w:tcPr>
                <w:p w14:paraId="0FA3E843" w14:textId="77777777" w:rsidR="00514FBA" w:rsidRPr="00F170F7" w:rsidRDefault="00514FBA" w:rsidP="00C700DC">
                  <w:pPr>
                    <w:jc w:val="center"/>
                    <w:rPr>
                      <w:rFonts w:eastAsia="Calibri"/>
                      <w:b/>
                      <w:bCs/>
                      <w:color w:val="000000" w:themeColor="text1"/>
                      <w:sz w:val="18"/>
                      <w:szCs w:val="18"/>
                    </w:rPr>
                  </w:pPr>
                </w:p>
              </w:tc>
              <w:tc>
                <w:tcPr>
                  <w:tcW w:w="1255" w:type="dxa"/>
                  <w:shd w:val="clear" w:color="auto" w:fill="auto"/>
                  <w:vAlign w:val="center"/>
                </w:tcPr>
                <w:p w14:paraId="1E1205BE" w14:textId="77777777" w:rsidR="00514FBA" w:rsidRPr="00F170F7" w:rsidRDefault="00514FBA" w:rsidP="00C700DC">
                  <w:pPr>
                    <w:jc w:val="center"/>
                    <w:rPr>
                      <w:rFonts w:eastAsia="Calibri"/>
                      <w:b/>
                      <w:bCs/>
                      <w:color w:val="000000" w:themeColor="text1"/>
                      <w:sz w:val="18"/>
                      <w:szCs w:val="18"/>
                    </w:rPr>
                  </w:pPr>
                </w:p>
              </w:tc>
              <w:tc>
                <w:tcPr>
                  <w:tcW w:w="791" w:type="dxa"/>
                  <w:shd w:val="clear" w:color="auto" w:fill="auto"/>
                  <w:vAlign w:val="center"/>
                </w:tcPr>
                <w:p w14:paraId="347314BA" w14:textId="77777777" w:rsidR="00514FBA" w:rsidRPr="00F170F7" w:rsidRDefault="00514FBA" w:rsidP="00C700DC">
                  <w:pPr>
                    <w:jc w:val="center"/>
                    <w:rPr>
                      <w:rFonts w:eastAsia="Calibri"/>
                      <w:b/>
                      <w:bCs/>
                      <w:color w:val="000000" w:themeColor="text1"/>
                      <w:sz w:val="18"/>
                      <w:szCs w:val="18"/>
                    </w:rPr>
                  </w:pPr>
                </w:p>
              </w:tc>
            </w:tr>
            <w:tr w:rsidR="00514FBA" w14:paraId="338A67E3" w14:textId="77777777" w:rsidTr="00C700DC">
              <w:tc>
                <w:tcPr>
                  <w:tcW w:w="1528" w:type="dxa"/>
                  <w:vAlign w:val="center"/>
                </w:tcPr>
                <w:p w14:paraId="1509507B" w14:textId="77777777" w:rsidR="00514FBA" w:rsidRPr="00F170F7" w:rsidRDefault="00514FBA" w:rsidP="00C700DC">
                  <w:pPr>
                    <w:rPr>
                      <w:color w:val="000000" w:themeColor="text1"/>
                      <w:sz w:val="18"/>
                      <w:szCs w:val="18"/>
                    </w:rPr>
                  </w:pPr>
                  <w:r w:rsidRPr="00F170F7">
                    <w:rPr>
                      <w:b/>
                      <w:color w:val="000000" w:themeColor="text1"/>
                      <w:sz w:val="18"/>
                      <w:szCs w:val="18"/>
                    </w:rPr>
                    <w:t xml:space="preserve">DLI 1: </w:t>
                  </w:r>
                  <w:r w:rsidRPr="00F170F7">
                    <w:rPr>
                      <w:color w:val="000000" w:themeColor="text1"/>
                      <w:sz w:val="18"/>
                      <w:szCs w:val="18"/>
                    </w:rPr>
                    <w:t>Implementation of a</w:t>
                  </w:r>
                  <w:r>
                    <w:rPr>
                      <w:color w:val="000000" w:themeColor="text1"/>
                      <w:sz w:val="18"/>
                      <w:szCs w:val="18"/>
                    </w:rPr>
                    <w:t xml:space="preserve"> single digital window for LLCs </w:t>
                  </w:r>
                </w:p>
              </w:tc>
              <w:tc>
                <w:tcPr>
                  <w:tcW w:w="1045" w:type="dxa"/>
                </w:tcPr>
                <w:p w14:paraId="21614DF6" w14:textId="77777777" w:rsidR="00514FBA" w:rsidRPr="00F170F7" w:rsidRDefault="00514FBA" w:rsidP="00C700DC">
                  <w:pPr>
                    <w:jc w:val="center"/>
                    <w:rPr>
                      <w:rFonts w:eastAsia="Calibri"/>
                      <w:color w:val="000000" w:themeColor="text1"/>
                      <w:sz w:val="18"/>
                      <w:szCs w:val="18"/>
                    </w:rPr>
                  </w:pPr>
                  <w:r w:rsidRPr="00F170F7">
                    <w:rPr>
                      <w:color w:val="000000" w:themeColor="text1"/>
                      <w:sz w:val="18"/>
                      <w:szCs w:val="18"/>
                    </w:rPr>
                    <w:t>not scalable</w:t>
                  </w:r>
                </w:p>
              </w:tc>
              <w:tc>
                <w:tcPr>
                  <w:tcW w:w="1795" w:type="dxa"/>
                  <w:vAlign w:val="center"/>
                </w:tcPr>
                <w:p w14:paraId="2CF89097" w14:textId="77777777" w:rsidR="00514FBA" w:rsidRDefault="00514FBA" w:rsidP="00C700DC">
                  <w:pPr>
                    <w:rPr>
                      <w:color w:val="000000"/>
                      <w:sz w:val="18"/>
                      <w:szCs w:val="18"/>
                    </w:rPr>
                  </w:pPr>
                  <w:r>
                    <w:rPr>
                      <w:color w:val="000000"/>
                      <w:sz w:val="18"/>
                      <w:szCs w:val="18"/>
                    </w:rPr>
                    <w:t>A single digital window enables completion of all the formalities required by the 5 agencies (Commercial Court Registry, Tax Administration, Statistics, Pension and Health Insurance) to start an LLC, through a single application form, either online, or through FINA physical access points.</w:t>
                  </w:r>
                </w:p>
                <w:p w14:paraId="56CFA980" w14:textId="77777777" w:rsidR="00514FBA" w:rsidRDefault="00514FBA" w:rsidP="00C700DC">
                  <w:pPr>
                    <w:rPr>
                      <w:color w:val="000000"/>
                      <w:sz w:val="18"/>
                      <w:szCs w:val="18"/>
                    </w:rPr>
                  </w:pPr>
                </w:p>
                <w:p w14:paraId="77A679A0" w14:textId="77777777" w:rsidR="00514FBA" w:rsidRDefault="00514FBA" w:rsidP="00C700DC">
                  <w:pPr>
                    <w:rPr>
                      <w:color w:val="000000"/>
                      <w:sz w:val="18"/>
                      <w:szCs w:val="18"/>
                    </w:rPr>
                  </w:pPr>
                  <w:r>
                    <w:rPr>
                      <w:color w:val="000000"/>
                      <w:sz w:val="18"/>
                      <w:szCs w:val="18"/>
                    </w:rPr>
                    <w:t>The data of LLCs registered through the court registry physical access points will be automatically made available to the single digital window.</w:t>
                  </w:r>
                </w:p>
                <w:p w14:paraId="4894DF11" w14:textId="77777777" w:rsidR="005B2EDC" w:rsidRDefault="005B2EDC" w:rsidP="00C700DC">
                  <w:pPr>
                    <w:rPr>
                      <w:color w:val="000000"/>
                      <w:sz w:val="18"/>
                      <w:szCs w:val="18"/>
                    </w:rPr>
                  </w:pPr>
                </w:p>
                <w:p w14:paraId="123E7767" w14:textId="77777777" w:rsidR="00C763AC" w:rsidRDefault="00C763AC" w:rsidP="00C700DC">
                  <w:pPr>
                    <w:rPr>
                      <w:color w:val="000000"/>
                      <w:sz w:val="18"/>
                      <w:szCs w:val="18"/>
                    </w:rPr>
                  </w:pPr>
                </w:p>
                <w:p w14:paraId="0177774C" w14:textId="77777777" w:rsidR="00C763AC" w:rsidRDefault="00C763AC" w:rsidP="00C700DC">
                  <w:pPr>
                    <w:rPr>
                      <w:color w:val="000000"/>
                      <w:sz w:val="18"/>
                      <w:szCs w:val="18"/>
                    </w:rPr>
                  </w:pPr>
                </w:p>
                <w:p w14:paraId="5F286005" w14:textId="77777777" w:rsidR="005B2EDC" w:rsidRDefault="005B2EDC" w:rsidP="00C700DC">
                  <w:pPr>
                    <w:rPr>
                      <w:color w:val="000000"/>
                      <w:sz w:val="18"/>
                      <w:szCs w:val="18"/>
                    </w:rPr>
                  </w:pPr>
                </w:p>
                <w:p w14:paraId="2AF88F9D" w14:textId="77777777" w:rsidR="00C763AC" w:rsidRDefault="00C763AC" w:rsidP="00C700DC">
                  <w:pPr>
                    <w:rPr>
                      <w:color w:val="000000"/>
                      <w:sz w:val="18"/>
                      <w:szCs w:val="18"/>
                    </w:rPr>
                  </w:pPr>
                </w:p>
                <w:p w14:paraId="1CAA3947" w14:textId="77777777" w:rsidR="00C763AC" w:rsidRDefault="00C763AC" w:rsidP="00C700DC">
                  <w:pPr>
                    <w:rPr>
                      <w:color w:val="000000"/>
                      <w:sz w:val="18"/>
                      <w:szCs w:val="18"/>
                    </w:rPr>
                  </w:pPr>
                </w:p>
                <w:p w14:paraId="496417F5" w14:textId="77777777" w:rsidR="00C763AC" w:rsidRDefault="00C763AC" w:rsidP="00C700DC">
                  <w:pPr>
                    <w:rPr>
                      <w:color w:val="000000"/>
                      <w:sz w:val="18"/>
                      <w:szCs w:val="18"/>
                    </w:rPr>
                  </w:pPr>
                </w:p>
                <w:p w14:paraId="1FF7F091" w14:textId="77777777" w:rsidR="00C763AC" w:rsidRDefault="00C763AC" w:rsidP="00C700DC">
                  <w:pPr>
                    <w:rPr>
                      <w:color w:val="000000"/>
                      <w:sz w:val="18"/>
                      <w:szCs w:val="18"/>
                    </w:rPr>
                  </w:pPr>
                </w:p>
                <w:p w14:paraId="05D4A6FF" w14:textId="77777777" w:rsidR="00C763AC" w:rsidRDefault="00C763AC" w:rsidP="00C700DC">
                  <w:pPr>
                    <w:rPr>
                      <w:color w:val="000000"/>
                      <w:sz w:val="18"/>
                      <w:szCs w:val="18"/>
                    </w:rPr>
                  </w:pPr>
                </w:p>
                <w:p w14:paraId="4A174094" w14:textId="77777777" w:rsidR="00C763AC" w:rsidRDefault="00C763AC" w:rsidP="00C700DC">
                  <w:pPr>
                    <w:rPr>
                      <w:color w:val="000000"/>
                      <w:sz w:val="18"/>
                      <w:szCs w:val="18"/>
                    </w:rPr>
                  </w:pPr>
                </w:p>
                <w:p w14:paraId="79155397" w14:textId="77777777" w:rsidR="00514FBA" w:rsidRPr="00146605" w:rsidRDefault="00514FBA" w:rsidP="00C700DC">
                  <w:pPr>
                    <w:rPr>
                      <w:rFonts w:eastAsia="Calibri"/>
                      <w:color w:val="000000" w:themeColor="text1"/>
                      <w:sz w:val="18"/>
                      <w:szCs w:val="18"/>
                    </w:rPr>
                  </w:pPr>
                  <w:r>
                    <w:rPr>
                      <w:color w:val="000000"/>
                      <w:sz w:val="18"/>
                      <w:szCs w:val="18"/>
                    </w:rPr>
                    <w:t>2.0</w:t>
                  </w:r>
                </w:p>
                <w:p w14:paraId="4234C24A" w14:textId="77777777" w:rsidR="00514FBA" w:rsidRDefault="00514FBA" w:rsidP="00C700DC">
                  <w:pPr>
                    <w:rPr>
                      <w:rFonts w:eastAsia="Calibri"/>
                      <w:color w:val="000000" w:themeColor="text1"/>
                      <w:sz w:val="18"/>
                      <w:szCs w:val="18"/>
                    </w:rPr>
                  </w:pPr>
                </w:p>
                <w:p w14:paraId="7D0E633A" w14:textId="77777777" w:rsidR="005B2EDC" w:rsidRDefault="005B2EDC" w:rsidP="00C700DC">
                  <w:pPr>
                    <w:rPr>
                      <w:rFonts w:eastAsia="Calibri"/>
                      <w:color w:val="000000" w:themeColor="text1"/>
                      <w:sz w:val="18"/>
                      <w:szCs w:val="18"/>
                    </w:rPr>
                  </w:pPr>
                </w:p>
                <w:p w14:paraId="2C0199D0" w14:textId="77777777" w:rsidR="00C763AC" w:rsidRDefault="00C763AC" w:rsidP="00C700DC">
                  <w:pPr>
                    <w:rPr>
                      <w:rFonts w:eastAsia="Calibri"/>
                      <w:color w:val="000000" w:themeColor="text1"/>
                      <w:sz w:val="18"/>
                      <w:szCs w:val="18"/>
                    </w:rPr>
                  </w:pPr>
                </w:p>
                <w:p w14:paraId="54769036" w14:textId="77777777" w:rsidR="00514FBA" w:rsidRPr="00F170F7" w:rsidRDefault="00514FBA" w:rsidP="00C700DC">
                  <w:pPr>
                    <w:rPr>
                      <w:rFonts w:eastAsia="Calibri"/>
                      <w:color w:val="000000" w:themeColor="text1"/>
                      <w:sz w:val="18"/>
                      <w:szCs w:val="18"/>
                    </w:rPr>
                  </w:pPr>
                  <w:r w:rsidRPr="00146605">
                    <w:rPr>
                      <w:rFonts w:eastAsia="Calibri"/>
                      <w:color w:val="000000" w:themeColor="text1"/>
                      <w:sz w:val="18"/>
                      <w:szCs w:val="18"/>
                    </w:rPr>
                    <w:t>The data of LLCs registered through the court registry physical access points</w:t>
                  </w:r>
                  <w:r>
                    <w:rPr>
                      <w:rFonts w:eastAsia="Calibri"/>
                      <w:color w:val="000000" w:themeColor="text1"/>
                      <w:sz w:val="18"/>
                      <w:szCs w:val="18"/>
                    </w:rPr>
                    <w:t>,</w:t>
                  </w:r>
                  <w:r w:rsidRPr="00146605">
                    <w:rPr>
                      <w:rFonts w:eastAsia="Calibri"/>
                      <w:color w:val="000000" w:themeColor="text1"/>
                      <w:sz w:val="18"/>
                      <w:szCs w:val="18"/>
                    </w:rPr>
                    <w:t xml:space="preserve"> will be </w:t>
                  </w:r>
                  <w:r>
                    <w:rPr>
                      <w:rFonts w:eastAsia="Calibri"/>
                      <w:color w:val="000000" w:themeColor="text1"/>
                      <w:sz w:val="18"/>
                      <w:szCs w:val="18"/>
                    </w:rPr>
                    <w:t>automatically made available</w:t>
                  </w:r>
                  <w:r w:rsidRPr="00146605">
                    <w:rPr>
                      <w:rFonts w:eastAsia="Calibri"/>
                      <w:color w:val="000000" w:themeColor="text1"/>
                      <w:sz w:val="18"/>
                      <w:szCs w:val="18"/>
                    </w:rPr>
                    <w:t xml:space="preserve"> </w:t>
                  </w:r>
                  <w:r>
                    <w:rPr>
                      <w:rFonts w:eastAsia="Calibri"/>
                      <w:color w:val="000000" w:themeColor="text1"/>
                      <w:sz w:val="18"/>
                      <w:szCs w:val="18"/>
                    </w:rPr>
                    <w:t>to</w:t>
                  </w:r>
                  <w:r w:rsidRPr="00146605">
                    <w:rPr>
                      <w:rFonts w:eastAsia="Calibri"/>
                      <w:color w:val="000000" w:themeColor="text1"/>
                      <w:sz w:val="18"/>
                      <w:szCs w:val="18"/>
                    </w:rPr>
                    <w:t xml:space="preserve"> the </w:t>
                  </w:r>
                  <w:r>
                    <w:rPr>
                      <w:rFonts w:eastAsia="Calibri"/>
                      <w:color w:val="000000" w:themeColor="text1"/>
                      <w:sz w:val="18"/>
                      <w:szCs w:val="18"/>
                    </w:rPr>
                    <w:t>s</w:t>
                  </w:r>
                  <w:r w:rsidRPr="00146605">
                    <w:rPr>
                      <w:rFonts w:eastAsia="Calibri"/>
                      <w:color w:val="000000" w:themeColor="text1"/>
                      <w:sz w:val="18"/>
                      <w:szCs w:val="18"/>
                    </w:rPr>
                    <w:t xml:space="preserve">ingle </w:t>
                  </w:r>
                  <w:r>
                    <w:rPr>
                      <w:rFonts w:eastAsia="Calibri"/>
                      <w:color w:val="000000" w:themeColor="text1"/>
                      <w:sz w:val="18"/>
                      <w:szCs w:val="18"/>
                    </w:rPr>
                    <w:t>d</w:t>
                  </w:r>
                  <w:r w:rsidRPr="00146605">
                    <w:rPr>
                      <w:rFonts w:eastAsia="Calibri"/>
                      <w:color w:val="000000" w:themeColor="text1"/>
                      <w:sz w:val="18"/>
                      <w:szCs w:val="18"/>
                    </w:rPr>
                    <w:t xml:space="preserve">igital </w:t>
                  </w:r>
                  <w:r>
                    <w:rPr>
                      <w:rFonts w:eastAsia="Calibri"/>
                      <w:color w:val="000000" w:themeColor="text1"/>
                      <w:sz w:val="18"/>
                      <w:szCs w:val="18"/>
                    </w:rPr>
                    <w:t>window.</w:t>
                  </w:r>
                </w:p>
                <w:p w14:paraId="638744AD" w14:textId="77777777" w:rsidR="00514FBA" w:rsidRPr="00F170F7" w:rsidRDefault="00514FBA" w:rsidP="00C700DC">
                  <w:pPr>
                    <w:jc w:val="center"/>
                    <w:rPr>
                      <w:rFonts w:eastAsia="Calibri"/>
                      <w:color w:val="000000" w:themeColor="text1"/>
                      <w:sz w:val="18"/>
                      <w:szCs w:val="18"/>
                    </w:rPr>
                  </w:pPr>
                </w:p>
                <w:p w14:paraId="5762919D" w14:textId="77777777" w:rsidR="00514FBA" w:rsidRPr="00F170F7" w:rsidRDefault="00514FBA" w:rsidP="00C763AC">
                  <w:pPr>
                    <w:jc w:val="center"/>
                    <w:rPr>
                      <w:sz w:val="18"/>
                      <w:szCs w:val="18"/>
                    </w:rPr>
                  </w:pPr>
                  <w:r w:rsidRPr="00F170F7">
                    <w:rPr>
                      <w:rFonts w:eastAsia="Calibri"/>
                      <w:color w:val="000000" w:themeColor="text1"/>
                      <w:sz w:val="18"/>
                      <w:szCs w:val="18"/>
                    </w:rPr>
                    <w:t>2.0</w:t>
                  </w:r>
                </w:p>
              </w:tc>
              <w:tc>
                <w:tcPr>
                  <w:tcW w:w="1486" w:type="dxa"/>
                  <w:vAlign w:val="center"/>
                </w:tcPr>
                <w:p w14:paraId="7B791C08" w14:textId="77777777" w:rsidR="00514FBA" w:rsidRPr="00F170F7" w:rsidRDefault="00514FBA" w:rsidP="00C700DC">
                  <w:pPr>
                    <w:jc w:val="center"/>
                    <w:rPr>
                      <w:sz w:val="18"/>
                      <w:szCs w:val="18"/>
                    </w:rPr>
                  </w:pPr>
                </w:p>
              </w:tc>
              <w:tc>
                <w:tcPr>
                  <w:tcW w:w="1328" w:type="dxa"/>
                  <w:vAlign w:val="center"/>
                </w:tcPr>
                <w:p w14:paraId="7035639A" w14:textId="77777777" w:rsidR="00514FBA" w:rsidRDefault="00514FBA" w:rsidP="00C700DC">
                  <w:pPr>
                    <w:rPr>
                      <w:color w:val="000000"/>
                      <w:sz w:val="18"/>
                      <w:szCs w:val="18"/>
                    </w:rPr>
                  </w:pPr>
                  <w:r>
                    <w:rPr>
                      <w:color w:val="000000"/>
                      <w:sz w:val="18"/>
                      <w:szCs w:val="18"/>
                    </w:rPr>
                    <w:t xml:space="preserve">A single digital window, which can be accessed from different entry points,  </w:t>
                  </w:r>
                </w:p>
                <w:p w14:paraId="4B3AFF29" w14:textId="77777777" w:rsidR="00514FBA" w:rsidRDefault="00514FBA" w:rsidP="00C700DC">
                  <w:pPr>
                    <w:rPr>
                      <w:color w:val="000000"/>
                      <w:sz w:val="18"/>
                      <w:szCs w:val="18"/>
                    </w:rPr>
                  </w:pPr>
                  <w:r>
                    <w:rPr>
                      <w:color w:val="000000"/>
                      <w:sz w:val="18"/>
                      <w:szCs w:val="18"/>
                    </w:rPr>
                    <w:t xml:space="preserve">is the only system for the completion of all the formalities required by the 5 agencies (Commercial Court Registry, Tax Administration, Statistics, Pension and Health Insurance) to start an LLC and registration of at least five types of changes.  </w:t>
                  </w:r>
                </w:p>
                <w:p w14:paraId="315B973F" w14:textId="77777777" w:rsidR="00514FBA" w:rsidRPr="00F170F7" w:rsidRDefault="00514FBA" w:rsidP="00C700DC">
                  <w:pPr>
                    <w:jc w:val="center"/>
                    <w:rPr>
                      <w:sz w:val="18"/>
                      <w:szCs w:val="18"/>
                    </w:rPr>
                  </w:pPr>
                  <w:r>
                    <w:rPr>
                      <w:rFonts w:eastAsia="Calibri"/>
                      <w:color w:val="000000" w:themeColor="text1"/>
                      <w:sz w:val="18"/>
                      <w:szCs w:val="18"/>
                    </w:rPr>
                    <w:t>8.0</w:t>
                  </w:r>
                </w:p>
              </w:tc>
              <w:tc>
                <w:tcPr>
                  <w:tcW w:w="1255" w:type="dxa"/>
                  <w:vAlign w:val="center"/>
                </w:tcPr>
                <w:p w14:paraId="21C60D14" w14:textId="77777777" w:rsidR="00514FBA" w:rsidRPr="00F170F7" w:rsidRDefault="00514FBA" w:rsidP="00C700DC">
                  <w:pPr>
                    <w:jc w:val="center"/>
                    <w:rPr>
                      <w:sz w:val="18"/>
                      <w:szCs w:val="18"/>
                    </w:rPr>
                  </w:pPr>
                </w:p>
              </w:tc>
              <w:tc>
                <w:tcPr>
                  <w:tcW w:w="791" w:type="dxa"/>
                  <w:vAlign w:val="center"/>
                </w:tcPr>
                <w:p w14:paraId="45F06CCA" w14:textId="77777777" w:rsidR="00514FBA" w:rsidRPr="00F170F7" w:rsidRDefault="00514FBA" w:rsidP="00C700DC">
                  <w:pPr>
                    <w:jc w:val="center"/>
                    <w:rPr>
                      <w:sz w:val="18"/>
                      <w:szCs w:val="18"/>
                    </w:rPr>
                  </w:pPr>
                </w:p>
              </w:tc>
            </w:tr>
            <w:tr w:rsidR="00514FBA" w14:paraId="3751C9B5" w14:textId="77777777" w:rsidTr="00514FBA">
              <w:trPr>
                <w:trHeight w:val="1530"/>
              </w:trPr>
              <w:tc>
                <w:tcPr>
                  <w:tcW w:w="1528" w:type="dxa"/>
                  <w:vAlign w:val="center"/>
                </w:tcPr>
                <w:p w14:paraId="5FC03585" w14:textId="77777777" w:rsidR="00514FBA" w:rsidRPr="00F170F7" w:rsidRDefault="00514FBA" w:rsidP="00C700DC">
                  <w:pPr>
                    <w:rPr>
                      <w:color w:val="000000" w:themeColor="text1"/>
                      <w:sz w:val="18"/>
                      <w:szCs w:val="18"/>
                    </w:rPr>
                  </w:pPr>
                  <w:r w:rsidRPr="00F170F7">
                    <w:rPr>
                      <w:b/>
                      <w:color w:val="000000" w:themeColor="text1"/>
                      <w:sz w:val="18"/>
                      <w:szCs w:val="18"/>
                    </w:rPr>
                    <w:t>DLI 2</w:t>
                  </w:r>
                  <w:r w:rsidRPr="00F170F7">
                    <w:rPr>
                      <w:color w:val="000000" w:themeColor="text1"/>
                      <w:sz w:val="18"/>
                      <w:szCs w:val="18"/>
                    </w:rPr>
                    <w:t xml:space="preserve">: Licensing requirements are published online, and selected licenses are digitalized </w:t>
                  </w:r>
                </w:p>
              </w:tc>
              <w:tc>
                <w:tcPr>
                  <w:tcW w:w="1045" w:type="dxa"/>
                </w:tcPr>
                <w:p w14:paraId="6BD22926" w14:textId="77777777" w:rsidR="00514FBA" w:rsidRPr="00F170F7" w:rsidRDefault="00514FBA" w:rsidP="00C700DC">
                  <w:pPr>
                    <w:jc w:val="center"/>
                    <w:rPr>
                      <w:rFonts w:eastAsia="Calibri"/>
                      <w:color w:val="000000" w:themeColor="text1"/>
                      <w:sz w:val="18"/>
                      <w:szCs w:val="18"/>
                    </w:rPr>
                  </w:pPr>
                  <w:r w:rsidRPr="00F170F7">
                    <w:rPr>
                      <w:color w:val="000000" w:themeColor="text1"/>
                      <w:sz w:val="18"/>
                      <w:szCs w:val="18"/>
                    </w:rPr>
                    <w:t>scalable</w:t>
                  </w:r>
                </w:p>
              </w:tc>
              <w:tc>
                <w:tcPr>
                  <w:tcW w:w="1795" w:type="dxa"/>
                  <w:vAlign w:val="center"/>
                </w:tcPr>
                <w:p w14:paraId="78817DFA"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A horizontal business process management tool enabling automation of licensing is integrated into the E-Government Infrastructure.</w:t>
                  </w:r>
                </w:p>
                <w:p w14:paraId="1ACAE4AC" w14:textId="77777777" w:rsidR="00514FBA" w:rsidRPr="00F170F7" w:rsidRDefault="00514FBA" w:rsidP="00C700DC">
                  <w:pPr>
                    <w:jc w:val="center"/>
                    <w:rPr>
                      <w:rFonts w:eastAsia="Calibri"/>
                      <w:color w:val="000000" w:themeColor="text1"/>
                      <w:sz w:val="18"/>
                      <w:szCs w:val="18"/>
                    </w:rPr>
                  </w:pPr>
                </w:p>
                <w:p w14:paraId="74B34FE8" w14:textId="77777777" w:rsidR="00514FBA" w:rsidRPr="00F170F7" w:rsidRDefault="00514FBA" w:rsidP="00C700DC">
                  <w:pPr>
                    <w:jc w:val="center"/>
                    <w:rPr>
                      <w:rFonts w:eastAsia="Calibri"/>
                      <w:color w:val="000000" w:themeColor="text1"/>
                      <w:sz w:val="18"/>
                      <w:szCs w:val="18"/>
                    </w:rPr>
                  </w:pPr>
                </w:p>
                <w:p w14:paraId="1E0D64AE" w14:textId="77777777" w:rsidR="00514FBA" w:rsidRPr="00F170F7" w:rsidRDefault="00514FBA" w:rsidP="00C700DC">
                  <w:pPr>
                    <w:jc w:val="center"/>
                    <w:rPr>
                      <w:sz w:val="18"/>
                      <w:szCs w:val="18"/>
                    </w:rPr>
                  </w:pPr>
                  <w:r w:rsidRPr="00F170F7">
                    <w:rPr>
                      <w:rFonts w:eastAsia="Calibri"/>
                      <w:color w:val="000000" w:themeColor="text1"/>
                      <w:sz w:val="18"/>
                      <w:szCs w:val="18"/>
                    </w:rPr>
                    <w:t>2.0</w:t>
                  </w:r>
                </w:p>
              </w:tc>
              <w:tc>
                <w:tcPr>
                  <w:tcW w:w="1486" w:type="dxa"/>
                  <w:vAlign w:val="center"/>
                </w:tcPr>
                <w:p w14:paraId="02DC222F" w14:textId="77777777" w:rsidR="00514FBA" w:rsidRPr="00F170F7" w:rsidRDefault="00514FBA" w:rsidP="00C700DC">
                  <w:pPr>
                    <w:jc w:val="center"/>
                    <w:rPr>
                      <w:sz w:val="18"/>
                      <w:szCs w:val="18"/>
                    </w:rPr>
                  </w:pPr>
                </w:p>
              </w:tc>
              <w:tc>
                <w:tcPr>
                  <w:tcW w:w="1328" w:type="dxa"/>
                  <w:vAlign w:val="center"/>
                </w:tcPr>
                <w:p w14:paraId="521816AD"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An online information portal with licensing requirements is operational; and licensing for 15 business activities is digitalized and transactional.</w:t>
                  </w:r>
                </w:p>
                <w:p w14:paraId="012ACE22" w14:textId="77777777" w:rsidR="00514FBA" w:rsidRPr="00F170F7" w:rsidRDefault="00514FBA" w:rsidP="00C700DC">
                  <w:pPr>
                    <w:jc w:val="center"/>
                    <w:rPr>
                      <w:rFonts w:eastAsia="Calibri"/>
                      <w:color w:val="000000" w:themeColor="text1"/>
                      <w:sz w:val="18"/>
                      <w:szCs w:val="18"/>
                    </w:rPr>
                  </w:pPr>
                </w:p>
                <w:p w14:paraId="6232AC51" w14:textId="77777777" w:rsidR="00514FBA" w:rsidRPr="00F170F7" w:rsidRDefault="00514FBA" w:rsidP="00C700DC">
                  <w:pPr>
                    <w:jc w:val="center"/>
                    <w:rPr>
                      <w:rFonts w:eastAsia="Calibri"/>
                      <w:color w:val="000000" w:themeColor="text1"/>
                      <w:sz w:val="18"/>
                      <w:szCs w:val="18"/>
                    </w:rPr>
                  </w:pPr>
                </w:p>
                <w:p w14:paraId="4D098195" w14:textId="77777777" w:rsidR="00514FBA" w:rsidRPr="00F170F7" w:rsidRDefault="00514FBA" w:rsidP="00C700DC">
                  <w:pPr>
                    <w:jc w:val="center"/>
                    <w:rPr>
                      <w:sz w:val="18"/>
                      <w:szCs w:val="18"/>
                    </w:rPr>
                  </w:pPr>
                  <w:r w:rsidRPr="00F170F7">
                    <w:rPr>
                      <w:rFonts w:eastAsia="Calibri"/>
                      <w:color w:val="000000" w:themeColor="text1"/>
                      <w:sz w:val="18"/>
                      <w:szCs w:val="18"/>
                    </w:rPr>
                    <w:t>3.0</w:t>
                  </w:r>
                </w:p>
              </w:tc>
              <w:tc>
                <w:tcPr>
                  <w:tcW w:w="1255" w:type="dxa"/>
                  <w:vAlign w:val="center"/>
                </w:tcPr>
                <w:p w14:paraId="00BD147D" w14:textId="77777777" w:rsidR="00514FBA" w:rsidRPr="00F170F7" w:rsidRDefault="00514FBA" w:rsidP="00C700DC">
                  <w:pPr>
                    <w:jc w:val="center"/>
                    <w:rPr>
                      <w:sz w:val="18"/>
                      <w:szCs w:val="18"/>
                    </w:rPr>
                  </w:pPr>
                </w:p>
              </w:tc>
              <w:tc>
                <w:tcPr>
                  <w:tcW w:w="791" w:type="dxa"/>
                  <w:vAlign w:val="center"/>
                </w:tcPr>
                <w:p w14:paraId="70C7AD57" w14:textId="77777777" w:rsidR="00514FBA" w:rsidRPr="00F170F7" w:rsidRDefault="00514FBA" w:rsidP="00C700DC">
                  <w:pPr>
                    <w:jc w:val="center"/>
                    <w:rPr>
                      <w:sz w:val="18"/>
                      <w:szCs w:val="18"/>
                    </w:rPr>
                  </w:pPr>
                </w:p>
              </w:tc>
            </w:tr>
            <w:tr w:rsidR="00514FBA" w14:paraId="398E8A6B" w14:textId="77777777" w:rsidTr="00C700DC">
              <w:tc>
                <w:tcPr>
                  <w:tcW w:w="1528" w:type="dxa"/>
                  <w:vAlign w:val="center"/>
                </w:tcPr>
                <w:p w14:paraId="57B407BC" w14:textId="77777777" w:rsidR="00514FBA" w:rsidRPr="00F170F7" w:rsidRDefault="00514FBA" w:rsidP="00C700DC">
                  <w:pPr>
                    <w:rPr>
                      <w:color w:val="000000" w:themeColor="text1"/>
                      <w:sz w:val="18"/>
                      <w:szCs w:val="18"/>
                    </w:rPr>
                  </w:pPr>
                  <w:r w:rsidRPr="00F170F7">
                    <w:rPr>
                      <w:b/>
                      <w:color w:val="000000" w:themeColor="text1"/>
                      <w:sz w:val="18"/>
                      <w:szCs w:val="18"/>
                    </w:rPr>
                    <w:t xml:space="preserve">DLI 3a: </w:t>
                  </w:r>
                  <w:r w:rsidRPr="00F170F7">
                    <w:rPr>
                      <w:color w:val="000000" w:themeColor="text1"/>
                      <w:sz w:val="18"/>
                      <w:szCs w:val="18"/>
                    </w:rPr>
                    <w:t xml:space="preserve">Simplifying construction permitting </w:t>
                  </w:r>
                </w:p>
              </w:tc>
              <w:tc>
                <w:tcPr>
                  <w:tcW w:w="1045" w:type="dxa"/>
                </w:tcPr>
                <w:p w14:paraId="30998F1D" w14:textId="77777777" w:rsidR="00514FBA" w:rsidRPr="00F170F7" w:rsidRDefault="00514FBA" w:rsidP="00C700DC">
                  <w:pPr>
                    <w:jc w:val="center"/>
                    <w:rPr>
                      <w:rFonts w:eastAsia="Calibri"/>
                      <w:color w:val="000000" w:themeColor="text1"/>
                      <w:sz w:val="18"/>
                      <w:szCs w:val="18"/>
                    </w:rPr>
                  </w:pPr>
                  <w:r w:rsidRPr="00F170F7">
                    <w:rPr>
                      <w:color w:val="000000" w:themeColor="text1"/>
                      <w:sz w:val="18"/>
                      <w:szCs w:val="18"/>
                    </w:rPr>
                    <w:t>not scalable</w:t>
                  </w:r>
                </w:p>
              </w:tc>
              <w:tc>
                <w:tcPr>
                  <w:tcW w:w="1795" w:type="dxa"/>
                  <w:vAlign w:val="center"/>
                </w:tcPr>
                <w:p w14:paraId="0E1420E2"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E-Dozvola platform is fully operational</w:t>
                  </w:r>
                  <w:r w:rsidRPr="00657645">
                    <w:rPr>
                      <w:rFonts w:eastAsia="Calibri"/>
                      <w:color w:val="000000" w:themeColor="text1"/>
                      <w:sz w:val="18"/>
                      <w:szCs w:val="18"/>
                    </w:rPr>
                    <w:t>;</w:t>
                  </w:r>
                  <w:r w:rsidRPr="00F170F7">
                    <w:rPr>
                      <w:rFonts w:eastAsia="Calibri"/>
                      <w:color w:val="000000" w:themeColor="text1"/>
                      <w:sz w:val="18"/>
                      <w:szCs w:val="18"/>
                    </w:rPr>
                    <w:t xml:space="preserve"> (b) an action plan for the simplification of construction permitting procedures is adopted by the inter-ministerial Working Group for Improvement of Business Environment</w:t>
                  </w:r>
                </w:p>
                <w:p w14:paraId="353E2D4F" w14:textId="77777777" w:rsidR="00514FBA" w:rsidRPr="00F170F7" w:rsidRDefault="00514FBA" w:rsidP="00C700DC">
                  <w:pPr>
                    <w:jc w:val="center"/>
                    <w:rPr>
                      <w:rFonts w:eastAsia="Calibri"/>
                      <w:color w:val="000000" w:themeColor="text1"/>
                      <w:sz w:val="18"/>
                      <w:szCs w:val="18"/>
                    </w:rPr>
                  </w:pPr>
                </w:p>
                <w:p w14:paraId="2D5CF3CF" w14:textId="77777777" w:rsidR="00514FBA" w:rsidRPr="00F170F7" w:rsidRDefault="00514FBA" w:rsidP="00C700DC">
                  <w:pPr>
                    <w:jc w:val="center"/>
                    <w:rPr>
                      <w:rFonts w:eastAsia="Calibri"/>
                      <w:color w:val="000000" w:themeColor="text1"/>
                      <w:sz w:val="18"/>
                      <w:szCs w:val="18"/>
                    </w:rPr>
                  </w:pPr>
                </w:p>
                <w:p w14:paraId="62022A4F" w14:textId="77777777" w:rsidR="00514FBA" w:rsidRPr="00F170F7" w:rsidRDefault="00514FBA" w:rsidP="00C700DC">
                  <w:pPr>
                    <w:jc w:val="center"/>
                    <w:rPr>
                      <w:sz w:val="18"/>
                      <w:szCs w:val="18"/>
                    </w:rPr>
                  </w:pPr>
                  <w:r w:rsidRPr="00F170F7">
                    <w:rPr>
                      <w:rFonts w:eastAsia="Calibri"/>
                      <w:color w:val="000000" w:themeColor="text1"/>
                      <w:sz w:val="18"/>
                      <w:szCs w:val="18"/>
                    </w:rPr>
                    <w:t>2.0</w:t>
                  </w:r>
                </w:p>
              </w:tc>
              <w:tc>
                <w:tcPr>
                  <w:tcW w:w="1486" w:type="dxa"/>
                  <w:vAlign w:val="center"/>
                </w:tcPr>
                <w:p w14:paraId="081DF7F0" w14:textId="77777777" w:rsidR="00514FBA" w:rsidRPr="00F170F7" w:rsidRDefault="00514FBA" w:rsidP="00C700DC">
                  <w:pPr>
                    <w:jc w:val="center"/>
                    <w:rPr>
                      <w:sz w:val="18"/>
                      <w:szCs w:val="18"/>
                    </w:rPr>
                  </w:pPr>
                </w:p>
              </w:tc>
              <w:tc>
                <w:tcPr>
                  <w:tcW w:w="1328" w:type="dxa"/>
                  <w:vAlign w:val="center"/>
                </w:tcPr>
                <w:p w14:paraId="00BD607F"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E-Dozvola platform reflects simplified construction permitting procedures and is upgraded to include the “E-Construction Logbook” and issuance of the use permit</w:t>
                  </w:r>
                </w:p>
                <w:p w14:paraId="7C2BA55A" w14:textId="77777777" w:rsidR="00514FBA" w:rsidRPr="00F170F7" w:rsidRDefault="00514FBA" w:rsidP="00C700DC">
                  <w:pPr>
                    <w:jc w:val="center"/>
                    <w:rPr>
                      <w:rFonts w:eastAsia="Calibri"/>
                      <w:color w:val="000000" w:themeColor="text1"/>
                      <w:sz w:val="18"/>
                      <w:szCs w:val="18"/>
                    </w:rPr>
                  </w:pPr>
                </w:p>
                <w:p w14:paraId="317356E6" w14:textId="77777777" w:rsidR="00514FBA" w:rsidRPr="00F170F7" w:rsidRDefault="00514FBA" w:rsidP="00C700DC">
                  <w:pPr>
                    <w:jc w:val="center"/>
                    <w:rPr>
                      <w:rFonts w:eastAsia="Calibri"/>
                      <w:color w:val="000000" w:themeColor="text1"/>
                      <w:sz w:val="18"/>
                      <w:szCs w:val="18"/>
                    </w:rPr>
                  </w:pPr>
                </w:p>
                <w:p w14:paraId="30D97578" w14:textId="77777777" w:rsidR="00514FBA" w:rsidRPr="00F170F7" w:rsidRDefault="00514FBA" w:rsidP="00C700DC">
                  <w:pPr>
                    <w:jc w:val="center"/>
                    <w:rPr>
                      <w:sz w:val="18"/>
                      <w:szCs w:val="18"/>
                    </w:rPr>
                  </w:pPr>
                  <w:r w:rsidRPr="00F170F7">
                    <w:rPr>
                      <w:rFonts w:eastAsia="Calibri"/>
                      <w:color w:val="000000" w:themeColor="text1"/>
                      <w:sz w:val="18"/>
                      <w:szCs w:val="18"/>
                    </w:rPr>
                    <w:t>5.0</w:t>
                  </w:r>
                </w:p>
              </w:tc>
              <w:tc>
                <w:tcPr>
                  <w:tcW w:w="1255" w:type="dxa"/>
                  <w:vAlign w:val="center"/>
                </w:tcPr>
                <w:p w14:paraId="217C541D" w14:textId="77777777" w:rsidR="00514FBA" w:rsidRPr="00F170F7" w:rsidRDefault="00514FBA" w:rsidP="00C700DC">
                  <w:pPr>
                    <w:jc w:val="center"/>
                    <w:rPr>
                      <w:sz w:val="18"/>
                      <w:szCs w:val="18"/>
                    </w:rPr>
                  </w:pPr>
                </w:p>
              </w:tc>
              <w:tc>
                <w:tcPr>
                  <w:tcW w:w="791" w:type="dxa"/>
                  <w:vAlign w:val="center"/>
                </w:tcPr>
                <w:p w14:paraId="39B39602" w14:textId="77777777" w:rsidR="00514FBA" w:rsidRPr="00F170F7" w:rsidRDefault="00514FBA" w:rsidP="00C700DC">
                  <w:pPr>
                    <w:jc w:val="center"/>
                    <w:rPr>
                      <w:sz w:val="18"/>
                      <w:szCs w:val="18"/>
                    </w:rPr>
                  </w:pPr>
                </w:p>
              </w:tc>
            </w:tr>
            <w:tr w:rsidR="00514FBA" w14:paraId="19D09293" w14:textId="77777777" w:rsidTr="00C700DC">
              <w:tc>
                <w:tcPr>
                  <w:tcW w:w="1528" w:type="dxa"/>
                  <w:vAlign w:val="center"/>
                </w:tcPr>
                <w:p w14:paraId="2C60ED7C" w14:textId="77777777" w:rsidR="00514FBA" w:rsidRPr="00F170F7" w:rsidRDefault="00514FBA" w:rsidP="00C700DC">
                  <w:pPr>
                    <w:rPr>
                      <w:b/>
                      <w:color w:val="000000" w:themeColor="text1"/>
                      <w:sz w:val="18"/>
                      <w:szCs w:val="18"/>
                    </w:rPr>
                  </w:pPr>
                  <w:r w:rsidRPr="00F170F7">
                    <w:rPr>
                      <w:b/>
                      <w:color w:val="000000" w:themeColor="text1"/>
                      <w:sz w:val="18"/>
                      <w:szCs w:val="18"/>
                    </w:rPr>
                    <w:t>DLI 3b:</w:t>
                  </w:r>
                </w:p>
                <w:p w14:paraId="1D8373E2" w14:textId="77777777" w:rsidR="00514FBA" w:rsidRPr="00F170F7" w:rsidRDefault="00514FBA" w:rsidP="00C700DC">
                  <w:pPr>
                    <w:pStyle w:val="ListParagraph"/>
                    <w:autoSpaceDE w:val="0"/>
                    <w:autoSpaceDN w:val="0"/>
                    <w:adjustRightInd w:val="0"/>
                    <w:spacing w:after="160" w:line="240" w:lineRule="auto"/>
                    <w:ind w:left="86"/>
                    <w:jc w:val="both"/>
                    <w:rPr>
                      <w:color w:val="000000" w:themeColor="text1"/>
                      <w:sz w:val="18"/>
                      <w:szCs w:val="18"/>
                    </w:rPr>
                  </w:pPr>
                  <w:r w:rsidRPr="00F170F7">
                    <w:rPr>
                      <w:color w:val="000000" w:themeColor="text1"/>
                      <w:sz w:val="18"/>
                      <w:szCs w:val="18"/>
                    </w:rPr>
                    <w:t>Simplifying the requirements for the provision of professional services in the construction sector.</w:t>
                  </w:r>
                </w:p>
                <w:p w14:paraId="570163AA" w14:textId="77777777" w:rsidR="00514FBA" w:rsidRPr="00F170F7" w:rsidRDefault="00514FBA" w:rsidP="00C700DC">
                  <w:pPr>
                    <w:rPr>
                      <w:b/>
                      <w:color w:val="000000" w:themeColor="text1"/>
                      <w:sz w:val="18"/>
                      <w:szCs w:val="18"/>
                    </w:rPr>
                  </w:pPr>
                  <w:r w:rsidRPr="00F170F7">
                    <w:rPr>
                      <w:b/>
                      <w:color w:val="000000" w:themeColor="text1"/>
                      <w:sz w:val="18"/>
                      <w:szCs w:val="18"/>
                    </w:rPr>
                    <w:t xml:space="preserve"> </w:t>
                  </w:r>
                </w:p>
              </w:tc>
              <w:tc>
                <w:tcPr>
                  <w:tcW w:w="1045" w:type="dxa"/>
                </w:tcPr>
                <w:p w14:paraId="6B59644B" w14:textId="77777777" w:rsidR="00514FBA" w:rsidRPr="00F170F7" w:rsidRDefault="00514FBA" w:rsidP="00C700DC">
                  <w:pPr>
                    <w:rPr>
                      <w:color w:val="000000" w:themeColor="text1"/>
                      <w:sz w:val="18"/>
                      <w:szCs w:val="18"/>
                    </w:rPr>
                  </w:pPr>
                  <w:r>
                    <w:rPr>
                      <w:color w:val="000000" w:themeColor="text1"/>
                      <w:sz w:val="18"/>
                      <w:szCs w:val="18"/>
                    </w:rPr>
                    <w:t xml:space="preserve"> Scalable</w:t>
                  </w:r>
                </w:p>
              </w:tc>
              <w:tc>
                <w:tcPr>
                  <w:tcW w:w="1795" w:type="dxa"/>
                  <w:vAlign w:val="center"/>
                </w:tcPr>
                <w:p w14:paraId="5F6994E5"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 xml:space="preserve">At least one requirement for </w:t>
                  </w:r>
                  <w:r>
                    <w:rPr>
                      <w:rFonts w:eastAsia="Calibri"/>
                      <w:color w:val="000000" w:themeColor="text1"/>
                      <w:sz w:val="18"/>
                      <w:szCs w:val="18"/>
                    </w:rPr>
                    <w:t>each</w:t>
                  </w:r>
                  <w:r w:rsidRPr="00F170F7">
                    <w:rPr>
                      <w:rFonts w:eastAsia="Calibri"/>
                      <w:color w:val="000000" w:themeColor="text1"/>
                      <w:sz w:val="18"/>
                      <w:szCs w:val="18"/>
                    </w:rPr>
                    <w:t xml:space="preserve"> </w:t>
                  </w:r>
                  <w:r>
                    <w:rPr>
                      <w:rFonts w:eastAsia="Calibri"/>
                      <w:color w:val="000000" w:themeColor="text1"/>
                      <w:sz w:val="18"/>
                      <w:szCs w:val="18"/>
                    </w:rPr>
                    <w:t xml:space="preserve">of the two </w:t>
                  </w:r>
                  <w:r w:rsidRPr="00F170F7">
                    <w:rPr>
                      <w:rFonts w:eastAsia="Calibri"/>
                      <w:color w:val="000000" w:themeColor="text1"/>
                      <w:sz w:val="18"/>
                      <w:szCs w:val="18"/>
                    </w:rPr>
                    <w:t>professions in the construction sector is simplified</w:t>
                  </w:r>
                  <w:r>
                    <w:rPr>
                      <w:rFonts w:eastAsia="Calibri"/>
                      <w:color w:val="000000" w:themeColor="text1"/>
                      <w:sz w:val="18"/>
                      <w:szCs w:val="18"/>
                    </w:rPr>
                    <w:t>.</w:t>
                  </w:r>
                </w:p>
                <w:p w14:paraId="7081F493" w14:textId="77777777" w:rsidR="00514FBA" w:rsidRDefault="00514FBA" w:rsidP="00C700DC">
                  <w:pPr>
                    <w:rPr>
                      <w:rFonts w:eastAsia="Calibri"/>
                      <w:color w:val="000000" w:themeColor="text1"/>
                      <w:sz w:val="18"/>
                      <w:szCs w:val="18"/>
                    </w:rPr>
                  </w:pPr>
                </w:p>
                <w:p w14:paraId="44908E02" w14:textId="77777777" w:rsidR="00514FBA" w:rsidRDefault="00514FBA" w:rsidP="00C700DC">
                  <w:pPr>
                    <w:rPr>
                      <w:rFonts w:eastAsia="Calibri"/>
                      <w:color w:val="000000" w:themeColor="text1"/>
                      <w:sz w:val="18"/>
                      <w:szCs w:val="18"/>
                    </w:rPr>
                  </w:pPr>
                </w:p>
                <w:p w14:paraId="78A4BE10" w14:textId="77777777" w:rsidR="00514FBA" w:rsidRDefault="00514FBA" w:rsidP="00C700DC">
                  <w:pPr>
                    <w:rPr>
                      <w:rFonts w:eastAsia="Calibri"/>
                      <w:color w:val="000000" w:themeColor="text1"/>
                      <w:sz w:val="18"/>
                      <w:szCs w:val="18"/>
                    </w:rPr>
                  </w:pPr>
                </w:p>
                <w:p w14:paraId="631C55C2" w14:textId="77777777" w:rsidR="00514FBA" w:rsidRPr="00F170F7" w:rsidRDefault="00514FBA" w:rsidP="00C700DC">
                  <w:pPr>
                    <w:rPr>
                      <w:rFonts w:eastAsia="Calibri"/>
                      <w:color w:val="000000" w:themeColor="text1"/>
                      <w:sz w:val="18"/>
                      <w:szCs w:val="18"/>
                    </w:rPr>
                  </w:pPr>
                </w:p>
                <w:p w14:paraId="5112EDAF"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1.0</w:t>
                  </w:r>
                </w:p>
              </w:tc>
              <w:tc>
                <w:tcPr>
                  <w:tcW w:w="1486" w:type="dxa"/>
                  <w:vAlign w:val="center"/>
                </w:tcPr>
                <w:p w14:paraId="5E35363A" w14:textId="77777777" w:rsidR="00514FBA" w:rsidRPr="00F170F7" w:rsidRDefault="00514FBA" w:rsidP="00C700DC">
                  <w:pPr>
                    <w:jc w:val="center"/>
                    <w:rPr>
                      <w:sz w:val="18"/>
                      <w:szCs w:val="18"/>
                    </w:rPr>
                  </w:pPr>
                </w:p>
              </w:tc>
              <w:tc>
                <w:tcPr>
                  <w:tcW w:w="1328" w:type="dxa"/>
                  <w:vAlign w:val="center"/>
                </w:tcPr>
                <w:p w14:paraId="3A6E3F3D"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 xml:space="preserve">At least one requirement for </w:t>
                  </w:r>
                  <w:r>
                    <w:rPr>
                      <w:rFonts w:eastAsia="Calibri"/>
                      <w:color w:val="000000" w:themeColor="text1"/>
                      <w:sz w:val="18"/>
                      <w:szCs w:val="18"/>
                    </w:rPr>
                    <w:t xml:space="preserve">each of the </w:t>
                  </w:r>
                  <w:r w:rsidRPr="00F170F7">
                    <w:rPr>
                      <w:rFonts w:eastAsia="Calibri"/>
                      <w:color w:val="000000" w:themeColor="text1"/>
                      <w:sz w:val="18"/>
                      <w:szCs w:val="18"/>
                    </w:rPr>
                    <w:t>four additional professions in the construction sector is simplified</w:t>
                  </w:r>
                  <w:r>
                    <w:rPr>
                      <w:rFonts w:eastAsia="Calibri"/>
                      <w:color w:val="000000" w:themeColor="text1"/>
                      <w:sz w:val="18"/>
                      <w:szCs w:val="18"/>
                    </w:rPr>
                    <w:t>.</w:t>
                  </w:r>
                </w:p>
                <w:p w14:paraId="327CDDC7" w14:textId="77777777" w:rsidR="00514FBA" w:rsidRPr="00F170F7" w:rsidRDefault="00514FBA" w:rsidP="00C700DC">
                  <w:pPr>
                    <w:rPr>
                      <w:rFonts w:eastAsia="Calibri"/>
                      <w:color w:val="000000" w:themeColor="text1"/>
                      <w:sz w:val="18"/>
                      <w:szCs w:val="18"/>
                    </w:rPr>
                  </w:pPr>
                </w:p>
                <w:p w14:paraId="7B54F43B"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2.0</w:t>
                  </w:r>
                </w:p>
              </w:tc>
              <w:tc>
                <w:tcPr>
                  <w:tcW w:w="1255" w:type="dxa"/>
                  <w:vAlign w:val="center"/>
                </w:tcPr>
                <w:p w14:paraId="052A6C94" w14:textId="77777777" w:rsidR="00514FBA" w:rsidRPr="00F170F7" w:rsidRDefault="00514FBA" w:rsidP="00C700DC">
                  <w:pPr>
                    <w:jc w:val="center"/>
                    <w:rPr>
                      <w:sz w:val="18"/>
                      <w:szCs w:val="18"/>
                    </w:rPr>
                  </w:pPr>
                </w:p>
              </w:tc>
              <w:tc>
                <w:tcPr>
                  <w:tcW w:w="791" w:type="dxa"/>
                  <w:vAlign w:val="center"/>
                </w:tcPr>
                <w:p w14:paraId="47942808" w14:textId="77777777" w:rsidR="00514FBA" w:rsidRPr="00F170F7" w:rsidRDefault="00514FBA" w:rsidP="00C700DC">
                  <w:pPr>
                    <w:jc w:val="center"/>
                    <w:rPr>
                      <w:sz w:val="18"/>
                      <w:szCs w:val="18"/>
                    </w:rPr>
                  </w:pPr>
                </w:p>
              </w:tc>
            </w:tr>
            <w:tr w:rsidR="00514FBA" w14:paraId="433310D0" w14:textId="77777777" w:rsidTr="000E650C">
              <w:trPr>
                <w:trHeight w:val="485"/>
              </w:trPr>
              <w:tc>
                <w:tcPr>
                  <w:tcW w:w="1528" w:type="dxa"/>
                  <w:shd w:val="clear" w:color="auto" w:fill="auto"/>
                  <w:vAlign w:val="center"/>
                </w:tcPr>
                <w:p w14:paraId="7193D8CE" w14:textId="77777777" w:rsidR="00514FBA" w:rsidRPr="00F170F7" w:rsidRDefault="00514FBA" w:rsidP="00C700DC">
                  <w:pPr>
                    <w:rPr>
                      <w:b/>
                      <w:color w:val="000000" w:themeColor="text1"/>
                      <w:sz w:val="18"/>
                      <w:szCs w:val="18"/>
                    </w:rPr>
                  </w:pPr>
                  <w:r w:rsidRPr="00F170F7">
                    <w:rPr>
                      <w:b/>
                      <w:bCs/>
                      <w:color w:val="000000" w:themeColor="text1"/>
                      <w:sz w:val="18"/>
                      <w:szCs w:val="18"/>
                    </w:rPr>
                    <w:t>Part 2:</w:t>
                  </w:r>
                  <w:r w:rsidRPr="00F170F7">
                    <w:rPr>
                      <w:b/>
                      <w:color w:val="000000" w:themeColor="text1"/>
                      <w:sz w:val="18"/>
                      <w:szCs w:val="18"/>
                    </w:rPr>
                    <w:t xml:space="preserve"> Improving justice services for businesses</w:t>
                  </w:r>
                </w:p>
              </w:tc>
              <w:tc>
                <w:tcPr>
                  <w:tcW w:w="1045" w:type="dxa"/>
                  <w:shd w:val="clear" w:color="auto" w:fill="auto"/>
                </w:tcPr>
                <w:p w14:paraId="4FF15B02" w14:textId="77777777" w:rsidR="00514FBA" w:rsidRPr="00F170F7" w:rsidRDefault="00514FBA" w:rsidP="00C700DC">
                  <w:pPr>
                    <w:jc w:val="center"/>
                    <w:rPr>
                      <w:rFonts w:eastAsia="Calibri"/>
                      <w:b/>
                      <w:color w:val="000000" w:themeColor="text1"/>
                      <w:sz w:val="18"/>
                      <w:szCs w:val="18"/>
                    </w:rPr>
                  </w:pPr>
                </w:p>
              </w:tc>
              <w:tc>
                <w:tcPr>
                  <w:tcW w:w="1795" w:type="dxa"/>
                  <w:shd w:val="clear" w:color="auto" w:fill="auto"/>
                  <w:vAlign w:val="center"/>
                </w:tcPr>
                <w:p w14:paraId="793D4572" w14:textId="77777777" w:rsidR="00514FBA" w:rsidRPr="00F170F7" w:rsidRDefault="00514FBA" w:rsidP="00C700DC">
                  <w:pPr>
                    <w:jc w:val="center"/>
                    <w:rPr>
                      <w:rFonts w:eastAsia="Calibri"/>
                      <w:color w:val="000000" w:themeColor="text1"/>
                      <w:sz w:val="18"/>
                      <w:szCs w:val="18"/>
                    </w:rPr>
                  </w:pPr>
                </w:p>
              </w:tc>
              <w:tc>
                <w:tcPr>
                  <w:tcW w:w="1486" w:type="dxa"/>
                  <w:shd w:val="clear" w:color="auto" w:fill="auto"/>
                  <w:vAlign w:val="center"/>
                </w:tcPr>
                <w:p w14:paraId="3E9E31EE" w14:textId="77777777" w:rsidR="00514FBA" w:rsidRPr="00F170F7" w:rsidRDefault="00514FBA" w:rsidP="00C700DC">
                  <w:pPr>
                    <w:jc w:val="center"/>
                    <w:rPr>
                      <w:rFonts w:eastAsia="Calibri"/>
                      <w:color w:val="000000" w:themeColor="text1"/>
                      <w:sz w:val="18"/>
                      <w:szCs w:val="18"/>
                    </w:rPr>
                  </w:pPr>
                </w:p>
              </w:tc>
              <w:tc>
                <w:tcPr>
                  <w:tcW w:w="1328" w:type="dxa"/>
                  <w:shd w:val="clear" w:color="auto" w:fill="auto"/>
                  <w:vAlign w:val="center"/>
                </w:tcPr>
                <w:p w14:paraId="55EE59B1" w14:textId="77777777" w:rsidR="00514FBA" w:rsidRPr="00F170F7" w:rsidRDefault="00514FBA" w:rsidP="00C700DC">
                  <w:pPr>
                    <w:jc w:val="center"/>
                    <w:rPr>
                      <w:rFonts w:eastAsia="Calibri"/>
                      <w:color w:val="000000" w:themeColor="text1"/>
                      <w:sz w:val="18"/>
                      <w:szCs w:val="18"/>
                    </w:rPr>
                  </w:pPr>
                </w:p>
              </w:tc>
              <w:tc>
                <w:tcPr>
                  <w:tcW w:w="1255" w:type="dxa"/>
                  <w:shd w:val="clear" w:color="auto" w:fill="auto"/>
                  <w:vAlign w:val="center"/>
                </w:tcPr>
                <w:p w14:paraId="33F3BA29" w14:textId="77777777" w:rsidR="00514FBA" w:rsidRPr="00F170F7" w:rsidRDefault="00514FBA" w:rsidP="00C700DC">
                  <w:pPr>
                    <w:jc w:val="center"/>
                    <w:rPr>
                      <w:rFonts w:eastAsia="Calibri"/>
                      <w:color w:val="000000" w:themeColor="text1"/>
                      <w:sz w:val="18"/>
                      <w:szCs w:val="18"/>
                    </w:rPr>
                  </w:pPr>
                </w:p>
              </w:tc>
              <w:tc>
                <w:tcPr>
                  <w:tcW w:w="791" w:type="dxa"/>
                  <w:shd w:val="clear" w:color="auto" w:fill="auto"/>
                  <w:vAlign w:val="center"/>
                </w:tcPr>
                <w:p w14:paraId="28398F16" w14:textId="77777777" w:rsidR="00514FBA" w:rsidRPr="00F170F7" w:rsidRDefault="00514FBA" w:rsidP="00C700DC">
                  <w:pPr>
                    <w:jc w:val="center"/>
                    <w:rPr>
                      <w:rFonts w:eastAsia="Calibri"/>
                      <w:color w:val="000000" w:themeColor="text1"/>
                      <w:sz w:val="18"/>
                      <w:szCs w:val="18"/>
                    </w:rPr>
                  </w:pPr>
                </w:p>
              </w:tc>
            </w:tr>
            <w:tr w:rsidR="00514FBA" w14:paraId="4FFDA396" w14:textId="77777777" w:rsidTr="00C700DC">
              <w:tc>
                <w:tcPr>
                  <w:tcW w:w="1528" w:type="dxa"/>
                  <w:vAlign w:val="center"/>
                </w:tcPr>
                <w:p w14:paraId="1918E2E4" w14:textId="77777777" w:rsidR="00514FBA" w:rsidRPr="00F170F7" w:rsidRDefault="00514FBA" w:rsidP="00C700DC">
                  <w:pPr>
                    <w:rPr>
                      <w:sz w:val="18"/>
                      <w:szCs w:val="18"/>
                    </w:rPr>
                  </w:pPr>
                  <w:r w:rsidRPr="00F170F7">
                    <w:rPr>
                      <w:b/>
                      <w:color w:val="000000" w:themeColor="text1"/>
                      <w:sz w:val="18"/>
                      <w:szCs w:val="18"/>
                    </w:rPr>
                    <w:t xml:space="preserve">DLI 4: </w:t>
                  </w:r>
                  <w:r w:rsidRPr="00F170F7">
                    <w:rPr>
                      <w:sz w:val="18"/>
                      <w:szCs w:val="18"/>
                    </w:rPr>
                    <w:t>Increased uptake of e-Justice tools</w:t>
                  </w:r>
                </w:p>
              </w:tc>
              <w:tc>
                <w:tcPr>
                  <w:tcW w:w="1045" w:type="dxa"/>
                </w:tcPr>
                <w:p w14:paraId="6AC50ACF" w14:textId="77777777" w:rsidR="00514FBA" w:rsidRPr="00F170F7" w:rsidRDefault="00514FBA" w:rsidP="00C700DC">
                  <w:pPr>
                    <w:jc w:val="center"/>
                    <w:rPr>
                      <w:rFonts w:eastAsia="Calibri"/>
                      <w:color w:val="000000" w:themeColor="text1"/>
                      <w:sz w:val="18"/>
                      <w:szCs w:val="18"/>
                    </w:rPr>
                  </w:pPr>
                  <w:r w:rsidRPr="00F170F7">
                    <w:rPr>
                      <w:color w:val="000000" w:themeColor="text1"/>
                      <w:sz w:val="18"/>
                      <w:szCs w:val="18"/>
                    </w:rPr>
                    <w:t>not scalable</w:t>
                  </w:r>
                </w:p>
              </w:tc>
              <w:tc>
                <w:tcPr>
                  <w:tcW w:w="1795" w:type="dxa"/>
                  <w:vAlign w:val="center"/>
                </w:tcPr>
                <w:p w14:paraId="243C9A11"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 xml:space="preserve">At least nineteen municipal courts use the e-communication system and the following courts are </w:t>
                  </w:r>
                  <w:r>
                    <w:rPr>
                      <w:rFonts w:eastAsia="Calibri"/>
                      <w:color w:val="000000" w:themeColor="text1"/>
                      <w:sz w:val="18"/>
                      <w:szCs w:val="18"/>
                    </w:rPr>
                    <w:t>connected to</w:t>
                  </w:r>
                  <w:r w:rsidRPr="00F170F7">
                    <w:rPr>
                      <w:rFonts w:eastAsia="Calibri"/>
                      <w:color w:val="000000" w:themeColor="text1"/>
                      <w:sz w:val="18"/>
                      <w:szCs w:val="18"/>
                    </w:rPr>
                    <w:t xml:space="preserve"> ICMS: (a) All misdemeanor departments at municipal courts, (b) municipal misdemeanor court in Zagreb and Split, </w:t>
                  </w:r>
                  <w:r>
                    <w:rPr>
                      <w:rFonts w:eastAsia="Calibri"/>
                      <w:color w:val="000000" w:themeColor="text1"/>
                      <w:sz w:val="18"/>
                      <w:szCs w:val="18"/>
                    </w:rPr>
                    <w:t xml:space="preserve">and </w:t>
                  </w:r>
                  <w:r w:rsidRPr="00F170F7">
                    <w:rPr>
                      <w:rFonts w:eastAsia="Calibri"/>
                      <w:color w:val="000000" w:themeColor="text1"/>
                      <w:sz w:val="18"/>
                      <w:szCs w:val="18"/>
                    </w:rPr>
                    <w:t>(c) High Misdemeanor Court.</w:t>
                  </w:r>
                </w:p>
                <w:p w14:paraId="43EF432F" w14:textId="77777777" w:rsidR="00514FBA" w:rsidRPr="00F170F7" w:rsidRDefault="00514FBA" w:rsidP="00C700DC">
                  <w:pPr>
                    <w:jc w:val="center"/>
                    <w:rPr>
                      <w:rFonts w:eastAsia="Calibri"/>
                      <w:color w:val="000000" w:themeColor="text1"/>
                      <w:sz w:val="18"/>
                      <w:szCs w:val="18"/>
                    </w:rPr>
                  </w:pPr>
                </w:p>
                <w:p w14:paraId="4CF14714" w14:textId="77777777" w:rsidR="00514FBA" w:rsidRPr="00F170F7" w:rsidRDefault="00514FBA" w:rsidP="00C700DC">
                  <w:pPr>
                    <w:jc w:val="center"/>
                    <w:rPr>
                      <w:rFonts w:eastAsia="Calibri"/>
                      <w:color w:val="000000" w:themeColor="text1"/>
                      <w:sz w:val="18"/>
                      <w:szCs w:val="18"/>
                    </w:rPr>
                  </w:pPr>
                </w:p>
                <w:p w14:paraId="5F409E69" w14:textId="77777777" w:rsidR="00A67D49" w:rsidRDefault="00A67D49" w:rsidP="00C700DC">
                  <w:pPr>
                    <w:jc w:val="center"/>
                    <w:rPr>
                      <w:rFonts w:eastAsia="Calibri"/>
                      <w:color w:val="000000" w:themeColor="text1"/>
                      <w:sz w:val="18"/>
                      <w:szCs w:val="18"/>
                    </w:rPr>
                  </w:pPr>
                </w:p>
                <w:p w14:paraId="4D09FB4F" w14:textId="77777777" w:rsidR="00A67D49" w:rsidRDefault="00A67D49" w:rsidP="00C700DC">
                  <w:pPr>
                    <w:jc w:val="center"/>
                    <w:rPr>
                      <w:rFonts w:eastAsia="Calibri"/>
                      <w:color w:val="000000" w:themeColor="text1"/>
                      <w:sz w:val="18"/>
                      <w:szCs w:val="18"/>
                    </w:rPr>
                  </w:pPr>
                </w:p>
                <w:p w14:paraId="12FAE563" w14:textId="77777777" w:rsidR="00514FBA" w:rsidRPr="00F170F7" w:rsidRDefault="00514FBA" w:rsidP="00C700DC">
                  <w:pPr>
                    <w:jc w:val="center"/>
                    <w:rPr>
                      <w:sz w:val="18"/>
                      <w:szCs w:val="18"/>
                    </w:rPr>
                  </w:pPr>
                  <w:r w:rsidRPr="00F170F7">
                    <w:rPr>
                      <w:rFonts w:eastAsia="Calibri"/>
                      <w:color w:val="000000" w:themeColor="text1"/>
                      <w:sz w:val="18"/>
                      <w:szCs w:val="18"/>
                    </w:rPr>
                    <w:t>2.0</w:t>
                  </w:r>
                </w:p>
              </w:tc>
              <w:tc>
                <w:tcPr>
                  <w:tcW w:w="1486" w:type="dxa"/>
                  <w:vAlign w:val="center"/>
                </w:tcPr>
                <w:p w14:paraId="3E3EB8B8"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 xml:space="preserve">The high Administrative Court is </w:t>
                  </w:r>
                  <w:r>
                    <w:rPr>
                      <w:rFonts w:eastAsia="Calibri"/>
                      <w:color w:val="000000" w:themeColor="text1"/>
                      <w:sz w:val="18"/>
                      <w:szCs w:val="18"/>
                    </w:rPr>
                    <w:t>connected to</w:t>
                  </w:r>
                  <w:r w:rsidRPr="00F170F7">
                    <w:rPr>
                      <w:rFonts w:eastAsia="Calibri"/>
                      <w:color w:val="000000" w:themeColor="text1"/>
                      <w:sz w:val="18"/>
                      <w:szCs w:val="18"/>
                    </w:rPr>
                    <w:t xml:space="preserve"> ICMS; and at least nine additional municipal courts use the e-communication system.</w:t>
                  </w:r>
                </w:p>
                <w:p w14:paraId="074135B3" w14:textId="77777777" w:rsidR="00514FBA" w:rsidRPr="00F170F7" w:rsidRDefault="00514FBA" w:rsidP="00C700DC">
                  <w:pPr>
                    <w:rPr>
                      <w:rFonts w:eastAsia="Calibri"/>
                      <w:color w:val="000000" w:themeColor="text1"/>
                      <w:sz w:val="18"/>
                      <w:szCs w:val="18"/>
                    </w:rPr>
                  </w:pPr>
                </w:p>
                <w:p w14:paraId="6BB5D91C" w14:textId="77777777" w:rsidR="00514FBA" w:rsidRPr="00F170F7" w:rsidRDefault="00514FBA" w:rsidP="00C700DC">
                  <w:pPr>
                    <w:rPr>
                      <w:rFonts w:eastAsia="Calibri"/>
                      <w:color w:val="000000" w:themeColor="text1"/>
                      <w:sz w:val="18"/>
                      <w:szCs w:val="18"/>
                    </w:rPr>
                  </w:pPr>
                  <w:r>
                    <w:rPr>
                      <w:rFonts w:eastAsia="Calibri"/>
                      <w:color w:val="000000" w:themeColor="text1"/>
                      <w:sz w:val="18"/>
                      <w:szCs w:val="18"/>
                    </w:rPr>
                    <w:t>The four</w:t>
                  </w:r>
                  <w:r w:rsidRPr="00F170F7">
                    <w:rPr>
                      <w:rFonts w:eastAsia="Calibri"/>
                      <w:color w:val="000000" w:themeColor="text1"/>
                      <w:sz w:val="18"/>
                      <w:szCs w:val="18"/>
                    </w:rPr>
                    <w:t xml:space="preserve"> </w:t>
                  </w:r>
                  <w:r>
                    <w:rPr>
                      <w:rFonts w:eastAsia="Calibri"/>
                      <w:color w:val="000000" w:themeColor="text1"/>
                      <w:sz w:val="18"/>
                      <w:szCs w:val="18"/>
                    </w:rPr>
                    <w:t xml:space="preserve">(4) </w:t>
                  </w:r>
                  <w:r w:rsidRPr="00F170F7">
                    <w:rPr>
                      <w:rFonts w:eastAsia="Calibri"/>
                      <w:color w:val="000000" w:themeColor="text1"/>
                      <w:sz w:val="18"/>
                      <w:szCs w:val="18"/>
                    </w:rPr>
                    <w:t xml:space="preserve">Administrative Courts are </w:t>
                  </w:r>
                  <w:r>
                    <w:rPr>
                      <w:rFonts w:eastAsia="Calibri"/>
                      <w:color w:val="000000" w:themeColor="text1"/>
                      <w:sz w:val="18"/>
                      <w:szCs w:val="18"/>
                    </w:rPr>
                    <w:t>connected to</w:t>
                  </w:r>
                  <w:r w:rsidRPr="00F170F7">
                    <w:rPr>
                      <w:rFonts w:eastAsia="Calibri"/>
                      <w:color w:val="000000" w:themeColor="text1"/>
                      <w:sz w:val="18"/>
                      <w:szCs w:val="18"/>
                    </w:rPr>
                    <w:t xml:space="preserve"> ICMS</w:t>
                  </w:r>
                </w:p>
                <w:p w14:paraId="3A56F325" w14:textId="77777777" w:rsidR="00514FBA" w:rsidRPr="00F170F7" w:rsidRDefault="00514FBA" w:rsidP="00C700DC">
                  <w:pPr>
                    <w:jc w:val="center"/>
                    <w:rPr>
                      <w:rFonts w:eastAsia="Calibri"/>
                      <w:color w:val="000000" w:themeColor="text1"/>
                      <w:sz w:val="18"/>
                      <w:szCs w:val="18"/>
                    </w:rPr>
                  </w:pPr>
                </w:p>
                <w:p w14:paraId="34BAA28A" w14:textId="77777777" w:rsidR="00514FBA" w:rsidRPr="00F170F7" w:rsidRDefault="00514FBA" w:rsidP="00C700DC">
                  <w:pPr>
                    <w:jc w:val="center"/>
                    <w:rPr>
                      <w:rFonts w:eastAsia="Calibri"/>
                      <w:color w:val="000000" w:themeColor="text1"/>
                      <w:sz w:val="18"/>
                      <w:szCs w:val="18"/>
                    </w:rPr>
                  </w:pPr>
                </w:p>
                <w:p w14:paraId="76FA68A3" w14:textId="77777777" w:rsidR="00514FBA" w:rsidRPr="00F170F7" w:rsidRDefault="00514FBA" w:rsidP="00C700DC">
                  <w:pPr>
                    <w:jc w:val="center"/>
                    <w:rPr>
                      <w:sz w:val="18"/>
                      <w:szCs w:val="18"/>
                    </w:rPr>
                  </w:pPr>
                  <w:r w:rsidRPr="00F170F7">
                    <w:rPr>
                      <w:rFonts w:eastAsia="Calibri"/>
                      <w:color w:val="000000" w:themeColor="text1"/>
                      <w:sz w:val="18"/>
                      <w:szCs w:val="18"/>
                    </w:rPr>
                    <w:t>3.0</w:t>
                  </w:r>
                </w:p>
              </w:tc>
              <w:tc>
                <w:tcPr>
                  <w:tcW w:w="1328" w:type="dxa"/>
                  <w:vAlign w:val="center"/>
                </w:tcPr>
                <w:p w14:paraId="7F8D339E" w14:textId="77777777" w:rsidR="00514FBA" w:rsidRPr="00F170F7" w:rsidRDefault="00514FBA" w:rsidP="00C700DC">
                  <w:pPr>
                    <w:jc w:val="center"/>
                    <w:rPr>
                      <w:sz w:val="18"/>
                      <w:szCs w:val="18"/>
                    </w:rPr>
                  </w:pPr>
                </w:p>
              </w:tc>
              <w:tc>
                <w:tcPr>
                  <w:tcW w:w="1255" w:type="dxa"/>
                  <w:vAlign w:val="center"/>
                </w:tcPr>
                <w:p w14:paraId="67021EB8" w14:textId="77777777" w:rsidR="00514FBA" w:rsidRPr="00F170F7" w:rsidRDefault="00514FBA" w:rsidP="00C700DC">
                  <w:pPr>
                    <w:jc w:val="center"/>
                    <w:rPr>
                      <w:sz w:val="18"/>
                      <w:szCs w:val="18"/>
                    </w:rPr>
                  </w:pPr>
                </w:p>
              </w:tc>
              <w:tc>
                <w:tcPr>
                  <w:tcW w:w="791" w:type="dxa"/>
                  <w:vAlign w:val="center"/>
                </w:tcPr>
                <w:p w14:paraId="57616F74" w14:textId="77777777" w:rsidR="00514FBA" w:rsidRPr="00F170F7" w:rsidRDefault="00514FBA" w:rsidP="00C700DC">
                  <w:pPr>
                    <w:jc w:val="center"/>
                    <w:rPr>
                      <w:sz w:val="18"/>
                      <w:szCs w:val="18"/>
                    </w:rPr>
                  </w:pPr>
                </w:p>
              </w:tc>
            </w:tr>
            <w:tr w:rsidR="00514FBA" w14:paraId="4619D0AD" w14:textId="77777777" w:rsidTr="00C700DC">
              <w:tc>
                <w:tcPr>
                  <w:tcW w:w="1528" w:type="dxa"/>
                  <w:vAlign w:val="center"/>
                </w:tcPr>
                <w:p w14:paraId="5079814A" w14:textId="77777777" w:rsidR="00514FBA" w:rsidRPr="00F170F7" w:rsidRDefault="00514FBA" w:rsidP="00C700DC">
                  <w:pPr>
                    <w:rPr>
                      <w:color w:val="000000" w:themeColor="text1"/>
                      <w:sz w:val="18"/>
                      <w:szCs w:val="18"/>
                    </w:rPr>
                  </w:pPr>
                  <w:r w:rsidRPr="00F170F7">
                    <w:rPr>
                      <w:b/>
                      <w:color w:val="000000" w:themeColor="text1"/>
                      <w:sz w:val="18"/>
                      <w:szCs w:val="18"/>
                    </w:rPr>
                    <w:t xml:space="preserve">DLI 5: </w:t>
                  </w:r>
                  <w:r w:rsidRPr="00F170F7">
                    <w:rPr>
                      <w:color w:val="000000" w:themeColor="text1"/>
                      <w:sz w:val="18"/>
                      <w:szCs w:val="18"/>
                    </w:rPr>
                    <w:t xml:space="preserve">Reduction of court backlog of cases older than 10 years </w:t>
                  </w:r>
                </w:p>
              </w:tc>
              <w:tc>
                <w:tcPr>
                  <w:tcW w:w="1045" w:type="dxa"/>
                </w:tcPr>
                <w:p w14:paraId="6061DEE1" w14:textId="77777777" w:rsidR="00514FBA" w:rsidRPr="00F170F7" w:rsidRDefault="00514FBA" w:rsidP="00C700DC">
                  <w:pPr>
                    <w:jc w:val="center"/>
                    <w:rPr>
                      <w:rFonts w:eastAsia="Calibri"/>
                      <w:color w:val="000000" w:themeColor="text1"/>
                      <w:sz w:val="18"/>
                      <w:szCs w:val="18"/>
                    </w:rPr>
                  </w:pPr>
                  <w:r w:rsidRPr="00F170F7">
                    <w:rPr>
                      <w:color w:val="000000" w:themeColor="text1"/>
                      <w:sz w:val="18"/>
                      <w:szCs w:val="18"/>
                    </w:rPr>
                    <w:t>scalable</w:t>
                  </w:r>
                </w:p>
              </w:tc>
              <w:tc>
                <w:tcPr>
                  <w:tcW w:w="1795" w:type="dxa"/>
                  <w:vAlign w:val="center"/>
                </w:tcPr>
                <w:p w14:paraId="25B04644" w14:textId="77777777" w:rsidR="00514FBA" w:rsidRPr="00F170F7" w:rsidRDefault="00514FBA" w:rsidP="00C700DC">
                  <w:pPr>
                    <w:rPr>
                      <w:rFonts w:eastAsia="Calibri"/>
                      <w:color w:val="000000" w:themeColor="text1"/>
                      <w:sz w:val="18"/>
                      <w:szCs w:val="18"/>
                    </w:rPr>
                  </w:pPr>
                  <w:r>
                    <w:rPr>
                      <w:rFonts w:eastAsia="Calibri"/>
                      <w:color w:val="000000" w:themeColor="text1"/>
                      <w:sz w:val="18"/>
                      <w:szCs w:val="18"/>
                    </w:rPr>
                    <w:t>10</w:t>
                  </w:r>
                  <w:r w:rsidRPr="00F170F7">
                    <w:rPr>
                      <w:rFonts w:eastAsia="Calibri"/>
                      <w:color w:val="000000" w:themeColor="text1"/>
                      <w:sz w:val="18"/>
                      <w:szCs w:val="18"/>
                    </w:rPr>
                    <w:t xml:space="preserve"> percent net reduction with respect to the baseline of 9,131 cases.</w:t>
                  </w:r>
                </w:p>
                <w:p w14:paraId="76846116" w14:textId="77777777" w:rsidR="00514FBA" w:rsidRPr="00F170F7" w:rsidRDefault="00514FBA" w:rsidP="00C700DC">
                  <w:pPr>
                    <w:jc w:val="center"/>
                    <w:rPr>
                      <w:rFonts w:eastAsia="Calibri"/>
                      <w:color w:val="000000" w:themeColor="text1"/>
                      <w:sz w:val="18"/>
                      <w:szCs w:val="18"/>
                    </w:rPr>
                  </w:pPr>
                </w:p>
                <w:p w14:paraId="4F8D86A5" w14:textId="77777777" w:rsidR="00514FBA" w:rsidRPr="00F170F7" w:rsidRDefault="00514FBA" w:rsidP="00C700DC">
                  <w:pPr>
                    <w:jc w:val="center"/>
                    <w:rPr>
                      <w:rFonts w:eastAsia="Calibri"/>
                      <w:color w:val="000000" w:themeColor="text1"/>
                      <w:sz w:val="18"/>
                      <w:szCs w:val="18"/>
                    </w:rPr>
                  </w:pPr>
                </w:p>
                <w:p w14:paraId="03735950" w14:textId="77777777" w:rsidR="00514FBA" w:rsidRPr="00F170F7" w:rsidRDefault="00514FBA" w:rsidP="00C700DC">
                  <w:pPr>
                    <w:jc w:val="center"/>
                    <w:rPr>
                      <w:sz w:val="18"/>
                      <w:szCs w:val="18"/>
                    </w:rPr>
                  </w:pPr>
                  <w:r w:rsidRPr="00F170F7">
                    <w:rPr>
                      <w:rFonts w:eastAsia="Calibri"/>
                      <w:color w:val="000000" w:themeColor="text1"/>
                      <w:sz w:val="18"/>
                      <w:szCs w:val="18"/>
                    </w:rPr>
                    <w:t>4.0</w:t>
                  </w:r>
                </w:p>
              </w:tc>
              <w:tc>
                <w:tcPr>
                  <w:tcW w:w="1486" w:type="dxa"/>
                  <w:vAlign w:val="center"/>
                </w:tcPr>
                <w:p w14:paraId="7B35FEB7" w14:textId="77777777" w:rsidR="00514FBA" w:rsidRPr="00F170F7" w:rsidRDefault="00514FBA" w:rsidP="00C700DC">
                  <w:pPr>
                    <w:rPr>
                      <w:rFonts w:eastAsia="Calibri"/>
                      <w:color w:val="000000" w:themeColor="text1"/>
                      <w:sz w:val="18"/>
                      <w:szCs w:val="18"/>
                    </w:rPr>
                  </w:pPr>
                  <w:r>
                    <w:rPr>
                      <w:rFonts w:eastAsia="Calibri"/>
                      <w:color w:val="000000" w:themeColor="text1"/>
                      <w:sz w:val="18"/>
                      <w:szCs w:val="18"/>
                    </w:rPr>
                    <w:t>20</w:t>
                  </w:r>
                  <w:r w:rsidRPr="00F170F7">
                    <w:rPr>
                      <w:rFonts w:eastAsia="Calibri"/>
                      <w:color w:val="000000" w:themeColor="text1"/>
                      <w:sz w:val="18"/>
                      <w:szCs w:val="18"/>
                    </w:rPr>
                    <w:t xml:space="preserve"> percent net reduction with respect to the baseline of 9,131 cases.</w:t>
                  </w:r>
                </w:p>
                <w:p w14:paraId="6179BC92" w14:textId="77777777" w:rsidR="00514FBA" w:rsidRPr="00F170F7" w:rsidRDefault="00514FBA" w:rsidP="00C700DC">
                  <w:pPr>
                    <w:jc w:val="center"/>
                    <w:rPr>
                      <w:rFonts w:eastAsia="Calibri"/>
                      <w:color w:val="000000" w:themeColor="text1"/>
                      <w:sz w:val="18"/>
                      <w:szCs w:val="18"/>
                    </w:rPr>
                  </w:pPr>
                </w:p>
                <w:p w14:paraId="16442441" w14:textId="77777777" w:rsidR="00514FBA" w:rsidRPr="00F170F7" w:rsidRDefault="00514FBA" w:rsidP="00C700DC">
                  <w:pPr>
                    <w:jc w:val="center"/>
                    <w:rPr>
                      <w:rFonts w:eastAsia="Calibri"/>
                      <w:color w:val="000000" w:themeColor="text1"/>
                      <w:sz w:val="18"/>
                      <w:szCs w:val="18"/>
                    </w:rPr>
                  </w:pPr>
                </w:p>
                <w:p w14:paraId="4F2F84B7" w14:textId="77777777" w:rsidR="00514FBA" w:rsidRPr="00F170F7" w:rsidRDefault="00514FBA" w:rsidP="00C700DC">
                  <w:pPr>
                    <w:jc w:val="center"/>
                    <w:rPr>
                      <w:sz w:val="18"/>
                      <w:szCs w:val="18"/>
                    </w:rPr>
                  </w:pPr>
                  <w:r w:rsidRPr="00F170F7">
                    <w:rPr>
                      <w:rFonts w:eastAsia="Calibri"/>
                      <w:color w:val="000000" w:themeColor="text1"/>
                      <w:sz w:val="18"/>
                      <w:szCs w:val="18"/>
                    </w:rPr>
                    <w:t>4.0</w:t>
                  </w:r>
                </w:p>
              </w:tc>
              <w:tc>
                <w:tcPr>
                  <w:tcW w:w="1328" w:type="dxa"/>
                  <w:vAlign w:val="center"/>
                </w:tcPr>
                <w:p w14:paraId="6D0335AC" w14:textId="77777777" w:rsidR="00514FBA" w:rsidRPr="00F170F7" w:rsidRDefault="00514FBA" w:rsidP="00C700DC">
                  <w:pPr>
                    <w:rPr>
                      <w:rFonts w:eastAsia="Calibri"/>
                      <w:color w:val="000000" w:themeColor="text1"/>
                      <w:sz w:val="18"/>
                      <w:szCs w:val="18"/>
                    </w:rPr>
                  </w:pPr>
                  <w:r>
                    <w:rPr>
                      <w:rFonts w:eastAsia="Calibri"/>
                      <w:color w:val="000000" w:themeColor="text1"/>
                      <w:sz w:val="18"/>
                      <w:szCs w:val="18"/>
                    </w:rPr>
                    <w:t>30</w:t>
                  </w:r>
                  <w:r w:rsidRPr="00F170F7">
                    <w:rPr>
                      <w:rFonts w:eastAsia="Calibri"/>
                      <w:color w:val="000000" w:themeColor="text1"/>
                      <w:sz w:val="18"/>
                      <w:szCs w:val="18"/>
                    </w:rPr>
                    <w:t xml:space="preserve"> percent net reduction with respect to the baseline of 9,131 cases.</w:t>
                  </w:r>
                </w:p>
                <w:p w14:paraId="2F2EF57B" w14:textId="77777777" w:rsidR="00514FBA" w:rsidRPr="00F170F7" w:rsidRDefault="00514FBA" w:rsidP="00C700DC">
                  <w:pPr>
                    <w:jc w:val="center"/>
                    <w:rPr>
                      <w:rFonts w:eastAsia="Calibri"/>
                      <w:color w:val="000000" w:themeColor="text1"/>
                      <w:sz w:val="18"/>
                      <w:szCs w:val="18"/>
                    </w:rPr>
                  </w:pPr>
                </w:p>
                <w:p w14:paraId="378C3C09" w14:textId="77777777" w:rsidR="00514FBA" w:rsidRPr="00F170F7" w:rsidRDefault="00514FBA" w:rsidP="00C700DC">
                  <w:pPr>
                    <w:jc w:val="center"/>
                    <w:rPr>
                      <w:rFonts w:eastAsia="Calibri"/>
                      <w:color w:val="000000" w:themeColor="text1"/>
                      <w:sz w:val="18"/>
                      <w:szCs w:val="18"/>
                    </w:rPr>
                  </w:pPr>
                </w:p>
                <w:p w14:paraId="19E802A2" w14:textId="77777777" w:rsidR="00514FBA" w:rsidRPr="00F170F7" w:rsidRDefault="00514FBA" w:rsidP="00C700DC">
                  <w:pPr>
                    <w:jc w:val="center"/>
                    <w:rPr>
                      <w:sz w:val="18"/>
                      <w:szCs w:val="18"/>
                    </w:rPr>
                  </w:pPr>
                  <w:r w:rsidRPr="00F170F7">
                    <w:rPr>
                      <w:rFonts w:eastAsia="Calibri"/>
                      <w:color w:val="000000" w:themeColor="text1"/>
                      <w:sz w:val="18"/>
                      <w:szCs w:val="18"/>
                    </w:rPr>
                    <w:t>2.0</w:t>
                  </w:r>
                </w:p>
              </w:tc>
              <w:tc>
                <w:tcPr>
                  <w:tcW w:w="1255" w:type="dxa"/>
                  <w:vAlign w:val="center"/>
                </w:tcPr>
                <w:p w14:paraId="74B9C0C3" w14:textId="77777777" w:rsidR="00514FBA" w:rsidRPr="00F170F7" w:rsidRDefault="00514FBA" w:rsidP="00C700DC">
                  <w:pPr>
                    <w:jc w:val="center"/>
                    <w:rPr>
                      <w:sz w:val="18"/>
                      <w:szCs w:val="18"/>
                    </w:rPr>
                  </w:pPr>
                </w:p>
              </w:tc>
              <w:tc>
                <w:tcPr>
                  <w:tcW w:w="791" w:type="dxa"/>
                  <w:vAlign w:val="center"/>
                </w:tcPr>
                <w:p w14:paraId="1524F6B9" w14:textId="77777777" w:rsidR="00514FBA" w:rsidRPr="00F170F7" w:rsidRDefault="00514FBA" w:rsidP="00C700DC">
                  <w:pPr>
                    <w:jc w:val="center"/>
                    <w:rPr>
                      <w:sz w:val="18"/>
                      <w:szCs w:val="18"/>
                    </w:rPr>
                  </w:pPr>
                </w:p>
              </w:tc>
            </w:tr>
            <w:tr w:rsidR="00514FBA" w14:paraId="288CEABF" w14:textId="77777777" w:rsidTr="00C700DC">
              <w:tc>
                <w:tcPr>
                  <w:tcW w:w="1528" w:type="dxa"/>
                  <w:vAlign w:val="center"/>
                </w:tcPr>
                <w:p w14:paraId="676762E6" w14:textId="77777777" w:rsidR="00514FBA" w:rsidRPr="00F170F7" w:rsidRDefault="00514FBA" w:rsidP="00C700DC">
                  <w:pPr>
                    <w:rPr>
                      <w:color w:val="000000" w:themeColor="text1"/>
                      <w:sz w:val="18"/>
                      <w:szCs w:val="18"/>
                    </w:rPr>
                  </w:pPr>
                  <w:r w:rsidRPr="00F170F7">
                    <w:rPr>
                      <w:b/>
                      <w:color w:val="000000" w:themeColor="text1"/>
                      <w:sz w:val="18"/>
                      <w:szCs w:val="18"/>
                    </w:rPr>
                    <w:t xml:space="preserve">DLI 6: </w:t>
                  </w:r>
                  <w:r w:rsidRPr="00F170F7">
                    <w:rPr>
                      <w:color w:val="000000" w:themeColor="text1"/>
                      <w:sz w:val="18"/>
                      <w:szCs w:val="18"/>
                    </w:rPr>
                    <w:t xml:space="preserve">Reduction of </w:t>
                  </w:r>
                  <w:r>
                    <w:rPr>
                      <w:color w:val="000000" w:themeColor="text1"/>
                      <w:sz w:val="18"/>
                      <w:szCs w:val="18"/>
                    </w:rPr>
                    <w:t>Disposition Time</w:t>
                  </w:r>
                  <w:r w:rsidRPr="00F170F7">
                    <w:rPr>
                      <w:color w:val="000000" w:themeColor="text1"/>
                      <w:sz w:val="18"/>
                      <w:szCs w:val="18"/>
                    </w:rPr>
                    <w:t xml:space="preserve"> </w:t>
                  </w:r>
                  <w:r>
                    <w:rPr>
                      <w:color w:val="000000" w:themeColor="text1"/>
                      <w:sz w:val="18"/>
                      <w:szCs w:val="18"/>
                    </w:rPr>
                    <w:t xml:space="preserve">for the issuance of judicial decisions in cases before </w:t>
                  </w:r>
                  <w:r w:rsidRPr="00F170F7">
                    <w:rPr>
                      <w:color w:val="000000" w:themeColor="text1"/>
                      <w:sz w:val="18"/>
                      <w:szCs w:val="18"/>
                    </w:rPr>
                    <w:t>commercial courts.</w:t>
                  </w:r>
                </w:p>
              </w:tc>
              <w:tc>
                <w:tcPr>
                  <w:tcW w:w="1045" w:type="dxa"/>
                </w:tcPr>
                <w:p w14:paraId="0449FA88" w14:textId="77777777" w:rsidR="00514FBA" w:rsidRPr="00F170F7" w:rsidRDefault="00514FBA" w:rsidP="00C700DC">
                  <w:pPr>
                    <w:jc w:val="center"/>
                    <w:rPr>
                      <w:sz w:val="18"/>
                      <w:szCs w:val="18"/>
                    </w:rPr>
                  </w:pPr>
                  <w:r w:rsidRPr="00F170F7">
                    <w:rPr>
                      <w:color w:val="000000" w:themeColor="text1"/>
                      <w:sz w:val="18"/>
                      <w:szCs w:val="18"/>
                    </w:rPr>
                    <w:t>scalable</w:t>
                  </w:r>
                </w:p>
              </w:tc>
              <w:tc>
                <w:tcPr>
                  <w:tcW w:w="1795" w:type="dxa"/>
                  <w:vAlign w:val="center"/>
                </w:tcPr>
                <w:p w14:paraId="251CF93E" w14:textId="77777777" w:rsidR="00514FBA" w:rsidRPr="00F170F7" w:rsidRDefault="00514FBA" w:rsidP="00C700DC">
                  <w:pPr>
                    <w:jc w:val="center"/>
                    <w:rPr>
                      <w:sz w:val="18"/>
                      <w:szCs w:val="18"/>
                    </w:rPr>
                  </w:pPr>
                </w:p>
              </w:tc>
              <w:tc>
                <w:tcPr>
                  <w:tcW w:w="1486" w:type="dxa"/>
                  <w:vAlign w:val="center"/>
                </w:tcPr>
                <w:p w14:paraId="63927E16" w14:textId="77777777" w:rsidR="00514FBA" w:rsidRPr="00F170F7" w:rsidRDefault="00514FBA" w:rsidP="00C700DC">
                  <w:pPr>
                    <w:rPr>
                      <w:rFonts w:eastAsia="Calibri"/>
                      <w:color w:val="000000" w:themeColor="text1"/>
                      <w:sz w:val="18"/>
                      <w:szCs w:val="18"/>
                    </w:rPr>
                  </w:pPr>
                  <w:r>
                    <w:rPr>
                      <w:rFonts w:eastAsia="Calibri"/>
                      <w:color w:val="000000" w:themeColor="text1"/>
                      <w:sz w:val="18"/>
                      <w:szCs w:val="18"/>
                    </w:rPr>
                    <w:t>284</w:t>
                  </w:r>
                  <w:r w:rsidRPr="00F170F7">
                    <w:rPr>
                      <w:rFonts w:eastAsia="Calibri"/>
                      <w:color w:val="000000" w:themeColor="text1"/>
                      <w:sz w:val="18"/>
                      <w:szCs w:val="18"/>
                    </w:rPr>
                    <w:t xml:space="preserve"> days representing a </w:t>
                  </w:r>
                  <w:r>
                    <w:rPr>
                      <w:rFonts w:eastAsia="Calibri"/>
                      <w:color w:val="000000" w:themeColor="text1"/>
                      <w:sz w:val="18"/>
                      <w:szCs w:val="18"/>
                    </w:rPr>
                    <w:t>11</w:t>
                  </w:r>
                  <w:r w:rsidRPr="00F170F7">
                    <w:rPr>
                      <w:rFonts w:eastAsia="Calibri"/>
                      <w:color w:val="000000" w:themeColor="text1"/>
                      <w:sz w:val="18"/>
                      <w:szCs w:val="18"/>
                    </w:rPr>
                    <w:t xml:space="preserve"> percent reduction from the baseline of 3</w:t>
                  </w:r>
                  <w:r>
                    <w:rPr>
                      <w:rFonts w:eastAsia="Calibri"/>
                      <w:color w:val="000000" w:themeColor="text1"/>
                      <w:sz w:val="18"/>
                      <w:szCs w:val="18"/>
                    </w:rPr>
                    <w:t>20</w:t>
                  </w:r>
                  <w:r w:rsidRPr="00F170F7">
                    <w:rPr>
                      <w:rFonts w:eastAsia="Calibri"/>
                      <w:color w:val="000000" w:themeColor="text1"/>
                      <w:sz w:val="18"/>
                      <w:szCs w:val="18"/>
                    </w:rPr>
                    <w:t xml:space="preserve"> days.</w:t>
                  </w:r>
                </w:p>
                <w:p w14:paraId="05FC0589" w14:textId="77777777" w:rsidR="00514FBA" w:rsidRPr="00F170F7" w:rsidRDefault="00514FBA" w:rsidP="00C700DC">
                  <w:pPr>
                    <w:jc w:val="center"/>
                    <w:rPr>
                      <w:rFonts w:eastAsia="Calibri"/>
                      <w:color w:val="000000" w:themeColor="text1"/>
                      <w:sz w:val="18"/>
                      <w:szCs w:val="18"/>
                    </w:rPr>
                  </w:pPr>
                </w:p>
                <w:p w14:paraId="306D0FB1" w14:textId="77777777" w:rsidR="00514FBA" w:rsidRPr="00F170F7" w:rsidRDefault="00514FBA" w:rsidP="00C700DC">
                  <w:pPr>
                    <w:jc w:val="center"/>
                    <w:rPr>
                      <w:rFonts w:eastAsia="Calibri"/>
                      <w:color w:val="000000" w:themeColor="text1"/>
                      <w:sz w:val="18"/>
                      <w:szCs w:val="18"/>
                    </w:rPr>
                  </w:pPr>
                </w:p>
                <w:p w14:paraId="62FFD89C" w14:textId="77777777" w:rsidR="00514FBA" w:rsidRPr="00F170F7" w:rsidRDefault="00514FBA" w:rsidP="00C700DC">
                  <w:pPr>
                    <w:jc w:val="center"/>
                    <w:rPr>
                      <w:sz w:val="18"/>
                      <w:szCs w:val="18"/>
                    </w:rPr>
                  </w:pPr>
                  <w:r w:rsidRPr="00F170F7">
                    <w:rPr>
                      <w:rFonts w:eastAsia="Calibri"/>
                      <w:color w:val="000000" w:themeColor="text1"/>
                      <w:sz w:val="18"/>
                      <w:szCs w:val="18"/>
                    </w:rPr>
                    <w:t>4.0</w:t>
                  </w:r>
                </w:p>
              </w:tc>
              <w:tc>
                <w:tcPr>
                  <w:tcW w:w="1328" w:type="dxa"/>
                  <w:vAlign w:val="center"/>
                </w:tcPr>
                <w:p w14:paraId="0C25B450" w14:textId="77777777" w:rsidR="00514FBA" w:rsidRPr="00F170F7" w:rsidRDefault="00514FBA" w:rsidP="00C700DC">
                  <w:pPr>
                    <w:jc w:val="center"/>
                    <w:rPr>
                      <w:sz w:val="18"/>
                      <w:szCs w:val="18"/>
                    </w:rPr>
                  </w:pPr>
                </w:p>
              </w:tc>
              <w:tc>
                <w:tcPr>
                  <w:tcW w:w="1255" w:type="dxa"/>
                  <w:vAlign w:val="center"/>
                </w:tcPr>
                <w:p w14:paraId="1D831A29" w14:textId="77777777" w:rsidR="00514FBA" w:rsidRPr="00F170F7" w:rsidRDefault="00514FBA" w:rsidP="00C700DC">
                  <w:pPr>
                    <w:rPr>
                      <w:rFonts w:eastAsia="Calibri"/>
                      <w:color w:val="000000" w:themeColor="text1"/>
                      <w:sz w:val="18"/>
                      <w:szCs w:val="18"/>
                    </w:rPr>
                  </w:pPr>
                  <w:r w:rsidRPr="00F170F7">
                    <w:rPr>
                      <w:rFonts w:eastAsia="Calibri"/>
                      <w:color w:val="000000" w:themeColor="text1"/>
                      <w:sz w:val="18"/>
                      <w:szCs w:val="18"/>
                    </w:rPr>
                    <w:t>2</w:t>
                  </w:r>
                  <w:r>
                    <w:rPr>
                      <w:rFonts w:eastAsia="Calibri"/>
                      <w:color w:val="000000" w:themeColor="text1"/>
                      <w:sz w:val="18"/>
                      <w:szCs w:val="18"/>
                    </w:rPr>
                    <w:t>40</w:t>
                  </w:r>
                  <w:r w:rsidRPr="00F170F7">
                    <w:rPr>
                      <w:rFonts w:eastAsia="Calibri"/>
                      <w:color w:val="000000" w:themeColor="text1"/>
                      <w:sz w:val="18"/>
                      <w:szCs w:val="18"/>
                    </w:rPr>
                    <w:t xml:space="preserve"> days representing a 25 percent reduction from the baseline of 3</w:t>
                  </w:r>
                  <w:r>
                    <w:rPr>
                      <w:rFonts w:eastAsia="Calibri"/>
                      <w:color w:val="000000" w:themeColor="text1"/>
                      <w:sz w:val="18"/>
                      <w:szCs w:val="18"/>
                    </w:rPr>
                    <w:t>20</w:t>
                  </w:r>
                  <w:r w:rsidRPr="00F170F7">
                    <w:rPr>
                      <w:rFonts w:eastAsia="Calibri"/>
                      <w:color w:val="000000" w:themeColor="text1"/>
                      <w:sz w:val="18"/>
                      <w:szCs w:val="18"/>
                    </w:rPr>
                    <w:t xml:space="preserve"> days.</w:t>
                  </w:r>
                </w:p>
                <w:p w14:paraId="498F5A1B" w14:textId="77777777" w:rsidR="00514FBA" w:rsidRPr="00F170F7" w:rsidRDefault="00514FBA" w:rsidP="00C700DC">
                  <w:pPr>
                    <w:jc w:val="center"/>
                    <w:rPr>
                      <w:rFonts w:eastAsia="Calibri"/>
                      <w:color w:val="000000" w:themeColor="text1"/>
                      <w:sz w:val="18"/>
                      <w:szCs w:val="18"/>
                    </w:rPr>
                  </w:pPr>
                </w:p>
                <w:p w14:paraId="1B809507" w14:textId="77777777" w:rsidR="00514FBA" w:rsidRPr="00F170F7" w:rsidRDefault="00514FBA" w:rsidP="00C700DC">
                  <w:pPr>
                    <w:jc w:val="center"/>
                    <w:rPr>
                      <w:rFonts w:eastAsia="Calibri"/>
                      <w:color w:val="000000" w:themeColor="text1"/>
                      <w:sz w:val="18"/>
                      <w:szCs w:val="18"/>
                    </w:rPr>
                  </w:pPr>
                </w:p>
                <w:p w14:paraId="2EE1F181" w14:textId="77777777" w:rsidR="00514FBA" w:rsidRPr="00F170F7" w:rsidRDefault="00514FBA" w:rsidP="00C700DC">
                  <w:pPr>
                    <w:jc w:val="center"/>
                    <w:rPr>
                      <w:sz w:val="18"/>
                      <w:szCs w:val="18"/>
                    </w:rPr>
                  </w:pPr>
                  <w:r w:rsidRPr="00F170F7">
                    <w:rPr>
                      <w:rFonts w:eastAsia="Calibri"/>
                      <w:color w:val="000000" w:themeColor="text1"/>
                      <w:sz w:val="18"/>
                      <w:szCs w:val="18"/>
                    </w:rPr>
                    <w:t>6.0</w:t>
                  </w:r>
                </w:p>
              </w:tc>
              <w:tc>
                <w:tcPr>
                  <w:tcW w:w="791" w:type="dxa"/>
                  <w:vAlign w:val="center"/>
                </w:tcPr>
                <w:p w14:paraId="2CFAB20A" w14:textId="77777777" w:rsidR="00514FBA" w:rsidRPr="00F170F7" w:rsidRDefault="00514FBA" w:rsidP="00C700DC">
                  <w:pPr>
                    <w:jc w:val="center"/>
                    <w:rPr>
                      <w:sz w:val="18"/>
                      <w:szCs w:val="18"/>
                    </w:rPr>
                  </w:pPr>
                </w:p>
              </w:tc>
            </w:tr>
          </w:tbl>
          <w:p w14:paraId="4116754F" w14:textId="77777777" w:rsidR="00514FBA" w:rsidRDefault="00514FBA" w:rsidP="00C700DC">
            <w:pPr>
              <w:jc w:val="center"/>
              <w:rPr>
                <w:b/>
                <w:sz w:val="20"/>
              </w:rPr>
            </w:pPr>
          </w:p>
          <w:p w14:paraId="159F1BF6" w14:textId="77777777" w:rsidR="00514FBA" w:rsidRDefault="00514FBA" w:rsidP="00C700DC">
            <w:pPr>
              <w:jc w:val="center"/>
              <w:rPr>
                <w:b/>
                <w:sz w:val="20"/>
              </w:rPr>
            </w:pPr>
          </w:p>
          <w:p w14:paraId="1400720E" w14:textId="77777777" w:rsidR="00514FBA" w:rsidRDefault="00514FBA" w:rsidP="00C700DC">
            <w:pPr>
              <w:jc w:val="center"/>
              <w:rPr>
                <w:b/>
                <w:sz w:val="20"/>
              </w:rPr>
            </w:pPr>
          </w:p>
          <w:p w14:paraId="702433B6" w14:textId="77777777" w:rsidR="00514FBA" w:rsidRPr="005516A9" w:rsidRDefault="00514FBA" w:rsidP="00C700DC">
            <w:pPr>
              <w:jc w:val="center"/>
              <w:rPr>
                <w:b/>
                <w:sz w:val="20"/>
              </w:rPr>
            </w:pPr>
          </w:p>
        </w:tc>
      </w:tr>
      <w:tr w:rsidR="00514FBA" w:rsidRPr="005516A9" w14:paraId="0CDEE4B6" w14:textId="77777777" w:rsidTr="00C700DC">
        <w:trPr>
          <w:cantSplit/>
          <w:trHeight w:val="323"/>
        </w:trPr>
        <w:tc>
          <w:tcPr>
            <w:tcW w:w="10112" w:type="dxa"/>
            <w:tcBorders>
              <w:top w:val="single" w:sz="4" w:space="0" w:color="auto"/>
            </w:tcBorders>
          </w:tcPr>
          <w:p w14:paraId="4587FC17" w14:textId="77777777" w:rsidR="00514FBA" w:rsidRPr="00EC7AE8" w:rsidRDefault="00514FBA" w:rsidP="00C700DC">
            <w:pPr>
              <w:jc w:val="center"/>
              <w:rPr>
                <w:b/>
                <w:sz w:val="22"/>
                <w:szCs w:val="22"/>
              </w:rPr>
            </w:pPr>
          </w:p>
        </w:tc>
      </w:tr>
    </w:tbl>
    <w:p w14:paraId="5DF8D23D" w14:textId="77777777" w:rsidR="00514FBA" w:rsidRPr="006C2469" w:rsidRDefault="00514FBA" w:rsidP="00514FBA">
      <w:pPr>
        <w:pStyle w:val="BodyText"/>
        <w:rPr>
          <w:sz w:val="22"/>
          <w:szCs w:val="22"/>
        </w:rPr>
      </w:pPr>
    </w:p>
    <w:p w14:paraId="2DA649E0" w14:textId="77777777" w:rsidR="00514FBA" w:rsidRDefault="00514FBA" w:rsidP="006211D9"/>
    <w:p w14:paraId="5F6CD670" w14:textId="77777777" w:rsidR="00514FBA" w:rsidRDefault="00514FBA" w:rsidP="006211D9"/>
    <w:p w14:paraId="6D6B6C23" w14:textId="77777777" w:rsidR="00514FBA" w:rsidRDefault="00514FBA" w:rsidP="006211D9"/>
    <w:p w14:paraId="4D2078AB" w14:textId="77777777" w:rsidR="00514FBA" w:rsidRDefault="00514FBA" w:rsidP="006211D9"/>
    <w:p w14:paraId="71C21EFF" w14:textId="77777777" w:rsidR="00514FBA" w:rsidRDefault="00514FBA" w:rsidP="006211D9"/>
    <w:p w14:paraId="3F2C0589" w14:textId="77777777" w:rsidR="00514FBA" w:rsidRDefault="00514FBA" w:rsidP="006211D9"/>
    <w:p w14:paraId="16DD3E00" w14:textId="77777777" w:rsidR="00514FBA" w:rsidRDefault="00514FBA" w:rsidP="006211D9"/>
    <w:p w14:paraId="40A048B0" w14:textId="77777777" w:rsidR="00514FBA" w:rsidRDefault="00514FBA" w:rsidP="006211D9"/>
    <w:p w14:paraId="601154BD" w14:textId="77777777" w:rsidR="00514FBA" w:rsidRDefault="00514FBA" w:rsidP="006211D9"/>
    <w:p w14:paraId="13ECB778" w14:textId="77777777" w:rsidR="00514FBA" w:rsidRDefault="00514FBA" w:rsidP="006211D9"/>
    <w:p w14:paraId="7B474424" w14:textId="77777777" w:rsidR="00514FBA" w:rsidRDefault="00514FBA" w:rsidP="006211D9"/>
    <w:p w14:paraId="780E1934" w14:textId="77777777" w:rsidR="00514FBA" w:rsidRDefault="00514FBA" w:rsidP="006211D9"/>
    <w:p w14:paraId="4FE9D11B" w14:textId="77777777" w:rsidR="00514FBA" w:rsidRDefault="00514FBA" w:rsidP="006211D9"/>
    <w:p w14:paraId="5807E454" w14:textId="77777777" w:rsidR="00514FBA" w:rsidRDefault="00514FBA" w:rsidP="006211D9"/>
    <w:p w14:paraId="41CF5D75" w14:textId="77777777" w:rsidR="00514FBA" w:rsidRDefault="00514FBA" w:rsidP="006211D9"/>
    <w:p w14:paraId="4B411D68" w14:textId="77777777" w:rsidR="00514FBA" w:rsidRDefault="00514FBA" w:rsidP="006211D9"/>
    <w:p w14:paraId="1C11F8B3" w14:textId="77777777" w:rsidR="00514FBA" w:rsidRDefault="00514FBA" w:rsidP="006211D9"/>
    <w:p w14:paraId="787E9D4D" w14:textId="77777777" w:rsidR="00514FBA" w:rsidRDefault="00514FBA" w:rsidP="006211D9"/>
    <w:p w14:paraId="2C658E9B" w14:textId="77777777" w:rsidR="00514FBA" w:rsidRDefault="00514FBA" w:rsidP="006211D9"/>
    <w:p w14:paraId="4F1C9F0F" w14:textId="77777777" w:rsidR="00514FBA" w:rsidRDefault="00514FBA" w:rsidP="006211D9"/>
    <w:p w14:paraId="180ED89F" w14:textId="77777777" w:rsidR="00514FBA" w:rsidRDefault="00514FBA" w:rsidP="006211D9"/>
    <w:p w14:paraId="0C98FAE5" w14:textId="77777777" w:rsidR="00514FBA" w:rsidRDefault="00514FBA" w:rsidP="006211D9"/>
    <w:p w14:paraId="63DDE055" w14:textId="77777777" w:rsidR="00514FBA" w:rsidRDefault="00514FBA" w:rsidP="006211D9"/>
    <w:p w14:paraId="51F3FF1C" w14:textId="77777777" w:rsidR="00514FBA" w:rsidRDefault="00514FBA" w:rsidP="006211D9"/>
    <w:p w14:paraId="188EB409" w14:textId="77777777" w:rsidR="00514FBA" w:rsidRDefault="00514FBA" w:rsidP="006211D9"/>
    <w:p w14:paraId="359D6F19" w14:textId="77777777" w:rsidR="00514FBA" w:rsidRDefault="00514FBA" w:rsidP="006211D9"/>
    <w:p w14:paraId="73BBE3E7" w14:textId="77777777" w:rsidR="00514FBA" w:rsidRDefault="00514FBA" w:rsidP="006211D9"/>
    <w:p w14:paraId="0A22FC3F" w14:textId="77777777" w:rsidR="00514FBA" w:rsidRPr="00094EB5" w:rsidRDefault="00CD0CC6" w:rsidP="000E2D1C">
      <w:pPr>
        <w:pStyle w:val="Title"/>
        <w:ind w:left="2832" w:firstLine="1137"/>
        <w:jc w:val="left"/>
      </w:pPr>
      <w:r>
        <w:br w:type="page"/>
      </w:r>
      <w:r w:rsidR="00094EB5">
        <w:t>APPENDIX</w:t>
      </w:r>
    </w:p>
    <w:p w14:paraId="7B33C2F1" w14:textId="77777777" w:rsidR="00514FBA" w:rsidRPr="00514FBA" w:rsidRDefault="00514FBA" w:rsidP="006F171C">
      <w:pPr>
        <w:pStyle w:val="BodyText"/>
        <w:ind w:left="426" w:firstLine="708"/>
        <w:rPr>
          <w:b/>
          <w:bCs/>
          <w:szCs w:val="24"/>
        </w:rPr>
      </w:pPr>
      <w:r w:rsidRPr="00514FBA">
        <w:rPr>
          <w:b/>
          <w:bCs/>
          <w:szCs w:val="24"/>
          <w:u w:val="single"/>
        </w:rPr>
        <w:t>Definitions</w:t>
      </w:r>
    </w:p>
    <w:p w14:paraId="0BCA9163" w14:textId="77777777" w:rsidR="0042586D" w:rsidRDefault="0042586D" w:rsidP="0026062A">
      <w:pPr>
        <w:pStyle w:val="NoSpacing"/>
        <w:numPr>
          <w:ilvl w:val="0"/>
          <w:numId w:val="45"/>
        </w:numPr>
        <w:jc w:val="both"/>
      </w:pPr>
      <w:r>
        <w:t>“Annual Work Plan and Budget” means the work plan and budget prepared annually by the Borrower and approved by the Borrower in accordance with Section I.C of Schedule 2 to this Agreement; “Annual Work Plans and Budgets” means more than one such Annual Work Plan and Budget.</w:t>
      </w:r>
    </w:p>
    <w:p w14:paraId="753843ED" w14:textId="77777777" w:rsidR="0042586D" w:rsidRDefault="0042586D" w:rsidP="0042586D">
      <w:pPr>
        <w:pStyle w:val="NoSpacing"/>
        <w:ind w:left="720"/>
        <w:jc w:val="both"/>
      </w:pPr>
    </w:p>
    <w:p w14:paraId="0A92C773" w14:textId="77777777" w:rsidR="0042586D" w:rsidRDefault="0042586D" w:rsidP="0026062A">
      <w:pPr>
        <w:pStyle w:val="NoSpacing"/>
        <w:numPr>
          <w:ilvl w:val="0"/>
          <w:numId w:val="45"/>
        </w:numPr>
        <w:jc w:val="both"/>
      </w:pPr>
      <w:r>
        <w:t>“Anti-Corruption Guidelines” means, for purposes of paragraph 5 of the Appendix to the General Conditions, the “Guidelines on Preventing and Combating Fraud and Corruption in Projects Financed by IBRD Loans and IDA Credits and Grants”, dated October 15, 2006 and revised in January 2011 and as of July 1, 2016.</w:t>
      </w:r>
    </w:p>
    <w:p w14:paraId="3BFA2D11" w14:textId="77777777" w:rsidR="0042586D" w:rsidRDefault="0042586D" w:rsidP="0042586D">
      <w:pPr>
        <w:pStyle w:val="NoSpacing"/>
        <w:jc w:val="both"/>
      </w:pPr>
    </w:p>
    <w:p w14:paraId="079FB80D" w14:textId="77777777" w:rsidR="0042586D" w:rsidRDefault="0042586D" w:rsidP="0026062A">
      <w:pPr>
        <w:pStyle w:val="NoSpacing"/>
        <w:numPr>
          <w:ilvl w:val="0"/>
          <w:numId w:val="45"/>
        </w:numPr>
        <w:jc w:val="both"/>
      </w:pPr>
      <w:r>
        <w:t>“Category” means a category set forth in the table in Section III.A of Schedule 2 to this Agreement.</w:t>
      </w:r>
    </w:p>
    <w:p w14:paraId="15647A28" w14:textId="77777777" w:rsidR="0042586D" w:rsidRDefault="0042586D" w:rsidP="0042586D">
      <w:pPr>
        <w:pStyle w:val="NoSpacing"/>
        <w:jc w:val="both"/>
      </w:pPr>
    </w:p>
    <w:p w14:paraId="4AAF032F" w14:textId="77777777" w:rsidR="0042586D" w:rsidRDefault="0042586D" w:rsidP="0026062A">
      <w:pPr>
        <w:pStyle w:val="NoSpacing"/>
        <w:numPr>
          <w:ilvl w:val="0"/>
          <w:numId w:val="45"/>
        </w:numPr>
        <w:jc w:val="both"/>
      </w:pPr>
      <w:r>
        <w:t>“Courts Act” means the Borrower’s law on organization of the courts in Croatia and their administration, internal organization and jurisdictions, pursuant to the Official Gazette (OG), 28/13; OG 33/15; OG 82/15; OG 67/18; OG 126/2019.</w:t>
      </w:r>
    </w:p>
    <w:p w14:paraId="3719F3D2" w14:textId="77777777" w:rsidR="0042586D" w:rsidRDefault="0042586D" w:rsidP="0042586D">
      <w:pPr>
        <w:pStyle w:val="NoSpacing"/>
        <w:jc w:val="both"/>
      </w:pPr>
    </w:p>
    <w:p w14:paraId="79AB9FA5" w14:textId="77777777" w:rsidR="0042586D" w:rsidRDefault="0042586D" w:rsidP="0026062A">
      <w:pPr>
        <w:pStyle w:val="NoSpacing"/>
        <w:numPr>
          <w:ilvl w:val="0"/>
          <w:numId w:val="45"/>
        </w:numPr>
        <w:jc w:val="both"/>
      </w:pPr>
      <w:r>
        <w:t>“Courts Areas and Seats Act” means the Borrower’s law establishing county, municipal, commercial and administrative courts and determining the areas of their jurisdiction and the way in which they will operate, pursuant to the OG 67/18.</w:t>
      </w:r>
    </w:p>
    <w:p w14:paraId="48186D69" w14:textId="77777777" w:rsidR="0042586D" w:rsidRDefault="0042586D" w:rsidP="0042586D">
      <w:pPr>
        <w:pStyle w:val="NoSpacing"/>
        <w:jc w:val="both"/>
      </w:pPr>
    </w:p>
    <w:p w14:paraId="6C2A2158" w14:textId="77777777" w:rsidR="0042586D" w:rsidRDefault="0042586D" w:rsidP="0026062A">
      <w:pPr>
        <w:pStyle w:val="NoSpacing"/>
        <w:numPr>
          <w:ilvl w:val="0"/>
          <w:numId w:val="45"/>
        </w:numPr>
        <w:jc w:val="both"/>
      </w:pPr>
      <w:r>
        <w:t xml:space="preserve">“Disbursement-Linked Indicators” or “DLIs” means the set of indicators set forth in Schedule 4 to this Agreement, and for which the operational definitions and respective verification mechanisms are included in the Verification Protocols and in Project Operations Manual (as defined hereinafter). </w:t>
      </w:r>
    </w:p>
    <w:p w14:paraId="274E22C2" w14:textId="77777777" w:rsidR="0042586D" w:rsidRDefault="0042586D" w:rsidP="0042586D">
      <w:pPr>
        <w:pStyle w:val="NoSpacing"/>
        <w:jc w:val="both"/>
      </w:pPr>
    </w:p>
    <w:p w14:paraId="7B9834A1" w14:textId="77777777" w:rsidR="0042586D" w:rsidRDefault="0042586D" w:rsidP="0026062A">
      <w:pPr>
        <w:pStyle w:val="NoSpacing"/>
        <w:numPr>
          <w:ilvl w:val="0"/>
          <w:numId w:val="45"/>
        </w:numPr>
        <w:jc w:val="both"/>
      </w:pPr>
      <w:r>
        <w:t>“Disposition Time” means the ratio between the number of unresolved cases during the observed calendar year and the number of resolved cases at the end of the calendar year. The ratio measures how frequently commercial courts turn over the cases received on the basis of projections. (365/Case Turnover Ratio (Case Turnover Ratio= Number of Resolved cases/number of unresolved cases)).</w:t>
      </w:r>
    </w:p>
    <w:p w14:paraId="1928019F" w14:textId="77777777" w:rsidR="0042586D" w:rsidRDefault="0042586D" w:rsidP="0042586D">
      <w:pPr>
        <w:pStyle w:val="NoSpacing"/>
        <w:jc w:val="both"/>
      </w:pPr>
    </w:p>
    <w:p w14:paraId="2ED2F16D" w14:textId="77777777" w:rsidR="0042586D" w:rsidRDefault="0042586D" w:rsidP="0026062A">
      <w:pPr>
        <w:pStyle w:val="NoSpacing"/>
        <w:numPr>
          <w:ilvl w:val="0"/>
          <w:numId w:val="45"/>
        </w:numPr>
        <w:jc w:val="both"/>
      </w:pPr>
      <w:r>
        <w:t>“E-Dozvola” means a single information system of the MOCPP (as defined hereinafter) to issue construction permits and perform related procedures pursuant to the Borrower’s Physical Planning Act published in the OG (OG 153/13; OG 65/17; OG 114/18; OG 39/19; OG 98/19) and Building Act published in the OG (OG 153/13; OG 20/17; OG 39/19; OG 125/19).</w:t>
      </w:r>
    </w:p>
    <w:p w14:paraId="6D84B311" w14:textId="77777777" w:rsidR="0042586D" w:rsidRDefault="0042586D" w:rsidP="0042586D">
      <w:pPr>
        <w:pStyle w:val="NoSpacing"/>
        <w:jc w:val="both"/>
      </w:pPr>
    </w:p>
    <w:p w14:paraId="16D69687" w14:textId="77777777" w:rsidR="0042586D" w:rsidRDefault="0042586D" w:rsidP="0026062A">
      <w:pPr>
        <w:pStyle w:val="NoSpacing"/>
        <w:numPr>
          <w:ilvl w:val="0"/>
          <w:numId w:val="45"/>
        </w:numPr>
        <w:jc w:val="both"/>
      </w:pPr>
      <w:r>
        <w:t>“EEPs Spending Report” means the report prepared by the Borrower, through the PIU (as defined hereinafter), in accordance with the Disbursement and Financial Information Letter and set forth in the POM (as defined hereinafter), on the spending status of the EEPs.</w:t>
      </w:r>
    </w:p>
    <w:p w14:paraId="41597C8E" w14:textId="77777777" w:rsidR="0042586D" w:rsidRDefault="0042586D" w:rsidP="0042586D">
      <w:pPr>
        <w:pStyle w:val="NoSpacing"/>
        <w:jc w:val="both"/>
      </w:pPr>
    </w:p>
    <w:p w14:paraId="210C2051" w14:textId="77777777" w:rsidR="0042586D" w:rsidRDefault="0042586D" w:rsidP="0026062A">
      <w:pPr>
        <w:pStyle w:val="NoSpacing"/>
        <w:numPr>
          <w:ilvl w:val="0"/>
          <w:numId w:val="45"/>
        </w:numPr>
        <w:jc w:val="both"/>
      </w:pPr>
      <w:r>
        <w:t>“E-justice tools” means the set of automated platforms and information systems provided by the MOJ (as defined hereinafter) in Croatia to support the work of the judicial sector in the Borrower’s territory.</w:t>
      </w:r>
    </w:p>
    <w:p w14:paraId="694076E6" w14:textId="77777777" w:rsidR="006F171C" w:rsidRDefault="006F171C" w:rsidP="006F171C">
      <w:pPr>
        <w:pStyle w:val="NoSpacing"/>
        <w:jc w:val="both"/>
      </w:pPr>
    </w:p>
    <w:p w14:paraId="691E4D96" w14:textId="77777777" w:rsidR="0042586D" w:rsidRDefault="0042586D" w:rsidP="0026062A">
      <w:pPr>
        <w:pStyle w:val="NoSpacing"/>
        <w:numPr>
          <w:ilvl w:val="0"/>
          <w:numId w:val="45"/>
        </w:numPr>
        <w:jc w:val="both"/>
      </w:pPr>
      <w:r>
        <w:t xml:space="preserve">“Eligible Expenditure Programs” or “EEPs” means a set of defined expenditures, acceptable to the Bank which are related to transfers to the Borrower for payment of non-procurable expenditures related to the activities under Parts 1, 2.1 and 2.2 of the Project, as further described in the Disbursement and Financial Information Letter and in the POM (as defined hereinafter) (and these expenditures constitute a subset of the Eligible Expenditures defined in the General Conditions). </w:t>
      </w:r>
    </w:p>
    <w:p w14:paraId="4A93733F" w14:textId="77777777" w:rsidR="0042586D" w:rsidRDefault="0042586D" w:rsidP="0042586D">
      <w:pPr>
        <w:pStyle w:val="NoSpacing"/>
        <w:jc w:val="both"/>
      </w:pPr>
    </w:p>
    <w:p w14:paraId="15B9061D" w14:textId="77777777" w:rsidR="0042586D" w:rsidRDefault="0042586D" w:rsidP="0026062A">
      <w:pPr>
        <w:pStyle w:val="NoSpacing"/>
        <w:numPr>
          <w:ilvl w:val="0"/>
          <w:numId w:val="45"/>
        </w:numPr>
        <w:jc w:val="both"/>
      </w:pPr>
      <w:r>
        <w:t>“Environmental and Social Commitment Plan” or “ESCP” means the Borrower’s environmental and social commitment plan, acceptable to the Bank, dated February 12, 2020, which sets out a summary of the material measures and actions to address the potential environmental and social risks and impacts of the Project, including the timing of the actions and measures, institutional, staffing, training, monitoring and reporting arrangements, and any instruments to be prepared thereunder; as the ESCP may be revised from time to time, with prior written agreement of the Bank, and such term includes any annexes or schedules to such plan.</w:t>
      </w:r>
    </w:p>
    <w:p w14:paraId="762C5249" w14:textId="77777777" w:rsidR="0042586D" w:rsidRDefault="0042586D" w:rsidP="0042586D">
      <w:pPr>
        <w:pStyle w:val="NoSpacing"/>
        <w:jc w:val="both"/>
      </w:pPr>
    </w:p>
    <w:p w14:paraId="1D5DACDD" w14:textId="77777777" w:rsidR="0042586D" w:rsidRDefault="0042586D" w:rsidP="0026062A">
      <w:pPr>
        <w:pStyle w:val="NoSpacing"/>
        <w:numPr>
          <w:ilvl w:val="0"/>
          <w:numId w:val="45"/>
        </w:numPr>
        <w:jc w:val="both"/>
      </w:pPr>
      <w:r>
        <w:t>"Environmental and Social Standards” means, collectively: (i) “Environmental and Social Standard 1: Assessment and Management of Environmental and Social Risks and Impacts”; (ii) “Environmental and Social Standard 2: Labor and Working Conditions”; (iii) “Environmental and Social Standard 3: Resource Efficiency and Pollution Prevention and Management”; (iv) “Environmental and Social Standard 4: Community Health and Safety”; (v) “Environmental and Social Standard 5: Land Acquisition, Restrictions on Land Use and Involuntary Resettlement”; (vi) “Environmental and Social Standard 6: Biodiversity Conservation and Sustainable Management of Living Natural Resources”; (vii) “Environmental and Social Standard 7: Indigenous Peoples/Sub-Saharan Historically Underserved Traditional Local Communities”; (viii) “Environmental and Social Standard 8: Cultural Heritage”; (ix) “Environmental and Social Standard 9: Financial Intermediaries”; and (x) “Environmental and Social Standard 10: Stakeholder Engagement and Information Disclosure”; effective on October 1, 2018, as published by the Bank on its website.</w:t>
      </w:r>
    </w:p>
    <w:p w14:paraId="2DBD54F5" w14:textId="77777777" w:rsidR="0042586D" w:rsidRDefault="0042586D" w:rsidP="0042586D">
      <w:pPr>
        <w:pStyle w:val="NoSpacing"/>
        <w:jc w:val="both"/>
      </w:pPr>
    </w:p>
    <w:p w14:paraId="5370F718" w14:textId="77777777" w:rsidR="0042586D" w:rsidRDefault="0042586D" w:rsidP="0026062A">
      <w:pPr>
        <w:pStyle w:val="NoSpacing"/>
        <w:numPr>
          <w:ilvl w:val="0"/>
          <w:numId w:val="45"/>
        </w:numPr>
        <w:jc w:val="both"/>
      </w:pPr>
      <w:r>
        <w:t>“FINA” means the Financial Agency, a Borrower’s state-owned enterprise specialized on financial mediation and financial and electronic services established pursuant to the Borrower’s on Financial Agency Act published in the OG 42/05.</w:t>
      </w:r>
    </w:p>
    <w:p w14:paraId="2FC4477C" w14:textId="77777777" w:rsidR="0042586D" w:rsidRDefault="0042586D" w:rsidP="0042586D">
      <w:pPr>
        <w:pStyle w:val="NoSpacing"/>
        <w:jc w:val="both"/>
      </w:pPr>
    </w:p>
    <w:p w14:paraId="17F72BE1" w14:textId="77777777" w:rsidR="0042586D" w:rsidRDefault="0042586D" w:rsidP="0026062A">
      <w:pPr>
        <w:pStyle w:val="NoSpacing"/>
        <w:numPr>
          <w:ilvl w:val="0"/>
          <w:numId w:val="45"/>
        </w:numPr>
        <w:jc w:val="both"/>
      </w:pPr>
      <w:r>
        <w:t>“General Conditions” means the “International Bank for Reconstruction and Development General Conditions for IBRD Financing, Investment Project Financing”, dated December 14, 2018.</w:t>
      </w:r>
    </w:p>
    <w:p w14:paraId="005B0353" w14:textId="77777777" w:rsidR="0042586D" w:rsidRDefault="0042586D" w:rsidP="0042586D">
      <w:pPr>
        <w:pStyle w:val="NoSpacing"/>
        <w:jc w:val="both"/>
      </w:pPr>
    </w:p>
    <w:p w14:paraId="3E9B3D8D" w14:textId="77777777" w:rsidR="0042586D" w:rsidRDefault="0042586D" w:rsidP="0026062A">
      <w:pPr>
        <w:pStyle w:val="NoSpacing"/>
        <w:numPr>
          <w:ilvl w:val="0"/>
          <w:numId w:val="45"/>
        </w:numPr>
        <w:jc w:val="both"/>
      </w:pPr>
      <w:r>
        <w:t>“ICMS” means the Integrated Case Management System in courts.</w:t>
      </w:r>
    </w:p>
    <w:p w14:paraId="64951F1E" w14:textId="77777777" w:rsidR="0042586D" w:rsidRDefault="0042586D" w:rsidP="0042586D">
      <w:pPr>
        <w:pStyle w:val="NoSpacing"/>
        <w:jc w:val="both"/>
      </w:pPr>
    </w:p>
    <w:p w14:paraId="47D7A268" w14:textId="77777777" w:rsidR="0042586D" w:rsidRDefault="0042586D" w:rsidP="0026062A">
      <w:pPr>
        <w:pStyle w:val="NoSpacing"/>
        <w:numPr>
          <w:ilvl w:val="0"/>
          <w:numId w:val="45"/>
        </w:numPr>
        <w:jc w:val="both"/>
      </w:pPr>
      <w:r>
        <w:t>“LLC” means the limited liability Company (including in its simplified form), established in the Borrower’s territory pursuant to the Borrower’s Companies Act published in the OG 40/19.</w:t>
      </w:r>
    </w:p>
    <w:p w14:paraId="367E47D3" w14:textId="77777777" w:rsidR="0042586D" w:rsidRDefault="0042586D" w:rsidP="0042586D">
      <w:pPr>
        <w:pStyle w:val="NoSpacing"/>
        <w:jc w:val="both"/>
      </w:pPr>
    </w:p>
    <w:p w14:paraId="25962D8A" w14:textId="77777777" w:rsidR="0042586D" w:rsidRDefault="0042586D" w:rsidP="0026062A">
      <w:pPr>
        <w:pStyle w:val="NoSpacing"/>
        <w:numPr>
          <w:ilvl w:val="0"/>
          <w:numId w:val="45"/>
        </w:numPr>
        <w:jc w:val="both"/>
      </w:pPr>
      <w:r>
        <w:t>“Ministry of Construction and Physical Plan” or “MOCPP” means the Borrower’s Ministry of Construction and Physical Planning, or any successor thereto acceptable to the Bank.</w:t>
      </w:r>
    </w:p>
    <w:p w14:paraId="0D5DD057" w14:textId="77777777" w:rsidR="00395F6D" w:rsidRDefault="00395F6D" w:rsidP="00395F6D">
      <w:pPr>
        <w:pStyle w:val="NoSpacing"/>
        <w:ind w:left="1134"/>
        <w:jc w:val="both"/>
      </w:pPr>
    </w:p>
    <w:p w14:paraId="630E5ED6" w14:textId="77777777" w:rsidR="0042586D" w:rsidRDefault="0042586D" w:rsidP="0026062A">
      <w:pPr>
        <w:pStyle w:val="NoSpacing"/>
        <w:numPr>
          <w:ilvl w:val="0"/>
          <w:numId w:val="45"/>
        </w:numPr>
        <w:jc w:val="both"/>
      </w:pPr>
      <w:r>
        <w:t>“Ministry of Economy, Entrepreneurship and Craft” or “MOEEC” means the Borrower’s Ministry of Economy, Entrepreneurship and Craft or any successor thereto acceptable to the Bank.</w:t>
      </w:r>
    </w:p>
    <w:p w14:paraId="395931A7" w14:textId="77777777" w:rsidR="0042586D" w:rsidRDefault="0042586D" w:rsidP="0042586D">
      <w:pPr>
        <w:pStyle w:val="NoSpacing"/>
        <w:jc w:val="both"/>
      </w:pPr>
    </w:p>
    <w:p w14:paraId="2DD29B73" w14:textId="77777777" w:rsidR="0042586D" w:rsidRDefault="0042586D" w:rsidP="0026062A">
      <w:pPr>
        <w:pStyle w:val="NoSpacing"/>
        <w:numPr>
          <w:ilvl w:val="0"/>
          <w:numId w:val="45"/>
        </w:numPr>
        <w:jc w:val="both"/>
      </w:pPr>
      <w:r>
        <w:t>“Ministry of Finance” or “MOF” means the Borrower’s Ministry of Finance, or any successor thereto acceptable to the Bank.</w:t>
      </w:r>
    </w:p>
    <w:p w14:paraId="03A26512" w14:textId="77777777" w:rsidR="0042586D" w:rsidRDefault="0042586D" w:rsidP="0042586D">
      <w:pPr>
        <w:pStyle w:val="NoSpacing"/>
        <w:jc w:val="both"/>
      </w:pPr>
    </w:p>
    <w:p w14:paraId="080C124C" w14:textId="77777777" w:rsidR="0042586D" w:rsidRDefault="0042586D" w:rsidP="0026062A">
      <w:pPr>
        <w:pStyle w:val="NoSpacing"/>
        <w:numPr>
          <w:ilvl w:val="0"/>
          <w:numId w:val="45"/>
        </w:numPr>
        <w:jc w:val="both"/>
      </w:pPr>
      <w:r>
        <w:t>“Ministry of Justice” or “MOJ” means the Borrower’s Ministry of Justice, or any successor thereto acceptable to the Bank.</w:t>
      </w:r>
    </w:p>
    <w:p w14:paraId="5226AE46" w14:textId="77777777" w:rsidR="0042586D" w:rsidRDefault="0042586D" w:rsidP="0042586D">
      <w:pPr>
        <w:pStyle w:val="NoSpacing"/>
        <w:jc w:val="both"/>
      </w:pPr>
    </w:p>
    <w:p w14:paraId="30F883E7" w14:textId="77777777" w:rsidR="0042586D" w:rsidRDefault="0042586D" w:rsidP="0026062A">
      <w:pPr>
        <w:pStyle w:val="NoSpacing"/>
        <w:numPr>
          <w:ilvl w:val="0"/>
          <w:numId w:val="45"/>
        </w:numPr>
        <w:jc w:val="both"/>
      </w:pPr>
      <w:r>
        <w:t>“Operating Costs” means expenditures incurred by the Borrower on account of the Project implementation including for office supplies, utilities, bank charges, communication tools, advertisement fees, translation and interpretation services, car rental and fuel costs, office rental and maintenance, moving expenses, equipment insurance, maintenance and repair, printing and publications, travel per diem allowances and accommodation costs for PIU staff, and salaries for PIU staff, including social charges, but excluding salaries for the Borrower's civil servants.</w:t>
      </w:r>
    </w:p>
    <w:p w14:paraId="48E911E7" w14:textId="77777777" w:rsidR="0042586D" w:rsidRDefault="0042586D" w:rsidP="0042586D">
      <w:pPr>
        <w:pStyle w:val="NoSpacing"/>
        <w:jc w:val="both"/>
      </w:pPr>
    </w:p>
    <w:p w14:paraId="3060B4B8" w14:textId="77777777" w:rsidR="0042586D" w:rsidRDefault="0042586D" w:rsidP="0026062A">
      <w:pPr>
        <w:pStyle w:val="NoSpacing"/>
        <w:numPr>
          <w:ilvl w:val="0"/>
          <w:numId w:val="45"/>
        </w:numPr>
        <w:jc w:val="both"/>
      </w:pPr>
      <w:r>
        <w:t>“Procurement Regulations” means, for purposes of paragraph 85 of the Appendix to the General Conditions, the “World Bank Procurement Regulations for IPF Borrowers”, dated July 2016, revised November 2017 and August 2018.</w:t>
      </w:r>
    </w:p>
    <w:p w14:paraId="0901BC9B" w14:textId="77777777" w:rsidR="0042586D" w:rsidRDefault="0042586D" w:rsidP="0042586D">
      <w:pPr>
        <w:pStyle w:val="NoSpacing"/>
        <w:jc w:val="both"/>
      </w:pPr>
    </w:p>
    <w:p w14:paraId="22AD3DE8" w14:textId="77777777" w:rsidR="0042586D" w:rsidRDefault="0042586D" w:rsidP="0026062A">
      <w:pPr>
        <w:pStyle w:val="NoSpacing"/>
        <w:numPr>
          <w:ilvl w:val="0"/>
          <w:numId w:val="45"/>
        </w:numPr>
        <w:jc w:val="both"/>
      </w:pPr>
      <w:r>
        <w:t>“Project Operations Manual” or “POM” means the Borrower’s manual prepared by the Borrower, through the PIU, referred to in Section I.B of Schedule 2 to this Agreement, as said manual may be amended from time to time by the Borrower, through the PIU, with the agreement of the Bank.</w:t>
      </w:r>
    </w:p>
    <w:p w14:paraId="6B2CBE93" w14:textId="77777777" w:rsidR="0042586D" w:rsidRDefault="0042586D" w:rsidP="0042586D">
      <w:pPr>
        <w:pStyle w:val="NoSpacing"/>
        <w:jc w:val="both"/>
      </w:pPr>
    </w:p>
    <w:p w14:paraId="2E9810AE" w14:textId="77777777" w:rsidR="0042586D" w:rsidRDefault="0042586D" w:rsidP="0026062A">
      <w:pPr>
        <w:pStyle w:val="NoSpacing"/>
        <w:numPr>
          <w:ilvl w:val="0"/>
          <w:numId w:val="45"/>
        </w:numPr>
        <w:jc w:val="both"/>
      </w:pPr>
      <w:r>
        <w:t>“Scalable DLIs” means DLIs 2, 3 (b), 5 and 6 set forth in Schedule 4 to this Agreement, which, in case of non-achievement, or partial achievement thereof, may be disbursed proportionally to its degree of achievement and carried forward to a subsequent withdrawal period as set forth in Section III.B.2 (a) of Schedule 2 to this Agreement.</w:t>
      </w:r>
    </w:p>
    <w:p w14:paraId="1AC49FAE" w14:textId="77777777" w:rsidR="0042586D" w:rsidRDefault="0042586D" w:rsidP="0042586D">
      <w:pPr>
        <w:pStyle w:val="NoSpacing"/>
        <w:jc w:val="both"/>
      </w:pPr>
    </w:p>
    <w:p w14:paraId="042EA018" w14:textId="77777777" w:rsidR="0042586D" w:rsidRDefault="0042586D" w:rsidP="0026062A">
      <w:pPr>
        <w:pStyle w:val="NoSpacing"/>
        <w:numPr>
          <w:ilvl w:val="0"/>
          <w:numId w:val="45"/>
        </w:numPr>
        <w:jc w:val="both"/>
      </w:pPr>
      <w:r>
        <w:t>“Signature Date” means the later of the two dates on which the Borrower and the Bank signed this Agreement and such definition applies to all references to “the date of the Loan Agreement” in the General Conditions.</w:t>
      </w:r>
    </w:p>
    <w:p w14:paraId="0BC06FF2" w14:textId="77777777" w:rsidR="0042586D" w:rsidRDefault="0042586D" w:rsidP="0042586D">
      <w:pPr>
        <w:pStyle w:val="NoSpacing"/>
        <w:jc w:val="both"/>
      </w:pPr>
    </w:p>
    <w:p w14:paraId="7093455E" w14:textId="77777777" w:rsidR="0042586D" w:rsidRDefault="0042586D" w:rsidP="0026062A">
      <w:pPr>
        <w:pStyle w:val="NoSpacing"/>
        <w:numPr>
          <w:ilvl w:val="0"/>
          <w:numId w:val="45"/>
        </w:numPr>
        <w:jc w:val="both"/>
      </w:pPr>
      <w:r>
        <w:t xml:space="preserve">“Steering Committee” means the committee to be established for the Project by the Borrower in accordance with Section I.A, paragraph (b) of Schedule 2 to this Agreement. </w:t>
      </w:r>
    </w:p>
    <w:p w14:paraId="5CD918AA" w14:textId="77777777" w:rsidR="0042586D" w:rsidRDefault="0042586D" w:rsidP="0042586D">
      <w:pPr>
        <w:pStyle w:val="NoSpacing"/>
        <w:jc w:val="both"/>
      </w:pPr>
    </w:p>
    <w:p w14:paraId="0F9412CB" w14:textId="77777777" w:rsidR="0042586D" w:rsidRDefault="0042586D" w:rsidP="0026062A">
      <w:pPr>
        <w:pStyle w:val="NoSpacing"/>
        <w:numPr>
          <w:ilvl w:val="0"/>
          <w:numId w:val="45"/>
        </w:numPr>
        <w:jc w:val="both"/>
      </w:pPr>
      <w:r>
        <w:t xml:space="preserve">“Training” means the Project related study tours, training courses, seminars, workshops and other training activities, including costs of training materials, space and equipment rental, travel, accommodation and per diem costs of trainees and trainers, trainers’ fees, and other training related miscellaneous costs. </w:t>
      </w:r>
    </w:p>
    <w:p w14:paraId="3EA1B1D7" w14:textId="77777777" w:rsidR="0042586D" w:rsidRDefault="0042586D" w:rsidP="0042586D">
      <w:pPr>
        <w:pStyle w:val="NoSpacing"/>
        <w:jc w:val="both"/>
      </w:pPr>
    </w:p>
    <w:p w14:paraId="5C305281" w14:textId="77777777" w:rsidR="00D90E4A" w:rsidRDefault="0042586D" w:rsidP="0026062A">
      <w:pPr>
        <w:pStyle w:val="NoSpacing"/>
        <w:numPr>
          <w:ilvl w:val="0"/>
          <w:numId w:val="45"/>
        </w:numPr>
        <w:jc w:val="both"/>
      </w:pPr>
      <w:r>
        <w:t>“Verification Protocols” means the set of protocols setting forth the actions and mechanisms required for verification of DLIs, prepared by the Borrower through the PIU and agreed with the Bank, and included in the POM and in the Disbursement and Financial Information Letter, as the same may be amended from time to time with the agreement of the Bank.</w:t>
      </w:r>
    </w:p>
    <w:p w14:paraId="44DA110E" w14:textId="77777777" w:rsidR="00514FBA" w:rsidRDefault="00514FBA" w:rsidP="006211D9"/>
    <w:p w14:paraId="7CCD1907" w14:textId="77777777" w:rsidR="00827293" w:rsidRDefault="00827293" w:rsidP="006211D9"/>
    <w:p w14:paraId="634624AA" w14:textId="77777777" w:rsidR="00827293" w:rsidRDefault="00827293" w:rsidP="006211D9"/>
    <w:p w14:paraId="14F9892B" w14:textId="77777777" w:rsidR="00827293" w:rsidRDefault="00827293" w:rsidP="006211D9"/>
    <w:p w14:paraId="440FF051" w14:textId="77777777" w:rsidR="00827293" w:rsidRDefault="00827293" w:rsidP="006211D9"/>
    <w:p w14:paraId="32832805" w14:textId="77777777" w:rsidR="00827293" w:rsidRDefault="00827293" w:rsidP="006211D9"/>
    <w:p w14:paraId="6CA3246D" w14:textId="77777777" w:rsidR="00827293" w:rsidRDefault="00827293" w:rsidP="006211D9"/>
    <w:p w14:paraId="49B956EB" w14:textId="77777777" w:rsidR="00827293" w:rsidRDefault="00827293" w:rsidP="006211D9"/>
    <w:p w14:paraId="66484FCF" w14:textId="77777777" w:rsidR="00827293" w:rsidRDefault="00827293" w:rsidP="006211D9"/>
    <w:p w14:paraId="7F2A9B40" w14:textId="77777777" w:rsidR="00827293" w:rsidRDefault="00827293" w:rsidP="006211D9"/>
    <w:p w14:paraId="2092EB66" w14:textId="77777777" w:rsidR="00827293" w:rsidRDefault="00827293" w:rsidP="006211D9"/>
    <w:p w14:paraId="3F5D795A" w14:textId="77777777" w:rsidR="00827293" w:rsidRDefault="00827293" w:rsidP="006211D9"/>
    <w:p w14:paraId="00054E9C" w14:textId="77777777" w:rsidR="00827293" w:rsidRDefault="00827293" w:rsidP="006211D9"/>
    <w:p w14:paraId="66A57323" w14:textId="77777777" w:rsidR="00827293" w:rsidRDefault="00827293" w:rsidP="006211D9"/>
    <w:p w14:paraId="743EF5F5" w14:textId="77777777" w:rsidR="00827293" w:rsidRDefault="00827293" w:rsidP="006211D9"/>
    <w:p w14:paraId="2E6EA374" w14:textId="77777777" w:rsidR="00827293" w:rsidRDefault="00827293" w:rsidP="006211D9"/>
    <w:p w14:paraId="65815EE6" w14:textId="77777777" w:rsidR="00827293" w:rsidRDefault="00827293" w:rsidP="006211D9"/>
    <w:p w14:paraId="2F227B84" w14:textId="77777777" w:rsidR="00827293" w:rsidRDefault="00827293" w:rsidP="006211D9"/>
    <w:p w14:paraId="58E94840" w14:textId="77777777" w:rsidR="00827293" w:rsidRDefault="00827293" w:rsidP="006211D9"/>
    <w:p w14:paraId="08859C2A" w14:textId="77777777" w:rsidR="00514FBA" w:rsidRDefault="00514FBA" w:rsidP="006211D9"/>
    <w:p w14:paraId="08C4B3BB" w14:textId="77777777" w:rsidR="00514FBA" w:rsidRDefault="00514FBA" w:rsidP="006211D9"/>
    <w:p w14:paraId="7D2FB072" w14:textId="77777777" w:rsidR="00514FBA" w:rsidRDefault="00514FBA" w:rsidP="006211D9"/>
    <w:p w14:paraId="2991095D" w14:textId="77777777" w:rsidR="00514FBA" w:rsidRDefault="00514FBA" w:rsidP="006211D9"/>
    <w:p w14:paraId="3C2109AE" w14:textId="77777777" w:rsidR="00514FBA" w:rsidRDefault="00514FBA" w:rsidP="006211D9"/>
    <w:p w14:paraId="5A7D2A55" w14:textId="77777777" w:rsidR="00514FBA" w:rsidRDefault="00514FBA" w:rsidP="006211D9"/>
    <w:p w14:paraId="0ECDDBB8" w14:textId="77777777" w:rsidR="00514FBA" w:rsidRDefault="00514FBA" w:rsidP="006211D9"/>
    <w:p w14:paraId="0A72D759" w14:textId="77777777" w:rsidR="00514FBA" w:rsidRDefault="00514FBA" w:rsidP="006211D9"/>
    <w:p w14:paraId="72BC18F7" w14:textId="77777777" w:rsidR="00514FBA" w:rsidRDefault="00514FBA" w:rsidP="006211D9"/>
    <w:p w14:paraId="3516BF4E" w14:textId="77777777" w:rsidR="00514FBA" w:rsidRDefault="00514FBA" w:rsidP="006211D9"/>
    <w:p w14:paraId="44B5EBAD" w14:textId="77777777" w:rsidR="00514FBA" w:rsidRDefault="00514FBA" w:rsidP="006211D9"/>
    <w:p w14:paraId="121F2B9C" w14:textId="77777777" w:rsidR="00514FBA" w:rsidRDefault="00514FBA" w:rsidP="006211D9"/>
    <w:p w14:paraId="50D8B864" w14:textId="77777777" w:rsidR="00514FBA" w:rsidRDefault="00514FBA" w:rsidP="006211D9"/>
    <w:p w14:paraId="2526C16D" w14:textId="77777777" w:rsidR="00514FBA" w:rsidRDefault="00514FBA" w:rsidP="006211D9"/>
    <w:p w14:paraId="5AD7380E" w14:textId="77777777" w:rsidR="00514FBA" w:rsidRDefault="00514FBA" w:rsidP="006211D9"/>
    <w:p w14:paraId="0D8E598A" w14:textId="77777777" w:rsidR="00514FBA" w:rsidRDefault="00514FBA" w:rsidP="006211D9"/>
    <w:p w14:paraId="290DBE8D" w14:textId="77777777" w:rsidR="00514FBA" w:rsidRDefault="00514FBA" w:rsidP="006211D9"/>
    <w:p w14:paraId="0F5402A3" w14:textId="77777777" w:rsidR="004C251F" w:rsidRDefault="004C251F" w:rsidP="006211D9"/>
    <w:p w14:paraId="24F5F1C5" w14:textId="77777777" w:rsidR="00514FBA" w:rsidRDefault="00514FBA" w:rsidP="006211D9"/>
    <w:p w14:paraId="0A48E225" w14:textId="77777777" w:rsidR="00514FBA" w:rsidRDefault="00514FBA" w:rsidP="006211D9"/>
    <w:p w14:paraId="2918552C" w14:textId="77777777" w:rsidR="00514FBA" w:rsidRDefault="00514FBA" w:rsidP="006211D9"/>
    <w:p w14:paraId="25884783" w14:textId="77777777" w:rsidR="00E80848" w:rsidRPr="00D90E4A" w:rsidRDefault="00E80848" w:rsidP="009A12EC">
      <w:pPr>
        <w:jc w:val="center"/>
        <w:rPr>
          <w:b/>
        </w:rPr>
      </w:pPr>
      <w:r w:rsidRPr="00D90E4A">
        <w:rPr>
          <w:b/>
        </w:rPr>
        <w:t>Članak 3.</w:t>
      </w:r>
    </w:p>
    <w:p w14:paraId="782C2DD9" w14:textId="77777777" w:rsidR="00E80848" w:rsidRPr="00D90E4A" w:rsidRDefault="00E80848" w:rsidP="000D3A1A">
      <w:pPr>
        <w:jc w:val="both"/>
        <w:rPr>
          <w:b/>
        </w:rPr>
      </w:pPr>
    </w:p>
    <w:p w14:paraId="51E7E60D" w14:textId="77777777" w:rsidR="00E80848" w:rsidRDefault="00E80848" w:rsidP="000D3A1A">
      <w:pPr>
        <w:jc w:val="both"/>
      </w:pPr>
      <w:r w:rsidRPr="00D90E4A">
        <w:tab/>
        <w:t xml:space="preserve">Financijske obveze koje će nastati za Republiku Hrvatsku kao zajmoprimca temeljem Ugovora o zajmu iz članka 1. ovoga Zakona planirat će se i podmirivati u skladu s odredbama propisa o izvršavanju državnog proračuna Republike Hrvatske za </w:t>
      </w:r>
      <w:r w:rsidRPr="00BD3439">
        <w:t>20</w:t>
      </w:r>
      <w:r w:rsidR="00F45072" w:rsidRPr="00BD3439">
        <w:t>20</w:t>
      </w:r>
      <w:r w:rsidRPr="00BD3439">
        <w:t>. ‒ 202</w:t>
      </w:r>
      <w:r w:rsidR="00F45072" w:rsidRPr="00BD3439">
        <w:t>9</w:t>
      </w:r>
      <w:r w:rsidRPr="00BD3439">
        <w:t>.</w:t>
      </w:r>
      <w:r w:rsidRPr="00D90E4A">
        <w:t xml:space="preserve"> godine prema planovima otplate do konačne otplate zajma</w:t>
      </w:r>
      <w:r w:rsidRPr="00093B9A">
        <w:t>.</w:t>
      </w:r>
    </w:p>
    <w:p w14:paraId="48716341" w14:textId="77777777" w:rsidR="00E80848" w:rsidRDefault="00E80848" w:rsidP="0097275D">
      <w:pPr>
        <w:jc w:val="both"/>
        <w:rPr>
          <w:b/>
        </w:rPr>
      </w:pPr>
    </w:p>
    <w:p w14:paraId="40F988FC" w14:textId="77777777" w:rsidR="00E80848" w:rsidRDefault="00E80848" w:rsidP="00AB3887">
      <w:pPr>
        <w:jc w:val="center"/>
        <w:rPr>
          <w:b/>
        </w:rPr>
      </w:pPr>
      <w:r>
        <w:rPr>
          <w:b/>
        </w:rPr>
        <w:t>Članak 4.</w:t>
      </w:r>
    </w:p>
    <w:p w14:paraId="4008F341" w14:textId="77777777" w:rsidR="00E80848" w:rsidRDefault="00E80848" w:rsidP="000D3A1A">
      <w:pPr>
        <w:jc w:val="both"/>
        <w:rPr>
          <w:b/>
        </w:rPr>
      </w:pPr>
    </w:p>
    <w:p w14:paraId="3268D7EF" w14:textId="77777777" w:rsidR="00812A8F" w:rsidRDefault="00E80848" w:rsidP="000D3A1A">
      <w:pPr>
        <w:jc w:val="both"/>
      </w:pPr>
      <w:r>
        <w:tab/>
        <w:t>Provedba ovoga Zakona u djelokrugu je tijela državne uprave nadležnih za poslove pravosuđa</w:t>
      </w:r>
      <w:r w:rsidR="000C5DD7">
        <w:t>,</w:t>
      </w:r>
      <w:r w:rsidR="004E0D72">
        <w:t xml:space="preserve"> tijela državne uprave nadležnih za poslove</w:t>
      </w:r>
      <w:r w:rsidR="00AB3887">
        <w:t xml:space="preserve"> gospodarstva, poduzetništ</w:t>
      </w:r>
      <w:r w:rsidR="00812A8F">
        <w:t>v</w:t>
      </w:r>
      <w:r w:rsidR="00AB3887">
        <w:t xml:space="preserve">a i obrta te </w:t>
      </w:r>
      <w:r w:rsidR="000C5DD7">
        <w:t xml:space="preserve">tijela državne uprave nadležnih za poslove </w:t>
      </w:r>
      <w:r w:rsidR="00AB3887">
        <w:t>graditeljstva i prostornoga uređenja.</w:t>
      </w:r>
      <w:r>
        <w:t xml:space="preserve"> </w:t>
      </w:r>
    </w:p>
    <w:p w14:paraId="7B30C50F" w14:textId="77777777" w:rsidR="00E80848" w:rsidRDefault="00E80848" w:rsidP="0097275D">
      <w:pPr>
        <w:jc w:val="both"/>
        <w:rPr>
          <w:b/>
        </w:rPr>
      </w:pPr>
    </w:p>
    <w:p w14:paraId="1904DD78" w14:textId="77777777" w:rsidR="00E80848" w:rsidRDefault="00E80848" w:rsidP="00AB3887">
      <w:pPr>
        <w:jc w:val="center"/>
        <w:rPr>
          <w:b/>
        </w:rPr>
      </w:pPr>
      <w:r>
        <w:rPr>
          <w:b/>
        </w:rPr>
        <w:t>Članak 5.</w:t>
      </w:r>
    </w:p>
    <w:p w14:paraId="6AB0F25F" w14:textId="77777777" w:rsidR="00E80848" w:rsidRDefault="00E80848" w:rsidP="000D3A1A">
      <w:pPr>
        <w:jc w:val="both"/>
      </w:pPr>
      <w:r>
        <w:tab/>
      </w:r>
    </w:p>
    <w:p w14:paraId="214F260B" w14:textId="77777777" w:rsidR="00E80848" w:rsidRDefault="00E80848" w:rsidP="000D3A1A">
      <w:pPr>
        <w:jc w:val="both"/>
      </w:pPr>
      <w:r>
        <w:tab/>
      </w:r>
      <w:r w:rsidRPr="00093B9A">
        <w:t>Na dan stupanja na snagu ovoga Zakona Ugovor o zajmu iz članka 1. ovoga Zakona nije na snazi te će se podaci o njegovu stupanju na snagu objaviti sukladno odredbi članka 30. stavka 3. Zakona o sklapanju i izvršavanju međunarodnih ugovora (Narodne novine</w:t>
      </w:r>
      <w:r w:rsidR="002334EC">
        <w:t>,</w:t>
      </w:r>
      <w:r w:rsidRPr="00093B9A">
        <w:t xml:space="preserve"> br</w:t>
      </w:r>
      <w:r w:rsidR="002334EC">
        <w:t>oj</w:t>
      </w:r>
      <w:r w:rsidRPr="00093B9A">
        <w:t xml:space="preserve"> 28/96)</w:t>
      </w:r>
      <w:r w:rsidR="004952CD">
        <w:t>.</w:t>
      </w:r>
    </w:p>
    <w:p w14:paraId="74732D50" w14:textId="77777777" w:rsidR="00E80848" w:rsidRDefault="00E80848" w:rsidP="0097275D">
      <w:pPr>
        <w:jc w:val="both"/>
        <w:rPr>
          <w:b/>
        </w:rPr>
      </w:pPr>
    </w:p>
    <w:p w14:paraId="019E548C" w14:textId="77777777" w:rsidR="00E80848" w:rsidRDefault="00E80848" w:rsidP="00AB3887">
      <w:pPr>
        <w:jc w:val="center"/>
        <w:rPr>
          <w:b/>
        </w:rPr>
      </w:pPr>
      <w:r>
        <w:rPr>
          <w:b/>
        </w:rPr>
        <w:t>Članak 6.</w:t>
      </w:r>
    </w:p>
    <w:p w14:paraId="321E235A" w14:textId="77777777" w:rsidR="00E80848" w:rsidRDefault="00E80848" w:rsidP="000D3A1A">
      <w:pPr>
        <w:jc w:val="both"/>
      </w:pPr>
    </w:p>
    <w:p w14:paraId="493EF8C8" w14:textId="77777777" w:rsidR="00E80848" w:rsidRDefault="00E80848" w:rsidP="00AB3887">
      <w:pPr>
        <w:ind w:firstLine="708"/>
        <w:jc w:val="both"/>
      </w:pPr>
      <w:r>
        <w:t>Ovaj Zakon stupa na snagu osmoga dana od dana objave u Narodnim novinama.</w:t>
      </w:r>
    </w:p>
    <w:p w14:paraId="0FDAE1C5" w14:textId="77777777" w:rsidR="0097275D" w:rsidRDefault="0097275D" w:rsidP="0097275D">
      <w:pPr>
        <w:jc w:val="both"/>
      </w:pPr>
    </w:p>
    <w:p w14:paraId="5B13FAE9" w14:textId="77777777" w:rsidR="0097275D" w:rsidRDefault="0097275D" w:rsidP="0097275D">
      <w:pPr>
        <w:jc w:val="both"/>
      </w:pPr>
    </w:p>
    <w:p w14:paraId="288DAD43" w14:textId="77777777" w:rsidR="0097275D" w:rsidRDefault="0097275D" w:rsidP="0097275D">
      <w:pPr>
        <w:jc w:val="both"/>
      </w:pPr>
    </w:p>
    <w:p w14:paraId="5E3CBD67" w14:textId="77777777" w:rsidR="0097275D" w:rsidRDefault="0097275D" w:rsidP="0097275D">
      <w:pPr>
        <w:jc w:val="both"/>
      </w:pPr>
    </w:p>
    <w:p w14:paraId="5B3AFEFE" w14:textId="77777777" w:rsidR="0097275D" w:rsidRDefault="0097275D" w:rsidP="0097275D">
      <w:pPr>
        <w:jc w:val="both"/>
      </w:pPr>
    </w:p>
    <w:p w14:paraId="015549AB" w14:textId="77777777" w:rsidR="0097275D" w:rsidRDefault="0097275D" w:rsidP="0097275D">
      <w:pPr>
        <w:jc w:val="both"/>
      </w:pPr>
    </w:p>
    <w:p w14:paraId="3FF7CE1B" w14:textId="77777777" w:rsidR="0097275D" w:rsidRDefault="0097275D" w:rsidP="0097275D">
      <w:pPr>
        <w:jc w:val="both"/>
      </w:pPr>
    </w:p>
    <w:p w14:paraId="20AAC95D" w14:textId="77777777" w:rsidR="0097275D" w:rsidRDefault="0097275D" w:rsidP="0097275D">
      <w:pPr>
        <w:jc w:val="both"/>
      </w:pPr>
    </w:p>
    <w:p w14:paraId="52FBB4C6" w14:textId="77777777" w:rsidR="0097275D" w:rsidRDefault="0097275D" w:rsidP="0097275D">
      <w:pPr>
        <w:jc w:val="both"/>
      </w:pPr>
    </w:p>
    <w:p w14:paraId="1D52EE6B" w14:textId="77777777" w:rsidR="0097275D" w:rsidRDefault="0097275D" w:rsidP="0097275D">
      <w:pPr>
        <w:jc w:val="both"/>
      </w:pPr>
    </w:p>
    <w:p w14:paraId="11913439" w14:textId="77777777" w:rsidR="0097275D" w:rsidRDefault="0097275D" w:rsidP="0097275D">
      <w:pPr>
        <w:jc w:val="both"/>
      </w:pPr>
    </w:p>
    <w:p w14:paraId="0A8D2EC6" w14:textId="77777777" w:rsidR="0097275D" w:rsidRDefault="0097275D" w:rsidP="0097275D">
      <w:pPr>
        <w:jc w:val="both"/>
      </w:pPr>
    </w:p>
    <w:p w14:paraId="65482104" w14:textId="77777777" w:rsidR="0097275D" w:rsidRDefault="0097275D" w:rsidP="0097275D">
      <w:pPr>
        <w:jc w:val="both"/>
      </w:pPr>
    </w:p>
    <w:p w14:paraId="1B279469" w14:textId="77777777" w:rsidR="0097275D" w:rsidRDefault="0097275D" w:rsidP="0097275D">
      <w:pPr>
        <w:jc w:val="both"/>
      </w:pPr>
    </w:p>
    <w:p w14:paraId="58754095" w14:textId="77777777" w:rsidR="0097275D" w:rsidRDefault="0097275D" w:rsidP="0097275D">
      <w:pPr>
        <w:jc w:val="both"/>
      </w:pPr>
    </w:p>
    <w:p w14:paraId="253B7610" w14:textId="77777777" w:rsidR="0097275D" w:rsidRDefault="0097275D" w:rsidP="0097275D">
      <w:pPr>
        <w:jc w:val="both"/>
      </w:pPr>
    </w:p>
    <w:p w14:paraId="752D06CC" w14:textId="77777777" w:rsidR="0097275D" w:rsidRDefault="0097275D" w:rsidP="0097275D">
      <w:pPr>
        <w:jc w:val="both"/>
      </w:pPr>
    </w:p>
    <w:p w14:paraId="5B6AA8C8" w14:textId="77777777" w:rsidR="0097275D" w:rsidRDefault="0097275D" w:rsidP="0097275D">
      <w:pPr>
        <w:jc w:val="both"/>
      </w:pPr>
    </w:p>
    <w:p w14:paraId="25D9F76B" w14:textId="77777777" w:rsidR="0097275D" w:rsidRDefault="0097275D" w:rsidP="0097275D">
      <w:pPr>
        <w:jc w:val="both"/>
      </w:pPr>
    </w:p>
    <w:p w14:paraId="35F599E4" w14:textId="77777777" w:rsidR="0097275D" w:rsidRDefault="0097275D" w:rsidP="0097275D">
      <w:pPr>
        <w:jc w:val="both"/>
      </w:pPr>
    </w:p>
    <w:p w14:paraId="2A1D8763" w14:textId="77777777" w:rsidR="0097275D" w:rsidRDefault="0097275D" w:rsidP="0097275D">
      <w:pPr>
        <w:jc w:val="both"/>
      </w:pPr>
    </w:p>
    <w:p w14:paraId="49DFA659" w14:textId="77777777" w:rsidR="0097275D" w:rsidRDefault="0097275D" w:rsidP="0097275D">
      <w:pPr>
        <w:jc w:val="both"/>
      </w:pPr>
    </w:p>
    <w:p w14:paraId="23FD85D1" w14:textId="77777777" w:rsidR="0097275D" w:rsidRDefault="0097275D" w:rsidP="0097275D">
      <w:pPr>
        <w:jc w:val="both"/>
      </w:pPr>
    </w:p>
    <w:p w14:paraId="50036277" w14:textId="77777777" w:rsidR="0097275D" w:rsidRDefault="0097275D" w:rsidP="0097275D">
      <w:pPr>
        <w:jc w:val="both"/>
      </w:pPr>
    </w:p>
    <w:p w14:paraId="2CE54A45" w14:textId="77777777" w:rsidR="0097275D" w:rsidRDefault="0097275D" w:rsidP="0097275D">
      <w:pPr>
        <w:jc w:val="both"/>
      </w:pPr>
    </w:p>
    <w:p w14:paraId="735F0724" w14:textId="77777777" w:rsidR="00514FBA" w:rsidRDefault="00514FBA" w:rsidP="0097275D">
      <w:pPr>
        <w:jc w:val="both"/>
        <w:rPr>
          <w:b/>
        </w:rPr>
      </w:pPr>
    </w:p>
    <w:p w14:paraId="1FA1D442" w14:textId="77777777" w:rsidR="00514FBA" w:rsidRDefault="00514FBA" w:rsidP="0097275D">
      <w:pPr>
        <w:jc w:val="both"/>
        <w:rPr>
          <w:b/>
        </w:rPr>
      </w:pPr>
    </w:p>
    <w:p w14:paraId="1E58BC46" w14:textId="77777777" w:rsidR="00827293" w:rsidRDefault="00827293" w:rsidP="0097275D">
      <w:pPr>
        <w:jc w:val="both"/>
        <w:rPr>
          <w:b/>
        </w:rPr>
      </w:pPr>
    </w:p>
    <w:p w14:paraId="4D3B8A2B" w14:textId="77777777" w:rsidR="00E80848" w:rsidRDefault="00E80848" w:rsidP="0097275D">
      <w:pPr>
        <w:jc w:val="both"/>
        <w:rPr>
          <w:b/>
        </w:rPr>
      </w:pPr>
      <w:r>
        <w:rPr>
          <w:b/>
        </w:rPr>
        <w:t>OBRAZLOŽENJE</w:t>
      </w:r>
    </w:p>
    <w:p w14:paraId="00306B11" w14:textId="77777777" w:rsidR="00E80848" w:rsidRDefault="00E80848" w:rsidP="00E80848">
      <w:pPr>
        <w:jc w:val="both"/>
      </w:pPr>
    </w:p>
    <w:p w14:paraId="5C881DAD" w14:textId="77777777" w:rsidR="00E80848" w:rsidRDefault="00E80848" w:rsidP="00E80848">
      <w:pPr>
        <w:jc w:val="both"/>
      </w:pPr>
    </w:p>
    <w:p w14:paraId="6CE76005" w14:textId="77777777" w:rsidR="00E80848" w:rsidRDefault="00E80848" w:rsidP="00E80848">
      <w:pPr>
        <w:jc w:val="both"/>
      </w:pPr>
      <w:r>
        <w:rPr>
          <w:b/>
        </w:rPr>
        <w:t>Člankom 1.</w:t>
      </w:r>
      <w:r>
        <w:t xml:space="preserve"> Konačnog prijedloga zakona utvrđuje se da Hrvatski sabor potvrđuje Ugovor o zajmu između Republike Hrvatske i Međunarodne banke za obnovu i razvoj za </w:t>
      </w:r>
      <w:r w:rsidR="000D3A1A">
        <w:t>Projekt</w:t>
      </w:r>
      <w:r w:rsidR="000D3A1A" w:rsidRPr="000D3A1A">
        <w:t xml:space="preserve"> učinkovitog pravosuđa za bolje poslovno okruženje</w:t>
      </w:r>
      <w:r>
        <w:t>, a sukladno odredbi članka 140. stav</w:t>
      </w:r>
      <w:r w:rsidR="00161058">
        <w:t>ka</w:t>
      </w:r>
      <w:r>
        <w:t xml:space="preserve"> 1. Ustava Republike Hrvatske, čime se iskazuje formalni pristanak Republike Hrvatske da bude vezana ovim Ugovorom o zajmu, na temelju čega će ovaj pristanak biti iskazan i u odnosima s drugom ugovornom strankom. </w:t>
      </w:r>
    </w:p>
    <w:p w14:paraId="035B96CE" w14:textId="77777777" w:rsidR="00E80848" w:rsidRDefault="00E80848" w:rsidP="00E80848">
      <w:pPr>
        <w:jc w:val="both"/>
        <w:rPr>
          <w:b/>
        </w:rPr>
      </w:pPr>
    </w:p>
    <w:p w14:paraId="6BB52165" w14:textId="77777777" w:rsidR="00E80848" w:rsidRDefault="00E80848" w:rsidP="00E80848">
      <w:pPr>
        <w:jc w:val="both"/>
      </w:pPr>
      <w:r>
        <w:rPr>
          <w:b/>
        </w:rPr>
        <w:t>Članak 2.</w:t>
      </w:r>
      <w:r>
        <w:t xml:space="preserve"> sadrži tekst Ugovora o zajmu između Republike Hrvatske i Međunarodne banke za obnovu i razvoj za</w:t>
      </w:r>
      <w:r w:rsidR="000D3A1A" w:rsidRPr="000D3A1A">
        <w:t xml:space="preserve"> Projekt učinkovitog pravosuđa za bolje poslovno okruženje</w:t>
      </w:r>
      <w:r>
        <w:t>, u izvorniku na engleskom jeziku i u prijevodu na hrvatski jezik.</w:t>
      </w:r>
    </w:p>
    <w:p w14:paraId="1ECF0140" w14:textId="77777777" w:rsidR="00E80848" w:rsidRDefault="00E80848" w:rsidP="00E80848">
      <w:pPr>
        <w:jc w:val="both"/>
      </w:pPr>
    </w:p>
    <w:p w14:paraId="066FBAE9" w14:textId="77777777" w:rsidR="00E80848" w:rsidRPr="00685255" w:rsidRDefault="00E80848" w:rsidP="00E80848">
      <w:pPr>
        <w:jc w:val="both"/>
      </w:pPr>
      <w:r w:rsidRPr="00685255">
        <w:rPr>
          <w:b/>
        </w:rPr>
        <w:t>Člankom 3.</w:t>
      </w:r>
      <w:r w:rsidRPr="00685255">
        <w:t xml:space="preserve"> </w:t>
      </w:r>
      <w:r>
        <w:t>propisuje se način planiranja i podmirivanja financijskih obaveza koje nastaju za Republiku Hrvatsku kao zajmoprimca na temelju Ugovora o zajmu.</w:t>
      </w:r>
    </w:p>
    <w:p w14:paraId="07623B23" w14:textId="77777777" w:rsidR="00E80848" w:rsidRPr="00685255" w:rsidRDefault="00E80848" w:rsidP="00E80848">
      <w:pPr>
        <w:jc w:val="both"/>
      </w:pPr>
    </w:p>
    <w:p w14:paraId="5E8373EC" w14:textId="77777777" w:rsidR="00E80848" w:rsidRDefault="00E80848" w:rsidP="00E80848">
      <w:pPr>
        <w:jc w:val="both"/>
      </w:pPr>
      <w:r w:rsidRPr="00685255">
        <w:rPr>
          <w:b/>
        </w:rPr>
        <w:t>Člankom 4.</w:t>
      </w:r>
      <w:r w:rsidRPr="00685255">
        <w:t xml:space="preserve"> utvrđeno je da je provedba Zakona o potvrđivanju Ugovora o zajmu između Republike Hrvatske i Međunarodne banke za obnovu i razvoj za </w:t>
      </w:r>
      <w:r w:rsidR="000D3A1A" w:rsidRPr="000D3A1A">
        <w:t>Projekt učinkovitog pravosuđa za bolje poslovno okruženje</w:t>
      </w:r>
      <w:r w:rsidR="002334EC">
        <w:t>,</w:t>
      </w:r>
      <w:r w:rsidR="002334EC" w:rsidRPr="002334EC">
        <w:t xml:space="preserve"> </w:t>
      </w:r>
      <w:r w:rsidR="002334EC">
        <w:t xml:space="preserve">sukladno </w:t>
      </w:r>
      <w:r w:rsidR="002334EC" w:rsidRPr="002334EC">
        <w:t>nadležnosti za pojedine komponente Projekta</w:t>
      </w:r>
      <w:r w:rsidR="002334EC">
        <w:t>,</w:t>
      </w:r>
      <w:r w:rsidR="000D3A1A" w:rsidRPr="000D3A1A">
        <w:t xml:space="preserve"> </w:t>
      </w:r>
      <w:r w:rsidRPr="00C573DE">
        <w:t xml:space="preserve">u djelokrugu </w:t>
      </w:r>
      <w:r w:rsidRPr="00D239E4">
        <w:t>tijela državne uprave nadležnih za poslove pravosuđa</w:t>
      </w:r>
      <w:r w:rsidR="002334EC">
        <w:t xml:space="preserve"> (za</w:t>
      </w:r>
      <w:r w:rsidR="002334EC" w:rsidRPr="004E0D72">
        <w:t xml:space="preserve"> osnaživanje gospodarske klime unapr</w:t>
      </w:r>
      <w:r w:rsidR="002334EC">
        <w:t>j</w:t>
      </w:r>
      <w:r w:rsidR="002334EC" w:rsidRPr="004E0D72">
        <w:t>eđenjem učinkovitosti pravosuđa</w:t>
      </w:r>
      <w:r w:rsidR="002334EC">
        <w:t xml:space="preserve">) te tijela državne uprave nadležnih za poslove </w:t>
      </w:r>
      <w:r w:rsidR="009A12EC" w:rsidRPr="009A12EC">
        <w:t>gospodarstva, poduzetništ</w:t>
      </w:r>
      <w:r w:rsidR="002334EC">
        <w:t>v</w:t>
      </w:r>
      <w:r w:rsidR="009A12EC" w:rsidRPr="009A12EC">
        <w:t>a i obrta te graditeljstva i prostornoga uređenja</w:t>
      </w:r>
      <w:r w:rsidR="002334EC">
        <w:t xml:space="preserve"> </w:t>
      </w:r>
      <w:r w:rsidR="002334EC" w:rsidRPr="002334EC">
        <w:t>(za smanjenje administrativnog opterećenja u poslovanju poduzeća)</w:t>
      </w:r>
      <w:r w:rsidR="003A52F7">
        <w:t>.</w:t>
      </w:r>
    </w:p>
    <w:p w14:paraId="74030623" w14:textId="77777777" w:rsidR="00E80848" w:rsidRDefault="00E80848" w:rsidP="00E80848">
      <w:pPr>
        <w:jc w:val="both"/>
      </w:pPr>
    </w:p>
    <w:p w14:paraId="330F7203" w14:textId="77777777" w:rsidR="00E80848" w:rsidRDefault="00E80848" w:rsidP="00E80848">
      <w:pPr>
        <w:jc w:val="both"/>
        <w:outlineLvl w:val="0"/>
      </w:pPr>
      <w:r w:rsidRPr="00685255">
        <w:rPr>
          <w:b/>
        </w:rPr>
        <w:t>Člankom 5</w:t>
      </w:r>
      <w:r w:rsidRPr="00685255">
        <w:t xml:space="preserve">. utvrđuje se da na dan stupanja na snagu Zakona Ugovor o zajmu između Republike Hrvatske i Međunarodne banke za obnovu i razvoj za </w:t>
      </w:r>
      <w:r w:rsidR="000D3A1A" w:rsidRPr="000D3A1A">
        <w:t xml:space="preserve">Projekt učinkovitog pravosuđa za bolje poslovno okruženje </w:t>
      </w:r>
      <w:r w:rsidRPr="00685255">
        <w:t>nije na snazi, te će se podaci o njegovom stupanju na snagu objaviti sukladno članku 30. stavku 3. Zakona o sklapanju i izvršavanju međunarodnih ugovora.</w:t>
      </w:r>
      <w:r>
        <w:t xml:space="preserve"> </w:t>
      </w:r>
    </w:p>
    <w:p w14:paraId="7295BC52" w14:textId="77777777" w:rsidR="00E80848" w:rsidRDefault="00E80848" w:rsidP="00E80848">
      <w:pPr>
        <w:tabs>
          <w:tab w:val="left" w:pos="1800"/>
        </w:tabs>
        <w:jc w:val="both"/>
        <w:rPr>
          <w:b/>
        </w:rPr>
      </w:pPr>
      <w:r>
        <w:rPr>
          <w:b/>
        </w:rPr>
        <w:tab/>
      </w:r>
    </w:p>
    <w:p w14:paraId="756690D2" w14:textId="77777777" w:rsidR="00E80848" w:rsidRDefault="00E80848" w:rsidP="00E80848">
      <w:pPr>
        <w:jc w:val="both"/>
      </w:pPr>
      <w:r>
        <w:rPr>
          <w:b/>
        </w:rPr>
        <w:t>Člankom 6</w:t>
      </w:r>
      <w:r>
        <w:t>. utvrđuje se stupanje na snagu Zakona.</w:t>
      </w:r>
    </w:p>
    <w:p w14:paraId="7ACEAC04" w14:textId="77777777" w:rsidR="00E80848" w:rsidRPr="002A7259" w:rsidRDefault="00E80848" w:rsidP="00E80848">
      <w:pPr>
        <w:jc w:val="both"/>
      </w:pPr>
    </w:p>
    <w:bookmarkEnd w:id="0"/>
    <w:p w14:paraId="65AA0CA9" w14:textId="77777777" w:rsidR="002734D0" w:rsidRDefault="002734D0"/>
    <w:sectPr w:rsidR="002734D0" w:rsidSect="00456EFB">
      <w:footerReference w:type="default" r:id="rId12"/>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ACDC6" w14:textId="77777777" w:rsidR="001E4365" w:rsidRDefault="001E4365">
      <w:r>
        <w:separator/>
      </w:r>
    </w:p>
  </w:endnote>
  <w:endnote w:type="continuationSeparator" w:id="0">
    <w:p w14:paraId="25D4EFC9" w14:textId="77777777" w:rsidR="001E4365" w:rsidRDefault="001E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959239"/>
      <w:docPartObj>
        <w:docPartGallery w:val="Page Numbers (Bottom of Page)"/>
        <w:docPartUnique/>
      </w:docPartObj>
    </w:sdtPr>
    <w:sdtEndPr/>
    <w:sdtContent>
      <w:p w14:paraId="3B32DF16" w14:textId="26368F5B" w:rsidR="001107A8" w:rsidRDefault="001107A8">
        <w:pPr>
          <w:pStyle w:val="Footer"/>
          <w:jc w:val="center"/>
        </w:pPr>
        <w:r>
          <w:fldChar w:fldCharType="begin"/>
        </w:r>
        <w:r>
          <w:instrText>PAGE   \* MERGEFORMAT</w:instrText>
        </w:r>
        <w:r>
          <w:fldChar w:fldCharType="separate"/>
        </w:r>
        <w:r w:rsidR="00201F20" w:rsidRPr="00201F20">
          <w:rPr>
            <w:noProof/>
            <w:lang w:val="hr-HR"/>
          </w:rPr>
          <w:t>3</w:t>
        </w:r>
        <w:r>
          <w:fldChar w:fldCharType="end"/>
        </w:r>
      </w:p>
    </w:sdtContent>
  </w:sdt>
  <w:p w14:paraId="29A51A12" w14:textId="77777777" w:rsidR="00D056EF" w:rsidRDefault="00D0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963040"/>
      <w:docPartObj>
        <w:docPartGallery w:val="Page Numbers (Bottom of Page)"/>
        <w:docPartUnique/>
      </w:docPartObj>
    </w:sdtPr>
    <w:sdtEndPr>
      <w:rPr>
        <w:noProof/>
      </w:rPr>
    </w:sdtEndPr>
    <w:sdtContent>
      <w:p w14:paraId="3B6260A7" w14:textId="77777777" w:rsidR="00D056EF" w:rsidRDefault="00201F20">
        <w:pPr>
          <w:pStyle w:val="Footer"/>
          <w:jc w:val="center"/>
        </w:pPr>
      </w:p>
    </w:sdtContent>
  </w:sdt>
  <w:p w14:paraId="4822B7D1" w14:textId="77777777" w:rsidR="00D056EF" w:rsidRDefault="00D056EF" w:rsidP="00DC393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D2C5" w14:textId="77777777" w:rsidR="00D056EF" w:rsidRDefault="00D056EF">
    <w:pPr>
      <w:pStyle w:val="Footer"/>
      <w:jc w:val="center"/>
    </w:pPr>
    <w:r>
      <w:fldChar w:fldCharType="begin"/>
    </w:r>
    <w:r>
      <w:instrText xml:space="preserve"> PAGE   \* MERGEFORMAT </w:instrText>
    </w:r>
    <w:r>
      <w:fldChar w:fldCharType="separate"/>
    </w:r>
    <w:r w:rsidR="00C76FA8">
      <w:rPr>
        <w:noProof/>
      </w:rPr>
      <w:t>48</w:t>
    </w:r>
    <w:r>
      <w:rPr>
        <w:noProof/>
      </w:rPr>
      <w:fldChar w:fldCharType="end"/>
    </w:r>
  </w:p>
  <w:p w14:paraId="4F63B971" w14:textId="77777777" w:rsidR="00D056EF" w:rsidRDefault="00D056EF">
    <w:pPr>
      <w:pStyle w:val="Footer"/>
      <w:tabs>
        <w:tab w:val="right" w:pos="8505"/>
      </w:tabs>
      <w:ind w:right="360"/>
      <w:jc w:val="right"/>
    </w:pPr>
  </w:p>
  <w:p w14:paraId="3FCDF0DA" w14:textId="77777777" w:rsidR="00D056EF" w:rsidRDefault="00D056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DBC00" w14:textId="77777777" w:rsidR="001E4365" w:rsidRDefault="001E4365">
      <w:r>
        <w:separator/>
      </w:r>
    </w:p>
  </w:footnote>
  <w:footnote w:type="continuationSeparator" w:id="0">
    <w:p w14:paraId="70423FE9" w14:textId="77777777" w:rsidR="001E4365" w:rsidRDefault="001E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B256" w14:textId="77777777" w:rsidR="00D056EF" w:rsidRDefault="00D056EF">
    <w:pPr>
      <w:pStyle w:val="Header"/>
      <w:jc w:val="center"/>
    </w:pPr>
  </w:p>
  <w:p w14:paraId="30856E20" w14:textId="77777777" w:rsidR="00D056EF" w:rsidRDefault="00D0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5E8"/>
    <w:multiLevelType w:val="hybridMultilevel"/>
    <w:tmpl w:val="0EEE0F30"/>
    <w:lvl w:ilvl="0" w:tplc="B920858C">
      <w:start w:val="1"/>
      <w:numFmt w:val="lowerRoman"/>
      <w:lvlText w:val="(%1)"/>
      <w:lvlJc w:val="right"/>
      <w:pPr>
        <w:ind w:left="720" w:hanging="360"/>
      </w:pPr>
      <w:rPr>
        <w:rFonts w:hint="default"/>
      </w:rPr>
    </w:lvl>
    <w:lvl w:ilvl="1" w:tplc="9E48A212">
      <w:start w:val="1"/>
      <w:numFmt w:val="lowerRoman"/>
      <w:lvlText w:val="(%2)"/>
      <w:lvlJc w:val="right"/>
      <w:pPr>
        <w:ind w:left="1701" w:hanging="567"/>
      </w:pPr>
      <w:rPr>
        <w:rFonts w:hint="default"/>
      </w:rPr>
    </w:lvl>
    <w:lvl w:ilvl="2" w:tplc="E7D8C7F8">
      <w:start w:val="1"/>
      <w:numFmt w:val="lowerRoman"/>
      <w:lvlText w:val="(%3)"/>
      <w:lvlJc w:val="right"/>
      <w:pPr>
        <w:ind w:left="1701" w:hanging="397"/>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BC2D98"/>
    <w:multiLevelType w:val="hybridMultilevel"/>
    <w:tmpl w:val="B0202C14"/>
    <w:lvl w:ilvl="0" w:tplc="D4AA1E74">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E7103B"/>
    <w:multiLevelType w:val="hybridMultilevel"/>
    <w:tmpl w:val="CC4032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EE090F"/>
    <w:multiLevelType w:val="hybridMultilevel"/>
    <w:tmpl w:val="0A748954"/>
    <w:lvl w:ilvl="0" w:tplc="833E5944">
      <w:start w:val="1"/>
      <w:numFmt w:val="lowerRoman"/>
      <w:lvlText w:val="(%1)"/>
      <w:lvlJc w:val="right"/>
      <w:pPr>
        <w:ind w:left="1701" w:hanging="397"/>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4AC6893"/>
    <w:multiLevelType w:val="hybridMultilevel"/>
    <w:tmpl w:val="E63E759E"/>
    <w:lvl w:ilvl="0" w:tplc="C4522392">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5721909"/>
    <w:multiLevelType w:val="hybridMultilevel"/>
    <w:tmpl w:val="388CB75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652290D"/>
    <w:multiLevelType w:val="hybridMultilevel"/>
    <w:tmpl w:val="ABF6992E"/>
    <w:lvl w:ilvl="0" w:tplc="A7E8F952">
      <w:start w:val="1"/>
      <w:numFmt w:val="decimal"/>
      <w:lvlText w:val="%1."/>
      <w:lvlJc w:val="left"/>
      <w:pPr>
        <w:ind w:left="567" w:hanging="567"/>
      </w:pPr>
      <w:rPr>
        <w:rFonts w:hint="default"/>
        <w:sz w:val="24"/>
        <w:szCs w:val="24"/>
      </w:rPr>
    </w:lvl>
    <w:lvl w:ilvl="1" w:tplc="041A0019" w:tentative="1">
      <w:start w:val="1"/>
      <w:numFmt w:val="lowerLetter"/>
      <w:lvlText w:val="%2."/>
      <w:lvlJc w:val="left"/>
      <w:pPr>
        <w:ind w:left="873" w:hanging="360"/>
      </w:pPr>
    </w:lvl>
    <w:lvl w:ilvl="2" w:tplc="041A001B" w:tentative="1">
      <w:start w:val="1"/>
      <w:numFmt w:val="lowerRoman"/>
      <w:lvlText w:val="%3."/>
      <w:lvlJc w:val="right"/>
      <w:pPr>
        <w:ind w:left="1593" w:hanging="180"/>
      </w:pPr>
    </w:lvl>
    <w:lvl w:ilvl="3" w:tplc="041A000F" w:tentative="1">
      <w:start w:val="1"/>
      <w:numFmt w:val="decimal"/>
      <w:lvlText w:val="%4."/>
      <w:lvlJc w:val="left"/>
      <w:pPr>
        <w:ind w:left="2313" w:hanging="360"/>
      </w:pPr>
    </w:lvl>
    <w:lvl w:ilvl="4" w:tplc="041A0019" w:tentative="1">
      <w:start w:val="1"/>
      <w:numFmt w:val="lowerLetter"/>
      <w:lvlText w:val="%5."/>
      <w:lvlJc w:val="left"/>
      <w:pPr>
        <w:ind w:left="3033" w:hanging="360"/>
      </w:pPr>
    </w:lvl>
    <w:lvl w:ilvl="5" w:tplc="041A001B" w:tentative="1">
      <w:start w:val="1"/>
      <w:numFmt w:val="lowerRoman"/>
      <w:lvlText w:val="%6."/>
      <w:lvlJc w:val="right"/>
      <w:pPr>
        <w:ind w:left="3753" w:hanging="180"/>
      </w:pPr>
    </w:lvl>
    <w:lvl w:ilvl="6" w:tplc="041A000F" w:tentative="1">
      <w:start w:val="1"/>
      <w:numFmt w:val="decimal"/>
      <w:lvlText w:val="%7."/>
      <w:lvlJc w:val="left"/>
      <w:pPr>
        <w:ind w:left="4473" w:hanging="360"/>
      </w:pPr>
    </w:lvl>
    <w:lvl w:ilvl="7" w:tplc="041A0019" w:tentative="1">
      <w:start w:val="1"/>
      <w:numFmt w:val="lowerLetter"/>
      <w:lvlText w:val="%8."/>
      <w:lvlJc w:val="left"/>
      <w:pPr>
        <w:ind w:left="5193" w:hanging="360"/>
      </w:pPr>
    </w:lvl>
    <w:lvl w:ilvl="8" w:tplc="041A001B" w:tentative="1">
      <w:start w:val="1"/>
      <w:numFmt w:val="lowerRoman"/>
      <w:lvlText w:val="%9."/>
      <w:lvlJc w:val="right"/>
      <w:pPr>
        <w:ind w:left="5913" w:hanging="180"/>
      </w:pPr>
    </w:lvl>
  </w:abstractNum>
  <w:abstractNum w:abstractNumId="7" w15:restartNumberingAfterBreak="0">
    <w:nsid w:val="0876560C"/>
    <w:multiLevelType w:val="hybridMultilevel"/>
    <w:tmpl w:val="3D1E1712"/>
    <w:lvl w:ilvl="0" w:tplc="0582B77A">
      <w:start w:val="1"/>
      <w:numFmt w:val="lowerLetter"/>
      <w:lvlText w:val="(%1)"/>
      <w:lvlJc w:val="left"/>
      <w:pPr>
        <w:ind w:left="720" w:hanging="360"/>
      </w:pPr>
      <w:rPr>
        <w:rFonts w:hint="default"/>
        <w:sz w:val="24"/>
        <w:szCs w:val="24"/>
      </w:rPr>
    </w:lvl>
    <w:lvl w:ilvl="1" w:tplc="C4442148">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5D122B"/>
    <w:multiLevelType w:val="hybridMultilevel"/>
    <w:tmpl w:val="D1A2AADA"/>
    <w:lvl w:ilvl="0" w:tplc="57E6694A">
      <w:start w:val="1"/>
      <w:numFmt w:val="lowerLetter"/>
      <w:lvlText w:val="(%1)"/>
      <w:lvlJc w:val="left"/>
      <w:pPr>
        <w:ind w:left="720" w:hanging="360"/>
      </w:pPr>
      <w:rPr>
        <w:rFonts w:hint="default"/>
        <w:sz w:val="24"/>
        <w:szCs w:val="24"/>
      </w:rPr>
    </w:lvl>
    <w:lvl w:ilvl="1" w:tplc="6FB861F0">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E2E3C0C"/>
    <w:multiLevelType w:val="hybridMultilevel"/>
    <w:tmpl w:val="47D656BE"/>
    <w:lvl w:ilvl="0" w:tplc="51EAD530">
      <w:start w:val="1"/>
      <w:numFmt w:val="decimal"/>
      <w:lvlText w:val="%1."/>
      <w:lvlJc w:val="left"/>
      <w:pPr>
        <w:ind w:left="567" w:hanging="567"/>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EB02E21"/>
    <w:multiLevelType w:val="hybridMultilevel"/>
    <w:tmpl w:val="FDB0DE10"/>
    <w:lvl w:ilvl="0" w:tplc="A950E556">
      <w:start w:val="1"/>
      <w:numFmt w:val="decimal"/>
      <w:lvlText w:val="%1."/>
      <w:lvlJc w:val="left"/>
      <w:pPr>
        <w:tabs>
          <w:tab w:val="num" w:pos="360"/>
        </w:tabs>
        <w:ind w:left="360" w:hanging="360"/>
      </w:pPr>
      <w:rPr>
        <w:rFonts w:hint="default"/>
      </w:rPr>
    </w:lvl>
    <w:lvl w:ilvl="1" w:tplc="D6A87394">
      <w:numFmt w:val="none"/>
      <w:lvlText w:val=""/>
      <w:lvlJc w:val="left"/>
      <w:pPr>
        <w:tabs>
          <w:tab w:val="num" w:pos="360"/>
        </w:tabs>
      </w:pPr>
    </w:lvl>
    <w:lvl w:ilvl="2" w:tplc="51D4A61C">
      <w:numFmt w:val="none"/>
      <w:lvlText w:val=""/>
      <w:lvlJc w:val="left"/>
      <w:pPr>
        <w:tabs>
          <w:tab w:val="num" w:pos="360"/>
        </w:tabs>
      </w:pPr>
    </w:lvl>
    <w:lvl w:ilvl="3" w:tplc="EA683104">
      <w:numFmt w:val="none"/>
      <w:lvlText w:val=""/>
      <w:lvlJc w:val="left"/>
      <w:pPr>
        <w:tabs>
          <w:tab w:val="num" w:pos="360"/>
        </w:tabs>
      </w:pPr>
    </w:lvl>
    <w:lvl w:ilvl="4" w:tplc="C7FA39A0">
      <w:numFmt w:val="none"/>
      <w:lvlText w:val=""/>
      <w:lvlJc w:val="left"/>
      <w:pPr>
        <w:tabs>
          <w:tab w:val="num" w:pos="360"/>
        </w:tabs>
      </w:pPr>
    </w:lvl>
    <w:lvl w:ilvl="5" w:tplc="0FA44930">
      <w:numFmt w:val="none"/>
      <w:lvlText w:val=""/>
      <w:lvlJc w:val="left"/>
      <w:pPr>
        <w:tabs>
          <w:tab w:val="num" w:pos="360"/>
        </w:tabs>
      </w:pPr>
    </w:lvl>
    <w:lvl w:ilvl="6" w:tplc="44FABB6E">
      <w:numFmt w:val="none"/>
      <w:lvlText w:val=""/>
      <w:lvlJc w:val="left"/>
      <w:pPr>
        <w:tabs>
          <w:tab w:val="num" w:pos="360"/>
        </w:tabs>
      </w:pPr>
    </w:lvl>
    <w:lvl w:ilvl="7" w:tplc="058C1AA2">
      <w:numFmt w:val="none"/>
      <w:lvlText w:val=""/>
      <w:lvlJc w:val="left"/>
      <w:pPr>
        <w:tabs>
          <w:tab w:val="num" w:pos="360"/>
        </w:tabs>
      </w:pPr>
    </w:lvl>
    <w:lvl w:ilvl="8" w:tplc="3FF8676A">
      <w:numFmt w:val="none"/>
      <w:lvlText w:val=""/>
      <w:lvlJc w:val="left"/>
      <w:pPr>
        <w:tabs>
          <w:tab w:val="num" w:pos="360"/>
        </w:tabs>
      </w:pPr>
    </w:lvl>
  </w:abstractNum>
  <w:abstractNum w:abstractNumId="11" w15:restartNumberingAfterBreak="0">
    <w:nsid w:val="0EB61EDA"/>
    <w:multiLevelType w:val="hybridMultilevel"/>
    <w:tmpl w:val="961ADA04"/>
    <w:lvl w:ilvl="0" w:tplc="B920858C">
      <w:start w:val="1"/>
      <w:numFmt w:val="lowerRoman"/>
      <w:lvlText w:val="(%1)"/>
      <w:lvlJc w:val="righ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5E4836"/>
    <w:multiLevelType w:val="hybridMultilevel"/>
    <w:tmpl w:val="2A30D2FA"/>
    <w:lvl w:ilvl="0" w:tplc="A492FF76">
      <w:start w:val="1"/>
      <w:numFmt w:val="lowerLetter"/>
      <w:lvlText w:val="(%1)"/>
      <w:lvlJc w:val="left"/>
      <w:pPr>
        <w:ind w:left="720" w:hanging="360"/>
      </w:pPr>
      <w:rPr>
        <w:rFonts w:hint="default"/>
        <w:sz w:val="22"/>
        <w:szCs w:val="22"/>
      </w:rPr>
    </w:lvl>
    <w:lvl w:ilvl="1" w:tplc="3D205C7A">
      <w:start w:val="1"/>
      <w:numFmt w:val="lowerLetter"/>
      <w:lvlText w:val="(%2)"/>
      <w:lvlJc w:val="left"/>
      <w:pPr>
        <w:ind w:left="1134" w:hanging="567"/>
      </w:pPr>
      <w:rPr>
        <w:rFonts w:hint="default"/>
        <w:sz w:val="24"/>
        <w:szCs w:val="24"/>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787A86"/>
    <w:multiLevelType w:val="hybridMultilevel"/>
    <w:tmpl w:val="69148E7C"/>
    <w:lvl w:ilvl="0" w:tplc="DB3C1356">
      <w:start w:val="1"/>
      <w:numFmt w:val="lowerRoman"/>
      <w:lvlText w:val="(%1)"/>
      <w:lvlJc w:val="right"/>
      <w:pPr>
        <w:ind w:left="1440" w:hanging="360"/>
      </w:pPr>
      <w:rPr>
        <w:rFonts w:hint="default"/>
      </w:rPr>
    </w:lvl>
    <w:lvl w:ilvl="1" w:tplc="041A0019">
      <w:start w:val="1"/>
      <w:numFmt w:val="lowerLetter"/>
      <w:lvlText w:val="%2."/>
      <w:lvlJc w:val="left"/>
      <w:pPr>
        <w:ind w:left="2160" w:hanging="360"/>
      </w:pPr>
    </w:lvl>
    <w:lvl w:ilvl="2" w:tplc="5AC235C0">
      <w:start w:val="1"/>
      <w:numFmt w:val="lowerRoman"/>
      <w:lvlText w:val="(%3)"/>
      <w:lvlJc w:val="right"/>
      <w:pPr>
        <w:ind w:left="1701" w:hanging="397"/>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1B734818"/>
    <w:multiLevelType w:val="hybridMultilevel"/>
    <w:tmpl w:val="C80E4BB0"/>
    <w:lvl w:ilvl="0" w:tplc="EB244CD6">
      <w:start w:val="1"/>
      <w:numFmt w:val="lowerLetter"/>
      <w:lvlText w:val="(%1)"/>
      <w:lvlJc w:val="left"/>
      <w:pPr>
        <w:ind w:left="720" w:hanging="360"/>
      </w:pPr>
      <w:rPr>
        <w:rFonts w:hint="default"/>
        <w:sz w:val="24"/>
        <w:szCs w:val="24"/>
      </w:rPr>
    </w:lvl>
    <w:lvl w:ilvl="1" w:tplc="9654BCF0">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C57654"/>
    <w:multiLevelType w:val="hybridMultilevel"/>
    <w:tmpl w:val="9AC628CA"/>
    <w:lvl w:ilvl="0" w:tplc="2E002C06">
      <w:start w:val="1"/>
      <w:numFmt w:val="lowerLetter"/>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F832DF9"/>
    <w:multiLevelType w:val="hybridMultilevel"/>
    <w:tmpl w:val="DFA44A02"/>
    <w:lvl w:ilvl="0" w:tplc="785A7176">
      <w:start w:val="1"/>
      <w:numFmt w:val="lowerLetter"/>
      <w:lvlText w:val="(%1)"/>
      <w:lvlJc w:val="left"/>
      <w:pPr>
        <w:ind w:left="720" w:hanging="360"/>
      </w:pPr>
      <w:rPr>
        <w:rFonts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D846E0"/>
    <w:multiLevelType w:val="hybridMultilevel"/>
    <w:tmpl w:val="2F20282C"/>
    <w:lvl w:ilvl="0" w:tplc="134465CE">
      <w:start w:val="1"/>
      <w:numFmt w:val="upperRoman"/>
      <w:lvlText w:val="%1."/>
      <w:lvlJc w:val="left"/>
      <w:pPr>
        <w:tabs>
          <w:tab w:val="num" w:pos="720"/>
        </w:tabs>
        <w:ind w:left="720" w:hanging="720"/>
      </w:pPr>
      <w:rPr>
        <w:rFonts w:hint="default"/>
      </w:rPr>
    </w:lvl>
    <w:lvl w:ilvl="1" w:tplc="4B92AB90">
      <w:start w:val="1"/>
      <w:numFmt w:val="bullet"/>
      <w:lvlText w:val="-"/>
      <w:lvlJc w:val="left"/>
      <w:pPr>
        <w:tabs>
          <w:tab w:val="num" w:pos="1440"/>
        </w:tabs>
        <w:ind w:left="1440" w:hanging="360"/>
      </w:pPr>
      <w:rPr>
        <w:rFonts w:ascii="Times New Roman" w:eastAsia="Times New Roman" w:hAnsi="Times New Roman" w:cs="Times New Roman" w:hint="default"/>
      </w:rPr>
    </w:lvl>
    <w:lvl w:ilvl="2" w:tplc="9FC82C74">
      <w:start w:val="2"/>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21DA553E"/>
    <w:multiLevelType w:val="hybridMultilevel"/>
    <w:tmpl w:val="302448CE"/>
    <w:lvl w:ilvl="0" w:tplc="F49E1BE2">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219443F"/>
    <w:multiLevelType w:val="hybridMultilevel"/>
    <w:tmpl w:val="5600925C"/>
    <w:lvl w:ilvl="0" w:tplc="1A08F8B8">
      <w:start w:val="1"/>
      <w:numFmt w:val="lowerLetter"/>
      <w:lvlText w:val="(%1)"/>
      <w:lvlJc w:val="left"/>
      <w:pPr>
        <w:ind w:left="1134" w:hanging="567"/>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44E79F5"/>
    <w:multiLevelType w:val="hybridMultilevel"/>
    <w:tmpl w:val="9FDEB4F6"/>
    <w:lvl w:ilvl="0" w:tplc="DB3C1356">
      <w:start w:val="1"/>
      <w:numFmt w:val="lowerRoman"/>
      <w:lvlText w:val="(%1)"/>
      <w:lvlJc w:val="right"/>
      <w:pPr>
        <w:ind w:left="1440" w:hanging="360"/>
      </w:pPr>
      <w:rPr>
        <w:rFonts w:hint="default"/>
      </w:rPr>
    </w:lvl>
    <w:lvl w:ilvl="1" w:tplc="041A0019" w:tentative="1">
      <w:start w:val="1"/>
      <w:numFmt w:val="lowerLetter"/>
      <w:lvlText w:val="%2."/>
      <w:lvlJc w:val="left"/>
      <w:pPr>
        <w:ind w:left="2160" w:hanging="360"/>
      </w:pPr>
    </w:lvl>
    <w:lvl w:ilvl="2" w:tplc="1F520094">
      <w:start w:val="1"/>
      <w:numFmt w:val="lowerRoman"/>
      <w:lvlText w:val="(%3)"/>
      <w:lvlJc w:val="right"/>
      <w:pPr>
        <w:ind w:left="1701" w:hanging="397"/>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24AE7368"/>
    <w:multiLevelType w:val="hybridMultilevel"/>
    <w:tmpl w:val="F910944C"/>
    <w:lvl w:ilvl="0" w:tplc="CF8E2064">
      <w:start w:val="1"/>
      <w:numFmt w:val="decimal"/>
      <w:lvlText w:val="%1."/>
      <w:lvlJc w:val="left"/>
      <w:pPr>
        <w:ind w:left="1134" w:hanging="56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5D2217D"/>
    <w:multiLevelType w:val="hybridMultilevel"/>
    <w:tmpl w:val="6D6C6402"/>
    <w:lvl w:ilvl="0" w:tplc="D8BC4CAA">
      <w:start w:val="1"/>
      <w:numFmt w:val="lowerRoman"/>
      <w:lvlText w:val="(%1)"/>
      <w:lvlJc w:val="right"/>
      <w:pPr>
        <w:ind w:left="1701" w:hanging="567"/>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26996264"/>
    <w:multiLevelType w:val="hybridMultilevel"/>
    <w:tmpl w:val="448AB80E"/>
    <w:lvl w:ilvl="0" w:tplc="A492FF76">
      <w:start w:val="1"/>
      <w:numFmt w:val="lowerLetter"/>
      <w:lvlText w:val="(%1)"/>
      <w:lvlJc w:val="left"/>
      <w:pPr>
        <w:ind w:left="720" w:hanging="360"/>
      </w:pPr>
      <w:rPr>
        <w:rFonts w:hint="default"/>
        <w:sz w:val="22"/>
        <w:szCs w:val="22"/>
      </w:rPr>
    </w:lvl>
    <w:lvl w:ilvl="1" w:tplc="7CB0F34C">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19439E6"/>
    <w:multiLevelType w:val="multilevel"/>
    <w:tmpl w:val="93F4695A"/>
    <w:lvl w:ilvl="0">
      <w:start w:val="1"/>
      <w:numFmt w:val="none"/>
      <w:pStyle w:val="Heading1a"/>
      <w:suff w:val="nothing"/>
      <w:lvlText w:val="%1"/>
      <w:lvlJc w:val="left"/>
      <w:rPr>
        <w:rFonts w:cs="Times New Roman" w:hint="default"/>
      </w:rPr>
    </w:lvl>
    <w:lvl w:ilvl="1">
      <w:start w:val="36"/>
      <w:numFmt w:val="decimal"/>
      <w:pStyle w:val="MainParanoChapter"/>
      <w:lvlText w:val="%2."/>
      <w:lvlJc w:val="left"/>
      <w:pPr>
        <w:tabs>
          <w:tab w:val="num" w:pos="720"/>
        </w:tabs>
        <w:ind w:left="720" w:hanging="720"/>
      </w:pPr>
      <w:rPr>
        <w:rFonts w:cs="Times New Roman" w:hint="default"/>
      </w:rPr>
    </w:lvl>
    <w:lvl w:ilvl="2">
      <w:start w:val="1"/>
      <w:numFmt w:val="lowerRoman"/>
      <w:lvlText w:val="(%3)"/>
      <w:lvlJc w:val="left"/>
      <w:pPr>
        <w:tabs>
          <w:tab w:val="num" w:pos="1080"/>
        </w:tabs>
        <w:ind w:left="720" w:hanging="360"/>
      </w:pPr>
      <w:rPr>
        <w:rFonts w:cs="Times New Roman" w:hint="default"/>
      </w:rPr>
    </w:lvl>
    <w:lvl w:ilvl="3">
      <w:start w:val="1"/>
      <w:numFmt w:val="lowerRoman"/>
      <w:pStyle w:val="Heading1a"/>
      <w:lvlText w:val="(%4)"/>
      <w:lvlJc w:val="left"/>
      <w:pPr>
        <w:tabs>
          <w:tab w:val="num" w:pos="1800"/>
        </w:tabs>
        <w:ind w:left="1080" w:hanging="360"/>
      </w:pPr>
      <w:rPr>
        <w:rFonts w:cs="Times New Roman" w:hint="default"/>
      </w:rPr>
    </w:lvl>
    <w:lvl w:ilvl="4">
      <w:start w:val="1"/>
      <w:numFmt w:val="lowerLetter"/>
      <w:pStyle w:val="MainParanoChapter"/>
      <w:lvlText w:val="%5."/>
      <w:lvlJc w:val="left"/>
      <w:pPr>
        <w:tabs>
          <w:tab w:val="num" w:pos="1440"/>
        </w:tabs>
        <w:ind w:left="1440" w:hanging="360"/>
      </w:pPr>
      <w:rPr>
        <w:rFonts w:cs="Times New Roman" w:hint="default"/>
      </w:rPr>
    </w:lvl>
    <w:lvl w:ilvl="5">
      <w:start w:val="1"/>
      <w:numFmt w:val="lowerRoman"/>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34F901B2"/>
    <w:multiLevelType w:val="hybridMultilevel"/>
    <w:tmpl w:val="65FA8E78"/>
    <w:lvl w:ilvl="0" w:tplc="785A7176">
      <w:start w:val="1"/>
      <w:numFmt w:val="lowerLetter"/>
      <w:lvlText w:val="(%1)"/>
      <w:lvlJc w:val="left"/>
      <w:pPr>
        <w:ind w:left="720" w:hanging="360"/>
      </w:pPr>
      <w:rPr>
        <w:rFonts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69E0E32"/>
    <w:multiLevelType w:val="hybridMultilevel"/>
    <w:tmpl w:val="17789570"/>
    <w:lvl w:ilvl="0" w:tplc="0EF4E224">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37E51DEA"/>
    <w:multiLevelType w:val="hybridMultilevel"/>
    <w:tmpl w:val="1BAAD048"/>
    <w:lvl w:ilvl="0" w:tplc="839A4FC2">
      <w:start w:val="1"/>
      <w:numFmt w:val="decimal"/>
      <w:lvlText w:val="%1."/>
      <w:lvlJc w:val="left"/>
      <w:pPr>
        <w:ind w:left="567" w:hanging="567"/>
      </w:pPr>
      <w:rPr>
        <w:rFonts w:hint="default"/>
      </w:rPr>
    </w:lvl>
    <w:lvl w:ilvl="1" w:tplc="72E08BCE">
      <w:start w:val="1"/>
      <w:numFmt w:val="lowerLetter"/>
      <w:lvlText w:val="(%2)"/>
      <w:lvlJc w:val="left"/>
      <w:pPr>
        <w:ind w:left="1425" w:hanging="70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382A57F9"/>
    <w:multiLevelType w:val="hybridMultilevel"/>
    <w:tmpl w:val="E23A88E6"/>
    <w:lvl w:ilvl="0" w:tplc="79009BF0">
      <w:start w:val="1"/>
      <w:numFmt w:val="decimal"/>
      <w:lvlText w:val="%1."/>
      <w:lvlJc w:val="left"/>
      <w:pPr>
        <w:ind w:left="1134" w:hanging="567"/>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336832"/>
    <w:multiLevelType w:val="multilevel"/>
    <w:tmpl w:val="5A608ABC"/>
    <w:lvl w:ilvl="0">
      <w:start w:val="2"/>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8ED6CDE"/>
    <w:multiLevelType w:val="hybridMultilevel"/>
    <w:tmpl w:val="93D284C8"/>
    <w:lvl w:ilvl="0" w:tplc="2528F726">
      <w:start w:val="1"/>
      <w:numFmt w:val="lowerLetter"/>
      <w:lvlText w:val="(%1)"/>
      <w:lvlJc w:val="left"/>
      <w:pPr>
        <w:ind w:left="720" w:hanging="360"/>
      </w:pPr>
      <w:rPr>
        <w:rFonts w:hint="default"/>
        <w:sz w:val="24"/>
        <w:szCs w:val="24"/>
      </w:rPr>
    </w:lvl>
    <w:lvl w:ilvl="1" w:tplc="B9348BAA">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192FBA"/>
    <w:multiLevelType w:val="hybridMultilevel"/>
    <w:tmpl w:val="C4801940"/>
    <w:lvl w:ilvl="0" w:tplc="8CC85BBC">
      <w:start w:val="1"/>
      <w:numFmt w:val="decimal"/>
      <w:lvlText w:val="%1."/>
      <w:lvlJc w:val="left"/>
      <w:pPr>
        <w:ind w:left="567" w:hanging="567"/>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4B787EAB"/>
    <w:multiLevelType w:val="hybridMultilevel"/>
    <w:tmpl w:val="95C8BB5A"/>
    <w:lvl w:ilvl="0" w:tplc="A492FF76">
      <w:start w:val="1"/>
      <w:numFmt w:val="lowerLetter"/>
      <w:lvlText w:val="(%1)"/>
      <w:lvlJc w:val="left"/>
      <w:pPr>
        <w:ind w:left="720" w:hanging="360"/>
      </w:pPr>
      <w:rPr>
        <w:rFonts w:hint="default"/>
        <w:sz w:val="22"/>
        <w:szCs w:val="22"/>
      </w:rPr>
    </w:lvl>
    <w:lvl w:ilvl="1" w:tplc="4344F1D2">
      <w:start w:val="1"/>
      <w:numFmt w:val="lowerLetter"/>
      <w:lvlText w:val="(%2)"/>
      <w:lvlJc w:val="left"/>
      <w:pPr>
        <w:ind w:left="1135" w:hanging="567"/>
      </w:pPr>
      <w:rPr>
        <w:rFonts w:hint="default"/>
        <w:sz w:val="24"/>
        <w:szCs w:val="24"/>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73674B"/>
    <w:multiLevelType w:val="hybridMultilevel"/>
    <w:tmpl w:val="73C254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4F05602"/>
    <w:multiLevelType w:val="hybridMultilevel"/>
    <w:tmpl w:val="C332D4F2"/>
    <w:lvl w:ilvl="0" w:tplc="F946B7BE">
      <w:start w:val="1"/>
      <w:numFmt w:val="lowerLetter"/>
      <w:lvlText w:val="(%1)"/>
      <w:lvlJc w:val="left"/>
      <w:pPr>
        <w:ind w:left="1134" w:hanging="567"/>
      </w:pPr>
      <w:rPr>
        <w:rFonts w:hint="default"/>
        <w:sz w:val="24"/>
        <w:szCs w:val="24"/>
      </w:rPr>
    </w:lvl>
    <w:lvl w:ilvl="1" w:tplc="A7A26C78">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5" w15:restartNumberingAfterBreak="0">
    <w:nsid w:val="56FA6FF2"/>
    <w:multiLevelType w:val="hybridMultilevel"/>
    <w:tmpl w:val="B920A2EE"/>
    <w:lvl w:ilvl="0" w:tplc="2D7E8376">
      <w:start w:val="1"/>
      <w:numFmt w:val="lowerLetter"/>
      <w:lvlText w:val="(%1)"/>
      <w:lvlJc w:val="left"/>
      <w:pPr>
        <w:ind w:left="48" w:hanging="360"/>
      </w:pPr>
      <w:rPr>
        <w:rFonts w:hint="default"/>
        <w:sz w:val="24"/>
        <w:szCs w:val="24"/>
      </w:rPr>
    </w:lvl>
    <w:lvl w:ilvl="1" w:tplc="041A0019">
      <w:start w:val="1"/>
      <w:numFmt w:val="lowerLetter"/>
      <w:lvlText w:val="%2."/>
      <w:lvlJc w:val="left"/>
      <w:pPr>
        <w:ind w:left="768" w:hanging="360"/>
      </w:pPr>
    </w:lvl>
    <w:lvl w:ilvl="2" w:tplc="041A001B">
      <w:start w:val="1"/>
      <w:numFmt w:val="lowerRoman"/>
      <w:lvlText w:val="%3."/>
      <w:lvlJc w:val="right"/>
      <w:pPr>
        <w:ind w:left="1488" w:hanging="180"/>
      </w:pPr>
    </w:lvl>
    <w:lvl w:ilvl="3" w:tplc="041A000F">
      <w:start w:val="1"/>
      <w:numFmt w:val="decimal"/>
      <w:lvlText w:val="%4."/>
      <w:lvlJc w:val="left"/>
      <w:pPr>
        <w:ind w:left="2208" w:hanging="360"/>
      </w:pPr>
    </w:lvl>
    <w:lvl w:ilvl="4" w:tplc="041A0019" w:tentative="1">
      <w:start w:val="1"/>
      <w:numFmt w:val="lowerLetter"/>
      <w:lvlText w:val="%5."/>
      <w:lvlJc w:val="left"/>
      <w:pPr>
        <w:ind w:left="2928" w:hanging="360"/>
      </w:pPr>
    </w:lvl>
    <w:lvl w:ilvl="5" w:tplc="041A001B" w:tentative="1">
      <w:start w:val="1"/>
      <w:numFmt w:val="lowerRoman"/>
      <w:lvlText w:val="%6."/>
      <w:lvlJc w:val="right"/>
      <w:pPr>
        <w:ind w:left="3648" w:hanging="180"/>
      </w:pPr>
    </w:lvl>
    <w:lvl w:ilvl="6" w:tplc="041A000F" w:tentative="1">
      <w:start w:val="1"/>
      <w:numFmt w:val="decimal"/>
      <w:lvlText w:val="%7."/>
      <w:lvlJc w:val="left"/>
      <w:pPr>
        <w:ind w:left="4368" w:hanging="360"/>
      </w:pPr>
    </w:lvl>
    <w:lvl w:ilvl="7" w:tplc="041A0019" w:tentative="1">
      <w:start w:val="1"/>
      <w:numFmt w:val="lowerLetter"/>
      <w:lvlText w:val="%8."/>
      <w:lvlJc w:val="left"/>
      <w:pPr>
        <w:ind w:left="5088" w:hanging="360"/>
      </w:pPr>
    </w:lvl>
    <w:lvl w:ilvl="8" w:tplc="041A001B" w:tentative="1">
      <w:start w:val="1"/>
      <w:numFmt w:val="lowerRoman"/>
      <w:lvlText w:val="%9."/>
      <w:lvlJc w:val="right"/>
      <w:pPr>
        <w:ind w:left="5808" w:hanging="180"/>
      </w:pPr>
    </w:lvl>
  </w:abstractNum>
  <w:abstractNum w:abstractNumId="36" w15:restartNumberingAfterBreak="0">
    <w:nsid w:val="574C59BE"/>
    <w:multiLevelType w:val="hybridMultilevel"/>
    <w:tmpl w:val="6C7C72DC"/>
    <w:lvl w:ilvl="0" w:tplc="7C24ECB8">
      <w:start w:val="1"/>
      <w:numFmt w:val="lowerLetter"/>
      <w:lvlText w:val="(%1)"/>
      <w:lvlJc w:val="left"/>
      <w:pPr>
        <w:ind w:left="1080" w:hanging="360"/>
      </w:pPr>
      <w:rPr>
        <w:rFonts w:hint="default"/>
        <w:sz w:val="24"/>
        <w:szCs w:val="24"/>
      </w:rPr>
    </w:lvl>
    <w:lvl w:ilvl="1" w:tplc="D5E2FE60">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5E4E2E3D"/>
    <w:multiLevelType w:val="hybridMultilevel"/>
    <w:tmpl w:val="52223F08"/>
    <w:lvl w:ilvl="0" w:tplc="13A861B2">
      <w:start w:val="1"/>
      <w:numFmt w:val="decimal"/>
      <w:lvlText w:val="%1."/>
      <w:lvlJc w:val="left"/>
      <w:pPr>
        <w:ind w:left="567" w:hanging="567"/>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EA414FF"/>
    <w:multiLevelType w:val="hybridMultilevel"/>
    <w:tmpl w:val="B7FCC8B8"/>
    <w:lvl w:ilvl="0" w:tplc="5EFC5E76">
      <w:start w:val="1"/>
      <w:numFmt w:val="bullet"/>
      <w:pStyle w:val="Bulleting"/>
      <w:lvlText w:val=""/>
      <w:lvlJc w:val="left"/>
      <w:pPr>
        <w:tabs>
          <w:tab w:val="num" w:pos="907"/>
        </w:tabs>
        <w:ind w:left="737" w:hanging="377"/>
      </w:pPr>
      <w:rPr>
        <w:rFonts w:ascii="Symbol" w:hAnsi="Symbol" w:cs="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5F70D4"/>
    <w:multiLevelType w:val="hybridMultilevel"/>
    <w:tmpl w:val="DDA2342A"/>
    <w:lvl w:ilvl="0" w:tplc="8FE6DDA0">
      <w:start w:val="1"/>
      <w:numFmt w:val="lowerLetter"/>
      <w:lvlText w:val="(%1)"/>
      <w:lvlJc w:val="left"/>
      <w:pPr>
        <w:ind w:left="1134" w:hanging="567"/>
      </w:pPr>
      <w:rPr>
        <w:rFonts w:hint="default"/>
        <w:sz w:val="24"/>
        <w:szCs w:val="24"/>
      </w:rPr>
    </w:lvl>
    <w:lvl w:ilvl="1" w:tplc="041A0019" w:tentative="1">
      <w:start w:val="1"/>
      <w:numFmt w:val="lowerLetter"/>
      <w:lvlText w:val="%2."/>
      <w:lvlJc w:val="left"/>
      <w:pPr>
        <w:ind w:left="1581" w:hanging="360"/>
      </w:pPr>
    </w:lvl>
    <w:lvl w:ilvl="2" w:tplc="041A001B" w:tentative="1">
      <w:start w:val="1"/>
      <w:numFmt w:val="lowerRoman"/>
      <w:lvlText w:val="%3."/>
      <w:lvlJc w:val="right"/>
      <w:pPr>
        <w:ind w:left="2301" w:hanging="180"/>
      </w:p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abstractNum w:abstractNumId="40" w15:restartNumberingAfterBreak="0">
    <w:nsid w:val="63FA32ED"/>
    <w:multiLevelType w:val="hybridMultilevel"/>
    <w:tmpl w:val="7FA43D0A"/>
    <w:lvl w:ilvl="0" w:tplc="785A7176">
      <w:start w:val="1"/>
      <w:numFmt w:val="lowerLetter"/>
      <w:lvlText w:val="(%1)"/>
      <w:lvlJc w:val="left"/>
      <w:pPr>
        <w:ind w:left="720" w:hanging="360"/>
      </w:pPr>
      <w:rPr>
        <w:rFonts w:hint="default"/>
        <w:sz w:val="24"/>
        <w:szCs w:val="24"/>
      </w:rPr>
    </w:lvl>
    <w:lvl w:ilvl="1" w:tplc="3124A654">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4240E1C"/>
    <w:multiLevelType w:val="multilevel"/>
    <w:tmpl w:val="95C41586"/>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6BB57CC"/>
    <w:multiLevelType w:val="hybridMultilevel"/>
    <w:tmpl w:val="4880B9E6"/>
    <w:lvl w:ilvl="0" w:tplc="81702E20">
      <w:start w:val="1"/>
      <w:numFmt w:val="lowerLetter"/>
      <w:lvlText w:val="(%1)"/>
      <w:lvlJc w:val="left"/>
      <w:pPr>
        <w:ind w:left="720" w:hanging="360"/>
      </w:pPr>
      <w:rPr>
        <w:rFonts w:hint="default"/>
        <w:sz w:val="24"/>
        <w:szCs w:val="24"/>
      </w:rPr>
    </w:lvl>
    <w:lvl w:ilvl="1" w:tplc="EBFE25D8">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6F55DA"/>
    <w:multiLevelType w:val="hybridMultilevel"/>
    <w:tmpl w:val="10C23276"/>
    <w:lvl w:ilvl="0" w:tplc="98627A80">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6E63218E"/>
    <w:multiLevelType w:val="hybridMultilevel"/>
    <w:tmpl w:val="05C6B97A"/>
    <w:lvl w:ilvl="0" w:tplc="585AE992">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47E50D8"/>
    <w:multiLevelType w:val="hybridMultilevel"/>
    <w:tmpl w:val="BDBEDCDE"/>
    <w:lvl w:ilvl="0" w:tplc="3B905920">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48F6EA2"/>
    <w:multiLevelType w:val="hybridMultilevel"/>
    <w:tmpl w:val="846C94AE"/>
    <w:lvl w:ilvl="0" w:tplc="01069E4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924C3"/>
    <w:multiLevelType w:val="hybridMultilevel"/>
    <w:tmpl w:val="DFFED456"/>
    <w:lvl w:ilvl="0" w:tplc="CD165B60">
      <w:start w:val="1"/>
      <w:numFmt w:val="decimal"/>
      <w:lvlText w:val="%1."/>
      <w:lvlJc w:val="left"/>
      <w:pPr>
        <w:ind w:left="567" w:hanging="567"/>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756B60CB"/>
    <w:multiLevelType w:val="hybridMultilevel"/>
    <w:tmpl w:val="4CB88260"/>
    <w:lvl w:ilvl="0" w:tplc="D1DA5002">
      <w:start w:val="1"/>
      <w:numFmt w:val="lowerLetter"/>
      <w:lvlText w:val="(%1)"/>
      <w:lvlJc w:val="left"/>
      <w:pPr>
        <w:ind w:left="764" w:hanging="360"/>
      </w:pPr>
      <w:rPr>
        <w:rFonts w:hint="default"/>
        <w:sz w:val="24"/>
        <w:szCs w:val="24"/>
      </w:rPr>
    </w:lvl>
    <w:lvl w:ilvl="1" w:tplc="85EC43BE">
      <w:start w:val="1"/>
      <w:numFmt w:val="lowerLetter"/>
      <w:lvlText w:val="(%2)"/>
      <w:lvlJc w:val="left"/>
      <w:pPr>
        <w:ind w:left="1134" w:hanging="567"/>
      </w:pPr>
      <w:rPr>
        <w:rFonts w:hint="default"/>
      </w:rPr>
    </w:lvl>
    <w:lvl w:ilvl="2" w:tplc="041A001B" w:tentative="1">
      <w:start w:val="1"/>
      <w:numFmt w:val="lowerRoman"/>
      <w:lvlText w:val="%3."/>
      <w:lvlJc w:val="right"/>
      <w:pPr>
        <w:ind w:left="2204" w:hanging="180"/>
      </w:pPr>
    </w:lvl>
    <w:lvl w:ilvl="3" w:tplc="041A000F" w:tentative="1">
      <w:start w:val="1"/>
      <w:numFmt w:val="decimal"/>
      <w:lvlText w:val="%4."/>
      <w:lvlJc w:val="left"/>
      <w:pPr>
        <w:ind w:left="2924" w:hanging="360"/>
      </w:pPr>
    </w:lvl>
    <w:lvl w:ilvl="4" w:tplc="041A0019" w:tentative="1">
      <w:start w:val="1"/>
      <w:numFmt w:val="lowerLetter"/>
      <w:lvlText w:val="%5."/>
      <w:lvlJc w:val="left"/>
      <w:pPr>
        <w:ind w:left="3644" w:hanging="360"/>
      </w:pPr>
    </w:lvl>
    <w:lvl w:ilvl="5" w:tplc="041A001B" w:tentative="1">
      <w:start w:val="1"/>
      <w:numFmt w:val="lowerRoman"/>
      <w:lvlText w:val="%6."/>
      <w:lvlJc w:val="right"/>
      <w:pPr>
        <w:ind w:left="4364" w:hanging="180"/>
      </w:pPr>
    </w:lvl>
    <w:lvl w:ilvl="6" w:tplc="041A000F" w:tentative="1">
      <w:start w:val="1"/>
      <w:numFmt w:val="decimal"/>
      <w:lvlText w:val="%7."/>
      <w:lvlJc w:val="left"/>
      <w:pPr>
        <w:ind w:left="5084" w:hanging="360"/>
      </w:pPr>
    </w:lvl>
    <w:lvl w:ilvl="7" w:tplc="041A0019" w:tentative="1">
      <w:start w:val="1"/>
      <w:numFmt w:val="lowerLetter"/>
      <w:lvlText w:val="%8."/>
      <w:lvlJc w:val="left"/>
      <w:pPr>
        <w:ind w:left="5804" w:hanging="360"/>
      </w:pPr>
    </w:lvl>
    <w:lvl w:ilvl="8" w:tplc="041A001B" w:tentative="1">
      <w:start w:val="1"/>
      <w:numFmt w:val="lowerRoman"/>
      <w:lvlText w:val="%9."/>
      <w:lvlJc w:val="right"/>
      <w:pPr>
        <w:ind w:left="6524" w:hanging="180"/>
      </w:pPr>
    </w:lvl>
  </w:abstractNum>
  <w:abstractNum w:abstractNumId="49" w15:restartNumberingAfterBreak="0">
    <w:nsid w:val="7B316B25"/>
    <w:multiLevelType w:val="hybridMultilevel"/>
    <w:tmpl w:val="75DA9E2A"/>
    <w:lvl w:ilvl="0" w:tplc="11B24364">
      <w:start w:val="1"/>
      <w:numFmt w:val="lowerLetter"/>
      <w:lvlText w:val="(%1)"/>
      <w:lvlJc w:val="left"/>
      <w:pPr>
        <w:ind w:left="720" w:hanging="360"/>
      </w:pPr>
      <w:rPr>
        <w:rFonts w:hint="default"/>
        <w:sz w:val="24"/>
        <w:szCs w:val="24"/>
      </w:rPr>
    </w:lvl>
    <w:lvl w:ilvl="1" w:tplc="D4348FCE">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DCE258D"/>
    <w:multiLevelType w:val="hybridMultilevel"/>
    <w:tmpl w:val="78A01566"/>
    <w:lvl w:ilvl="0" w:tplc="852C9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2327CA"/>
    <w:multiLevelType w:val="hybridMultilevel"/>
    <w:tmpl w:val="ACFA7D80"/>
    <w:lvl w:ilvl="0" w:tplc="BAC6F77E">
      <w:start w:val="1"/>
      <w:numFmt w:val="lowerLetter"/>
      <w:lvlText w:val="(%1)"/>
      <w:lvlJc w:val="left"/>
      <w:pPr>
        <w:ind w:left="720" w:hanging="360"/>
      </w:pPr>
      <w:rPr>
        <w:rFonts w:hint="default"/>
        <w:sz w:val="24"/>
        <w:szCs w:val="24"/>
      </w:rPr>
    </w:lvl>
    <w:lvl w:ilvl="1" w:tplc="8FECCCAE">
      <w:start w:val="1"/>
      <w:numFmt w:val="lowerLetter"/>
      <w:lvlText w:val="(%2)"/>
      <w:lvlJc w:val="left"/>
      <w:pPr>
        <w:ind w:left="1134" w:hanging="567"/>
      </w:pPr>
      <w:rPr>
        <w:rFonts w:hint="default"/>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0"/>
  </w:num>
  <w:num w:numId="3">
    <w:abstractNumId w:val="41"/>
  </w:num>
  <w:num w:numId="4">
    <w:abstractNumId w:val="29"/>
  </w:num>
  <w:num w:numId="5">
    <w:abstractNumId w:val="38"/>
  </w:num>
  <w:num w:numId="6">
    <w:abstractNumId w:val="24"/>
  </w:num>
  <w:num w:numId="7">
    <w:abstractNumId w:val="46"/>
  </w:num>
  <w:num w:numId="8">
    <w:abstractNumId w:val="50"/>
  </w:num>
  <w:num w:numId="9">
    <w:abstractNumId w:val="33"/>
  </w:num>
  <w:num w:numId="10">
    <w:abstractNumId w:val="44"/>
  </w:num>
  <w:num w:numId="11">
    <w:abstractNumId w:val="34"/>
  </w:num>
  <w:num w:numId="12">
    <w:abstractNumId w:val="51"/>
  </w:num>
  <w:num w:numId="13">
    <w:abstractNumId w:val="37"/>
  </w:num>
  <w:num w:numId="14">
    <w:abstractNumId w:val="31"/>
  </w:num>
  <w:num w:numId="15">
    <w:abstractNumId w:val="5"/>
  </w:num>
  <w:num w:numId="16">
    <w:abstractNumId w:val="36"/>
  </w:num>
  <w:num w:numId="17">
    <w:abstractNumId w:val="45"/>
  </w:num>
  <w:num w:numId="18">
    <w:abstractNumId w:val="7"/>
  </w:num>
  <w:num w:numId="19">
    <w:abstractNumId w:val="43"/>
  </w:num>
  <w:num w:numId="20">
    <w:abstractNumId w:val="49"/>
  </w:num>
  <w:num w:numId="21">
    <w:abstractNumId w:val="35"/>
  </w:num>
  <w:num w:numId="22">
    <w:abstractNumId w:val="9"/>
  </w:num>
  <w:num w:numId="23">
    <w:abstractNumId w:val="8"/>
  </w:num>
  <w:num w:numId="24">
    <w:abstractNumId w:val="19"/>
  </w:num>
  <w:num w:numId="25">
    <w:abstractNumId w:val="22"/>
  </w:num>
  <w:num w:numId="26">
    <w:abstractNumId w:val="20"/>
  </w:num>
  <w:num w:numId="27">
    <w:abstractNumId w:val="28"/>
  </w:num>
  <w:num w:numId="28">
    <w:abstractNumId w:val="4"/>
  </w:num>
  <w:num w:numId="29">
    <w:abstractNumId w:val="23"/>
  </w:num>
  <w:num w:numId="30">
    <w:abstractNumId w:val="12"/>
  </w:num>
  <w:num w:numId="31">
    <w:abstractNumId w:val="18"/>
  </w:num>
  <w:num w:numId="32">
    <w:abstractNumId w:val="26"/>
  </w:num>
  <w:num w:numId="33">
    <w:abstractNumId w:val="27"/>
  </w:num>
  <w:num w:numId="34">
    <w:abstractNumId w:val="48"/>
  </w:num>
  <w:num w:numId="35">
    <w:abstractNumId w:val="2"/>
  </w:num>
  <w:num w:numId="36">
    <w:abstractNumId w:val="32"/>
  </w:num>
  <w:num w:numId="37">
    <w:abstractNumId w:val="47"/>
  </w:num>
  <w:num w:numId="38">
    <w:abstractNumId w:val="15"/>
  </w:num>
  <w:num w:numId="39">
    <w:abstractNumId w:val="42"/>
  </w:num>
  <w:num w:numId="40">
    <w:abstractNumId w:val="1"/>
  </w:num>
  <w:num w:numId="41">
    <w:abstractNumId w:val="30"/>
  </w:num>
  <w:num w:numId="42">
    <w:abstractNumId w:val="14"/>
  </w:num>
  <w:num w:numId="43">
    <w:abstractNumId w:val="13"/>
  </w:num>
  <w:num w:numId="44">
    <w:abstractNumId w:val="3"/>
  </w:num>
  <w:num w:numId="45">
    <w:abstractNumId w:val="21"/>
  </w:num>
  <w:num w:numId="46">
    <w:abstractNumId w:val="6"/>
  </w:num>
  <w:num w:numId="47">
    <w:abstractNumId w:val="25"/>
  </w:num>
  <w:num w:numId="48">
    <w:abstractNumId w:val="40"/>
  </w:num>
  <w:num w:numId="49">
    <w:abstractNumId w:val="16"/>
  </w:num>
  <w:num w:numId="50">
    <w:abstractNumId w:val="11"/>
  </w:num>
  <w:num w:numId="51">
    <w:abstractNumId w:val="0"/>
  </w:num>
  <w:num w:numId="52">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48"/>
    <w:rsid w:val="00000605"/>
    <w:rsid w:val="00006233"/>
    <w:rsid w:val="00020F6B"/>
    <w:rsid w:val="00022C4E"/>
    <w:rsid w:val="00027B89"/>
    <w:rsid w:val="00032E55"/>
    <w:rsid w:val="000374D2"/>
    <w:rsid w:val="0004049B"/>
    <w:rsid w:val="00043FF8"/>
    <w:rsid w:val="000440B0"/>
    <w:rsid w:val="000502CE"/>
    <w:rsid w:val="00054FAC"/>
    <w:rsid w:val="00060BD3"/>
    <w:rsid w:val="000618E9"/>
    <w:rsid w:val="000841F0"/>
    <w:rsid w:val="00094A3E"/>
    <w:rsid w:val="00094EB5"/>
    <w:rsid w:val="00096CD0"/>
    <w:rsid w:val="000A7D23"/>
    <w:rsid w:val="000B6C80"/>
    <w:rsid w:val="000C4CDB"/>
    <w:rsid w:val="000C5DD7"/>
    <w:rsid w:val="000D3A1A"/>
    <w:rsid w:val="000E2D1C"/>
    <w:rsid w:val="000E51C9"/>
    <w:rsid w:val="000E650C"/>
    <w:rsid w:val="000F2586"/>
    <w:rsid w:val="000F753C"/>
    <w:rsid w:val="001107A8"/>
    <w:rsid w:val="00120E05"/>
    <w:rsid w:val="00130B1F"/>
    <w:rsid w:val="001404B9"/>
    <w:rsid w:val="00141330"/>
    <w:rsid w:val="00145B09"/>
    <w:rsid w:val="00161058"/>
    <w:rsid w:val="0017063A"/>
    <w:rsid w:val="00173967"/>
    <w:rsid w:val="00177FCA"/>
    <w:rsid w:val="00193634"/>
    <w:rsid w:val="001D1A8A"/>
    <w:rsid w:val="001E4365"/>
    <w:rsid w:val="001E5245"/>
    <w:rsid w:val="00201F20"/>
    <w:rsid w:val="002172F9"/>
    <w:rsid w:val="002334EC"/>
    <w:rsid w:val="00242981"/>
    <w:rsid w:val="0024528F"/>
    <w:rsid w:val="002461B3"/>
    <w:rsid w:val="00254692"/>
    <w:rsid w:val="00257BD3"/>
    <w:rsid w:val="0026062A"/>
    <w:rsid w:val="00264BD1"/>
    <w:rsid w:val="002671D8"/>
    <w:rsid w:val="002734D0"/>
    <w:rsid w:val="00290EAE"/>
    <w:rsid w:val="00292AEA"/>
    <w:rsid w:val="0029512C"/>
    <w:rsid w:val="002A2176"/>
    <w:rsid w:val="002A7665"/>
    <w:rsid w:val="002B3456"/>
    <w:rsid w:val="002B5979"/>
    <w:rsid w:val="002B7E52"/>
    <w:rsid w:val="002C583F"/>
    <w:rsid w:val="002D08D0"/>
    <w:rsid w:val="002D7958"/>
    <w:rsid w:val="002E0979"/>
    <w:rsid w:val="002E0B6D"/>
    <w:rsid w:val="002E1738"/>
    <w:rsid w:val="002F2F76"/>
    <w:rsid w:val="002F518C"/>
    <w:rsid w:val="00312174"/>
    <w:rsid w:val="003162E8"/>
    <w:rsid w:val="0031652B"/>
    <w:rsid w:val="00317F35"/>
    <w:rsid w:val="00322B1B"/>
    <w:rsid w:val="00341BA1"/>
    <w:rsid w:val="00343DEE"/>
    <w:rsid w:val="003444A2"/>
    <w:rsid w:val="00346771"/>
    <w:rsid w:val="00346F2F"/>
    <w:rsid w:val="00363082"/>
    <w:rsid w:val="003903D2"/>
    <w:rsid w:val="00393293"/>
    <w:rsid w:val="00395F6D"/>
    <w:rsid w:val="003A52F7"/>
    <w:rsid w:val="003B01AF"/>
    <w:rsid w:val="003B3BAB"/>
    <w:rsid w:val="003C789B"/>
    <w:rsid w:val="003D1223"/>
    <w:rsid w:val="003D479C"/>
    <w:rsid w:val="003E1001"/>
    <w:rsid w:val="003F306C"/>
    <w:rsid w:val="003F6F34"/>
    <w:rsid w:val="0040791F"/>
    <w:rsid w:val="00422C4D"/>
    <w:rsid w:val="0042320A"/>
    <w:rsid w:val="004252CB"/>
    <w:rsid w:val="0042586D"/>
    <w:rsid w:val="004379CE"/>
    <w:rsid w:val="00447544"/>
    <w:rsid w:val="004569ED"/>
    <w:rsid w:val="00456EFB"/>
    <w:rsid w:val="00466603"/>
    <w:rsid w:val="00485064"/>
    <w:rsid w:val="0048665E"/>
    <w:rsid w:val="00490BBA"/>
    <w:rsid w:val="00493BAC"/>
    <w:rsid w:val="004952CD"/>
    <w:rsid w:val="004A33BB"/>
    <w:rsid w:val="004B108C"/>
    <w:rsid w:val="004B2603"/>
    <w:rsid w:val="004C251F"/>
    <w:rsid w:val="004D31AD"/>
    <w:rsid w:val="004E0D72"/>
    <w:rsid w:val="004E724C"/>
    <w:rsid w:val="004F3515"/>
    <w:rsid w:val="004F6178"/>
    <w:rsid w:val="0050171E"/>
    <w:rsid w:val="00501CD5"/>
    <w:rsid w:val="00514FBA"/>
    <w:rsid w:val="005224DA"/>
    <w:rsid w:val="0052686F"/>
    <w:rsid w:val="005374FF"/>
    <w:rsid w:val="00563FA8"/>
    <w:rsid w:val="005674F5"/>
    <w:rsid w:val="00570F10"/>
    <w:rsid w:val="00571F8D"/>
    <w:rsid w:val="0058443C"/>
    <w:rsid w:val="005907F7"/>
    <w:rsid w:val="00594B4C"/>
    <w:rsid w:val="005A7A84"/>
    <w:rsid w:val="005B2965"/>
    <w:rsid w:val="005B2EDC"/>
    <w:rsid w:val="005B4309"/>
    <w:rsid w:val="005B433E"/>
    <w:rsid w:val="005D71B5"/>
    <w:rsid w:val="005E7062"/>
    <w:rsid w:val="006211D9"/>
    <w:rsid w:val="0063238B"/>
    <w:rsid w:val="006343DB"/>
    <w:rsid w:val="00634DA0"/>
    <w:rsid w:val="00635E0E"/>
    <w:rsid w:val="006576F1"/>
    <w:rsid w:val="00660B9F"/>
    <w:rsid w:val="00667B8E"/>
    <w:rsid w:val="00671A96"/>
    <w:rsid w:val="00674E0F"/>
    <w:rsid w:val="006951C0"/>
    <w:rsid w:val="006A00A9"/>
    <w:rsid w:val="006A3D88"/>
    <w:rsid w:val="006B6927"/>
    <w:rsid w:val="006D2AE7"/>
    <w:rsid w:val="006F1481"/>
    <w:rsid w:val="006F171C"/>
    <w:rsid w:val="007273C9"/>
    <w:rsid w:val="007307C1"/>
    <w:rsid w:val="00730EC7"/>
    <w:rsid w:val="00732525"/>
    <w:rsid w:val="0076796D"/>
    <w:rsid w:val="00770A63"/>
    <w:rsid w:val="00771197"/>
    <w:rsid w:val="0077416D"/>
    <w:rsid w:val="00792594"/>
    <w:rsid w:val="007A06F0"/>
    <w:rsid w:val="007A0C7B"/>
    <w:rsid w:val="007B4591"/>
    <w:rsid w:val="007B49C4"/>
    <w:rsid w:val="007D1C27"/>
    <w:rsid w:val="007F5222"/>
    <w:rsid w:val="0080552D"/>
    <w:rsid w:val="00812A8F"/>
    <w:rsid w:val="00821FFF"/>
    <w:rsid w:val="00825A94"/>
    <w:rsid w:val="00826207"/>
    <w:rsid w:val="00827293"/>
    <w:rsid w:val="00842546"/>
    <w:rsid w:val="00854D3C"/>
    <w:rsid w:val="008553AC"/>
    <w:rsid w:val="008640A0"/>
    <w:rsid w:val="0087665B"/>
    <w:rsid w:val="00877F2D"/>
    <w:rsid w:val="00882351"/>
    <w:rsid w:val="008A5414"/>
    <w:rsid w:val="008A689C"/>
    <w:rsid w:val="008B676C"/>
    <w:rsid w:val="008B69E9"/>
    <w:rsid w:val="008C2E88"/>
    <w:rsid w:val="008C5AA5"/>
    <w:rsid w:val="008C7C28"/>
    <w:rsid w:val="008D1EF7"/>
    <w:rsid w:val="008D3D01"/>
    <w:rsid w:val="009260BB"/>
    <w:rsid w:val="00932601"/>
    <w:rsid w:val="009340AA"/>
    <w:rsid w:val="00934BFE"/>
    <w:rsid w:val="009406BD"/>
    <w:rsid w:val="00942995"/>
    <w:rsid w:val="0094548B"/>
    <w:rsid w:val="009533E2"/>
    <w:rsid w:val="00961585"/>
    <w:rsid w:val="00962AA2"/>
    <w:rsid w:val="009644A2"/>
    <w:rsid w:val="0097275D"/>
    <w:rsid w:val="00982CAA"/>
    <w:rsid w:val="00994D48"/>
    <w:rsid w:val="009A0FD0"/>
    <w:rsid w:val="009A12EC"/>
    <w:rsid w:val="009A4D9E"/>
    <w:rsid w:val="009C376C"/>
    <w:rsid w:val="009C6F72"/>
    <w:rsid w:val="009C7EA2"/>
    <w:rsid w:val="009F3965"/>
    <w:rsid w:val="009F3F70"/>
    <w:rsid w:val="009F7BA1"/>
    <w:rsid w:val="00A01CED"/>
    <w:rsid w:val="00A01DBB"/>
    <w:rsid w:val="00A03FFA"/>
    <w:rsid w:val="00A07E2F"/>
    <w:rsid w:val="00A17662"/>
    <w:rsid w:val="00A22E04"/>
    <w:rsid w:val="00A40C10"/>
    <w:rsid w:val="00A4569D"/>
    <w:rsid w:val="00A5101B"/>
    <w:rsid w:val="00A67D49"/>
    <w:rsid w:val="00A836C5"/>
    <w:rsid w:val="00A932AD"/>
    <w:rsid w:val="00A95281"/>
    <w:rsid w:val="00A96809"/>
    <w:rsid w:val="00AA1AB6"/>
    <w:rsid w:val="00AB3887"/>
    <w:rsid w:val="00AB49A0"/>
    <w:rsid w:val="00AB5C0B"/>
    <w:rsid w:val="00AC49A8"/>
    <w:rsid w:val="00AD259E"/>
    <w:rsid w:val="00AF148C"/>
    <w:rsid w:val="00AF170D"/>
    <w:rsid w:val="00AF79A3"/>
    <w:rsid w:val="00B35524"/>
    <w:rsid w:val="00B3702D"/>
    <w:rsid w:val="00B749BA"/>
    <w:rsid w:val="00B83742"/>
    <w:rsid w:val="00BA4D83"/>
    <w:rsid w:val="00BA7F83"/>
    <w:rsid w:val="00BB7B6C"/>
    <w:rsid w:val="00BC026A"/>
    <w:rsid w:val="00BC0CA2"/>
    <w:rsid w:val="00BD3439"/>
    <w:rsid w:val="00BD52C0"/>
    <w:rsid w:val="00C0085D"/>
    <w:rsid w:val="00C0606F"/>
    <w:rsid w:val="00C11783"/>
    <w:rsid w:val="00C13685"/>
    <w:rsid w:val="00C22959"/>
    <w:rsid w:val="00C24532"/>
    <w:rsid w:val="00C27134"/>
    <w:rsid w:val="00C3430A"/>
    <w:rsid w:val="00C368FC"/>
    <w:rsid w:val="00C700DC"/>
    <w:rsid w:val="00C763AC"/>
    <w:rsid w:val="00C76FA8"/>
    <w:rsid w:val="00C95516"/>
    <w:rsid w:val="00CA5162"/>
    <w:rsid w:val="00CB49ED"/>
    <w:rsid w:val="00CB65FD"/>
    <w:rsid w:val="00CD0CC6"/>
    <w:rsid w:val="00CD1D10"/>
    <w:rsid w:val="00CE2A97"/>
    <w:rsid w:val="00CE346F"/>
    <w:rsid w:val="00CE595D"/>
    <w:rsid w:val="00CE7B75"/>
    <w:rsid w:val="00CF687A"/>
    <w:rsid w:val="00D01E7A"/>
    <w:rsid w:val="00D056EF"/>
    <w:rsid w:val="00D1059B"/>
    <w:rsid w:val="00D15567"/>
    <w:rsid w:val="00D242C3"/>
    <w:rsid w:val="00D3201A"/>
    <w:rsid w:val="00D353E4"/>
    <w:rsid w:val="00D527AC"/>
    <w:rsid w:val="00D61404"/>
    <w:rsid w:val="00D90E4A"/>
    <w:rsid w:val="00DA429C"/>
    <w:rsid w:val="00DA7EC1"/>
    <w:rsid w:val="00DB1963"/>
    <w:rsid w:val="00DB2FD9"/>
    <w:rsid w:val="00DB525A"/>
    <w:rsid w:val="00DB69E6"/>
    <w:rsid w:val="00DC393B"/>
    <w:rsid w:val="00DD6130"/>
    <w:rsid w:val="00DE4B8A"/>
    <w:rsid w:val="00E07422"/>
    <w:rsid w:val="00E142AF"/>
    <w:rsid w:val="00E25259"/>
    <w:rsid w:val="00E31187"/>
    <w:rsid w:val="00E44119"/>
    <w:rsid w:val="00E53271"/>
    <w:rsid w:val="00E80848"/>
    <w:rsid w:val="00E87F23"/>
    <w:rsid w:val="00E9736D"/>
    <w:rsid w:val="00EA5D1F"/>
    <w:rsid w:val="00ED20DF"/>
    <w:rsid w:val="00ED6173"/>
    <w:rsid w:val="00EE3C63"/>
    <w:rsid w:val="00EE5793"/>
    <w:rsid w:val="00EE69F1"/>
    <w:rsid w:val="00EF76F1"/>
    <w:rsid w:val="00EF7ED3"/>
    <w:rsid w:val="00F075B4"/>
    <w:rsid w:val="00F23E08"/>
    <w:rsid w:val="00F42858"/>
    <w:rsid w:val="00F45072"/>
    <w:rsid w:val="00F470B8"/>
    <w:rsid w:val="00F47D7C"/>
    <w:rsid w:val="00F84D70"/>
    <w:rsid w:val="00F84F2E"/>
    <w:rsid w:val="00F96061"/>
    <w:rsid w:val="00FA5019"/>
    <w:rsid w:val="00FB439B"/>
    <w:rsid w:val="00FC0E0A"/>
    <w:rsid w:val="00FD66E7"/>
    <w:rsid w:val="00FF416B"/>
    <w:rsid w:val="00FF5820"/>
    <w:rsid w:val="00FF7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3C63"/>
  <w15:docId w15:val="{A84DED6E-727F-4AF6-850C-F77D671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A8"/>
    <w:pPr>
      <w:spacing w:after="0" w:line="240" w:lineRule="auto"/>
    </w:pPr>
    <w:rPr>
      <w:rFonts w:ascii="Times New Roman" w:eastAsia="Times New Roman" w:hAnsi="Times New Roman" w:cs="Times New Roman"/>
      <w:sz w:val="24"/>
      <w:szCs w:val="24"/>
      <w:lang w:eastAsia="hr-HR"/>
    </w:rPr>
  </w:style>
  <w:style w:type="paragraph" w:styleId="Heading1">
    <w:name w:val="heading 1"/>
    <w:aliases w:val="Article Heading,Article Heading 1"/>
    <w:basedOn w:val="Normal"/>
    <w:next w:val="Heading2"/>
    <w:link w:val="Heading1Char"/>
    <w:qFormat/>
    <w:rsid w:val="00E808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720"/>
      <w:jc w:val="center"/>
      <w:outlineLvl w:val="0"/>
    </w:pPr>
    <w:rPr>
      <w:b/>
      <w:caps/>
      <w:szCs w:val="20"/>
      <w:lang w:val="en-GB" w:eastAsia="en-GB"/>
    </w:rPr>
  </w:style>
  <w:style w:type="paragraph" w:styleId="Heading2">
    <w:name w:val="heading 2"/>
    <w:aliases w:val="Section Heading 2,Section Heading"/>
    <w:basedOn w:val="Normal"/>
    <w:next w:val="Paragrapha"/>
    <w:link w:val="Heading2Char"/>
    <w:qFormat/>
    <w:rsid w:val="00E80848"/>
    <w:pPr>
      <w:keepNext/>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480"/>
      <w:ind w:left="1701" w:hanging="1701"/>
      <w:jc w:val="both"/>
      <w:outlineLvl w:val="1"/>
    </w:pPr>
    <w:rPr>
      <w:b/>
      <w:szCs w:val="20"/>
      <w:lang w:val="en-GB" w:eastAsia="en-GB"/>
    </w:rPr>
  </w:style>
  <w:style w:type="paragraph" w:styleId="Heading3">
    <w:name w:val="heading 3"/>
    <w:basedOn w:val="Normal"/>
    <w:next w:val="Normal"/>
    <w:link w:val="Heading3Char"/>
    <w:qFormat/>
    <w:rsid w:val="00E80848"/>
    <w:pPr>
      <w:keepNext/>
      <w:jc w:val="right"/>
      <w:outlineLvl w:val="2"/>
    </w:pPr>
    <w:rPr>
      <w:b/>
      <w:szCs w:val="20"/>
      <w:lang w:val="en-GB" w:eastAsia="en-GB"/>
    </w:rPr>
  </w:style>
  <w:style w:type="paragraph" w:styleId="Heading4">
    <w:name w:val="heading 4"/>
    <w:basedOn w:val="Normal"/>
    <w:next w:val="Normal"/>
    <w:link w:val="Heading4Char"/>
    <w:qFormat/>
    <w:rsid w:val="00E80848"/>
    <w:pPr>
      <w:keepNext/>
      <w:spacing w:before="240" w:after="60"/>
      <w:outlineLvl w:val="3"/>
    </w:pPr>
    <w:rPr>
      <w:b/>
      <w:bCs/>
      <w:sz w:val="28"/>
      <w:szCs w:val="28"/>
    </w:rPr>
  </w:style>
  <w:style w:type="paragraph" w:styleId="Heading5">
    <w:name w:val="heading 5"/>
    <w:basedOn w:val="BodyText"/>
    <w:next w:val="BodyText"/>
    <w:link w:val="Heading5Char"/>
    <w:qFormat/>
    <w:rsid w:val="00E80848"/>
    <w:pPr>
      <w:widowControl w:val="0"/>
      <w:tabs>
        <w:tab w:val="num" w:pos="1440"/>
      </w:tabs>
      <w:ind w:left="1440" w:hanging="720"/>
      <w:outlineLvl w:val="4"/>
    </w:pPr>
  </w:style>
  <w:style w:type="paragraph" w:styleId="Heading6">
    <w:name w:val="heading 6"/>
    <w:basedOn w:val="BodyText"/>
    <w:next w:val="BodyText"/>
    <w:link w:val="Heading6Char"/>
    <w:qFormat/>
    <w:rsid w:val="00E80848"/>
    <w:pPr>
      <w:widowControl w:val="0"/>
      <w:tabs>
        <w:tab w:val="num" w:pos="720"/>
      </w:tabs>
      <w:ind w:left="720" w:hanging="720"/>
      <w:outlineLvl w:val="5"/>
    </w:pPr>
  </w:style>
  <w:style w:type="paragraph" w:styleId="Heading7">
    <w:name w:val="heading 7"/>
    <w:basedOn w:val="BodyText"/>
    <w:next w:val="BodyText"/>
    <w:link w:val="Heading7Char"/>
    <w:qFormat/>
    <w:rsid w:val="00E80848"/>
    <w:pPr>
      <w:widowControl w:val="0"/>
      <w:tabs>
        <w:tab w:val="num" w:pos="1440"/>
      </w:tabs>
      <w:ind w:left="1440" w:hanging="720"/>
      <w:outlineLvl w:val="6"/>
    </w:pPr>
  </w:style>
  <w:style w:type="paragraph" w:styleId="Heading8">
    <w:name w:val="heading 8"/>
    <w:basedOn w:val="Normal"/>
    <w:next w:val="Normal"/>
    <w:link w:val="Heading8Char"/>
    <w:qFormat/>
    <w:rsid w:val="00E8084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basedOn w:val="Normal"/>
    <w:rsid w:val="00E808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val="en-GB" w:eastAsia="en-GB"/>
    </w:rPr>
  </w:style>
  <w:style w:type="character" w:customStyle="1" w:styleId="Heading2Char">
    <w:name w:val="Heading 2 Char"/>
    <w:aliases w:val="Section Heading 2 Char1,Section Heading Char"/>
    <w:basedOn w:val="DefaultParagraphFont"/>
    <w:link w:val="Heading2"/>
    <w:rsid w:val="00E80848"/>
    <w:rPr>
      <w:rFonts w:ascii="Times New Roman" w:eastAsia="Times New Roman" w:hAnsi="Times New Roman" w:cs="Times New Roman"/>
      <w:b/>
      <w:sz w:val="24"/>
      <w:szCs w:val="20"/>
      <w:lang w:val="en-GB" w:eastAsia="en-GB"/>
    </w:rPr>
  </w:style>
  <w:style w:type="character" w:customStyle="1" w:styleId="Heading1Char">
    <w:name w:val="Heading 1 Char"/>
    <w:aliases w:val="Article Heading Char1,Article Heading 1 Char"/>
    <w:basedOn w:val="DefaultParagraphFont"/>
    <w:link w:val="Heading1"/>
    <w:uiPriority w:val="99"/>
    <w:rsid w:val="00E80848"/>
    <w:rPr>
      <w:rFonts w:ascii="Times New Roman" w:eastAsia="Times New Roman" w:hAnsi="Times New Roman" w:cs="Times New Roman"/>
      <w:b/>
      <w:caps/>
      <w:sz w:val="24"/>
      <w:szCs w:val="20"/>
      <w:lang w:val="en-GB" w:eastAsia="en-GB"/>
    </w:rPr>
  </w:style>
  <w:style w:type="character" w:customStyle="1" w:styleId="Heading3Char">
    <w:name w:val="Heading 3 Char"/>
    <w:basedOn w:val="DefaultParagraphFont"/>
    <w:link w:val="Heading3"/>
    <w:rsid w:val="00E80848"/>
    <w:rPr>
      <w:rFonts w:ascii="Times New Roman" w:eastAsia="Times New Roman" w:hAnsi="Times New Roman" w:cs="Times New Roman"/>
      <w:b/>
      <w:sz w:val="24"/>
      <w:szCs w:val="20"/>
      <w:lang w:val="en-GB" w:eastAsia="en-GB"/>
    </w:rPr>
  </w:style>
  <w:style w:type="character" w:customStyle="1" w:styleId="Heading4Char">
    <w:name w:val="Heading 4 Char"/>
    <w:basedOn w:val="DefaultParagraphFont"/>
    <w:link w:val="Heading4"/>
    <w:rsid w:val="00E80848"/>
    <w:rPr>
      <w:rFonts w:ascii="Times New Roman" w:eastAsia="Times New Roman" w:hAnsi="Times New Roman" w:cs="Times New Roman"/>
      <w:b/>
      <w:bCs/>
      <w:sz w:val="28"/>
      <w:szCs w:val="28"/>
      <w:lang w:eastAsia="hr-HR"/>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E80848"/>
    <w:pPr>
      <w:spacing w:after="240"/>
      <w:jc w:val="both"/>
    </w:pPr>
    <w:rPr>
      <w:szCs w:val="20"/>
      <w:lang w:val="en-GB" w:eastAsia="en-GB"/>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E80848"/>
    <w:rPr>
      <w:rFonts w:ascii="Times New Roman" w:eastAsia="Times New Roman" w:hAnsi="Times New Roman" w:cs="Times New Roman"/>
      <w:sz w:val="24"/>
      <w:szCs w:val="20"/>
      <w:lang w:val="en-GB" w:eastAsia="en-GB"/>
    </w:rPr>
  </w:style>
  <w:style w:type="character" w:customStyle="1" w:styleId="Heading5Char">
    <w:name w:val="Heading 5 Char"/>
    <w:basedOn w:val="DefaultParagraphFont"/>
    <w:link w:val="Heading5"/>
    <w:rsid w:val="00E80848"/>
    <w:rPr>
      <w:rFonts w:ascii="Times New Roman" w:eastAsia="Times New Roman" w:hAnsi="Times New Roman" w:cs="Times New Roman"/>
      <w:sz w:val="24"/>
      <w:szCs w:val="20"/>
      <w:lang w:val="en-GB" w:eastAsia="en-GB"/>
    </w:rPr>
  </w:style>
  <w:style w:type="character" w:customStyle="1" w:styleId="Heading6Char">
    <w:name w:val="Heading 6 Char"/>
    <w:basedOn w:val="DefaultParagraphFont"/>
    <w:link w:val="Heading6"/>
    <w:rsid w:val="00E80848"/>
    <w:rPr>
      <w:rFonts w:ascii="Times New Roman" w:eastAsia="Times New Roman" w:hAnsi="Times New Roman" w:cs="Times New Roman"/>
      <w:sz w:val="24"/>
      <w:szCs w:val="20"/>
      <w:lang w:val="en-GB" w:eastAsia="en-GB"/>
    </w:rPr>
  </w:style>
  <w:style w:type="character" w:customStyle="1" w:styleId="Heading7Char">
    <w:name w:val="Heading 7 Char"/>
    <w:basedOn w:val="DefaultParagraphFont"/>
    <w:link w:val="Heading7"/>
    <w:rsid w:val="00E80848"/>
    <w:rPr>
      <w:rFonts w:ascii="Times New Roman" w:eastAsia="Times New Roman" w:hAnsi="Times New Roman" w:cs="Times New Roman"/>
      <w:sz w:val="24"/>
      <w:szCs w:val="20"/>
      <w:lang w:val="en-GB" w:eastAsia="en-GB"/>
    </w:rPr>
  </w:style>
  <w:style w:type="character" w:customStyle="1" w:styleId="Heading8Char">
    <w:name w:val="Heading 8 Char"/>
    <w:basedOn w:val="DefaultParagraphFont"/>
    <w:link w:val="Heading8"/>
    <w:rsid w:val="00E80848"/>
    <w:rPr>
      <w:rFonts w:ascii="Times New Roman" w:eastAsia="Times New Roman" w:hAnsi="Times New Roman" w:cs="Times New Roman"/>
      <w:i/>
      <w:iCs/>
      <w:sz w:val="24"/>
      <w:szCs w:val="24"/>
      <w:lang w:eastAsia="hr-HR"/>
    </w:rPr>
  </w:style>
  <w:style w:type="paragraph" w:styleId="BodyTextIndent3">
    <w:name w:val="Body Text Indent 3"/>
    <w:aliases w:val=" uvlaka 3"/>
    <w:basedOn w:val="Normal"/>
    <w:link w:val="BodyTextIndent3Char"/>
    <w:rsid w:val="00E80848"/>
    <w:pPr>
      <w:spacing w:after="120"/>
      <w:ind w:left="283"/>
    </w:pPr>
    <w:rPr>
      <w:sz w:val="16"/>
      <w:szCs w:val="16"/>
      <w:lang w:val="en-GB"/>
    </w:rPr>
  </w:style>
  <w:style w:type="character" w:customStyle="1" w:styleId="BodyTextIndent3Char">
    <w:name w:val="Body Text Indent 3 Char"/>
    <w:aliases w:val=" uvlaka 3 Char"/>
    <w:basedOn w:val="DefaultParagraphFont"/>
    <w:link w:val="BodyTextIndent3"/>
    <w:rsid w:val="00E80848"/>
    <w:rPr>
      <w:rFonts w:ascii="Times New Roman" w:eastAsia="Times New Roman" w:hAnsi="Times New Roman" w:cs="Times New Roman"/>
      <w:sz w:val="16"/>
      <w:szCs w:val="16"/>
      <w:lang w:val="en-GB" w:eastAsia="hr-HR"/>
    </w:rPr>
  </w:style>
  <w:style w:type="character" w:customStyle="1" w:styleId="uvlaka3CharChar">
    <w:name w:val="uvlaka 3 Char Char"/>
    <w:rsid w:val="00E80848"/>
    <w:rPr>
      <w:rFonts w:ascii="Times New Roman" w:eastAsia="Times New Roman" w:hAnsi="Times New Roman" w:cs="Times New Roman"/>
      <w:sz w:val="16"/>
      <w:szCs w:val="16"/>
      <w:lang w:val="en-GB" w:eastAsia="hr-HR"/>
    </w:rPr>
  </w:style>
  <w:style w:type="paragraph" w:styleId="TOC1">
    <w:name w:val="toc 1"/>
    <w:basedOn w:val="Normal"/>
    <w:next w:val="Normal"/>
    <w:autoRedefine/>
    <w:uiPriority w:val="39"/>
    <w:rsid w:val="00E80848"/>
    <w:pPr>
      <w:tabs>
        <w:tab w:val="right" w:leader="dot" w:pos="8505"/>
      </w:tabs>
      <w:spacing w:before="240"/>
      <w:ind w:right="567"/>
      <w:jc w:val="both"/>
    </w:pPr>
    <w:rPr>
      <w:caps/>
      <w:noProof/>
      <w:szCs w:val="20"/>
      <w:lang w:val="en-GB" w:eastAsia="en-GB"/>
    </w:rPr>
  </w:style>
  <w:style w:type="paragraph" w:styleId="TOC2">
    <w:name w:val="toc 2"/>
    <w:basedOn w:val="Normal"/>
    <w:next w:val="Normal"/>
    <w:autoRedefine/>
    <w:semiHidden/>
    <w:rsid w:val="00E80848"/>
    <w:pPr>
      <w:tabs>
        <w:tab w:val="left" w:pos="1985"/>
        <w:tab w:val="right" w:leader="dot" w:pos="8505"/>
      </w:tabs>
      <w:ind w:left="1985" w:right="566" w:hanging="1418"/>
      <w:jc w:val="both"/>
    </w:pPr>
    <w:rPr>
      <w:noProof/>
      <w:szCs w:val="20"/>
      <w:lang w:val="en-GB" w:eastAsia="en-GB"/>
    </w:rPr>
  </w:style>
  <w:style w:type="paragraph" w:styleId="Title">
    <w:name w:val="Title"/>
    <w:basedOn w:val="Normal"/>
    <w:next w:val="Normal"/>
    <w:link w:val="TitleChar"/>
    <w:autoRedefine/>
    <w:qFormat/>
    <w:rsid w:val="002B7E52"/>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240"/>
      <w:jc w:val="center"/>
    </w:pPr>
    <w:rPr>
      <w:b/>
      <w:caps/>
      <w:szCs w:val="20"/>
      <w:lang w:val="en-GB" w:eastAsia="en-GB"/>
    </w:rPr>
  </w:style>
  <w:style w:type="character" w:customStyle="1" w:styleId="TitleChar">
    <w:name w:val="Title Char"/>
    <w:basedOn w:val="DefaultParagraphFont"/>
    <w:link w:val="Title"/>
    <w:rsid w:val="002B7E52"/>
    <w:rPr>
      <w:rFonts w:ascii="Times New Roman" w:eastAsia="Times New Roman" w:hAnsi="Times New Roman" w:cs="Times New Roman"/>
      <w:b/>
      <w:caps/>
      <w:sz w:val="24"/>
      <w:szCs w:val="20"/>
      <w:lang w:val="en-GB" w:eastAsia="en-GB"/>
    </w:rPr>
  </w:style>
  <w:style w:type="character" w:customStyle="1" w:styleId="CharChar8">
    <w:name w:val="Char Char8"/>
    <w:rsid w:val="00E80848"/>
    <w:rPr>
      <w:rFonts w:ascii="Times New Roman" w:eastAsia="Times New Roman" w:hAnsi="Times New Roman" w:cs="Times New Roman"/>
      <w:b/>
      <w:caps/>
      <w:sz w:val="24"/>
      <w:szCs w:val="20"/>
      <w:lang w:val="en-GB" w:eastAsia="en-GB"/>
    </w:rPr>
  </w:style>
  <w:style w:type="character" w:customStyle="1" w:styleId="ArticleHeadingChar">
    <w:name w:val="Article Heading Char"/>
    <w:aliases w:val="Article Heading 1 Char Char"/>
    <w:rsid w:val="00E80848"/>
    <w:rPr>
      <w:rFonts w:ascii="Times New Roman" w:eastAsia="Times New Roman" w:hAnsi="Times New Roman" w:cs="Times New Roman"/>
      <w:b/>
      <w:caps/>
      <w:sz w:val="24"/>
      <w:szCs w:val="20"/>
      <w:lang w:val="en-GB" w:eastAsia="en-GB"/>
    </w:rPr>
  </w:style>
  <w:style w:type="character" w:customStyle="1" w:styleId="SectionHeading2Char">
    <w:name w:val="Section Heading 2 Char"/>
    <w:aliases w:val="Section Heading Char Char"/>
    <w:rsid w:val="00E80848"/>
    <w:rPr>
      <w:rFonts w:ascii="Times New Roman" w:eastAsia="Times New Roman" w:hAnsi="Times New Roman" w:cs="Times New Roman"/>
      <w:b/>
      <w:sz w:val="24"/>
      <w:szCs w:val="20"/>
      <w:lang w:val="en-GB" w:eastAsia="en-GB"/>
    </w:rPr>
  </w:style>
  <w:style w:type="character" w:customStyle="1" w:styleId="CharChar14">
    <w:name w:val="Char Char14"/>
    <w:rsid w:val="00E80848"/>
    <w:rPr>
      <w:rFonts w:ascii="Times New Roman" w:eastAsia="Times New Roman" w:hAnsi="Times New Roman" w:cs="Times New Roman"/>
      <w:b/>
      <w:sz w:val="24"/>
      <w:szCs w:val="20"/>
      <w:lang w:val="en-GB" w:eastAsia="en-GB"/>
    </w:rPr>
  </w:style>
  <w:style w:type="character" w:customStyle="1" w:styleId="CharChar13">
    <w:name w:val="Char Char13"/>
    <w:rsid w:val="00E80848"/>
    <w:rPr>
      <w:rFonts w:ascii="Times New Roman" w:eastAsia="Times New Roman" w:hAnsi="Times New Roman" w:cs="Times New Roman"/>
      <w:b/>
      <w:bCs/>
      <w:sz w:val="28"/>
      <w:szCs w:val="28"/>
      <w:lang w:eastAsia="hr-HR"/>
    </w:rPr>
  </w:style>
  <w:style w:type="character" w:customStyle="1" w:styleId="CharChar12">
    <w:name w:val="Char Char12"/>
    <w:rsid w:val="00E80848"/>
    <w:rPr>
      <w:rFonts w:ascii="Times New Roman" w:eastAsia="Times New Roman" w:hAnsi="Times New Roman" w:cs="Times New Roman"/>
      <w:sz w:val="24"/>
      <w:szCs w:val="20"/>
      <w:lang w:val="en-GB" w:eastAsia="en-GB"/>
    </w:rPr>
  </w:style>
  <w:style w:type="character" w:customStyle="1" w:styleId="CharChar11">
    <w:name w:val="Char Char11"/>
    <w:rsid w:val="00E80848"/>
    <w:rPr>
      <w:rFonts w:ascii="Times New Roman" w:eastAsia="Times New Roman" w:hAnsi="Times New Roman" w:cs="Times New Roman"/>
      <w:sz w:val="24"/>
      <w:szCs w:val="20"/>
      <w:lang w:val="en-GB" w:eastAsia="en-GB"/>
    </w:rPr>
  </w:style>
  <w:style w:type="character" w:customStyle="1" w:styleId="CharChar10">
    <w:name w:val="Char Char10"/>
    <w:rsid w:val="00E80848"/>
    <w:rPr>
      <w:rFonts w:ascii="Times New Roman" w:eastAsia="Times New Roman" w:hAnsi="Times New Roman" w:cs="Times New Roman"/>
      <w:sz w:val="24"/>
      <w:szCs w:val="20"/>
      <w:lang w:val="en-GB" w:eastAsia="en-GB"/>
    </w:rPr>
  </w:style>
  <w:style w:type="character" w:customStyle="1" w:styleId="CharChar9">
    <w:name w:val="Char Char9"/>
    <w:rsid w:val="00E80848"/>
    <w:rPr>
      <w:rFonts w:ascii="Times New Roman" w:eastAsia="Times New Roman" w:hAnsi="Times New Roman" w:cs="Times New Roman"/>
      <w:i/>
      <w:iCs/>
      <w:sz w:val="24"/>
      <w:szCs w:val="24"/>
      <w:lang w:eastAsia="hr-HR"/>
    </w:rPr>
  </w:style>
  <w:style w:type="character" w:customStyle="1" w:styleId="CharChar7">
    <w:name w:val="Char Char7"/>
    <w:rsid w:val="00E80848"/>
    <w:rPr>
      <w:rFonts w:ascii="Times New Roman" w:eastAsia="Times New Roman" w:hAnsi="Times New Roman" w:cs="Times New Roman"/>
      <w:sz w:val="24"/>
      <w:szCs w:val="20"/>
      <w:lang w:val="en-GB" w:eastAsia="en-GB"/>
    </w:rPr>
  </w:style>
  <w:style w:type="character" w:customStyle="1" w:styleId="Content">
    <w:name w:val="Content"/>
    <w:rsid w:val="00E80848"/>
    <w:rPr>
      <w:rFonts w:ascii="Batang" w:hAnsi="Batang"/>
      <w:b w:val="0"/>
      <w:bCs/>
      <w:sz w:val="32"/>
    </w:rPr>
  </w:style>
  <w:style w:type="character" w:styleId="Strong">
    <w:name w:val="Strong"/>
    <w:qFormat/>
    <w:rsid w:val="00E80848"/>
    <w:rPr>
      <w:b/>
      <w:bCs/>
    </w:rPr>
  </w:style>
  <w:style w:type="paragraph" w:customStyle="1" w:styleId="Bullet">
    <w:name w:val="Bullet"/>
    <w:basedOn w:val="Normal"/>
    <w:rsid w:val="00E80848"/>
    <w:pPr>
      <w:ind w:left="1440" w:hanging="720"/>
    </w:pPr>
    <w:rPr>
      <w:lang w:val="en-US" w:eastAsia="en-US"/>
    </w:rPr>
  </w:style>
  <w:style w:type="paragraph" w:styleId="Header">
    <w:name w:val="header"/>
    <w:basedOn w:val="Normal"/>
    <w:link w:val="HeaderChar"/>
    <w:rsid w:val="00E80848"/>
    <w:pPr>
      <w:tabs>
        <w:tab w:val="center" w:pos="4536"/>
        <w:tab w:val="right" w:pos="9072"/>
      </w:tabs>
    </w:pPr>
  </w:style>
  <w:style w:type="character" w:customStyle="1" w:styleId="HeaderChar">
    <w:name w:val="Header Char"/>
    <w:basedOn w:val="DefaultParagraphFont"/>
    <w:link w:val="Header"/>
    <w:rsid w:val="00E80848"/>
    <w:rPr>
      <w:rFonts w:ascii="Times New Roman" w:eastAsia="Times New Roman" w:hAnsi="Times New Roman" w:cs="Times New Roman"/>
      <w:sz w:val="24"/>
      <w:szCs w:val="24"/>
      <w:lang w:eastAsia="hr-HR"/>
    </w:rPr>
  </w:style>
  <w:style w:type="character" w:customStyle="1" w:styleId="CharChar6">
    <w:name w:val="Char Char6"/>
    <w:rsid w:val="00E80848"/>
    <w:rPr>
      <w:rFonts w:ascii="Times New Roman" w:eastAsia="Times New Roman" w:hAnsi="Times New Roman" w:cs="Times New Roman"/>
      <w:sz w:val="24"/>
      <w:szCs w:val="24"/>
      <w:lang w:eastAsia="hr-HR"/>
    </w:rPr>
  </w:style>
  <w:style w:type="character" w:styleId="PageNumber">
    <w:name w:val="page number"/>
    <w:basedOn w:val="DefaultParagraphFont"/>
    <w:rsid w:val="00E80848"/>
  </w:style>
  <w:style w:type="paragraph" w:styleId="Footer">
    <w:name w:val="footer"/>
    <w:basedOn w:val="Normal"/>
    <w:link w:val="FooterChar"/>
    <w:uiPriority w:val="99"/>
    <w:rsid w:val="00E80848"/>
    <w:pPr>
      <w:tabs>
        <w:tab w:val="center" w:pos="4536"/>
        <w:tab w:val="right" w:pos="9072"/>
      </w:tabs>
    </w:pPr>
    <w:rPr>
      <w:lang w:val="x-none" w:eastAsia="x-none"/>
    </w:rPr>
  </w:style>
  <w:style w:type="character" w:customStyle="1" w:styleId="FooterChar">
    <w:name w:val="Footer Char"/>
    <w:basedOn w:val="DefaultParagraphFont"/>
    <w:link w:val="Footer"/>
    <w:uiPriority w:val="99"/>
    <w:rsid w:val="00E80848"/>
    <w:rPr>
      <w:rFonts w:ascii="Times New Roman" w:eastAsia="Times New Roman" w:hAnsi="Times New Roman" w:cs="Times New Roman"/>
      <w:sz w:val="24"/>
      <w:szCs w:val="24"/>
      <w:lang w:val="x-none" w:eastAsia="x-none"/>
    </w:rPr>
  </w:style>
  <w:style w:type="character" w:customStyle="1" w:styleId="CharChar5">
    <w:name w:val="Char Char5"/>
    <w:rsid w:val="00E80848"/>
    <w:rPr>
      <w:rFonts w:ascii="Times New Roman" w:eastAsia="Times New Roman" w:hAnsi="Times New Roman" w:cs="Times New Roman"/>
      <w:sz w:val="24"/>
      <w:szCs w:val="24"/>
      <w:lang w:eastAsia="hr-HR"/>
    </w:rPr>
  </w:style>
  <w:style w:type="character" w:customStyle="1" w:styleId="CharChar4">
    <w:name w:val="Char Char4"/>
    <w:semiHidden/>
    <w:rsid w:val="00E80848"/>
    <w:rPr>
      <w:rFonts w:ascii="Times New Roman" w:eastAsia="Times New Roman" w:hAnsi="Times New Roman"/>
    </w:rPr>
  </w:style>
  <w:style w:type="paragraph" w:styleId="CommentText">
    <w:name w:val="annotation text"/>
    <w:basedOn w:val="Normal"/>
    <w:link w:val="CommentTextChar"/>
    <w:uiPriority w:val="99"/>
    <w:semiHidden/>
    <w:rsid w:val="00E80848"/>
    <w:rPr>
      <w:sz w:val="22"/>
      <w:szCs w:val="22"/>
      <w:lang w:eastAsia="en-US"/>
    </w:rPr>
  </w:style>
  <w:style w:type="character" w:customStyle="1" w:styleId="CommentTextChar">
    <w:name w:val="Comment Text Char"/>
    <w:basedOn w:val="DefaultParagraphFont"/>
    <w:link w:val="CommentText"/>
    <w:uiPriority w:val="99"/>
    <w:semiHidden/>
    <w:rsid w:val="00E80848"/>
    <w:rPr>
      <w:rFonts w:ascii="Times New Roman" w:eastAsia="Times New Roman" w:hAnsi="Times New Roman" w:cs="Times New Roman"/>
    </w:rPr>
  </w:style>
  <w:style w:type="character" w:customStyle="1" w:styleId="CommentTextChar1">
    <w:name w:val="Comment Text Char1"/>
    <w:semiHidden/>
    <w:rsid w:val="00E80848"/>
    <w:rPr>
      <w:rFonts w:ascii="Times New Roman" w:eastAsia="Times New Roman" w:hAnsi="Times New Roman" w:cs="Times New Roman"/>
      <w:sz w:val="20"/>
      <w:szCs w:val="20"/>
      <w:lang w:eastAsia="hr-HR"/>
    </w:rPr>
  </w:style>
  <w:style w:type="character" w:customStyle="1" w:styleId="CharChar3">
    <w:name w:val="Char Char3"/>
    <w:semiHidden/>
    <w:rsid w:val="00E80848"/>
    <w:rPr>
      <w:rFonts w:ascii="Times New Roman" w:eastAsia="Times New Roman" w:hAnsi="Times New Roman"/>
      <w:b/>
      <w:bCs/>
    </w:rPr>
  </w:style>
  <w:style w:type="paragraph" w:styleId="CommentSubject">
    <w:name w:val="annotation subject"/>
    <w:basedOn w:val="CommentText"/>
    <w:next w:val="CommentText"/>
    <w:link w:val="CommentSubjectChar"/>
    <w:semiHidden/>
    <w:rsid w:val="00E80848"/>
    <w:rPr>
      <w:b/>
      <w:bCs/>
    </w:rPr>
  </w:style>
  <w:style w:type="character" w:customStyle="1" w:styleId="CommentSubjectChar">
    <w:name w:val="Comment Subject Char"/>
    <w:basedOn w:val="CommentTextChar"/>
    <w:link w:val="CommentSubject"/>
    <w:uiPriority w:val="99"/>
    <w:semiHidden/>
    <w:rsid w:val="00E80848"/>
    <w:rPr>
      <w:rFonts w:ascii="Times New Roman" w:eastAsia="Times New Roman" w:hAnsi="Times New Roman" w:cs="Times New Roman"/>
      <w:b/>
      <w:bCs/>
    </w:rPr>
  </w:style>
  <w:style w:type="character" w:customStyle="1" w:styleId="CommentSubjectChar1">
    <w:name w:val="Comment Subject Char1"/>
    <w:semiHidden/>
    <w:rsid w:val="00E80848"/>
    <w:rPr>
      <w:rFonts w:ascii="Times New Roman" w:eastAsia="Times New Roman" w:hAnsi="Times New Roman" w:cs="Times New Roman"/>
      <w:b/>
      <w:bCs/>
      <w:sz w:val="20"/>
      <w:szCs w:val="20"/>
      <w:lang w:eastAsia="hr-HR"/>
    </w:rPr>
  </w:style>
  <w:style w:type="character" w:customStyle="1" w:styleId="CharChar2">
    <w:name w:val="Char Char2"/>
    <w:semiHidden/>
    <w:rsid w:val="00E80848"/>
    <w:rPr>
      <w:rFonts w:ascii="Tahoma" w:eastAsia="Times New Roman" w:hAnsi="Tahoma" w:cs="Tahoma"/>
      <w:sz w:val="16"/>
      <w:szCs w:val="16"/>
    </w:rPr>
  </w:style>
  <w:style w:type="paragraph" w:styleId="BalloonText">
    <w:name w:val="Balloon Text"/>
    <w:basedOn w:val="Normal"/>
    <w:link w:val="BalloonTextChar"/>
    <w:semiHidden/>
    <w:rsid w:val="00E8084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80848"/>
    <w:rPr>
      <w:rFonts w:ascii="Tahoma" w:eastAsia="Times New Roman" w:hAnsi="Tahoma" w:cs="Tahoma"/>
      <w:sz w:val="16"/>
      <w:szCs w:val="16"/>
    </w:rPr>
  </w:style>
  <w:style w:type="character" w:customStyle="1" w:styleId="BalloonTextChar1">
    <w:name w:val="Balloon Text Char1"/>
    <w:semiHidden/>
    <w:rsid w:val="00E80848"/>
    <w:rPr>
      <w:rFonts w:ascii="Tahoma" w:eastAsia="Times New Roman" w:hAnsi="Tahoma" w:cs="Tahoma"/>
      <w:sz w:val="16"/>
      <w:szCs w:val="16"/>
      <w:lang w:eastAsia="hr-HR"/>
    </w:rPr>
  </w:style>
  <w:style w:type="character" w:customStyle="1" w:styleId="singlespaceChar1">
    <w:name w:val="single space Char1"/>
    <w:aliases w:val="footnote text Char1,FOOTNOTES Char1,fn Char1,Geneva 9 Char1,Font: Geneva 9 Char1,Boston 10 Char1,f Char1,Font Char1,Footnote Text Char Char1,Footnote Text Char1 Char Char2,Footnote Text Char Char Char Char1,ADB Char1,ft Char Char"/>
    <w:semiHidden/>
    <w:rsid w:val="00E80848"/>
    <w:rPr>
      <w:rFonts w:ascii="Times New Roman" w:eastAsia="Times New Roman" w:hAnsi="Times New Roman"/>
    </w:rPr>
  </w:style>
  <w:style w:type="paragraph" w:styleId="FootnoteText">
    <w:name w:val="footnote text"/>
    <w:aliases w:val="single space,footnote text,FOOTNOTES,fn,Geneva 9,Font: Geneva 9,Boston 10,f,Font,Footnote Text Char1 Char,Footnote Text Char Char Char,ADB,Footnote Text Char2 Char,Footnote Text Char1 Char Char,Fußnotentext Char,ft,Char,Footnote Text1 Char"/>
    <w:basedOn w:val="Normal"/>
    <w:link w:val="FootnoteTextChar"/>
    <w:uiPriority w:val="99"/>
    <w:qFormat/>
    <w:rsid w:val="00E80848"/>
    <w:rPr>
      <w:sz w:val="22"/>
      <w:szCs w:val="22"/>
      <w:lang w:eastAsia="en-US"/>
    </w:rPr>
  </w:style>
  <w:style w:type="character" w:customStyle="1" w:styleId="FootnoteTextChar">
    <w:name w:val="Footnote Text Char"/>
    <w:aliases w:val="single space Char2,footnote text Char2,FOOTNOTES Char2,fn Char2,Geneva 9 Char2,Font: Geneva 9 Char2,Boston 10 Char2,f Char2,Font Char2,Footnote Text Char1 Char Char3,Footnote Text Char Char Char Char2,ADB Char2,Fußnotentext Char Char"/>
    <w:basedOn w:val="DefaultParagraphFont"/>
    <w:link w:val="FootnoteText"/>
    <w:uiPriority w:val="99"/>
    <w:rsid w:val="00E80848"/>
    <w:rPr>
      <w:rFonts w:ascii="Times New Roman" w:eastAsia="Times New Roman" w:hAnsi="Times New Roman" w:cs="Times New Roman"/>
    </w:rPr>
  </w:style>
  <w:style w:type="character" w:customStyle="1" w:styleId="FootnoteTextChar1">
    <w:name w:val="Footnote Text Char1"/>
    <w:aliases w:val="ft Char1"/>
    <w:uiPriority w:val="99"/>
    <w:rsid w:val="00E80848"/>
    <w:rPr>
      <w:rFonts w:ascii="Times New Roman" w:eastAsia="Times New Roman" w:hAnsi="Times New Roman" w:cs="Times New Roman"/>
      <w:sz w:val="20"/>
      <w:szCs w:val="20"/>
      <w:lang w:eastAsia="hr-HR"/>
    </w:rPr>
  </w:style>
  <w:style w:type="paragraph" w:styleId="EndnoteText">
    <w:name w:val="endnote text"/>
    <w:basedOn w:val="Normal"/>
    <w:link w:val="EndnoteTextChar"/>
    <w:semiHidden/>
    <w:rsid w:val="00E80848"/>
    <w:rPr>
      <w:sz w:val="20"/>
      <w:szCs w:val="20"/>
    </w:rPr>
  </w:style>
  <w:style w:type="character" w:customStyle="1" w:styleId="EndnoteTextChar">
    <w:name w:val="Endnote Text Char"/>
    <w:basedOn w:val="DefaultParagraphFont"/>
    <w:link w:val="EndnoteText"/>
    <w:semiHidden/>
    <w:rsid w:val="00E80848"/>
    <w:rPr>
      <w:rFonts w:ascii="Times New Roman" w:eastAsia="Times New Roman" w:hAnsi="Times New Roman" w:cs="Times New Roman"/>
      <w:sz w:val="20"/>
      <w:szCs w:val="20"/>
      <w:lang w:eastAsia="hr-HR"/>
    </w:rPr>
  </w:style>
  <w:style w:type="character" w:customStyle="1" w:styleId="CharChar1">
    <w:name w:val="Char Char1"/>
    <w:semiHidden/>
    <w:rsid w:val="00E80848"/>
    <w:rPr>
      <w:rFonts w:ascii="Times New Roman" w:eastAsia="Times New Roman" w:hAnsi="Times New Roman" w:cs="Times New Roman"/>
      <w:sz w:val="20"/>
      <w:szCs w:val="20"/>
      <w:lang w:eastAsia="hr-HR"/>
    </w:rPr>
  </w:style>
  <w:style w:type="character" w:styleId="EndnoteReference">
    <w:name w:val="endnote reference"/>
    <w:semiHidden/>
    <w:rsid w:val="00E80848"/>
    <w:rPr>
      <w:vertAlign w:val="superscript"/>
    </w:rPr>
  </w:style>
  <w:style w:type="paragraph" w:customStyle="1" w:styleId="Definition1a">
    <w:name w:val="Definition 1a"/>
    <w:basedOn w:val="Normal"/>
    <w:next w:val="Definition1b"/>
    <w:rsid w:val="00E80848"/>
    <w:pPr>
      <w:keepNext/>
      <w:tabs>
        <w:tab w:val="left" w:pos="2835"/>
        <w:tab w:val="left" w:pos="3402"/>
        <w:tab w:val="left" w:pos="3969"/>
        <w:tab w:val="left" w:pos="4536"/>
        <w:tab w:val="left" w:pos="5103"/>
        <w:tab w:val="left" w:pos="5670"/>
        <w:tab w:val="left" w:pos="6237"/>
        <w:tab w:val="left" w:pos="6804"/>
        <w:tab w:val="left" w:pos="7371"/>
        <w:tab w:val="left" w:pos="7938"/>
      </w:tabs>
      <w:spacing w:before="240"/>
      <w:ind w:left="2835" w:hanging="2835"/>
      <w:jc w:val="both"/>
    </w:pPr>
    <w:rPr>
      <w:szCs w:val="20"/>
      <w:lang w:val="en-GB" w:eastAsia="en-GB"/>
    </w:rPr>
  </w:style>
  <w:style w:type="paragraph" w:customStyle="1" w:styleId="Definition1b">
    <w:name w:val="Definition 1b"/>
    <w:basedOn w:val="Normal"/>
    <w:rsid w:val="00E80848"/>
    <w:pPr>
      <w:tabs>
        <w:tab w:val="left" w:pos="2835"/>
        <w:tab w:val="left" w:pos="3402"/>
        <w:tab w:val="left" w:pos="3969"/>
        <w:tab w:val="left" w:pos="4536"/>
        <w:tab w:val="left" w:pos="5103"/>
        <w:tab w:val="left" w:pos="5670"/>
        <w:tab w:val="left" w:pos="6237"/>
        <w:tab w:val="left" w:pos="6804"/>
        <w:tab w:val="left" w:pos="7371"/>
        <w:tab w:val="left" w:pos="7938"/>
      </w:tabs>
      <w:ind w:left="2835" w:hanging="2835"/>
      <w:jc w:val="both"/>
    </w:pPr>
    <w:rPr>
      <w:szCs w:val="20"/>
      <w:lang w:val="en-GB" w:eastAsia="en-GB"/>
    </w:rPr>
  </w:style>
  <w:style w:type="paragraph" w:customStyle="1" w:styleId="Paragraph1">
    <w:name w:val="Paragraph (1)"/>
    <w:basedOn w:val="Normal"/>
    <w:rsid w:val="00E808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567"/>
      <w:jc w:val="both"/>
    </w:pPr>
    <w:rPr>
      <w:szCs w:val="20"/>
      <w:lang w:val="en-GB" w:eastAsia="en-GB"/>
    </w:rPr>
  </w:style>
  <w:style w:type="paragraph" w:customStyle="1" w:styleId="Definition">
    <w:name w:val="Definition"/>
    <w:basedOn w:val="Normal"/>
    <w:rsid w:val="00E80848"/>
    <w:pPr>
      <w:tabs>
        <w:tab w:val="left" w:pos="2835"/>
        <w:tab w:val="left" w:pos="3402"/>
        <w:tab w:val="left" w:pos="3969"/>
        <w:tab w:val="left" w:pos="4536"/>
        <w:tab w:val="left" w:pos="5103"/>
        <w:tab w:val="left" w:pos="5670"/>
        <w:tab w:val="left" w:pos="6237"/>
        <w:tab w:val="left" w:pos="6804"/>
        <w:tab w:val="left" w:pos="7371"/>
        <w:tab w:val="left" w:pos="7938"/>
      </w:tabs>
      <w:spacing w:before="240"/>
      <w:ind w:left="2835" w:hanging="2835"/>
      <w:jc w:val="both"/>
    </w:pPr>
    <w:rPr>
      <w:szCs w:val="20"/>
      <w:lang w:val="en-GB" w:eastAsia="en-GB"/>
    </w:rPr>
  </w:style>
  <w:style w:type="paragraph" w:customStyle="1" w:styleId="ParagraphA0">
    <w:name w:val="Paragraph (A)"/>
    <w:basedOn w:val="Normal"/>
    <w:rsid w:val="00E80848"/>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1134"/>
      <w:jc w:val="both"/>
    </w:pPr>
    <w:rPr>
      <w:szCs w:val="20"/>
      <w:lang w:val="en-GB" w:eastAsia="en-GB"/>
    </w:rPr>
  </w:style>
  <w:style w:type="paragraph" w:customStyle="1" w:styleId="Definition2">
    <w:name w:val="Definition 2"/>
    <w:basedOn w:val="Definition"/>
    <w:rsid w:val="00E80848"/>
    <w:pPr>
      <w:tabs>
        <w:tab w:val="clear" w:pos="2835"/>
      </w:tabs>
      <w:ind w:firstLine="0"/>
    </w:pPr>
  </w:style>
  <w:style w:type="paragraph" w:customStyle="1" w:styleId="Definition3">
    <w:name w:val="Definition 3"/>
    <w:basedOn w:val="Definition2"/>
    <w:rsid w:val="00E80848"/>
    <w:pPr>
      <w:tabs>
        <w:tab w:val="clear" w:pos="3402"/>
      </w:tabs>
      <w:ind w:left="3402"/>
    </w:pPr>
  </w:style>
  <w:style w:type="paragraph" w:customStyle="1" w:styleId="Definition4">
    <w:name w:val="Definition 4"/>
    <w:basedOn w:val="Definition3"/>
    <w:rsid w:val="00E80848"/>
    <w:pPr>
      <w:tabs>
        <w:tab w:val="clear" w:pos="3969"/>
      </w:tabs>
      <w:ind w:left="3969"/>
    </w:pPr>
  </w:style>
  <w:style w:type="paragraph" w:customStyle="1" w:styleId="HangingIndenta">
    <w:name w:val="Hanging Indent (a)"/>
    <w:basedOn w:val="Normal"/>
    <w:rsid w:val="00E80848"/>
    <w:pPr>
      <w:tabs>
        <w:tab w:val="left" w:pos="3402"/>
        <w:tab w:val="left" w:pos="3969"/>
        <w:tab w:val="left" w:pos="4536"/>
        <w:tab w:val="left" w:pos="5103"/>
        <w:tab w:val="left" w:pos="5670"/>
        <w:tab w:val="left" w:pos="6237"/>
        <w:tab w:val="left" w:pos="6804"/>
        <w:tab w:val="left" w:pos="7371"/>
        <w:tab w:val="left" w:pos="7938"/>
      </w:tabs>
      <w:spacing w:before="240" w:line="240" w:lineRule="atLeast"/>
      <w:ind w:left="3969" w:hanging="3969"/>
      <w:jc w:val="both"/>
    </w:pPr>
    <w:rPr>
      <w:szCs w:val="20"/>
      <w:lang w:val="en-GB" w:eastAsia="en-GB"/>
    </w:rPr>
  </w:style>
  <w:style w:type="paragraph" w:styleId="BodyTextIndent">
    <w:name w:val="Body Text Indent"/>
    <w:basedOn w:val="Normal"/>
    <w:link w:val="BodyTextIndentChar"/>
    <w:rsid w:val="00E80848"/>
    <w:pPr>
      <w:tabs>
        <w:tab w:val="left" w:pos="2268"/>
        <w:tab w:val="left" w:pos="3969"/>
        <w:tab w:val="left" w:pos="4253"/>
        <w:tab w:val="left" w:pos="4536"/>
        <w:tab w:val="left" w:pos="5103"/>
        <w:tab w:val="left" w:pos="5670"/>
        <w:tab w:val="left" w:pos="6237"/>
        <w:tab w:val="left" w:pos="6804"/>
        <w:tab w:val="left" w:pos="7371"/>
        <w:tab w:val="left" w:pos="7938"/>
        <w:tab w:val="right" w:pos="8505"/>
      </w:tabs>
      <w:spacing w:line="240" w:lineRule="atLeast"/>
      <w:ind w:left="2694" w:hanging="2694"/>
      <w:jc w:val="both"/>
    </w:pPr>
    <w:rPr>
      <w:szCs w:val="20"/>
      <w:lang w:val="en-GB" w:eastAsia="en-GB"/>
    </w:rPr>
  </w:style>
  <w:style w:type="character" w:customStyle="1" w:styleId="BodyTextIndentChar">
    <w:name w:val="Body Text Indent Char"/>
    <w:basedOn w:val="DefaultParagraphFont"/>
    <w:link w:val="BodyTextIndent"/>
    <w:rsid w:val="00E80848"/>
    <w:rPr>
      <w:rFonts w:ascii="Times New Roman" w:eastAsia="Times New Roman" w:hAnsi="Times New Roman" w:cs="Times New Roman"/>
      <w:sz w:val="24"/>
      <w:szCs w:val="20"/>
      <w:lang w:val="en-GB" w:eastAsia="en-GB"/>
    </w:rPr>
  </w:style>
  <w:style w:type="character" w:customStyle="1" w:styleId="CharChar">
    <w:name w:val="Char Char"/>
    <w:rsid w:val="00E80848"/>
    <w:rPr>
      <w:rFonts w:ascii="Times New Roman" w:eastAsia="Times New Roman" w:hAnsi="Times New Roman" w:cs="Times New Roman"/>
      <w:sz w:val="24"/>
      <w:szCs w:val="20"/>
      <w:lang w:val="en-GB" w:eastAsia="en-GB"/>
    </w:rPr>
  </w:style>
  <w:style w:type="paragraph" w:customStyle="1" w:styleId="Indenti">
    <w:name w:val="Indent (i)"/>
    <w:basedOn w:val="Normal"/>
    <w:rsid w:val="00E80848"/>
    <w:pPr>
      <w:tabs>
        <w:tab w:val="left" w:pos="5040"/>
      </w:tabs>
      <w:ind w:left="4500" w:hanging="540"/>
      <w:jc w:val="both"/>
    </w:pPr>
    <w:rPr>
      <w:szCs w:val="20"/>
      <w:lang w:val="en-GB" w:eastAsia="en-GB"/>
    </w:rPr>
  </w:style>
  <w:style w:type="paragraph" w:customStyle="1" w:styleId="NormalLeft508cm">
    <w:name w:val="Normal + Left:  5.08 cm"/>
    <w:aliases w:val="Hanging:  1.92 cm"/>
    <w:basedOn w:val="Indenti"/>
    <w:rsid w:val="00E80848"/>
    <w:pPr>
      <w:overflowPunct w:val="0"/>
      <w:autoSpaceDE w:val="0"/>
      <w:autoSpaceDN w:val="0"/>
      <w:adjustRightInd w:val="0"/>
      <w:spacing w:before="240" w:line="240" w:lineRule="atLeast"/>
      <w:ind w:left="3969" w:firstLine="0"/>
      <w:textAlignment w:val="baseline"/>
    </w:pPr>
  </w:style>
  <w:style w:type="paragraph" w:customStyle="1" w:styleId="Section1">
    <w:name w:val="Section 1"/>
    <w:basedOn w:val="Normal"/>
    <w:rsid w:val="00E80848"/>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 w:type="paragraph" w:customStyle="1" w:styleId="ScheduleHeading">
    <w:name w:val="Schedule Heading"/>
    <w:basedOn w:val="Title"/>
    <w:rsid w:val="00E80848"/>
  </w:style>
  <w:style w:type="paragraph" w:customStyle="1" w:styleId="Paragraphi">
    <w:name w:val="Paragraph (i)"/>
    <w:basedOn w:val="Normal"/>
    <w:rsid w:val="00E80848"/>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1701"/>
      <w:jc w:val="both"/>
    </w:pPr>
    <w:rPr>
      <w:szCs w:val="20"/>
      <w:lang w:val="en-GB" w:eastAsia="en-GB"/>
    </w:rPr>
  </w:style>
  <w:style w:type="paragraph" w:customStyle="1" w:styleId="ParagraphaChar">
    <w:name w:val="Paragraph (a) Char"/>
    <w:basedOn w:val="Normal"/>
    <w:rsid w:val="00E808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val="en-GB" w:eastAsia="en-GB"/>
    </w:rPr>
  </w:style>
  <w:style w:type="paragraph" w:customStyle="1" w:styleId="Indenta">
    <w:name w:val="Indent (a)"/>
    <w:basedOn w:val="Normal"/>
    <w:rsid w:val="00E80848"/>
    <w:pPr>
      <w:tabs>
        <w:tab w:val="left" w:pos="4320"/>
      </w:tabs>
      <w:ind w:left="3960" w:hanging="360"/>
      <w:jc w:val="both"/>
    </w:pPr>
    <w:rPr>
      <w:szCs w:val="20"/>
      <w:lang w:val="en-GB" w:eastAsia="en-GB"/>
    </w:rPr>
  </w:style>
  <w:style w:type="character" w:styleId="Emphasis">
    <w:name w:val="Emphasis"/>
    <w:qFormat/>
    <w:rsid w:val="00E80848"/>
    <w:rPr>
      <w:i/>
      <w:iCs/>
    </w:rPr>
  </w:style>
  <w:style w:type="character" w:styleId="FootnoteReference">
    <w:name w:val="footnote reference"/>
    <w:aliases w:val="16 Point,Superscript 6 Point,ftref,Footnote Reference Number,Footnote Reference_LVL6,Footnote Reference_LVL61,Footnote Reference_LVL62,Footnote Reference_LVL63,Footnote Reference_LVL64,Знак сноски-FN,Footnote Reference Superscript,fr"/>
    <w:link w:val="ftrefCaracterCaracterCaracter"/>
    <w:uiPriority w:val="99"/>
    <w:qFormat/>
    <w:rsid w:val="00E80848"/>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40791F"/>
    <w:pPr>
      <w:spacing w:before="110" w:after="120" w:line="240" w:lineRule="exact"/>
      <w:jc w:val="both"/>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rsid w:val="00E80848"/>
    <w:rPr>
      <w:rFonts w:ascii="Courier New" w:hAnsi="Courier New" w:cs="Courier New"/>
      <w:sz w:val="20"/>
      <w:szCs w:val="20"/>
    </w:rPr>
  </w:style>
  <w:style w:type="character" w:customStyle="1" w:styleId="PlainTextChar">
    <w:name w:val="Plain Text Char"/>
    <w:basedOn w:val="DefaultParagraphFont"/>
    <w:link w:val="PlainText"/>
    <w:rsid w:val="00E80848"/>
    <w:rPr>
      <w:rFonts w:ascii="Courier New" w:eastAsia="Times New Roman" w:hAnsi="Courier New" w:cs="Courier New"/>
      <w:sz w:val="20"/>
      <w:szCs w:val="20"/>
      <w:lang w:eastAsia="hr-HR"/>
    </w:rPr>
  </w:style>
  <w:style w:type="paragraph" w:customStyle="1" w:styleId="ModelNrmlDouble">
    <w:name w:val="ModelNrmlDouble"/>
    <w:basedOn w:val="Normal"/>
    <w:rsid w:val="00E80848"/>
    <w:pPr>
      <w:spacing w:after="360" w:line="480" w:lineRule="auto"/>
      <w:ind w:firstLine="720"/>
      <w:jc w:val="both"/>
    </w:pPr>
    <w:rPr>
      <w:sz w:val="22"/>
      <w:szCs w:val="20"/>
      <w:lang w:val="en-US" w:eastAsia="en-US"/>
    </w:rPr>
  </w:style>
  <w:style w:type="paragraph" w:customStyle="1" w:styleId="Story">
    <w:name w:val="Story"/>
    <w:basedOn w:val="Normal"/>
    <w:rsid w:val="00E80848"/>
    <w:pPr>
      <w:spacing w:line="480" w:lineRule="auto"/>
    </w:pPr>
    <w:rPr>
      <w:szCs w:val="20"/>
      <w:lang w:val="en-US" w:eastAsia="en-US"/>
    </w:rPr>
  </w:style>
  <w:style w:type="paragraph" w:customStyle="1" w:styleId="ModelDoubleNoIndent">
    <w:name w:val="ModelDoubleNoIndent"/>
    <w:basedOn w:val="ModelNrmlDouble"/>
    <w:rsid w:val="00E80848"/>
    <w:pPr>
      <w:ind w:firstLine="0"/>
    </w:pPr>
    <w:rPr>
      <w:u w:val="single"/>
    </w:rPr>
  </w:style>
  <w:style w:type="paragraph" w:customStyle="1" w:styleId="ModelNrmlSingle">
    <w:name w:val="ModelNrmlSingle"/>
    <w:basedOn w:val="Normal"/>
    <w:rsid w:val="00E80848"/>
    <w:pPr>
      <w:spacing w:after="240"/>
      <w:ind w:firstLine="720"/>
      <w:jc w:val="both"/>
    </w:pPr>
    <w:rPr>
      <w:sz w:val="22"/>
      <w:szCs w:val="20"/>
      <w:lang w:val="en-US" w:eastAsia="en-US"/>
    </w:rPr>
  </w:style>
  <w:style w:type="paragraph" w:customStyle="1" w:styleId="Default">
    <w:name w:val="Default"/>
    <w:rsid w:val="00E808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odelNrmlDoubleChar">
    <w:name w:val="ModelNrmlDouble Char"/>
    <w:rsid w:val="00E80848"/>
    <w:rPr>
      <w:sz w:val="22"/>
      <w:lang w:val="en-US" w:eastAsia="en-US" w:bidi="ar-SA"/>
    </w:rPr>
  </w:style>
  <w:style w:type="paragraph" w:styleId="BodyText3">
    <w:name w:val="Body Text 3"/>
    <w:basedOn w:val="Normal"/>
    <w:link w:val="BodyText3Char"/>
    <w:rsid w:val="00E80848"/>
    <w:pPr>
      <w:spacing w:after="120" w:line="480" w:lineRule="auto"/>
    </w:pPr>
    <w:rPr>
      <w:sz w:val="16"/>
      <w:szCs w:val="16"/>
      <w:lang w:val="en-US" w:eastAsia="en-US"/>
    </w:rPr>
  </w:style>
  <w:style w:type="character" w:customStyle="1" w:styleId="BodyText3Char">
    <w:name w:val="Body Text 3 Char"/>
    <w:basedOn w:val="DefaultParagraphFont"/>
    <w:link w:val="BodyText3"/>
    <w:rsid w:val="00E80848"/>
    <w:rPr>
      <w:rFonts w:ascii="Times New Roman" w:eastAsia="Times New Roman" w:hAnsi="Times New Roman" w:cs="Times New Roman"/>
      <w:sz w:val="16"/>
      <w:szCs w:val="16"/>
      <w:lang w:val="en-US"/>
    </w:rPr>
  </w:style>
  <w:style w:type="character" w:styleId="CommentReference">
    <w:name w:val="annotation reference"/>
    <w:semiHidden/>
    <w:rsid w:val="00E80848"/>
    <w:rPr>
      <w:sz w:val="16"/>
      <w:szCs w:val="16"/>
    </w:rPr>
  </w:style>
  <w:style w:type="character" w:customStyle="1" w:styleId="singlespaceChar">
    <w:name w:val="single space Char"/>
    <w:aliases w:val="footnote text Char,FOOTNOTES Char,fn Char,Geneva 9 Char,Font: Geneva 9 Char,Boston 10 Char,f Char,Font Char,Footnote Text Char Char,Footnote Text Char1 Char Char1,Footnote Text Char Char Char Char,ADB Char,Footnote Text Char1 Char1"/>
    <w:uiPriority w:val="99"/>
    <w:semiHidden/>
    <w:rsid w:val="00E80848"/>
    <w:rPr>
      <w:lang w:val="en-US" w:eastAsia="en-US" w:bidi="ar-SA"/>
    </w:rPr>
  </w:style>
  <w:style w:type="paragraph" w:customStyle="1" w:styleId="ListParagraph1">
    <w:name w:val="List Paragraph1"/>
    <w:basedOn w:val="Normal"/>
    <w:qFormat/>
    <w:rsid w:val="00E80848"/>
    <w:pPr>
      <w:spacing w:line="480" w:lineRule="auto"/>
      <w:ind w:left="708"/>
    </w:pPr>
    <w:rPr>
      <w:szCs w:val="20"/>
      <w:lang w:val="en-US" w:eastAsia="en-US"/>
    </w:rPr>
  </w:style>
  <w:style w:type="paragraph" w:styleId="NormalWeb">
    <w:name w:val="Normal (Web)"/>
    <w:basedOn w:val="Normal"/>
    <w:rsid w:val="00E80848"/>
    <w:pPr>
      <w:spacing w:before="100" w:beforeAutospacing="1" w:after="100" w:afterAutospacing="1"/>
    </w:pPr>
  </w:style>
  <w:style w:type="paragraph" w:customStyle="1" w:styleId="CharCharCharCharCharChar">
    <w:name w:val="Char Char Char Char Char Char"/>
    <w:basedOn w:val="Normal"/>
    <w:rsid w:val="00E80848"/>
    <w:pPr>
      <w:spacing w:after="160" w:line="240" w:lineRule="exact"/>
    </w:pPr>
    <w:rPr>
      <w:rFonts w:ascii="Tahoma" w:hAnsi="Tahoma"/>
      <w:sz w:val="20"/>
      <w:szCs w:val="20"/>
      <w:lang w:val="en-US" w:eastAsia="en-US"/>
    </w:rPr>
  </w:style>
  <w:style w:type="paragraph" w:customStyle="1" w:styleId="Sub-Para1underXY">
    <w:name w:val="Sub-Para 1 under X.Y"/>
    <w:basedOn w:val="Normal"/>
    <w:rsid w:val="00E80848"/>
    <w:pPr>
      <w:tabs>
        <w:tab w:val="num" w:pos="360"/>
        <w:tab w:val="num" w:pos="720"/>
      </w:tabs>
      <w:spacing w:after="240"/>
      <w:outlineLvl w:val="2"/>
    </w:pPr>
    <w:rPr>
      <w:lang w:val="en-US" w:eastAsia="en-US"/>
    </w:rPr>
  </w:style>
  <w:style w:type="paragraph" w:styleId="BodyText2">
    <w:name w:val="Body Text 2"/>
    <w:basedOn w:val="Normal"/>
    <w:link w:val="BodyText2Char"/>
    <w:rsid w:val="00E80848"/>
    <w:pPr>
      <w:spacing w:after="120" w:line="480" w:lineRule="auto"/>
    </w:pPr>
    <w:rPr>
      <w:szCs w:val="20"/>
      <w:lang w:val="en-US" w:eastAsia="en-US"/>
    </w:rPr>
  </w:style>
  <w:style w:type="character" w:customStyle="1" w:styleId="BodyText2Char">
    <w:name w:val="Body Text 2 Char"/>
    <w:basedOn w:val="DefaultParagraphFont"/>
    <w:link w:val="BodyText2"/>
    <w:rsid w:val="00E80848"/>
    <w:rPr>
      <w:rFonts w:ascii="Times New Roman" w:eastAsia="Times New Roman" w:hAnsi="Times New Roman" w:cs="Times New Roman"/>
      <w:sz w:val="24"/>
      <w:szCs w:val="20"/>
      <w:lang w:val="en-US"/>
    </w:rPr>
  </w:style>
  <w:style w:type="character" w:styleId="Hyperlink">
    <w:name w:val="Hyperlink"/>
    <w:unhideWhenUsed/>
    <w:rsid w:val="00E80848"/>
    <w:rPr>
      <w:color w:val="0000FF"/>
      <w:u w:val="single"/>
    </w:rPr>
  </w:style>
  <w:style w:type="character" w:customStyle="1" w:styleId="DeltaViewInsertion">
    <w:name w:val="DeltaView Insertion"/>
    <w:rsid w:val="00E80848"/>
    <w:rPr>
      <w:color w:val="0000FF"/>
      <w:spacing w:val="0"/>
      <w:u w:val="double"/>
    </w:rPr>
  </w:style>
  <w:style w:type="paragraph" w:customStyle="1" w:styleId="crostyle">
    <w:name w:val="crostyle"/>
    <w:basedOn w:val="Normal"/>
    <w:rsid w:val="00E80848"/>
    <w:pPr>
      <w:spacing w:before="100" w:beforeAutospacing="1" w:after="100" w:afterAutospacing="1"/>
    </w:pPr>
  </w:style>
  <w:style w:type="character" w:customStyle="1" w:styleId="ModelNrmlSingleChar">
    <w:name w:val="ModelNrmlSingle Char"/>
    <w:locked/>
    <w:rsid w:val="00E80848"/>
    <w:rPr>
      <w:sz w:val="22"/>
      <w:lang w:val="en-US" w:eastAsia="en-US" w:bidi="ar-SA"/>
    </w:rPr>
  </w:style>
  <w:style w:type="character" w:customStyle="1" w:styleId="DefaultParagraphFont1">
    <w:name w:val="Default Paragraph Font1"/>
    <w:rsid w:val="00E80848"/>
  </w:style>
  <w:style w:type="character" w:customStyle="1" w:styleId="FootnoteCharacters">
    <w:name w:val="Footnote Characters"/>
    <w:rsid w:val="00E80848"/>
    <w:rPr>
      <w:vertAlign w:val="superscript"/>
    </w:rPr>
  </w:style>
  <w:style w:type="character" w:customStyle="1" w:styleId="EndnoteCharacters">
    <w:name w:val="Endnote Characters"/>
    <w:rsid w:val="00E80848"/>
  </w:style>
  <w:style w:type="paragraph" w:customStyle="1" w:styleId="Heading">
    <w:name w:val="Heading"/>
    <w:basedOn w:val="Normal"/>
    <w:next w:val="BodyText"/>
    <w:rsid w:val="00E80848"/>
    <w:pPr>
      <w:keepNext/>
      <w:widowControl w:val="0"/>
      <w:suppressAutoHyphens/>
      <w:spacing w:before="240" w:after="120"/>
    </w:pPr>
    <w:rPr>
      <w:rFonts w:ascii="Arial" w:eastAsia="Lucida Sans Unicode" w:hAnsi="Arial" w:cs="Tahoma"/>
      <w:sz w:val="28"/>
      <w:szCs w:val="28"/>
      <w:lang w:val="en-GB"/>
    </w:rPr>
  </w:style>
  <w:style w:type="paragraph" w:styleId="List">
    <w:name w:val="List"/>
    <w:basedOn w:val="BodyText"/>
    <w:rsid w:val="00E80848"/>
    <w:pPr>
      <w:widowControl w:val="0"/>
      <w:suppressAutoHyphens/>
      <w:spacing w:after="120"/>
      <w:jc w:val="left"/>
    </w:pPr>
    <w:rPr>
      <w:rFonts w:eastAsia="Lucida Sans Unicode" w:cs="Tahoma"/>
      <w:szCs w:val="24"/>
    </w:rPr>
  </w:style>
  <w:style w:type="paragraph" w:styleId="Caption">
    <w:name w:val="caption"/>
    <w:basedOn w:val="Normal"/>
    <w:uiPriority w:val="35"/>
    <w:qFormat/>
    <w:rsid w:val="00E80848"/>
    <w:pPr>
      <w:widowControl w:val="0"/>
      <w:suppressLineNumbers/>
      <w:suppressAutoHyphens/>
      <w:spacing w:before="120" w:after="120"/>
    </w:pPr>
    <w:rPr>
      <w:rFonts w:eastAsia="Lucida Sans Unicode" w:cs="Tahoma"/>
      <w:i/>
      <w:iCs/>
      <w:lang w:val="en-GB"/>
    </w:rPr>
  </w:style>
  <w:style w:type="paragraph" w:customStyle="1" w:styleId="Index">
    <w:name w:val="Index"/>
    <w:basedOn w:val="Normal"/>
    <w:rsid w:val="00E80848"/>
    <w:pPr>
      <w:widowControl w:val="0"/>
      <w:suppressLineNumbers/>
      <w:suppressAutoHyphens/>
    </w:pPr>
    <w:rPr>
      <w:rFonts w:eastAsia="Lucida Sans Unicode" w:cs="Tahoma"/>
      <w:lang w:val="en-GB"/>
    </w:rPr>
  </w:style>
  <w:style w:type="paragraph" w:customStyle="1" w:styleId="NoSpacing1">
    <w:name w:val="No Spacing1"/>
    <w:basedOn w:val="Normal"/>
    <w:link w:val="NoSpacingChar"/>
    <w:rsid w:val="00E80848"/>
    <w:pPr>
      <w:widowControl w:val="0"/>
      <w:suppressAutoHyphens/>
    </w:pPr>
    <w:rPr>
      <w:rFonts w:ascii="Cambria" w:eastAsia="Calibri" w:hAnsi="Cambria"/>
      <w:sz w:val="22"/>
      <w:szCs w:val="22"/>
      <w:lang w:val="en-GB" w:eastAsia="en-US" w:bidi="en-US"/>
    </w:rPr>
  </w:style>
  <w:style w:type="character" w:customStyle="1" w:styleId="NoSpacingChar">
    <w:name w:val="No Spacing Char"/>
    <w:link w:val="NoSpacing1"/>
    <w:rsid w:val="00E80848"/>
    <w:rPr>
      <w:rFonts w:ascii="Cambria" w:eastAsia="Calibri" w:hAnsi="Cambria" w:cs="Times New Roman"/>
      <w:lang w:val="en-GB" w:bidi="en-US"/>
    </w:rPr>
  </w:style>
  <w:style w:type="paragraph" w:customStyle="1" w:styleId="ColorfulList-Accent11">
    <w:name w:val="Colorful List - Accent 11"/>
    <w:basedOn w:val="Normal"/>
    <w:rsid w:val="00E80848"/>
    <w:pPr>
      <w:widowControl w:val="0"/>
      <w:suppressAutoHyphens/>
      <w:ind w:left="720"/>
    </w:pPr>
    <w:rPr>
      <w:rFonts w:eastAsia="Lucida Sans Unicode"/>
      <w:lang w:val="en-GB"/>
    </w:rPr>
  </w:style>
  <w:style w:type="paragraph" w:customStyle="1" w:styleId="WW-Default">
    <w:name w:val="WW-Default"/>
    <w:rsid w:val="00E80848"/>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Bulleting">
    <w:name w:val="Bulleting"/>
    <w:basedOn w:val="Normal"/>
    <w:rsid w:val="00E80848"/>
    <w:pPr>
      <w:numPr>
        <w:numId w:val="5"/>
      </w:numPr>
    </w:pPr>
  </w:style>
  <w:style w:type="paragraph" w:styleId="ListParagraph">
    <w:name w:val="List Paragraph"/>
    <w:aliases w:val="Citation List,본문(내용),List Paragraph (numbered (a)),Akapit z listą BS,Bullet1,Bullets,Dot pt,IBL List Paragraph,List Paragraph 1,List Paragraph nowy,List Paragraph-ExecSummary,List_Paragraph,Multilevel para_II,References,Ha"/>
    <w:basedOn w:val="Normal"/>
    <w:link w:val="ListParagraphChar"/>
    <w:uiPriority w:val="34"/>
    <w:qFormat/>
    <w:rsid w:val="00E80848"/>
    <w:pPr>
      <w:spacing w:line="480" w:lineRule="auto"/>
      <w:ind w:left="720"/>
      <w:contextualSpacing/>
    </w:pPr>
    <w:rPr>
      <w:rFonts w:eastAsia="Calibri"/>
      <w:sz w:val="20"/>
      <w:szCs w:val="20"/>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locked/>
    <w:rsid w:val="00E80848"/>
    <w:rPr>
      <w:rFonts w:ascii="Times New Roman" w:eastAsia="Calibri" w:hAnsi="Times New Roman" w:cs="Times New Roman"/>
      <w:sz w:val="20"/>
      <w:szCs w:val="20"/>
      <w:lang w:eastAsia="hr-HR"/>
    </w:rPr>
  </w:style>
  <w:style w:type="paragraph" w:customStyle="1" w:styleId="Heading1a">
    <w:name w:val="Heading 1a"/>
    <w:basedOn w:val="Normal"/>
    <w:next w:val="Normal"/>
    <w:uiPriority w:val="99"/>
    <w:rsid w:val="00E80848"/>
    <w:pPr>
      <w:keepNext/>
      <w:keepLines/>
      <w:numPr>
        <w:numId w:val="6"/>
      </w:numPr>
      <w:spacing w:before="1440" w:after="240"/>
      <w:jc w:val="center"/>
      <w:outlineLvl w:val="0"/>
    </w:pPr>
    <w:rPr>
      <w:b/>
      <w:caps/>
      <w:sz w:val="32"/>
      <w:lang w:val="en-US" w:eastAsia="en-US"/>
    </w:rPr>
  </w:style>
  <w:style w:type="paragraph" w:customStyle="1" w:styleId="MainParanoChapter">
    <w:name w:val="Main Para no Chapter #"/>
    <w:basedOn w:val="Normal"/>
    <w:uiPriority w:val="99"/>
    <w:rsid w:val="00E80848"/>
    <w:pPr>
      <w:numPr>
        <w:ilvl w:val="1"/>
        <w:numId w:val="6"/>
      </w:numPr>
      <w:spacing w:after="240"/>
      <w:outlineLvl w:val="1"/>
    </w:pPr>
    <w:rPr>
      <w:lang w:val="en-US" w:eastAsia="en-US"/>
    </w:rPr>
  </w:style>
  <w:style w:type="paragraph" w:customStyle="1" w:styleId="Sub-Para2underX">
    <w:name w:val="Sub-Para 2 under X."/>
    <w:basedOn w:val="Normal"/>
    <w:uiPriority w:val="99"/>
    <w:rsid w:val="00E80848"/>
    <w:pPr>
      <w:tabs>
        <w:tab w:val="num" w:pos="1800"/>
      </w:tabs>
      <w:spacing w:after="240"/>
      <w:ind w:left="1080" w:hanging="360"/>
      <w:outlineLvl w:val="3"/>
    </w:pPr>
    <w:rPr>
      <w:lang w:val="en-US" w:eastAsia="en-US"/>
    </w:rPr>
  </w:style>
  <w:style w:type="paragraph" w:customStyle="1" w:styleId="Sub-Para3underX">
    <w:name w:val="Sub-Para 3 under X."/>
    <w:basedOn w:val="Normal"/>
    <w:uiPriority w:val="99"/>
    <w:rsid w:val="00E80848"/>
    <w:pPr>
      <w:tabs>
        <w:tab w:val="num" w:pos="1440"/>
      </w:tabs>
      <w:spacing w:after="240"/>
      <w:ind w:left="1440" w:hanging="360"/>
      <w:outlineLvl w:val="4"/>
    </w:pPr>
    <w:rPr>
      <w:lang w:val="en-US" w:eastAsia="en-US"/>
    </w:rPr>
  </w:style>
  <w:style w:type="paragraph" w:customStyle="1" w:styleId="Sub-Para4underX">
    <w:name w:val="Sub-Para 4 under X."/>
    <w:basedOn w:val="Normal"/>
    <w:uiPriority w:val="99"/>
    <w:rsid w:val="00E80848"/>
    <w:pPr>
      <w:tabs>
        <w:tab w:val="num" w:pos="2160"/>
      </w:tabs>
      <w:spacing w:after="240"/>
      <w:ind w:left="1800" w:hanging="360"/>
      <w:outlineLvl w:val="5"/>
    </w:pPr>
    <w:rPr>
      <w:lang w:val="en-US" w:eastAsia="en-US"/>
    </w:rPr>
  </w:style>
  <w:style w:type="paragraph" w:customStyle="1" w:styleId="BankNormal">
    <w:name w:val="BankNormal"/>
    <w:basedOn w:val="Normal"/>
    <w:uiPriority w:val="99"/>
    <w:rsid w:val="00E80848"/>
    <w:pPr>
      <w:spacing w:after="240"/>
    </w:pPr>
    <w:rPr>
      <w:szCs w:val="20"/>
      <w:lang w:val="en-US" w:eastAsia="en-US"/>
    </w:rPr>
  </w:style>
  <w:style w:type="table" w:styleId="TableGrid">
    <w:name w:val="Table Grid"/>
    <w:basedOn w:val="TableNormal"/>
    <w:rsid w:val="00E8084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848"/>
    <w:pPr>
      <w:spacing w:after="0" w:line="240" w:lineRule="auto"/>
    </w:pPr>
    <w:rPr>
      <w:rFonts w:ascii="Times New Roman" w:eastAsia="Times New Roman" w:hAnsi="Times New Roman" w:cs="Times New Roman"/>
      <w:sz w:val="24"/>
      <w:szCs w:val="20"/>
      <w:lang w:val="en-US"/>
    </w:rPr>
  </w:style>
  <w:style w:type="paragraph" w:customStyle="1" w:styleId="modeldoublenoindent0">
    <w:name w:val="modeldoublenoindent"/>
    <w:basedOn w:val="Normal"/>
    <w:uiPriority w:val="99"/>
    <w:rsid w:val="00E80848"/>
    <w:pPr>
      <w:spacing w:after="360" w:line="480" w:lineRule="auto"/>
      <w:jc w:val="both"/>
    </w:pPr>
    <w:rPr>
      <w:rFonts w:eastAsia="Calibri"/>
      <w:sz w:val="22"/>
      <w:szCs w:val="22"/>
      <w:u w:val="single"/>
    </w:rPr>
  </w:style>
  <w:style w:type="paragraph" w:customStyle="1" w:styleId="modelnrmlsingle0">
    <w:name w:val="modelnrmlsingle"/>
    <w:basedOn w:val="Normal"/>
    <w:uiPriority w:val="99"/>
    <w:rsid w:val="00E80848"/>
    <w:pPr>
      <w:spacing w:after="240"/>
      <w:ind w:firstLine="720"/>
      <w:jc w:val="both"/>
    </w:pPr>
    <w:rPr>
      <w:rFonts w:ascii="Calibri" w:eastAsia="Calibri" w:hAnsi="Calibri"/>
      <w:sz w:val="22"/>
      <w:szCs w:val="22"/>
    </w:rPr>
  </w:style>
  <w:style w:type="character" w:styleId="FollowedHyperlink">
    <w:name w:val="FollowedHyperlink"/>
    <w:basedOn w:val="DefaultParagraphFont"/>
    <w:semiHidden/>
    <w:unhideWhenUsed/>
    <w:rsid w:val="0040791F"/>
    <w:rPr>
      <w:color w:val="954F72" w:themeColor="followedHyperlink"/>
      <w:u w:val="single"/>
    </w:rPr>
  </w:style>
  <w:style w:type="character" w:styleId="PlaceholderText">
    <w:name w:val="Placeholder Text"/>
    <w:basedOn w:val="DefaultParagraphFont"/>
    <w:uiPriority w:val="99"/>
    <w:semiHidden/>
    <w:rsid w:val="0040791F"/>
    <w:rPr>
      <w:color w:val="808080"/>
    </w:rPr>
  </w:style>
  <w:style w:type="character" w:customStyle="1" w:styleId="Style1">
    <w:name w:val="Style1"/>
    <w:basedOn w:val="DefaultParagraphFont"/>
    <w:uiPriority w:val="1"/>
    <w:rsid w:val="0040791F"/>
    <w:rPr>
      <w:color w:val="FFFFFF" w:themeColor="background1"/>
    </w:rPr>
  </w:style>
  <w:style w:type="paragraph" w:customStyle="1" w:styleId="BVIfnrCarCarCarCar">
    <w:name w:val="BVI fnr Car Car Car Car"/>
    <w:basedOn w:val="Normal"/>
    <w:uiPriority w:val="99"/>
    <w:rsid w:val="0040791F"/>
    <w:pPr>
      <w:spacing w:after="160" w:line="240" w:lineRule="exact"/>
      <w:jc w:val="both"/>
    </w:pPr>
    <w:rPr>
      <w:sz w:val="20"/>
      <w:szCs w:val="20"/>
      <w:vertAlign w:val="superscript"/>
      <w:lang w:val="en-US" w:eastAsia="en-US"/>
    </w:rPr>
  </w:style>
  <w:style w:type="paragraph" w:styleId="NoSpacing">
    <w:name w:val="No Spacing"/>
    <w:uiPriority w:val="1"/>
    <w:qFormat/>
    <w:rsid w:val="00E9736D"/>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6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E7D6170FC44B7BBF4A80009B593812"/>
        <w:category>
          <w:name w:val="Općenito"/>
          <w:gallery w:val="placeholder"/>
        </w:category>
        <w:types>
          <w:type w:val="bbPlcHdr"/>
        </w:types>
        <w:behaviors>
          <w:behavior w:val="content"/>
        </w:behaviors>
        <w:guid w:val="{D2D211E9-DE08-4373-8C14-0BB47D45533F}"/>
      </w:docPartPr>
      <w:docPartBody>
        <w:p w:rsidR="00D3553C" w:rsidRDefault="004E288C" w:rsidP="004E288C">
          <w:pPr>
            <w:pStyle w:val="7EE7D6170FC44B7BBF4A80009B593812"/>
          </w:pPr>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7A"/>
    <w:rsid w:val="000751DE"/>
    <w:rsid w:val="000E40F4"/>
    <w:rsid w:val="00271F7A"/>
    <w:rsid w:val="00293F3B"/>
    <w:rsid w:val="002B1F57"/>
    <w:rsid w:val="002F2E1B"/>
    <w:rsid w:val="00312F81"/>
    <w:rsid w:val="003256AE"/>
    <w:rsid w:val="003920AE"/>
    <w:rsid w:val="003A3AD7"/>
    <w:rsid w:val="003D7C52"/>
    <w:rsid w:val="004E288C"/>
    <w:rsid w:val="00564E6A"/>
    <w:rsid w:val="006E1255"/>
    <w:rsid w:val="00760D05"/>
    <w:rsid w:val="007706FF"/>
    <w:rsid w:val="00815939"/>
    <w:rsid w:val="00846E43"/>
    <w:rsid w:val="008C6CDC"/>
    <w:rsid w:val="008D285B"/>
    <w:rsid w:val="009027A4"/>
    <w:rsid w:val="0094575D"/>
    <w:rsid w:val="00992863"/>
    <w:rsid w:val="00A64C37"/>
    <w:rsid w:val="00AB799F"/>
    <w:rsid w:val="00B5771F"/>
    <w:rsid w:val="00C1479E"/>
    <w:rsid w:val="00C30854"/>
    <w:rsid w:val="00D23A85"/>
    <w:rsid w:val="00D3553C"/>
    <w:rsid w:val="00E36D82"/>
    <w:rsid w:val="00EA05C1"/>
    <w:rsid w:val="00EF2A11"/>
    <w:rsid w:val="00FA60C4"/>
    <w:rsid w:val="00FC05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88C"/>
    <w:rPr>
      <w:color w:val="808080"/>
    </w:rPr>
  </w:style>
  <w:style w:type="paragraph" w:customStyle="1" w:styleId="65A8696ED62B4BDAA54C661B10E155B0">
    <w:name w:val="65A8696ED62B4BDAA54C661B10E155B0"/>
    <w:rsid w:val="00271F7A"/>
  </w:style>
  <w:style w:type="paragraph" w:customStyle="1" w:styleId="6FBF44FEBD334384A570428C30AF27FF">
    <w:name w:val="6FBF44FEBD334384A570428C30AF27FF"/>
    <w:rsid w:val="00271F7A"/>
  </w:style>
  <w:style w:type="paragraph" w:customStyle="1" w:styleId="E421E0AF24F94349B0DCA698BBEBCAEC">
    <w:name w:val="E421E0AF24F94349B0DCA698BBEBCAEC"/>
    <w:rsid w:val="00271F7A"/>
  </w:style>
  <w:style w:type="paragraph" w:customStyle="1" w:styleId="AD408D42C474480E9B52EAB257B8FC47">
    <w:name w:val="AD408D42C474480E9B52EAB257B8FC47"/>
    <w:rsid w:val="00271F7A"/>
  </w:style>
  <w:style w:type="paragraph" w:customStyle="1" w:styleId="7EE7D6170FC44B7BBF4A80009B593812">
    <w:name w:val="7EE7D6170FC44B7BBF4A80009B593812"/>
    <w:rsid w:val="004E288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F52E-89A9-4309-96B9-01D217A8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11507</Words>
  <Characters>65594</Characters>
  <Application>Microsoft Office Word</Application>
  <DocSecurity>4</DocSecurity>
  <Lines>546</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76948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Zemljić</dc:creator>
  <cp:lastModifiedBy>Vlatka Šelimber</cp:lastModifiedBy>
  <cp:revision>2</cp:revision>
  <cp:lastPrinted>2020-05-04T10:22:00Z</cp:lastPrinted>
  <dcterms:created xsi:type="dcterms:W3CDTF">2020-05-07T09:53:00Z</dcterms:created>
  <dcterms:modified xsi:type="dcterms:W3CDTF">2020-05-07T09:53:00Z</dcterms:modified>
</cp:coreProperties>
</file>