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DACB" w14:textId="77777777" w:rsidR="00F5677A" w:rsidRPr="00F5677A" w:rsidRDefault="00C25CB0" w:rsidP="00F5677A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D5F44E6" wp14:editId="0AE2F0A4">
            <wp:extent cx="504825" cy="687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677A" w:rsidRPr="00F5677A">
        <w:fldChar w:fldCharType="begin"/>
      </w:r>
      <w:r w:rsidR="00F5677A" w:rsidRPr="00F5677A">
        <w:instrText xml:space="preserve"> INCLUDEPICTURE "http://www.inet.hr/~box/images/grb-rh.gif" \* MERGEFORMATINET </w:instrText>
      </w:r>
      <w:r w:rsidR="00F5677A" w:rsidRPr="00F5677A">
        <w:fldChar w:fldCharType="end"/>
      </w:r>
    </w:p>
    <w:p w14:paraId="4B4969CC" w14:textId="77777777" w:rsidR="00F5677A" w:rsidRPr="00F5677A" w:rsidRDefault="00F5677A" w:rsidP="00F5677A">
      <w:pPr>
        <w:spacing w:before="60" w:after="1680"/>
        <w:jc w:val="center"/>
        <w:rPr>
          <w:sz w:val="28"/>
        </w:rPr>
      </w:pPr>
      <w:r w:rsidRPr="00F5677A">
        <w:rPr>
          <w:sz w:val="28"/>
        </w:rPr>
        <w:t>VLADA REPUBLIKE HRVATSKE</w:t>
      </w:r>
    </w:p>
    <w:p w14:paraId="5A6C9EF5" w14:textId="77777777" w:rsidR="00F5677A" w:rsidRPr="00F5677A" w:rsidRDefault="00F5677A" w:rsidP="00F5677A">
      <w:pPr>
        <w:jc w:val="both"/>
      </w:pPr>
    </w:p>
    <w:p w14:paraId="141B13C5" w14:textId="77777777" w:rsidR="00743CA1" w:rsidRDefault="00743CA1" w:rsidP="00F5677A">
      <w:pPr>
        <w:jc w:val="right"/>
      </w:pPr>
    </w:p>
    <w:p w14:paraId="6DD21C38" w14:textId="77777777" w:rsidR="00F5677A" w:rsidRPr="00F5677A" w:rsidRDefault="00743CA1" w:rsidP="00F5677A">
      <w:pPr>
        <w:jc w:val="right"/>
      </w:pPr>
      <w:r>
        <w:t xml:space="preserve">Zagreb, </w:t>
      </w:r>
      <w:r w:rsidR="00B032E1">
        <w:t>7</w:t>
      </w:r>
      <w:r>
        <w:t xml:space="preserve">, </w:t>
      </w:r>
      <w:r w:rsidR="00B032E1">
        <w:t>svibnja</w:t>
      </w:r>
      <w:r w:rsidR="00F5677A" w:rsidRPr="00F5677A">
        <w:t xml:space="preserve"> 2020.</w:t>
      </w:r>
    </w:p>
    <w:p w14:paraId="30917E44" w14:textId="77777777" w:rsidR="00F5677A" w:rsidRPr="00F5677A" w:rsidRDefault="00F5677A" w:rsidP="00F5677A">
      <w:pPr>
        <w:jc w:val="right"/>
      </w:pPr>
    </w:p>
    <w:p w14:paraId="58A5BC29" w14:textId="77777777" w:rsidR="00F5677A" w:rsidRPr="00F5677A" w:rsidRDefault="00F5677A" w:rsidP="00F5677A">
      <w:pPr>
        <w:jc w:val="right"/>
      </w:pPr>
    </w:p>
    <w:p w14:paraId="69305958" w14:textId="77777777" w:rsidR="00F5677A" w:rsidRPr="00F5677A" w:rsidRDefault="00F5677A" w:rsidP="00F5677A">
      <w:pPr>
        <w:jc w:val="right"/>
      </w:pPr>
    </w:p>
    <w:p w14:paraId="7EE066BF" w14:textId="77777777" w:rsidR="00F5677A" w:rsidRPr="00F5677A" w:rsidRDefault="00F5677A" w:rsidP="00F5677A">
      <w:pPr>
        <w:jc w:val="both"/>
      </w:pPr>
      <w:r w:rsidRPr="00F5677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F5677A" w:rsidRPr="00F5677A" w14:paraId="50D70323" w14:textId="77777777" w:rsidTr="00010B46">
        <w:tc>
          <w:tcPr>
            <w:tcW w:w="1951" w:type="dxa"/>
            <w:shd w:val="clear" w:color="auto" w:fill="auto"/>
          </w:tcPr>
          <w:p w14:paraId="01D2AF2B" w14:textId="77777777" w:rsidR="00F5677A" w:rsidRPr="00F5677A" w:rsidRDefault="00F5677A" w:rsidP="00F5677A">
            <w:pPr>
              <w:spacing w:line="360" w:lineRule="auto"/>
              <w:jc w:val="right"/>
            </w:pPr>
            <w:r w:rsidRPr="00F5677A">
              <w:t xml:space="preserve"> </w:t>
            </w:r>
            <w:r w:rsidRPr="00F5677A">
              <w:rPr>
                <w:b/>
                <w:smallCaps/>
              </w:rPr>
              <w:t>Predlagatelj</w:t>
            </w:r>
            <w:r w:rsidRPr="00F5677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A96A8D1" w14:textId="77777777" w:rsidR="00F5677A" w:rsidRPr="00F5677A" w:rsidRDefault="00F5677A" w:rsidP="00F5677A">
            <w:pPr>
              <w:spacing w:line="360" w:lineRule="auto"/>
            </w:pPr>
            <w:r w:rsidRPr="00F5677A">
              <w:t>Ministarstvo financija</w:t>
            </w:r>
          </w:p>
        </w:tc>
      </w:tr>
    </w:tbl>
    <w:p w14:paraId="63A042CD" w14:textId="77777777" w:rsidR="00F5677A" w:rsidRPr="00F5677A" w:rsidRDefault="00F5677A" w:rsidP="00F5677A">
      <w:pPr>
        <w:jc w:val="both"/>
      </w:pPr>
      <w:r w:rsidRPr="00F5677A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5677A" w:rsidRPr="00F5677A" w14:paraId="1D57ABC1" w14:textId="77777777" w:rsidTr="00010B46">
        <w:tc>
          <w:tcPr>
            <w:tcW w:w="1951" w:type="dxa"/>
            <w:shd w:val="clear" w:color="auto" w:fill="auto"/>
          </w:tcPr>
          <w:p w14:paraId="162F8F03" w14:textId="77777777" w:rsidR="00F5677A" w:rsidRPr="00F5677A" w:rsidRDefault="00F5677A" w:rsidP="00F5677A">
            <w:pPr>
              <w:spacing w:line="360" w:lineRule="auto"/>
              <w:jc w:val="right"/>
            </w:pPr>
            <w:r w:rsidRPr="00F5677A">
              <w:rPr>
                <w:b/>
                <w:smallCaps/>
              </w:rPr>
              <w:t>Predmet</w:t>
            </w:r>
            <w:r w:rsidRPr="00F5677A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98E2614" w14:textId="77777777" w:rsidR="00F5677A" w:rsidRPr="00F5677A" w:rsidRDefault="00F5677A" w:rsidP="00B032E1">
            <w:pPr>
              <w:spacing w:line="360" w:lineRule="auto"/>
              <w:jc w:val="both"/>
            </w:pPr>
            <w:r w:rsidRPr="00F5677A">
              <w:t>Prijedlog odluke o davanju suglasnosti Ministarstvu znanosti i obrazovanja</w:t>
            </w:r>
            <w:r w:rsidR="00B032E1">
              <w:t>,</w:t>
            </w:r>
            <w:r w:rsidRPr="00F5677A">
              <w:t xml:space="preserve"> za preuzimanje obveza na teret sredstava državnog proračuna Republike Hrvatske u 2021. i 2022. godini</w:t>
            </w:r>
            <w:r w:rsidR="00B032E1">
              <w:t>,</w:t>
            </w:r>
            <w:r w:rsidRPr="00F5677A">
              <w:t xml:space="preserve"> za izgradnju građevine </w:t>
            </w:r>
            <w:r w:rsidR="00B032E1">
              <w:t>O</w:t>
            </w:r>
            <w:r w:rsidRPr="00F5677A">
              <w:t xml:space="preserve">snovne škole </w:t>
            </w:r>
            <w:r w:rsidR="00B032E1">
              <w:t>"</w:t>
            </w:r>
            <w:r w:rsidRPr="00F5677A">
              <w:t>Vladimir Nazor</w:t>
            </w:r>
            <w:r w:rsidR="00B032E1">
              <w:t>"</w:t>
            </w:r>
            <w:r w:rsidRPr="00F5677A">
              <w:t>, Sveti Ilija, vanjsko uređenje, uređenje pristupne prometnice, ograde i školskih sportskih terena te stručni nadzor nad radovima</w:t>
            </w:r>
          </w:p>
        </w:tc>
      </w:tr>
    </w:tbl>
    <w:p w14:paraId="4764C076" w14:textId="77777777" w:rsidR="00F5677A" w:rsidRPr="00F5677A" w:rsidRDefault="00F5677A" w:rsidP="00F5677A">
      <w:pPr>
        <w:jc w:val="both"/>
      </w:pPr>
    </w:p>
    <w:p w14:paraId="7F38554A" w14:textId="77777777" w:rsidR="00F5677A" w:rsidRPr="00F5677A" w:rsidRDefault="00F5677A" w:rsidP="00F5677A">
      <w:pPr>
        <w:jc w:val="both"/>
      </w:pPr>
    </w:p>
    <w:p w14:paraId="2F2D03B3" w14:textId="77777777" w:rsidR="00F5677A" w:rsidRPr="00F5677A" w:rsidRDefault="00F5677A" w:rsidP="00F5677A">
      <w:pPr>
        <w:jc w:val="both"/>
      </w:pPr>
    </w:p>
    <w:p w14:paraId="6CF3C1C4" w14:textId="77777777" w:rsidR="00F5677A" w:rsidRPr="00F5677A" w:rsidRDefault="00F5677A" w:rsidP="00F5677A">
      <w:pPr>
        <w:jc w:val="both"/>
      </w:pPr>
    </w:p>
    <w:p w14:paraId="5E5D70F1" w14:textId="77777777" w:rsidR="00F5677A" w:rsidRPr="00F5677A" w:rsidRDefault="00F5677A" w:rsidP="00F5677A">
      <w:pPr>
        <w:jc w:val="both"/>
      </w:pPr>
    </w:p>
    <w:p w14:paraId="41C2A764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639C7900" w14:textId="77777777" w:rsidR="00F5677A" w:rsidRDefault="00F5677A" w:rsidP="00F5677A">
      <w:pPr>
        <w:tabs>
          <w:tab w:val="center" w:pos="4536"/>
          <w:tab w:val="right" w:pos="9072"/>
        </w:tabs>
      </w:pPr>
    </w:p>
    <w:p w14:paraId="04DACE65" w14:textId="77777777" w:rsidR="00C026D4" w:rsidRPr="00F5677A" w:rsidRDefault="00C026D4" w:rsidP="00F5677A">
      <w:pPr>
        <w:tabs>
          <w:tab w:val="center" w:pos="4536"/>
          <w:tab w:val="right" w:pos="9072"/>
        </w:tabs>
      </w:pPr>
    </w:p>
    <w:p w14:paraId="592CA08D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20183357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5B765C95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66CAA102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068FC49D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54766A50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5DD97081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79BDDED9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041B30CF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222C1FFC" w14:textId="77777777" w:rsidR="00F5677A" w:rsidRPr="00F5677A" w:rsidRDefault="00F5677A" w:rsidP="00F5677A">
      <w:pPr>
        <w:tabs>
          <w:tab w:val="center" w:pos="4536"/>
          <w:tab w:val="right" w:pos="9072"/>
        </w:tabs>
      </w:pPr>
    </w:p>
    <w:p w14:paraId="11D3D586" w14:textId="77777777" w:rsidR="00F5677A" w:rsidRPr="00F5677A" w:rsidRDefault="00F5677A" w:rsidP="00F5677A"/>
    <w:p w14:paraId="06B33A65" w14:textId="77777777" w:rsidR="00F5677A" w:rsidRPr="00F5677A" w:rsidRDefault="00F5677A" w:rsidP="00F5677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F5677A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24D3D776" w14:textId="77777777" w:rsidR="00F5677A" w:rsidRPr="00C026D4" w:rsidRDefault="00C026D4" w:rsidP="00C026D4">
      <w:pPr>
        <w:jc w:val="right"/>
        <w:rPr>
          <w:b/>
          <w:i/>
        </w:rPr>
      </w:pPr>
      <w:r w:rsidRPr="00C026D4">
        <w:rPr>
          <w:b/>
        </w:rPr>
        <w:lastRenderedPageBreak/>
        <w:t>Prijedlog</w:t>
      </w:r>
    </w:p>
    <w:p w14:paraId="6DFD8821" w14:textId="77777777" w:rsidR="007A7133" w:rsidRDefault="007A7133" w:rsidP="00C026D4">
      <w:pPr>
        <w:jc w:val="right"/>
      </w:pPr>
    </w:p>
    <w:p w14:paraId="325C5805" w14:textId="77777777" w:rsidR="00C026D4" w:rsidRDefault="00C026D4" w:rsidP="00C026D4">
      <w:pPr>
        <w:jc w:val="right"/>
      </w:pPr>
    </w:p>
    <w:p w14:paraId="1BA97F60" w14:textId="77777777" w:rsidR="00C026D4" w:rsidRDefault="00C026D4" w:rsidP="00C026D4">
      <w:pPr>
        <w:jc w:val="right"/>
      </w:pPr>
    </w:p>
    <w:p w14:paraId="50884B42" w14:textId="77777777" w:rsidR="00C026D4" w:rsidRPr="00C026D4" w:rsidRDefault="00C026D4" w:rsidP="00C026D4">
      <w:pPr>
        <w:jc w:val="right"/>
      </w:pPr>
    </w:p>
    <w:p w14:paraId="17BC0476" w14:textId="77777777" w:rsidR="00F5677A" w:rsidRDefault="00C026D4" w:rsidP="00C026D4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>
        <w:tab/>
      </w:r>
      <w:r>
        <w:tab/>
      </w:r>
      <w:r w:rsidR="00F5677A" w:rsidRPr="00F5677A">
        <w:rPr>
          <w:spacing w:val="-3"/>
        </w:rPr>
        <w:t xml:space="preserve">Na temelju članka 31. stavka 2. Zakona o Vladi Republike Hrvatske (Narodne novine, br. 150/11, 119/14, 93/16 i 116/18) i članka 44. stavka 2. Zakona o proračunu (Narodne novine, br. 87/08, 136/12 </w:t>
      </w:r>
      <w:r w:rsidR="00C04553">
        <w:rPr>
          <w:spacing w:val="-3"/>
        </w:rPr>
        <w:t xml:space="preserve">i </w:t>
      </w:r>
      <w:r w:rsidR="00F5677A" w:rsidRPr="00F5677A">
        <w:rPr>
          <w:spacing w:val="-3"/>
        </w:rPr>
        <w:t xml:space="preserve">15/15), Vlada Republike Hrvatske </w:t>
      </w:r>
      <w:r>
        <w:rPr>
          <w:spacing w:val="-3"/>
        </w:rPr>
        <w:t xml:space="preserve">je </w:t>
      </w:r>
      <w:r w:rsidR="00F5677A" w:rsidRPr="00F5677A">
        <w:rPr>
          <w:spacing w:val="-3"/>
        </w:rPr>
        <w:t>na sjednici održan</w:t>
      </w:r>
      <w:r>
        <w:rPr>
          <w:spacing w:val="-3"/>
        </w:rPr>
        <w:t xml:space="preserve">oj ___________________ </w:t>
      </w:r>
      <w:r w:rsidR="00C04553">
        <w:rPr>
          <w:spacing w:val="-3"/>
        </w:rPr>
        <w:t xml:space="preserve">godine </w:t>
      </w:r>
      <w:r>
        <w:rPr>
          <w:spacing w:val="-3"/>
        </w:rPr>
        <w:t>donijela</w:t>
      </w:r>
    </w:p>
    <w:p w14:paraId="2303E269" w14:textId="77777777" w:rsidR="007452EE" w:rsidRPr="00C026D4" w:rsidRDefault="007452EE" w:rsidP="00EC3165">
      <w:pPr>
        <w:widowControl w:val="0"/>
        <w:tabs>
          <w:tab w:val="left" w:pos="-720"/>
        </w:tabs>
        <w:suppressAutoHyphens/>
        <w:jc w:val="center"/>
        <w:rPr>
          <w:spacing w:val="-3"/>
        </w:rPr>
      </w:pPr>
    </w:p>
    <w:p w14:paraId="67118AD1" w14:textId="77777777" w:rsidR="007A7133" w:rsidRPr="00C026D4" w:rsidRDefault="007A7133" w:rsidP="00EC3165">
      <w:pPr>
        <w:widowControl w:val="0"/>
        <w:tabs>
          <w:tab w:val="left" w:pos="-720"/>
        </w:tabs>
        <w:suppressAutoHyphens/>
        <w:jc w:val="center"/>
        <w:rPr>
          <w:spacing w:val="-3"/>
        </w:rPr>
      </w:pPr>
    </w:p>
    <w:p w14:paraId="2707685E" w14:textId="77777777" w:rsidR="007A7133" w:rsidRPr="00C026D4" w:rsidRDefault="007A7133" w:rsidP="00EC3165">
      <w:pPr>
        <w:widowControl w:val="0"/>
        <w:tabs>
          <w:tab w:val="left" w:pos="-720"/>
        </w:tabs>
        <w:suppressAutoHyphens/>
        <w:jc w:val="center"/>
        <w:rPr>
          <w:spacing w:val="-3"/>
        </w:rPr>
      </w:pPr>
    </w:p>
    <w:p w14:paraId="623B9BF6" w14:textId="77777777" w:rsidR="00F5677A" w:rsidRDefault="00F5677A" w:rsidP="00EC3165">
      <w:pPr>
        <w:keepNext/>
        <w:jc w:val="center"/>
        <w:outlineLvl w:val="3"/>
        <w:rPr>
          <w:b/>
          <w:bCs/>
        </w:rPr>
      </w:pPr>
      <w:r w:rsidRPr="00C026D4">
        <w:rPr>
          <w:b/>
          <w:bCs/>
        </w:rPr>
        <w:t>O D L U K U</w:t>
      </w:r>
    </w:p>
    <w:p w14:paraId="23DB26F4" w14:textId="77777777" w:rsidR="00EC3165" w:rsidRPr="00C026D4" w:rsidRDefault="00EC3165" w:rsidP="00EC3165">
      <w:pPr>
        <w:keepNext/>
        <w:jc w:val="center"/>
        <w:outlineLvl w:val="3"/>
        <w:rPr>
          <w:b/>
          <w:bCs/>
        </w:rPr>
      </w:pPr>
    </w:p>
    <w:p w14:paraId="29721869" w14:textId="77777777" w:rsidR="00EC3165" w:rsidRDefault="00F5677A" w:rsidP="00EC3165">
      <w:pPr>
        <w:jc w:val="center"/>
        <w:rPr>
          <w:b/>
        </w:rPr>
      </w:pPr>
      <w:r w:rsidRPr="00C026D4">
        <w:rPr>
          <w:b/>
        </w:rPr>
        <w:t>o davanju suglasnosti Ministarstvu znanosti i obrazovanja</w:t>
      </w:r>
      <w:r w:rsidR="00B032E1" w:rsidRPr="00C026D4">
        <w:rPr>
          <w:b/>
        </w:rPr>
        <w:t>,</w:t>
      </w:r>
      <w:r w:rsidRPr="00C026D4">
        <w:rPr>
          <w:b/>
        </w:rPr>
        <w:t xml:space="preserve"> za</w:t>
      </w:r>
      <w:r w:rsidR="00EC3165">
        <w:rPr>
          <w:b/>
        </w:rPr>
        <w:t xml:space="preserve"> </w:t>
      </w:r>
      <w:r w:rsidRPr="00C026D4">
        <w:rPr>
          <w:b/>
        </w:rPr>
        <w:t>preuzimanje</w:t>
      </w:r>
    </w:p>
    <w:p w14:paraId="191F4FB6" w14:textId="77777777" w:rsidR="00EC3165" w:rsidRDefault="00F5677A" w:rsidP="00EC3165">
      <w:pPr>
        <w:jc w:val="center"/>
        <w:rPr>
          <w:b/>
        </w:rPr>
      </w:pPr>
      <w:r w:rsidRPr="00C026D4">
        <w:rPr>
          <w:b/>
        </w:rPr>
        <w:t>obveza na teret sredstava državnog proračuna Republike Hrvatske u</w:t>
      </w:r>
      <w:r w:rsidR="00EC3165">
        <w:rPr>
          <w:b/>
        </w:rPr>
        <w:t xml:space="preserve"> </w:t>
      </w:r>
      <w:r w:rsidRPr="00C026D4">
        <w:rPr>
          <w:b/>
        </w:rPr>
        <w:t>2021. i 2022. godini</w:t>
      </w:r>
      <w:r w:rsidR="00B032E1" w:rsidRPr="00C026D4">
        <w:rPr>
          <w:b/>
        </w:rPr>
        <w:t>,</w:t>
      </w:r>
      <w:r w:rsidRPr="00C026D4">
        <w:rPr>
          <w:b/>
        </w:rPr>
        <w:t xml:space="preserve"> za izgradnju građevine </w:t>
      </w:r>
      <w:r w:rsidR="00B032E1" w:rsidRPr="00C026D4">
        <w:rPr>
          <w:b/>
        </w:rPr>
        <w:t>O</w:t>
      </w:r>
      <w:r w:rsidRPr="00C026D4">
        <w:rPr>
          <w:b/>
        </w:rPr>
        <w:t xml:space="preserve">snovne škole </w:t>
      </w:r>
      <w:r w:rsidR="00B032E1" w:rsidRPr="00C026D4">
        <w:rPr>
          <w:b/>
        </w:rPr>
        <w:t>"</w:t>
      </w:r>
      <w:r w:rsidRPr="00C026D4">
        <w:rPr>
          <w:b/>
        </w:rPr>
        <w:t>Vladimir Nazor</w:t>
      </w:r>
      <w:r w:rsidR="00B032E1" w:rsidRPr="00C026D4">
        <w:rPr>
          <w:b/>
        </w:rPr>
        <w:t>"</w:t>
      </w:r>
      <w:r w:rsidRPr="00C026D4">
        <w:rPr>
          <w:b/>
        </w:rPr>
        <w:t>, Sveti Ilija, vanjsko uređenje, uređenje pristupne prometnice, ograde i školskih sportskih terena</w:t>
      </w:r>
    </w:p>
    <w:p w14:paraId="6141AB3E" w14:textId="77777777" w:rsidR="00F5677A" w:rsidRPr="00C026D4" w:rsidRDefault="00F5677A" w:rsidP="00EC3165">
      <w:pPr>
        <w:jc w:val="center"/>
        <w:rPr>
          <w:b/>
        </w:rPr>
      </w:pPr>
      <w:r w:rsidRPr="00C026D4">
        <w:rPr>
          <w:b/>
        </w:rPr>
        <w:t>te stručni nadzor nad radovima</w:t>
      </w:r>
    </w:p>
    <w:p w14:paraId="2F535738" w14:textId="77777777" w:rsidR="00F5677A" w:rsidRDefault="00F5677A" w:rsidP="00EC3165">
      <w:pPr>
        <w:jc w:val="center"/>
        <w:rPr>
          <w:b/>
          <w:bCs/>
        </w:rPr>
      </w:pPr>
    </w:p>
    <w:p w14:paraId="2B45D630" w14:textId="77777777" w:rsidR="00EC3165" w:rsidRPr="00C026D4" w:rsidRDefault="00EC3165" w:rsidP="00EC3165">
      <w:pPr>
        <w:jc w:val="center"/>
        <w:rPr>
          <w:b/>
          <w:bCs/>
        </w:rPr>
      </w:pPr>
    </w:p>
    <w:p w14:paraId="3136B6EC" w14:textId="77777777" w:rsidR="007452EE" w:rsidRPr="00C026D4" w:rsidRDefault="007452EE" w:rsidP="00EC3165">
      <w:pPr>
        <w:jc w:val="center"/>
        <w:rPr>
          <w:b/>
          <w:bCs/>
        </w:rPr>
      </w:pPr>
    </w:p>
    <w:p w14:paraId="1B143A27" w14:textId="77777777" w:rsidR="00F5677A" w:rsidRPr="00C026D4" w:rsidRDefault="00F5677A" w:rsidP="00EC3165">
      <w:pPr>
        <w:jc w:val="center"/>
        <w:rPr>
          <w:b/>
          <w:bCs/>
        </w:rPr>
      </w:pPr>
      <w:r w:rsidRPr="00C026D4">
        <w:rPr>
          <w:b/>
          <w:bCs/>
        </w:rPr>
        <w:t>I.</w:t>
      </w:r>
    </w:p>
    <w:p w14:paraId="7207A968" w14:textId="77777777" w:rsidR="00F5677A" w:rsidRPr="00C026D4" w:rsidRDefault="00F5677A" w:rsidP="00EC3165">
      <w:pPr>
        <w:jc w:val="center"/>
        <w:rPr>
          <w:b/>
          <w:bCs/>
        </w:rPr>
      </w:pPr>
    </w:p>
    <w:p w14:paraId="2AFAE050" w14:textId="77777777" w:rsidR="00F5677A" w:rsidRDefault="00EC3165" w:rsidP="00C026D4">
      <w:pPr>
        <w:jc w:val="both"/>
        <w:rPr>
          <w:rFonts w:cs="Arial"/>
          <w:color w:val="000000"/>
          <w:lang w:eastAsia="hr-HR"/>
        </w:rPr>
      </w:pPr>
      <w:r>
        <w:rPr>
          <w:rFonts w:cs="Arial"/>
          <w:color w:val="000000"/>
          <w:lang w:eastAsia="hr-HR"/>
        </w:rPr>
        <w:tab/>
      </w:r>
      <w:r>
        <w:rPr>
          <w:rFonts w:cs="Arial"/>
          <w:color w:val="000000"/>
          <w:lang w:eastAsia="hr-HR"/>
        </w:rPr>
        <w:tab/>
      </w:r>
      <w:r w:rsidR="00F5677A" w:rsidRPr="00C026D4">
        <w:rPr>
          <w:rFonts w:cs="Arial"/>
          <w:color w:val="000000"/>
          <w:lang w:eastAsia="hr-HR"/>
        </w:rPr>
        <w:t>Daje se suglasnost Ministarstvu znanosti i obrazovanja</w:t>
      </w:r>
      <w:r w:rsidR="00C04553">
        <w:rPr>
          <w:rFonts w:cs="Arial"/>
          <w:color w:val="000000"/>
          <w:lang w:eastAsia="hr-HR"/>
        </w:rPr>
        <w:t>,</w:t>
      </w:r>
      <w:r w:rsidR="00F5677A" w:rsidRPr="00C026D4">
        <w:rPr>
          <w:rFonts w:cs="Arial"/>
          <w:color w:val="000000"/>
          <w:lang w:eastAsia="hr-HR"/>
        </w:rPr>
        <w:t xml:space="preserve"> za preuzimanje obveza na teret sredstava državnog proračuna Republike Hrvatske u 2021. i 2022. godini</w:t>
      </w:r>
      <w:r w:rsidR="00B032E1" w:rsidRPr="00C026D4">
        <w:rPr>
          <w:rFonts w:cs="Arial"/>
          <w:color w:val="000000"/>
          <w:lang w:eastAsia="hr-HR"/>
        </w:rPr>
        <w:t>,</w:t>
      </w:r>
      <w:r w:rsidR="00F5677A" w:rsidRPr="00C026D4">
        <w:rPr>
          <w:rFonts w:cs="Arial"/>
          <w:color w:val="000000"/>
          <w:lang w:eastAsia="hr-HR"/>
        </w:rPr>
        <w:t xml:space="preserve"> u ukupnom iznosu od </w:t>
      </w:r>
      <w:r w:rsidR="00950CC9" w:rsidRPr="00C026D4">
        <w:rPr>
          <w:rFonts w:cs="Arial"/>
          <w:color w:val="000000"/>
          <w:lang w:eastAsia="hr-HR"/>
        </w:rPr>
        <w:t>43.923.766,41</w:t>
      </w:r>
      <w:r w:rsidR="0087070B" w:rsidRPr="00C026D4">
        <w:rPr>
          <w:rFonts w:cs="Arial"/>
          <w:color w:val="000000"/>
          <w:lang w:eastAsia="hr-HR"/>
        </w:rPr>
        <w:t xml:space="preserve"> </w:t>
      </w:r>
      <w:r w:rsidR="00F5677A" w:rsidRPr="00C026D4">
        <w:rPr>
          <w:rFonts w:cs="Arial"/>
          <w:color w:val="000000"/>
          <w:lang w:eastAsia="hr-HR"/>
        </w:rPr>
        <w:t>kuna s PDV-om</w:t>
      </w:r>
      <w:r w:rsidR="007452EE" w:rsidRPr="00C026D4">
        <w:rPr>
          <w:rFonts w:cs="Arial"/>
          <w:color w:val="000000"/>
          <w:lang w:eastAsia="hr-HR"/>
        </w:rPr>
        <w:t>, od toga u 2021. godini u iznosu od</w:t>
      </w:r>
      <w:r w:rsidR="00F5677A" w:rsidRPr="00C026D4">
        <w:rPr>
          <w:rFonts w:cs="Arial"/>
          <w:color w:val="000000"/>
          <w:lang w:eastAsia="hr-HR"/>
        </w:rPr>
        <w:t xml:space="preserve"> </w:t>
      </w:r>
      <w:r w:rsidR="0087070B" w:rsidRPr="00C026D4">
        <w:rPr>
          <w:rFonts w:cs="Arial"/>
          <w:color w:val="000000"/>
          <w:lang w:eastAsia="hr-HR"/>
        </w:rPr>
        <w:t xml:space="preserve">32.240.231,04 </w:t>
      </w:r>
      <w:r w:rsidR="007452EE" w:rsidRPr="00C026D4">
        <w:rPr>
          <w:rFonts w:cs="Arial"/>
          <w:color w:val="000000"/>
          <w:lang w:eastAsia="hr-HR"/>
        </w:rPr>
        <w:t>kun</w:t>
      </w:r>
      <w:r w:rsidR="00B032E1" w:rsidRPr="00C026D4">
        <w:rPr>
          <w:rFonts w:cs="Arial"/>
          <w:color w:val="000000"/>
          <w:lang w:eastAsia="hr-HR"/>
        </w:rPr>
        <w:t>a</w:t>
      </w:r>
      <w:r w:rsidR="007452EE" w:rsidRPr="00C026D4">
        <w:rPr>
          <w:rFonts w:cs="Arial"/>
          <w:color w:val="000000"/>
          <w:lang w:eastAsia="hr-HR"/>
        </w:rPr>
        <w:t xml:space="preserve"> i u 2022. godini u iznosu od </w:t>
      </w:r>
      <w:r w:rsidR="0087070B" w:rsidRPr="00C026D4">
        <w:rPr>
          <w:rFonts w:cs="Arial"/>
          <w:color w:val="000000"/>
          <w:lang w:eastAsia="hr-HR"/>
        </w:rPr>
        <w:t xml:space="preserve">11.683.535,37 </w:t>
      </w:r>
      <w:r w:rsidR="007452EE" w:rsidRPr="00C026D4">
        <w:rPr>
          <w:rFonts w:cs="Arial"/>
          <w:color w:val="000000"/>
          <w:lang w:eastAsia="hr-HR"/>
        </w:rPr>
        <w:t xml:space="preserve">kuna, </w:t>
      </w:r>
      <w:r w:rsidR="00F5677A" w:rsidRPr="00C026D4">
        <w:rPr>
          <w:rFonts w:cs="Arial"/>
          <w:color w:val="000000"/>
          <w:lang w:eastAsia="hr-HR"/>
        </w:rPr>
        <w:t xml:space="preserve">za realizaciju kapitalnog projekta građenja građevine javne i društvene namjene (osnovnoškolske ustanove), građevine 2. skupine </w:t>
      </w:r>
      <w:r w:rsidR="00B032E1" w:rsidRPr="00C026D4">
        <w:rPr>
          <w:rFonts w:cs="Arial"/>
          <w:color w:val="000000"/>
          <w:lang w:eastAsia="hr-HR"/>
        </w:rPr>
        <w:t>-</w:t>
      </w:r>
      <w:r w:rsidR="00F5677A" w:rsidRPr="00C026D4">
        <w:rPr>
          <w:rFonts w:cs="Arial"/>
          <w:color w:val="000000"/>
          <w:lang w:eastAsia="hr-HR"/>
        </w:rPr>
        <w:t xml:space="preserve"> OŠ </w:t>
      </w:r>
      <w:r w:rsidR="00B032E1" w:rsidRPr="00C026D4">
        <w:rPr>
          <w:rFonts w:cs="Arial"/>
          <w:color w:val="000000"/>
          <w:lang w:eastAsia="hr-HR"/>
        </w:rPr>
        <w:t>"</w:t>
      </w:r>
      <w:r w:rsidR="00F5677A" w:rsidRPr="00C026D4">
        <w:rPr>
          <w:rFonts w:cs="Arial"/>
          <w:color w:val="000000"/>
          <w:lang w:eastAsia="hr-HR"/>
        </w:rPr>
        <w:t>Vladimir Nazor</w:t>
      </w:r>
      <w:r w:rsidR="00B032E1" w:rsidRPr="00C026D4">
        <w:rPr>
          <w:rFonts w:cs="Arial"/>
          <w:color w:val="000000"/>
          <w:lang w:eastAsia="hr-HR"/>
        </w:rPr>
        <w:t>"</w:t>
      </w:r>
      <w:r w:rsidR="00F5677A" w:rsidRPr="00C026D4">
        <w:rPr>
          <w:rFonts w:cs="Arial"/>
          <w:color w:val="000000"/>
          <w:lang w:eastAsia="hr-HR"/>
        </w:rPr>
        <w:t>, Sveti Ilija, vanjsko uređenje, uređenje pristupne prometnice, ograde i školskih sportskih terena u Svetom Iliji te stručni nadzor nad radovima</w:t>
      </w:r>
      <w:r w:rsidR="00C04553">
        <w:rPr>
          <w:rFonts w:cs="Arial"/>
          <w:color w:val="000000"/>
          <w:lang w:eastAsia="hr-HR"/>
        </w:rPr>
        <w:t>,</w:t>
      </w:r>
      <w:r w:rsidR="00F5677A" w:rsidRPr="00C026D4">
        <w:rPr>
          <w:rFonts w:cs="Arial"/>
          <w:color w:val="000000"/>
          <w:lang w:eastAsia="hr-HR"/>
        </w:rPr>
        <w:t xml:space="preserve"> po ugovorima i godinama te u iznosima kako slijedi:</w:t>
      </w:r>
    </w:p>
    <w:p w14:paraId="757C1555" w14:textId="77777777" w:rsidR="00EC3165" w:rsidRPr="00C026D4" w:rsidRDefault="00EC3165" w:rsidP="00C026D4">
      <w:pPr>
        <w:jc w:val="both"/>
        <w:rPr>
          <w:rFonts w:cs="Arial"/>
          <w:color w:val="000000"/>
          <w:lang w:eastAsia="hr-HR"/>
        </w:rPr>
      </w:pPr>
    </w:p>
    <w:p w14:paraId="344B4787" w14:textId="77777777" w:rsidR="00F5677A" w:rsidRPr="00C026D4" w:rsidRDefault="00F5677A" w:rsidP="00EC3165">
      <w:pPr>
        <w:numPr>
          <w:ilvl w:val="0"/>
          <w:numId w:val="9"/>
        </w:numPr>
        <w:ind w:left="709" w:hanging="709"/>
        <w:contextualSpacing/>
        <w:jc w:val="both"/>
        <w:rPr>
          <w:rFonts w:cs="Arial"/>
          <w:color w:val="000000"/>
          <w:lang w:eastAsia="hr-HR"/>
        </w:rPr>
      </w:pPr>
      <w:r w:rsidRPr="00C026D4">
        <w:rPr>
          <w:rFonts w:cs="Arial"/>
          <w:color w:val="000000"/>
          <w:lang w:eastAsia="hr-HR"/>
        </w:rPr>
        <w:t>za sklapanje ugovora o izvođenju radova</w:t>
      </w:r>
      <w:r w:rsidRPr="00C026D4">
        <w:rPr>
          <w:rFonts w:ascii="Calibri" w:eastAsia="Calibri" w:hAnsi="Calibri"/>
        </w:rPr>
        <w:t xml:space="preserve"> </w:t>
      </w:r>
      <w:r w:rsidRPr="00C026D4">
        <w:rPr>
          <w:rFonts w:cs="Arial"/>
          <w:color w:val="000000"/>
          <w:lang w:eastAsia="hr-HR"/>
        </w:rPr>
        <w:t xml:space="preserve">građenja građevine javne i društvene namjene (osnovnoškolske ustanove), građevine 2. skupine </w:t>
      </w:r>
      <w:r w:rsidR="00B032E1" w:rsidRPr="00C026D4">
        <w:rPr>
          <w:rFonts w:cs="Arial"/>
          <w:color w:val="000000"/>
          <w:lang w:eastAsia="hr-HR"/>
        </w:rPr>
        <w:t>-</w:t>
      </w:r>
      <w:r w:rsidRPr="00C026D4">
        <w:rPr>
          <w:rFonts w:cs="Arial"/>
          <w:color w:val="000000"/>
          <w:lang w:eastAsia="hr-HR"/>
        </w:rPr>
        <w:t xml:space="preserve"> OŠ </w:t>
      </w:r>
      <w:r w:rsidR="00B032E1" w:rsidRPr="00C026D4">
        <w:rPr>
          <w:rFonts w:cs="Arial"/>
          <w:color w:val="000000"/>
          <w:lang w:eastAsia="hr-HR"/>
        </w:rPr>
        <w:t>"</w:t>
      </w:r>
      <w:r w:rsidRPr="00C026D4">
        <w:rPr>
          <w:rFonts w:cs="Arial"/>
          <w:color w:val="000000"/>
          <w:lang w:eastAsia="hr-HR"/>
        </w:rPr>
        <w:t>Vladimir Nazor</w:t>
      </w:r>
      <w:r w:rsidR="00B032E1" w:rsidRPr="00C026D4">
        <w:rPr>
          <w:rFonts w:cs="Arial"/>
          <w:color w:val="000000"/>
          <w:lang w:eastAsia="hr-HR"/>
        </w:rPr>
        <w:t>"</w:t>
      </w:r>
      <w:r w:rsidRPr="00C026D4">
        <w:rPr>
          <w:rFonts w:cs="Arial"/>
          <w:color w:val="000000"/>
          <w:lang w:eastAsia="hr-HR"/>
        </w:rPr>
        <w:t>, Sveti Ilija</w:t>
      </w:r>
      <w:r w:rsidR="00DE5126" w:rsidRPr="00C026D4">
        <w:rPr>
          <w:rFonts w:cs="Arial"/>
          <w:color w:val="000000"/>
          <w:lang w:eastAsia="hr-HR"/>
        </w:rPr>
        <w:t xml:space="preserve"> </w:t>
      </w:r>
      <w:r w:rsidR="00B032E1" w:rsidRPr="00C026D4">
        <w:rPr>
          <w:rFonts w:cs="Arial"/>
          <w:color w:val="000000"/>
          <w:lang w:eastAsia="hr-HR"/>
        </w:rPr>
        <w:t>-</w:t>
      </w:r>
      <w:r w:rsidR="00DE5126" w:rsidRPr="00C026D4">
        <w:rPr>
          <w:rFonts w:cs="Arial"/>
          <w:color w:val="000000"/>
          <w:lang w:eastAsia="hr-HR"/>
        </w:rPr>
        <w:t xml:space="preserve"> vanjsko uređenje, pristupna prometnica, ograda i školski sportski tereni u Svetom Iliji, na građevinskoj čestici k.č.br. 95, k.o. Sv. Ilija </w:t>
      </w:r>
      <w:r w:rsidRPr="00C026D4">
        <w:rPr>
          <w:rFonts w:cs="Arial"/>
          <w:color w:val="000000"/>
          <w:lang w:eastAsia="hr-HR"/>
        </w:rPr>
        <w:t>(Sv. Ilija, Ulica Vladimira Nazora bb)</w:t>
      </w:r>
      <w:r w:rsidR="00B032E1" w:rsidRPr="00C026D4">
        <w:rPr>
          <w:rFonts w:cs="Arial"/>
          <w:color w:val="000000"/>
          <w:lang w:eastAsia="hr-HR"/>
        </w:rPr>
        <w:t>,</w:t>
      </w:r>
      <w:r w:rsidRPr="00C026D4">
        <w:rPr>
          <w:rFonts w:ascii="Calibri" w:eastAsia="Calibri" w:hAnsi="Calibri"/>
        </w:rPr>
        <w:t xml:space="preserve"> </w:t>
      </w:r>
      <w:r w:rsidRPr="00C026D4">
        <w:rPr>
          <w:rFonts w:cs="Arial"/>
          <w:color w:val="000000"/>
          <w:lang w:eastAsia="hr-HR"/>
        </w:rPr>
        <w:t xml:space="preserve">u ukupnom iznosu od </w:t>
      </w:r>
      <w:r w:rsidR="0087070B" w:rsidRPr="00C026D4">
        <w:rPr>
          <w:rFonts w:cs="Arial"/>
          <w:color w:val="000000"/>
          <w:lang w:eastAsia="hr-HR"/>
        </w:rPr>
        <w:t xml:space="preserve">43.596.478,06 </w:t>
      </w:r>
      <w:r w:rsidRPr="00C026D4">
        <w:rPr>
          <w:rFonts w:cs="Arial"/>
          <w:color w:val="000000"/>
          <w:lang w:eastAsia="hr-HR"/>
        </w:rPr>
        <w:t>kuna s PDV-om</w:t>
      </w:r>
      <w:r w:rsidR="00B032E1" w:rsidRPr="00C026D4">
        <w:rPr>
          <w:rFonts w:cs="Arial"/>
          <w:color w:val="000000"/>
          <w:lang w:eastAsia="hr-HR"/>
        </w:rPr>
        <w:t>,</w:t>
      </w:r>
      <w:r w:rsidRPr="00C026D4">
        <w:rPr>
          <w:rFonts w:cs="Arial"/>
          <w:color w:val="000000"/>
          <w:lang w:eastAsia="hr-HR"/>
        </w:rPr>
        <w:t xml:space="preserve"> po godinama i u iznosima kako slijedi:</w:t>
      </w:r>
    </w:p>
    <w:p w14:paraId="4703E461" w14:textId="77777777" w:rsidR="007C4BDA" w:rsidRPr="00F5677A" w:rsidRDefault="007C4BDA" w:rsidP="007C4BDA">
      <w:pPr>
        <w:spacing w:after="160" w:line="240" w:lineRule="atLeast"/>
        <w:ind w:left="360"/>
        <w:contextualSpacing/>
        <w:jc w:val="both"/>
        <w:rPr>
          <w:rFonts w:cs="Arial"/>
          <w:color w:val="000000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96"/>
        <w:gridCol w:w="1130"/>
      </w:tblGrid>
      <w:tr w:rsidR="007C4BDA" w:rsidRPr="00C04553" w14:paraId="54875E37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7B5D2B03" w14:textId="77777777" w:rsidR="007C4BDA" w:rsidRPr="00C04553" w:rsidRDefault="007452EE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lang w:eastAsia="hr-HR"/>
              </w:rPr>
              <w:t>G</w:t>
            </w:r>
            <w:r w:rsidR="007C4BDA" w:rsidRPr="00C04553">
              <w:rPr>
                <w:rFonts w:cs="Arial"/>
                <w:lang w:eastAsia="hr-HR"/>
              </w:rPr>
              <w:t>odina</w:t>
            </w:r>
          </w:p>
        </w:tc>
        <w:tc>
          <w:tcPr>
            <w:tcW w:w="1559" w:type="dxa"/>
            <w:shd w:val="clear" w:color="auto" w:fill="auto"/>
          </w:tcPr>
          <w:p w14:paraId="404800C2" w14:textId="77777777" w:rsidR="007C4BDA" w:rsidRPr="00C04553" w:rsidRDefault="007452EE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color w:val="000000"/>
                <w:lang w:eastAsia="hr-HR"/>
              </w:rPr>
              <w:t>I</w:t>
            </w:r>
            <w:r w:rsidR="007C4BDA" w:rsidRPr="00C04553">
              <w:rPr>
                <w:rFonts w:cs="Arial"/>
                <w:color w:val="000000"/>
                <w:lang w:eastAsia="hr-HR"/>
              </w:rPr>
              <w:t>znos</w:t>
            </w:r>
          </w:p>
        </w:tc>
        <w:tc>
          <w:tcPr>
            <w:tcW w:w="1130" w:type="dxa"/>
            <w:shd w:val="clear" w:color="auto" w:fill="auto"/>
          </w:tcPr>
          <w:p w14:paraId="2551F742" w14:textId="77777777" w:rsidR="007C4BDA" w:rsidRPr="00C04553" w:rsidRDefault="007C4BDA" w:rsidP="00F5677A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</w:p>
        </w:tc>
      </w:tr>
      <w:tr w:rsidR="00A03ACD" w:rsidRPr="00F5677A" w14:paraId="0E1F6056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68364982" w14:textId="77777777" w:rsidR="00F5677A" w:rsidRPr="00F5677A" w:rsidRDefault="00F5677A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2021.</w:t>
            </w:r>
          </w:p>
        </w:tc>
        <w:tc>
          <w:tcPr>
            <w:tcW w:w="1559" w:type="dxa"/>
            <w:shd w:val="clear" w:color="auto" w:fill="auto"/>
          </w:tcPr>
          <w:p w14:paraId="05AEDECA" w14:textId="77777777" w:rsidR="00F5677A" w:rsidRPr="00F5677A" w:rsidRDefault="0087070B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87070B">
              <w:rPr>
                <w:rFonts w:cs="Arial"/>
                <w:color w:val="000000"/>
                <w:lang w:eastAsia="hr-HR"/>
              </w:rPr>
              <w:t>32.000.000,00</w:t>
            </w:r>
          </w:p>
        </w:tc>
        <w:tc>
          <w:tcPr>
            <w:tcW w:w="1130" w:type="dxa"/>
            <w:shd w:val="clear" w:color="auto" w:fill="auto"/>
          </w:tcPr>
          <w:p w14:paraId="20A5A7B4" w14:textId="77777777" w:rsidR="00F5677A" w:rsidRPr="00F5677A" w:rsidRDefault="00F5677A" w:rsidP="00F5677A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</w:p>
        </w:tc>
      </w:tr>
      <w:tr w:rsidR="00A03ACD" w:rsidRPr="00F5677A" w14:paraId="6C046DA2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64BF82B4" w14:textId="77777777" w:rsidR="00F5677A" w:rsidRPr="00F5677A" w:rsidRDefault="00F5677A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</w:tcPr>
          <w:p w14:paraId="22062DD3" w14:textId="77777777" w:rsidR="00F5677A" w:rsidRPr="00F5677A" w:rsidRDefault="0087070B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87070B">
              <w:rPr>
                <w:rFonts w:cs="Arial"/>
                <w:color w:val="000000"/>
                <w:lang w:eastAsia="hr-HR"/>
              </w:rPr>
              <w:t>11.596.478,06</w:t>
            </w:r>
          </w:p>
        </w:tc>
        <w:tc>
          <w:tcPr>
            <w:tcW w:w="1130" w:type="dxa"/>
            <w:shd w:val="clear" w:color="auto" w:fill="auto"/>
          </w:tcPr>
          <w:p w14:paraId="6218C9D9" w14:textId="77777777" w:rsidR="00F5677A" w:rsidRPr="00F5677A" w:rsidRDefault="00F5677A" w:rsidP="00F5677A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</w:p>
        </w:tc>
      </w:tr>
    </w:tbl>
    <w:p w14:paraId="00EEDDF6" w14:textId="77777777" w:rsidR="00F5677A" w:rsidRPr="00F5677A" w:rsidRDefault="00F5677A" w:rsidP="00F5677A">
      <w:pPr>
        <w:spacing w:after="160" w:line="240" w:lineRule="atLeast"/>
        <w:ind w:left="720"/>
        <w:contextualSpacing/>
        <w:jc w:val="both"/>
        <w:rPr>
          <w:rFonts w:cs="Arial"/>
          <w:color w:val="000000"/>
          <w:lang w:eastAsia="hr-HR"/>
        </w:rPr>
      </w:pPr>
    </w:p>
    <w:p w14:paraId="66C5CE74" w14:textId="77777777" w:rsidR="00F5677A" w:rsidRPr="0087070B" w:rsidRDefault="00F5677A" w:rsidP="00EC3165">
      <w:pPr>
        <w:numPr>
          <w:ilvl w:val="0"/>
          <w:numId w:val="9"/>
        </w:numPr>
        <w:spacing w:after="160" w:line="240" w:lineRule="atLeast"/>
        <w:ind w:left="709" w:hanging="709"/>
        <w:contextualSpacing/>
        <w:jc w:val="both"/>
        <w:rPr>
          <w:rFonts w:cs="Arial"/>
          <w:color w:val="000000"/>
          <w:lang w:eastAsia="hr-HR"/>
        </w:rPr>
      </w:pPr>
      <w:r w:rsidRPr="00F5677A">
        <w:rPr>
          <w:rFonts w:cs="Arial"/>
          <w:color w:val="000000"/>
          <w:lang w:eastAsia="hr-HR"/>
        </w:rPr>
        <w:t xml:space="preserve">za sklapanje ugovora o javnim uslugama stručnog nadzora nad javnim radovima građenja građevine javne i društvene namjene (osnovnoškolske ustanove), građevine 2. skupine </w:t>
      </w:r>
      <w:r w:rsidR="00B032E1">
        <w:rPr>
          <w:rFonts w:cs="Arial"/>
          <w:color w:val="000000"/>
          <w:lang w:eastAsia="hr-HR"/>
        </w:rPr>
        <w:t>-</w:t>
      </w:r>
      <w:r w:rsidRPr="00F5677A">
        <w:rPr>
          <w:rFonts w:cs="Arial"/>
          <w:color w:val="000000"/>
          <w:lang w:eastAsia="hr-HR"/>
        </w:rPr>
        <w:t xml:space="preserve"> OŠ </w:t>
      </w:r>
      <w:r w:rsidR="00B032E1">
        <w:rPr>
          <w:rFonts w:cs="Arial"/>
          <w:color w:val="000000"/>
          <w:lang w:eastAsia="hr-HR"/>
        </w:rPr>
        <w:t>"</w:t>
      </w:r>
      <w:r w:rsidRPr="00F5677A">
        <w:rPr>
          <w:rFonts w:cs="Arial"/>
          <w:color w:val="000000"/>
          <w:lang w:eastAsia="hr-HR"/>
        </w:rPr>
        <w:t>Vladimir Nazor</w:t>
      </w:r>
      <w:r w:rsidR="00B032E1">
        <w:rPr>
          <w:rFonts w:cs="Arial"/>
          <w:color w:val="000000"/>
          <w:lang w:eastAsia="hr-HR"/>
        </w:rPr>
        <w:t>"</w:t>
      </w:r>
      <w:r w:rsidRPr="00F5677A">
        <w:rPr>
          <w:rFonts w:cs="Arial"/>
          <w:color w:val="000000"/>
          <w:lang w:eastAsia="hr-HR"/>
        </w:rPr>
        <w:t xml:space="preserve">, Sveti Ilija </w:t>
      </w:r>
      <w:r w:rsidR="00B032E1">
        <w:rPr>
          <w:rFonts w:cs="Arial"/>
          <w:color w:val="000000"/>
          <w:lang w:eastAsia="hr-HR"/>
        </w:rPr>
        <w:t>-</w:t>
      </w:r>
      <w:r w:rsidRPr="00F5677A">
        <w:rPr>
          <w:rFonts w:cs="Arial"/>
          <w:color w:val="000000"/>
          <w:lang w:eastAsia="hr-HR"/>
        </w:rPr>
        <w:t xml:space="preserve"> vanjsko uređenje, pristupna prometnica, ograda i školski sportski tereni u Svetom Iliji, na građevinskoj čestici k.č.br. 95, k.o. Sv. Ilija (Sv. Ilija, Ulica Vladimira Nazora bb)</w:t>
      </w:r>
      <w:r w:rsidR="00B032E1">
        <w:rPr>
          <w:rFonts w:cs="Arial"/>
          <w:color w:val="000000"/>
          <w:lang w:eastAsia="hr-HR"/>
        </w:rPr>
        <w:t>,</w:t>
      </w:r>
      <w:r w:rsidRPr="00F5677A">
        <w:rPr>
          <w:rFonts w:cs="Arial"/>
          <w:color w:val="000000"/>
          <w:lang w:eastAsia="hr-HR"/>
        </w:rPr>
        <w:t xml:space="preserve"> u ukupnom iznosu od</w:t>
      </w:r>
      <w:r w:rsidRPr="00F5677A">
        <w:rPr>
          <w:rFonts w:ascii="Calibri" w:eastAsia="Calibri" w:hAnsi="Calibri"/>
          <w:sz w:val="22"/>
          <w:szCs w:val="22"/>
        </w:rPr>
        <w:t xml:space="preserve"> </w:t>
      </w:r>
      <w:r w:rsidR="00950CC9">
        <w:rPr>
          <w:rFonts w:cs="Arial"/>
          <w:color w:val="000000"/>
          <w:lang w:eastAsia="hr-HR"/>
        </w:rPr>
        <w:t>327.288,35</w:t>
      </w:r>
      <w:r w:rsidR="0087070B">
        <w:rPr>
          <w:rFonts w:cs="Arial"/>
          <w:color w:val="000000"/>
          <w:lang w:eastAsia="hr-HR"/>
        </w:rPr>
        <w:t xml:space="preserve"> </w:t>
      </w:r>
      <w:r w:rsidRPr="0087070B">
        <w:rPr>
          <w:rFonts w:cs="Arial"/>
          <w:color w:val="000000"/>
          <w:lang w:eastAsia="hr-HR"/>
        </w:rPr>
        <w:t>kuna s PDV-om</w:t>
      </w:r>
      <w:r w:rsidR="00B032E1">
        <w:rPr>
          <w:rFonts w:cs="Arial"/>
          <w:color w:val="000000"/>
          <w:lang w:eastAsia="hr-HR"/>
        </w:rPr>
        <w:t>,</w:t>
      </w:r>
      <w:r w:rsidRPr="0087070B">
        <w:rPr>
          <w:rFonts w:cs="Arial"/>
          <w:color w:val="000000"/>
          <w:lang w:eastAsia="hr-HR"/>
        </w:rPr>
        <w:t xml:space="preserve"> po godinama i u iznosima kako slijedi:</w:t>
      </w:r>
    </w:p>
    <w:p w14:paraId="4D8E18CC" w14:textId="77777777" w:rsidR="007C4BDA" w:rsidRPr="00F5677A" w:rsidRDefault="007C4BDA" w:rsidP="007C4BDA">
      <w:pPr>
        <w:spacing w:after="160" w:line="240" w:lineRule="atLeast"/>
        <w:ind w:left="360"/>
        <w:contextualSpacing/>
        <w:jc w:val="both"/>
        <w:rPr>
          <w:rFonts w:cs="Arial"/>
          <w:color w:val="000000"/>
          <w:lang w:eastAsia="hr-H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59"/>
        <w:gridCol w:w="1271"/>
      </w:tblGrid>
      <w:tr w:rsidR="007C4BDA" w:rsidRPr="00C04553" w14:paraId="33357738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5F5A3B8D" w14:textId="77777777" w:rsidR="007C4BDA" w:rsidRPr="00C04553" w:rsidRDefault="007452EE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lang w:eastAsia="hr-HR"/>
              </w:rPr>
              <w:t>G</w:t>
            </w:r>
            <w:r w:rsidR="007C4BDA" w:rsidRPr="00C04553">
              <w:rPr>
                <w:rFonts w:cs="Arial"/>
                <w:lang w:eastAsia="hr-HR"/>
              </w:rPr>
              <w:t>odina</w:t>
            </w:r>
          </w:p>
        </w:tc>
        <w:tc>
          <w:tcPr>
            <w:tcW w:w="1559" w:type="dxa"/>
            <w:shd w:val="clear" w:color="auto" w:fill="auto"/>
          </w:tcPr>
          <w:p w14:paraId="23AB6A37" w14:textId="77777777" w:rsidR="007C4BDA" w:rsidRPr="00C04553" w:rsidRDefault="007452EE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color w:val="000000"/>
                <w:lang w:eastAsia="hr-HR"/>
              </w:rPr>
              <w:t>I</w:t>
            </w:r>
            <w:r w:rsidR="007C4BDA" w:rsidRPr="00C04553">
              <w:rPr>
                <w:rFonts w:cs="Arial"/>
                <w:color w:val="000000"/>
                <w:lang w:eastAsia="hr-HR"/>
              </w:rPr>
              <w:t>znos</w:t>
            </w:r>
          </w:p>
        </w:tc>
        <w:tc>
          <w:tcPr>
            <w:tcW w:w="1271" w:type="dxa"/>
            <w:shd w:val="clear" w:color="auto" w:fill="auto"/>
          </w:tcPr>
          <w:p w14:paraId="0216793B" w14:textId="77777777" w:rsidR="007C4BDA" w:rsidRPr="00C04553" w:rsidRDefault="007C4BDA" w:rsidP="007C4BDA">
            <w:pPr>
              <w:spacing w:line="240" w:lineRule="atLeast"/>
              <w:rPr>
                <w:rFonts w:cs="Arial"/>
                <w:color w:val="000000"/>
                <w:lang w:eastAsia="hr-HR"/>
              </w:rPr>
            </w:pPr>
          </w:p>
        </w:tc>
      </w:tr>
      <w:tr w:rsidR="00A03ACD" w:rsidRPr="00181E2B" w14:paraId="7CA7E08C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252B6E53" w14:textId="77777777" w:rsidR="00F5677A" w:rsidRPr="00F5677A" w:rsidRDefault="00F5677A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2021.</w:t>
            </w:r>
          </w:p>
        </w:tc>
        <w:tc>
          <w:tcPr>
            <w:tcW w:w="1559" w:type="dxa"/>
            <w:shd w:val="clear" w:color="auto" w:fill="auto"/>
          </w:tcPr>
          <w:p w14:paraId="0E341B81" w14:textId="77777777" w:rsidR="00F5677A" w:rsidRPr="00F5677A" w:rsidRDefault="0087070B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87070B">
              <w:rPr>
                <w:rFonts w:cs="Arial"/>
                <w:color w:val="000000"/>
                <w:lang w:eastAsia="hr-HR"/>
              </w:rPr>
              <w:t>240.231,04</w:t>
            </w:r>
          </w:p>
        </w:tc>
        <w:tc>
          <w:tcPr>
            <w:tcW w:w="1271" w:type="dxa"/>
            <w:shd w:val="clear" w:color="auto" w:fill="auto"/>
          </w:tcPr>
          <w:p w14:paraId="000FE3EE" w14:textId="77777777" w:rsidR="00F5677A" w:rsidRPr="00181E2B" w:rsidRDefault="00F5677A" w:rsidP="00F5677A">
            <w:pPr>
              <w:spacing w:line="240" w:lineRule="atLeast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</w:p>
        </w:tc>
      </w:tr>
      <w:tr w:rsidR="00A03ACD" w:rsidRPr="00181E2B" w14:paraId="59BDCEF8" w14:textId="77777777" w:rsidTr="00F5677A">
        <w:trPr>
          <w:jc w:val="center"/>
        </w:trPr>
        <w:tc>
          <w:tcPr>
            <w:tcW w:w="1134" w:type="dxa"/>
            <w:shd w:val="clear" w:color="auto" w:fill="auto"/>
          </w:tcPr>
          <w:p w14:paraId="4F5E58D1" w14:textId="77777777" w:rsidR="00F5677A" w:rsidRPr="00F5677A" w:rsidRDefault="00F5677A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2022.</w:t>
            </w:r>
          </w:p>
        </w:tc>
        <w:tc>
          <w:tcPr>
            <w:tcW w:w="1559" w:type="dxa"/>
            <w:shd w:val="clear" w:color="auto" w:fill="auto"/>
          </w:tcPr>
          <w:p w14:paraId="71821813" w14:textId="77777777" w:rsidR="00F5677A" w:rsidRPr="00F5677A" w:rsidRDefault="0087070B" w:rsidP="00B032E1">
            <w:pPr>
              <w:spacing w:line="240" w:lineRule="atLeast"/>
              <w:contextualSpacing/>
              <w:jc w:val="center"/>
              <w:rPr>
                <w:rFonts w:cs="Arial"/>
                <w:color w:val="000000"/>
                <w:lang w:eastAsia="hr-HR"/>
              </w:rPr>
            </w:pPr>
            <w:r w:rsidRPr="0087070B">
              <w:rPr>
                <w:rFonts w:cs="Arial"/>
                <w:color w:val="000000"/>
                <w:lang w:eastAsia="hr-HR"/>
              </w:rPr>
              <w:t>87.057,31</w:t>
            </w:r>
          </w:p>
        </w:tc>
        <w:tc>
          <w:tcPr>
            <w:tcW w:w="1271" w:type="dxa"/>
            <w:shd w:val="clear" w:color="auto" w:fill="auto"/>
          </w:tcPr>
          <w:p w14:paraId="26E27C0D" w14:textId="77777777" w:rsidR="00F5677A" w:rsidRPr="00181E2B" w:rsidRDefault="00F5677A" w:rsidP="00F5677A">
            <w:pPr>
              <w:spacing w:line="240" w:lineRule="atLeast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  <w:r w:rsidR="00B032E1">
              <w:rPr>
                <w:rFonts w:cs="Arial"/>
                <w:color w:val="000000"/>
                <w:lang w:eastAsia="hr-HR"/>
              </w:rPr>
              <w:t>.</w:t>
            </w:r>
          </w:p>
        </w:tc>
      </w:tr>
    </w:tbl>
    <w:p w14:paraId="61B9EE89" w14:textId="77777777" w:rsidR="007A7133" w:rsidRDefault="007A7133" w:rsidP="00F5677A">
      <w:pPr>
        <w:spacing w:line="240" w:lineRule="atLeast"/>
        <w:jc w:val="center"/>
        <w:rPr>
          <w:b/>
        </w:rPr>
      </w:pPr>
    </w:p>
    <w:p w14:paraId="3500F3EF" w14:textId="77777777" w:rsidR="00F5677A" w:rsidRDefault="00F5677A" w:rsidP="00F5677A">
      <w:pPr>
        <w:spacing w:line="240" w:lineRule="atLeast"/>
        <w:jc w:val="center"/>
        <w:rPr>
          <w:b/>
        </w:rPr>
      </w:pPr>
      <w:r w:rsidRPr="00F5677A">
        <w:rPr>
          <w:b/>
        </w:rPr>
        <w:t>II.</w:t>
      </w:r>
    </w:p>
    <w:p w14:paraId="009ADC76" w14:textId="77777777" w:rsidR="0087070B" w:rsidRDefault="0087070B" w:rsidP="00F5677A">
      <w:pPr>
        <w:spacing w:line="240" w:lineRule="atLeast"/>
        <w:jc w:val="center"/>
        <w:rPr>
          <w:b/>
        </w:rPr>
      </w:pPr>
    </w:p>
    <w:p w14:paraId="50085D07" w14:textId="77777777" w:rsidR="00935AB1" w:rsidRDefault="00EC3165" w:rsidP="00935AB1">
      <w:pPr>
        <w:spacing w:line="240" w:lineRule="atLeast"/>
        <w:jc w:val="both"/>
      </w:pPr>
      <w:r>
        <w:tab/>
      </w:r>
      <w:r>
        <w:tab/>
      </w:r>
      <w:r w:rsidR="0087070B" w:rsidRPr="0087070B">
        <w:t xml:space="preserve">Daje se </w:t>
      </w:r>
      <w:r w:rsidR="0087070B">
        <w:t xml:space="preserve">suglasnost </w:t>
      </w:r>
      <w:r w:rsidR="00E54D3A" w:rsidRPr="00F5677A">
        <w:rPr>
          <w:rFonts w:cs="Arial"/>
          <w:color w:val="000000"/>
          <w:lang w:eastAsia="hr-HR"/>
        </w:rPr>
        <w:t xml:space="preserve">Ministarstvu znanosti i obrazovanja </w:t>
      </w:r>
      <w:r w:rsidR="0087070B">
        <w:t xml:space="preserve">za sklapanje Sporazuma o izgradnji Osnovne škole </w:t>
      </w:r>
      <w:r w:rsidR="00B032E1">
        <w:t>"</w:t>
      </w:r>
      <w:r w:rsidR="0087070B">
        <w:t>Vladimir Nazor</w:t>
      </w:r>
      <w:r w:rsidR="00B032E1">
        <w:t>"</w:t>
      </w:r>
      <w:r w:rsidR="0087070B">
        <w:t>, Sveti Ilija</w:t>
      </w:r>
      <w:r w:rsidR="00C04553">
        <w:t>,</w:t>
      </w:r>
      <w:r w:rsidR="0087070B">
        <w:t xml:space="preserve"> s Varaždinskom županijom i Općinom Sveti Ilija</w:t>
      </w:r>
      <w:r w:rsidR="00C04553">
        <w:t>,</w:t>
      </w:r>
      <w:r w:rsidR="0087070B">
        <w:t xml:space="preserve"> temeljem kojeg </w:t>
      </w:r>
      <w:r w:rsidR="00E94FB3">
        <w:t xml:space="preserve">će </w:t>
      </w:r>
      <w:r w:rsidR="00E54D3A">
        <w:t xml:space="preserve">od </w:t>
      </w:r>
      <w:r w:rsidR="00E94FB3">
        <w:t xml:space="preserve">ukupne </w:t>
      </w:r>
      <w:r w:rsidR="00E54D3A">
        <w:t>obvez</w:t>
      </w:r>
      <w:r w:rsidR="00E94FB3">
        <w:t>e</w:t>
      </w:r>
      <w:r w:rsidR="00E54D3A">
        <w:t xml:space="preserve"> </w:t>
      </w:r>
      <w:r w:rsidR="000F06EE">
        <w:t xml:space="preserve">Ministarstva znanosti i obrazovanja kao naručitelja radova i </w:t>
      </w:r>
      <w:r w:rsidR="00E10D9A">
        <w:t xml:space="preserve">usluga </w:t>
      </w:r>
      <w:r w:rsidR="00E54D3A">
        <w:t>iz točke I. ove Odluke</w:t>
      </w:r>
      <w:r w:rsidR="000F06EE">
        <w:t xml:space="preserve">, dio u ukupnom iznosu od </w:t>
      </w:r>
      <w:r w:rsidR="000F06EE" w:rsidRPr="00513D35">
        <w:t xml:space="preserve">9.187.756,17 </w:t>
      </w:r>
      <w:r w:rsidR="000F06EE">
        <w:t xml:space="preserve">kuna </w:t>
      </w:r>
      <w:r w:rsidR="006C1599">
        <w:t xml:space="preserve">podmiriti Varaždinska županija i Općina Sveti Ilija </w:t>
      </w:r>
      <w:r w:rsidR="000F06EE">
        <w:t>po primitku zahtjeva za plaćanje</w:t>
      </w:r>
      <w:r w:rsidR="00935AB1">
        <w:t xml:space="preserve">, a </w:t>
      </w:r>
      <w:r w:rsidR="006C1599" w:rsidRPr="0007419D">
        <w:t>34.736.010,24</w:t>
      </w:r>
      <w:r w:rsidR="006C1599">
        <w:t xml:space="preserve"> kuna s PDV-om </w:t>
      </w:r>
      <w:r w:rsidR="00935AB1">
        <w:t>Ministarstvo znanosti i obrazovanja po godinama kako slijedi:</w:t>
      </w:r>
    </w:p>
    <w:p w14:paraId="6BE5BE4B" w14:textId="77777777" w:rsidR="00935AB1" w:rsidRDefault="00935AB1" w:rsidP="00935AB1">
      <w:pPr>
        <w:spacing w:line="240" w:lineRule="atLeast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596"/>
        <w:gridCol w:w="1130"/>
      </w:tblGrid>
      <w:tr w:rsidR="00935AB1" w:rsidRPr="00C04553" w14:paraId="69D918F0" w14:textId="77777777" w:rsidTr="00EC3165">
        <w:trPr>
          <w:jc w:val="center"/>
        </w:trPr>
        <w:tc>
          <w:tcPr>
            <w:tcW w:w="1134" w:type="dxa"/>
            <w:shd w:val="clear" w:color="auto" w:fill="auto"/>
          </w:tcPr>
          <w:p w14:paraId="67C22600" w14:textId="77777777" w:rsidR="00935AB1" w:rsidRPr="00C04553" w:rsidRDefault="00935AB1" w:rsidP="00BA0815">
            <w:pPr>
              <w:spacing w:line="240" w:lineRule="atLeast"/>
              <w:contextualSpacing/>
              <w:jc w:val="both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lang w:eastAsia="hr-HR"/>
              </w:rPr>
              <w:t>Godina</w:t>
            </w:r>
          </w:p>
        </w:tc>
        <w:tc>
          <w:tcPr>
            <w:tcW w:w="1596" w:type="dxa"/>
            <w:shd w:val="clear" w:color="auto" w:fill="auto"/>
          </w:tcPr>
          <w:p w14:paraId="1E38B76D" w14:textId="77777777" w:rsidR="00935AB1" w:rsidRPr="00C04553" w:rsidRDefault="00935AB1" w:rsidP="00BA0815">
            <w:pPr>
              <w:spacing w:line="240" w:lineRule="atLeast"/>
              <w:contextualSpacing/>
              <w:jc w:val="right"/>
              <w:rPr>
                <w:rFonts w:cs="Arial"/>
                <w:color w:val="000000"/>
                <w:lang w:eastAsia="hr-HR"/>
              </w:rPr>
            </w:pPr>
            <w:r w:rsidRPr="00C04553">
              <w:rPr>
                <w:rFonts w:cs="Arial"/>
                <w:color w:val="000000"/>
                <w:lang w:eastAsia="hr-HR"/>
              </w:rPr>
              <w:t>Iznos</w:t>
            </w:r>
          </w:p>
        </w:tc>
        <w:tc>
          <w:tcPr>
            <w:tcW w:w="1130" w:type="dxa"/>
            <w:shd w:val="clear" w:color="auto" w:fill="auto"/>
          </w:tcPr>
          <w:p w14:paraId="00E199E2" w14:textId="77777777" w:rsidR="00935AB1" w:rsidRPr="00C04553" w:rsidRDefault="00935AB1" w:rsidP="00BA0815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</w:p>
        </w:tc>
      </w:tr>
      <w:tr w:rsidR="00935AB1" w:rsidRPr="00F5677A" w14:paraId="175E85A5" w14:textId="77777777" w:rsidTr="00EC3165">
        <w:trPr>
          <w:jc w:val="center"/>
        </w:trPr>
        <w:tc>
          <w:tcPr>
            <w:tcW w:w="1134" w:type="dxa"/>
            <w:shd w:val="clear" w:color="auto" w:fill="auto"/>
          </w:tcPr>
          <w:p w14:paraId="489EA4FA" w14:textId="77777777" w:rsidR="00935AB1" w:rsidRPr="00F5677A" w:rsidRDefault="00935AB1" w:rsidP="00BA0815">
            <w:pPr>
              <w:spacing w:line="240" w:lineRule="atLeast"/>
              <w:contextualSpacing/>
              <w:jc w:val="both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2021.</w:t>
            </w:r>
          </w:p>
        </w:tc>
        <w:tc>
          <w:tcPr>
            <w:tcW w:w="1596" w:type="dxa"/>
            <w:shd w:val="clear" w:color="auto" w:fill="auto"/>
          </w:tcPr>
          <w:p w14:paraId="092BDE72" w14:textId="77777777" w:rsidR="00935AB1" w:rsidRPr="00F5677A" w:rsidRDefault="00935AB1" w:rsidP="00BA0815">
            <w:pPr>
              <w:spacing w:line="240" w:lineRule="atLeast"/>
              <w:contextualSpacing/>
              <w:jc w:val="right"/>
              <w:rPr>
                <w:rFonts w:cs="Arial"/>
                <w:color w:val="000000"/>
                <w:lang w:eastAsia="hr-HR"/>
              </w:rPr>
            </w:pPr>
            <w:r w:rsidRPr="00CD34B7">
              <w:t>25.187.680,50</w:t>
            </w:r>
          </w:p>
        </w:tc>
        <w:tc>
          <w:tcPr>
            <w:tcW w:w="1130" w:type="dxa"/>
            <w:shd w:val="clear" w:color="auto" w:fill="auto"/>
          </w:tcPr>
          <w:p w14:paraId="730163CC" w14:textId="77777777" w:rsidR="00935AB1" w:rsidRPr="00F5677A" w:rsidRDefault="00935AB1" w:rsidP="00BA0815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</w:p>
        </w:tc>
      </w:tr>
      <w:tr w:rsidR="00935AB1" w:rsidRPr="00F5677A" w14:paraId="51910056" w14:textId="77777777" w:rsidTr="00EC3165">
        <w:trPr>
          <w:jc w:val="center"/>
        </w:trPr>
        <w:tc>
          <w:tcPr>
            <w:tcW w:w="1134" w:type="dxa"/>
            <w:shd w:val="clear" w:color="auto" w:fill="auto"/>
          </w:tcPr>
          <w:p w14:paraId="2039BA39" w14:textId="77777777" w:rsidR="00935AB1" w:rsidRPr="00F5677A" w:rsidRDefault="00935AB1" w:rsidP="00BA0815">
            <w:pPr>
              <w:spacing w:line="240" w:lineRule="atLeast"/>
              <w:contextualSpacing/>
              <w:jc w:val="both"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2022.</w:t>
            </w:r>
          </w:p>
        </w:tc>
        <w:tc>
          <w:tcPr>
            <w:tcW w:w="1596" w:type="dxa"/>
            <w:shd w:val="clear" w:color="auto" w:fill="auto"/>
          </w:tcPr>
          <w:p w14:paraId="61A9E7C9" w14:textId="77777777" w:rsidR="00935AB1" w:rsidRPr="00F5677A" w:rsidRDefault="00935AB1" w:rsidP="00BA0815">
            <w:pPr>
              <w:spacing w:line="240" w:lineRule="atLeast"/>
              <w:contextualSpacing/>
              <w:jc w:val="right"/>
              <w:rPr>
                <w:rFonts w:cs="Arial"/>
                <w:color w:val="000000"/>
                <w:lang w:eastAsia="hr-HR"/>
              </w:rPr>
            </w:pPr>
            <w:r w:rsidRPr="00CD34B7">
              <w:t>9.548.329,74</w:t>
            </w:r>
          </w:p>
        </w:tc>
        <w:tc>
          <w:tcPr>
            <w:tcW w:w="1130" w:type="dxa"/>
            <w:shd w:val="clear" w:color="auto" w:fill="auto"/>
          </w:tcPr>
          <w:p w14:paraId="4E2DE402" w14:textId="77777777" w:rsidR="00935AB1" w:rsidRPr="00F5677A" w:rsidRDefault="00935AB1" w:rsidP="00BA0815">
            <w:pPr>
              <w:spacing w:line="240" w:lineRule="atLeast"/>
              <w:contextualSpacing/>
              <w:rPr>
                <w:rFonts w:cs="Arial"/>
                <w:color w:val="000000"/>
                <w:lang w:eastAsia="hr-HR"/>
              </w:rPr>
            </w:pPr>
            <w:r w:rsidRPr="00F5677A">
              <w:rPr>
                <w:rFonts w:cs="Arial"/>
                <w:color w:val="000000"/>
                <w:lang w:eastAsia="hr-HR"/>
              </w:rPr>
              <w:t>kuna</w:t>
            </w:r>
          </w:p>
        </w:tc>
      </w:tr>
    </w:tbl>
    <w:p w14:paraId="42C6B464" w14:textId="77777777" w:rsidR="00935AB1" w:rsidRDefault="00935AB1" w:rsidP="00C026D4">
      <w:pPr>
        <w:jc w:val="center"/>
        <w:rPr>
          <w:b/>
        </w:rPr>
      </w:pPr>
    </w:p>
    <w:p w14:paraId="5C032F4D" w14:textId="77777777" w:rsidR="0007419D" w:rsidRPr="00F5677A" w:rsidRDefault="00D31699" w:rsidP="00C026D4">
      <w:pPr>
        <w:jc w:val="center"/>
        <w:rPr>
          <w:b/>
        </w:rPr>
      </w:pPr>
      <w:r>
        <w:rPr>
          <w:b/>
        </w:rPr>
        <w:t>III.</w:t>
      </w:r>
    </w:p>
    <w:p w14:paraId="013A880D" w14:textId="77777777" w:rsidR="00F5677A" w:rsidRPr="00F5677A" w:rsidRDefault="00F5677A" w:rsidP="00C026D4">
      <w:pPr>
        <w:jc w:val="center"/>
        <w:rPr>
          <w:b/>
        </w:rPr>
      </w:pPr>
    </w:p>
    <w:p w14:paraId="3D81FD7D" w14:textId="77777777" w:rsidR="00F5677A" w:rsidRPr="00F5677A" w:rsidRDefault="00EC3165" w:rsidP="00C026D4">
      <w:pPr>
        <w:jc w:val="both"/>
      </w:pPr>
      <w:r>
        <w:tab/>
      </w:r>
      <w:r>
        <w:tab/>
      </w:r>
      <w:r w:rsidR="00F5677A" w:rsidRPr="00F5677A">
        <w:t>Ova Odluka stupa na snagu danom donošenja.</w:t>
      </w:r>
    </w:p>
    <w:p w14:paraId="3EE6890A" w14:textId="77777777" w:rsidR="00F5677A" w:rsidRPr="00F5677A" w:rsidRDefault="00F5677A" w:rsidP="00C026D4">
      <w:pPr>
        <w:jc w:val="both"/>
      </w:pPr>
    </w:p>
    <w:p w14:paraId="2D2427C4" w14:textId="77777777" w:rsidR="007452EE" w:rsidRDefault="007452EE" w:rsidP="00C026D4">
      <w:pPr>
        <w:jc w:val="both"/>
      </w:pPr>
    </w:p>
    <w:p w14:paraId="5F164997" w14:textId="77777777" w:rsidR="00743CA1" w:rsidRDefault="00743CA1" w:rsidP="00C026D4">
      <w:pPr>
        <w:jc w:val="both"/>
      </w:pPr>
    </w:p>
    <w:p w14:paraId="75121951" w14:textId="77777777" w:rsidR="00F5677A" w:rsidRPr="00F5677A" w:rsidRDefault="00F5677A" w:rsidP="00C026D4">
      <w:pPr>
        <w:jc w:val="both"/>
      </w:pPr>
      <w:r w:rsidRPr="00F5677A">
        <w:t>Klasa:</w:t>
      </w:r>
    </w:p>
    <w:p w14:paraId="5262351B" w14:textId="77777777" w:rsidR="00F5677A" w:rsidRPr="00F5677A" w:rsidRDefault="00F5677A" w:rsidP="00C026D4">
      <w:pPr>
        <w:jc w:val="both"/>
      </w:pPr>
      <w:r w:rsidRPr="00F5677A">
        <w:t>Urbroj:</w:t>
      </w:r>
    </w:p>
    <w:p w14:paraId="1C9C303E" w14:textId="77777777" w:rsidR="00EC3165" w:rsidRDefault="00EC3165" w:rsidP="00C026D4">
      <w:pPr>
        <w:jc w:val="both"/>
      </w:pPr>
    </w:p>
    <w:p w14:paraId="2EF36F6D" w14:textId="77777777" w:rsidR="00F5677A" w:rsidRPr="00F5677A" w:rsidRDefault="00F5677A" w:rsidP="00C026D4">
      <w:pPr>
        <w:jc w:val="both"/>
      </w:pPr>
      <w:r w:rsidRPr="00F5677A">
        <w:t>Zagreb,</w:t>
      </w:r>
    </w:p>
    <w:p w14:paraId="4C066537" w14:textId="77777777" w:rsidR="00F5677A" w:rsidRDefault="00F5677A" w:rsidP="00C026D4">
      <w:pPr>
        <w:jc w:val="both"/>
      </w:pPr>
    </w:p>
    <w:p w14:paraId="2C65C6CC" w14:textId="77777777" w:rsidR="00743CA1" w:rsidRDefault="00743CA1" w:rsidP="00C026D4">
      <w:pPr>
        <w:jc w:val="both"/>
      </w:pPr>
    </w:p>
    <w:p w14:paraId="57885574" w14:textId="77777777" w:rsidR="00743CA1" w:rsidRPr="00F5677A" w:rsidRDefault="00743CA1" w:rsidP="00C026D4">
      <w:pPr>
        <w:jc w:val="both"/>
      </w:pPr>
    </w:p>
    <w:p w14:paraId="244318B6" w14:textId="77777777" w:rsidR="00F5677A" w:rsidRPr="00F5677A" w:rsidRDefault="00EC3165" w:rsidP="00EC3165">
      <w:pPr>
        <w:tabs>
          <w:tab w:val="center" w:pos="7371"/>
        </w:tabs>
        <w:jc w:val="both"/>
      </w:pPr>
      <w:r>
        <w:tab/>
      </w:r>
      <w:r w:rsidR="00F5677A" w:rsidRPr="00F5677A">
        <w:t>PREDSJEDNIK</w:t>
      </w:r>
    </w:p>
    <w:p w14:paraId="3D17C23A" w14:textId="77777777" w:rsidR="00F5677A" w:rsidRDefault="00F5677A" w:rsidP="00EC3165">
      <w:pPr>
        <w:tabs>
          <w:tab w:val="center" w:pos="7371"/>
        </w:tabs>
        <w:jc w:val="both"/>
      </w:pPr>
    </w:p>
    <w:p w14:paraId="5383092E" w14:textId="77777777" w:rsidR="00EC3165" w:rsidRPr="00F5677A" w:rsidRDefault="00EC3165" w:rsidP="00EC3165">
      <w:pPr>
        <w:tabs>
          <w:tab w:val="center" w:pos="7371"/>
        </w:tabs>
        <w:jc w:val="both"/>
      </w:pPr>
    </w:p>
    <w:p w14:paraId="650408F1" w14:textId="77777777" w:rsidR="00F5677A" w:rsidRPr="00F5677A" w:rsidRDefault="00EC3165" w:rsidP="00EC3165">
      <w:pPr>
        <w:tabs>
          <w:tab w:val="center" w:pos="7371"/>
        </w:tabs>
        <w:jc w:val="both"/>
      </w:pPr>
      <w:r>
        <w:tab/>
      </w:r>
      <w:r w:rsidR="00F5677A" w:rsidRPr="00F5677A">
        <w:t>mr. sc. Andrej Plenković</w:t>
      </w:r>
    </w:p>
    <w:p w14:paraId="66D80095" w14:textId="77777777" w:rsidR="006F3B85" w:rsidRDefault="006F3B85">
      <w:pPr>
        <w:rPr>
          <w:b/>
        </w:rPr>
      </w:pPr>
      <w:r>
        <w:rPr>
          <w:b/>
        </w:rPr>
        <w:br w:type="page"/>
      </w:r>
    </w:p>
    <w:p w14:paraId="079B37B6" w14:textId="77777777" w:rsidR="00F5677A" w:rsidRDefault="00F5677A" w:rsidP="00F5677A">
      <w:pPr>
        <w:jc w:val="center"/>
        <w:rPr>
          <w:b/>
        </w:rPr>
      </w:pPr>
      <w:r w:rsidRPr="00307D6D">
        <w:rPr>
          <w:b/>
        </w:rPr>
        <w:lastRenderedPageBreak/>
        <w:t>O B R A Z L O Ž E NJ E</w:t>
      </w:r>
    </w:p>
    <w:p w14:paraId="68B503F3" w14:textId="77777777" w:rsidR="00E0219A" w:rsidRPr="00307D6D" w:rsidRDefault="00E0219A" w:rsidP="00F5677A">
      <w:pPr>
        <w:jc w:val="center"/>
        <w:rPr>
          <w:b/>
        </w:rPr>
      </w:pPr>
    </w:p>
    <w:p w14:paraId="03658262" w14:textId="77777777" w:rsidR="00F5677A" w:rsidRPr="00307D6D" w:rsidRDefault="00F5677A" w:rsidP="00F5677A">
      <w:pPr>
        <w:jc w:val="both"/>
      </w:pPr>
      <w:r w:rsidRPr="00307D6D">
        <w:t xml:space="preserve">Projektom je predviđena izgradnja Osnovne škole </w:t>
      </w:r>
      <w:r w:rsidR="00B032E1">
        <w:t>"</w:t>
      </w:r>
      <w:r w:rsidR="00307D6D" w:rsidRPr="00307D6D">
        <w:t>Vladimir Nadzor</w:t>
      </w:r>
      <w:r w:rsidR="00B032E1">
        <w:t>"</w:t>
      </w:r>
      <w:r w:rsidR="00307D6D" w:rsidRPr="00307D6D">
        <w:t>, Sveti Ilija, vanjsko uređenje, uređenje pristupne prometnice, ograde i školskih sportskih terena te stručni nadzor nad radovima</w:t>
      </w:r>
      <w:r w:rsidRPr="00307D6D">
        <w:t>. Predviđeni rok završetka izgradnje je najkasnije do 31. ožujka 2022. godine dok će se plaćanje provoditi prema mjesečnim, po stručnom nadzoru ovjerenim, privremenim i okončanim situacijama za sve izvedene radove i isporučene usluge.</w:t>
      </w:r>
    </w:p>
    <w:p w14:paraId="68479BCD" w14:textId="77777777" w:rsidR="00F5677A" w:rsidRPr="004E7ACB" w:rsidRDefault="00F5677A" w:rsidP="00F5677A">
      <w:pPr>
        <w:jc w:val="both"/>
        <w:rPr>
          <w:highlight w:val="yellow"/>
        </w:rPr>
      </w:pPr>
    </w:p>
    <w:p w14:paraId="1E30FC23" w14:textId="77777777" w:rsidR="000D2405" w:rsidRDefault="000D2405" w:rsidP="003735B7">
      <w:pPr>
        <w:jc w:val="both"/>
      </w:pPr>
      <w:r w:rsidRPr="00307D6D">
        <w:t xml:space="preserve">Ministarstvo znanosti i obrazovanja, kao javni naručitelj, provelo je otvoreni postupak javne nabave za nabavu javnih radova za izgradnju građevine Osnovna škola </w:t>
      </w:r>
      <w:r w:rsidR="00B032E1">
        <w:t>"</w:t>
      </w:r>
      <w:r w:rsidRPr="00307D6D">
        <w:t>Vladimir Nadzor</w:t>
      </w:r>
      <w:r w:rsidR="00B032E1">
        <w:t>"</w:t>
      </w:r>
      <w:r w:rsidRPr="00307D6D">
        <w:t xml:space="preserve">, Sveti Ilija </w:t>
      </w:r>
      <w:r w:rsidR="00B032E1">
        <w:t>-</w:t>
      </w:r>
      <w:r w:rsidRPr="00307D6D">
        <w:t xml:space="preserve"> vanjsko uređenje, pristupna prometnica, ograda i školski sportski tereni u Svetom Iliji, na građevinskoj čestici k.č.br. 95, k.o. Sv. Ilija (Sv. Ilija, Ulica Vladimira Nazora bb). U provedenome postupku odabrana je ponuda zajednice ponuditelja: ZTB Gradnja d.o.o. iz Varaždina i Energo-S d.o.o. iz Varaždina. Vrijednost ugovora o izvođen</w:t>
      </w:r>
      <w:r w:rsidR="00A84DD3">
        <w:t>j</w:t>
      </w:r>
      <w:r w:rsidRPr="00307D6D">
        <w:t xml:space="preserve">u radova na građevini iznosi 55.596.478,06 </w:t>
      </w:r>
      <w:r>
        <w:t xml:space="preserve">kuna </w:t>
      </w:r>
      <w:r w:rsidRPr="00307D6D">
        <w:t xml:space="preserve">s PDV-om. </w:t>
      </w:r>
    </w:p>
    <w:p w14:paraId="58459D6F" w14:textId="77777777" w:rsidR="00950CC9" w:rsidRDefault="00950CC9" w:rsidP="003735B7">
      <w:pPr>
        <w:jc w:val="both"/>
      </w:pPr>
    </w:p>
    <w:p w14:paraId="01B5998C" w14:textId="77777777" w:rsidR="000D2405" w:rsidRDefault="000D2405" w:rsidP="000D2405">
      <w:pPr>
        <w:jc w:val="both"/>
      </w:pPr>
      <w:r>
        <w:t xml:space="preserve">Također, </w:t>
      </w:r>
      <w:r w:rsidRPr="00307D6D">
        <w:t xml:space="preserve">Ministarstvo znanosti i obrazovanja, kao javni naručitelj, provelo </w:t>
      </w:r>
      <w:r>
        <w:t xml:space="preserve">je i </w:t>
      </w:r>
      <w:r w:rsidRPr="00307D6D">
        <w:t xml:space="preserve">otvoreni postupak javne nabave za uslugu stručnog nadzora nad javnim radovima građenja građevine Osnovna škola </w:t>
      </w:r>
      <w:r w:rsidR="00B032E1">
        <w:t>"</w:t>
      </w:r>
      <w:r w:rsidRPr="00307D6D">
        <w:t>Vladimir Nadzor</w:t>
      </w:r>
      <w:r w:rsidR="00B032E1">
        <w:t>"</w:t>
      </w:r>
      <w:r w:rsidRPr="00307D6D">
        <w:t>, Sveti Ilija. U provedenome postupku odabran je QUADRIGA PROJEKT d.o.o. iz Velike Gorice kao najpovoljniji ponuditelj. Vrijednost ugovora za</w:t>
      </w:r>
      <w:r w:rsidRPr="00307D6D">
        <w:rPr>
          <w:rFonts w:ascii="Calibri" w:eastAsia="Calibri" w:hAnsi="Calibri"/>
          <w:sz w:val="22"/>
          <w:szCs w:val="22"/>
        </w:rPr>
        <w:t xml:space="preserve"> </w:t>
      </w:r>
      <w:r w:rsidRPr="00307D6D">
        <w:t>uslugu stručnog nadzora nad javnim radovima građenja iznosi 417.375,00</w:t>
      </w:r>
      <w:r>
        <w:t xml:space="preserve"> kuna </w:t>
      </w:r>
      <w:r w:rsidRPr="00307D6D">
        <w:t xml:space="preserve">s PDV-om. </w:t>
      </w:r>
    </w:p>
    <w:p w14:paraId="2ED04AC1" w14:textId="77777777" w:rsidR="000D2405" w:rsidRDefault="000D2405" w:rsidP="000D2405">
      <w:pPr>
        <w:jc w:val="both"/>
      </w:pPr>
    </w:p>
    <w:p w14:paraId="07D09F1E" w14:textId="77777777" w:rsidR="000D2405" w:rsidRDefault="000D2405" w:rsidP="000D2405">
      <w:pPr>
        <w:jc w:val="both"/>
      </w:pPr>
      <w:r>
        <w:t>Dakle</w:t>
      </w:r>
      <w:r w:rsidR="00F0171C">
        <w:t>,</w:t>
      </w:r>
      <w:r>
        <w:t xml:space="preserve"> ukupna vrijednost projekta iznosi </w:t>
      </w:r>
      <w:r w:rsidR="008C1DD8" w:rsidRPr="0019122E">
        <w:t>56.013.853,06</w:t>
      </w:r>
      <w:r w:rsidR="008C1DD8">
        <w:t xml:space="preserve"> kuna s PDV-om.</w:t>
      </w:r>
    </w:p>
    <w:p w14:paraId="6974F393" w14:textId="77777777" w:rsidR="000D2405" w:rsidRDefault="000D2405" w:rsidP="000D2405">
      <w:pPr>
        <w:jc w:val="both"/>
      </w:pPr>
    </w:p>
    <w:p w14:paraId="46B138A7" w14:textId="77777777" w:rsidR="000D2405" w:rsidRDefault="000D2405" w:rsidP="000D2405">
      <w:pPr>
        <w:jc w:val="both"/>
      </w:pPr>
      <w:r w:rsidRPr="0019122E">
        <w:t>Od navedenog obveza u 2020. godini ukupn</w:t>
      </w:r>
      <w:r w:rsidR="00A84DD3" w:rsidRPr="0019122E">
        <w:t>o</w:t>
      </w:r>
      <w:r w:rsidRPr="0019122E">
        <w:t xml:space="preserve"> </w:t>
      </w:r>
      <w:r w:rsidRPr="00EF3328">
        <w:t xml:space="preserve">iznosi </w:t>
      </w:r>
      <w:r w:rsidR="00080D4D" w:rsidRPr="00EF3328">
        <w:t>12.090.086,65</w:t>
      </w:r>
      <w:r w:rsidR="008C1DD8" w:rsidRPr="00EF3328">
        <w:t xml:space="preserve"> kuna</w:t>
      </w:r>
      <w:r w:rsidRPr="0019122E">
        <w:t xml:space="preserve">, a za preostali iznos od </w:t>
      </w:r>
      <w:r w:rsidR="00950CC9">
        <w:t>43.923.766,41</w:t>
      </w:r>
      <w:r w:rsidR="008C1DD8" w:rsidRPr="0019122E">
        <w:t xml:space="preserve"> kuna</w:t>
      </w:r>
      <w:r w:rsidRPr="0019122E">
        <w:t xml:space="preserve"> Ministarstvo</w:t>
      </w:r>
      <w:r w:rsidR="00A84DD3" w:rsidRPr="0019122E">
        <w:t xml:space="preserve"> znanosti i obrazovanja</w:t>
      </w:r>
      <w:r w:rsidRPr="0019122E">
        <w:t xml:space="preserve"> traži suglasnost za preuzimanje obveza</w:t>
      </w:r>
      <w:r w:rsidR="00A84DD3" w:rsidRPr="0019122E">
        <w:t xml:space="preserve"> na teret sredstava državnog proračuna Republike Hrvatske </w:t>
      </w:r>
      <w:r w:rsidR="008C1DD8" w:rsidRPr="0019122E">
        <w:t>i to u 2021. godini u iznosu od 32.240.231,04 kuna te u 2022. godini u iznosu od 11.683.535,37 kuna.</w:t>
      </w:r>
    </w:p>
    <w:p w14:paraId="17D727E0" w14:textId="77777777" w:rsidR="000D2405" w:rsidRDefault="000D2405" w:rsidP="000D2405">
      <w:pPr>
        <w:jc w:val="both"/>
      </w:pPr>
    </w:p>
    <w:p w14:paraId="3421819C" w14:textId="77777777" w:rsidR="007D4332" w:rsidRPr="006C0FF7" w:rsidRDefault="000D2405" w:rsidP="007E6D24">
      <w:pPr>
        <w:spacing w:line="240" w:lineRule="atLeast"/>
        <w:jc w:val="both"/>
      </w:pPr>
      <w:r>
        <w:t xml:space="preserve">Također, </w:t>
      </w:r>
      <w:r w:rsidR="00727C6F" w:rsidRPr="00307D6D">
        <w:t xml:space="preserve">Ministarstvo znanosti i obrazovanja sklopiti će Sporazum o izgradnji Osnovne škole </w:t>
      </w:r>
      <w:r w:rsidR="00B032E1">
        <w:t>"</w:t>
      </w:r>
      <w:r w:rsidR="00727C6F" w:rsidRPr="00307D6D">
        <w:t>Vladimir Nazor</w:t>
      </w:r>
      <w:r w:rsidR="00B032E1">
        <w:t>"</w:t>
      </w:r>
      <w:r w:rsidR="00727C6F" w:rsidRPr="00307D6D">
        <w:t>, Sveti Ilija sa Varaždinskom županijom i Općinom Sveti Ilija kojim se ugovara zajedničko financiranje predmetnog projekta</w:t>
      </w:r>
      <w:r w:rsidR="00727C6F">
        <w:t xml:space="preserve">. </w:t>
      </w:r>
      <w:r w:rsidR="00E10D9A">
        <w:t>T</w:t>
      </w:r>
      <w:r w:rsidR="00727C6F">
        <w:t xml:space="preserve">emeljem </w:t>
      </w:r>
      <w:r w:rsidR="00E10D9A">
        <w:t xml:space="preserve">navedenog Sporazuma </w:t>
      </w:r>
      <w:r w:rsidR="00A84DD3">
        <w:t xml:space="preserve">dio </w:t>
      </w:r>
      <w:r w:rsidR="00E10D9A">
        <w:t>od ukupne obveze Ministarst</w:t>
      </w:r>
      <w:r w:rsidR="00A84DD3">
        <w:t>va</w:t>
      </w:r>
      <w:r w:rsidR="00E10D9A">
        <w:t xml:space="preserve"> znanosti i obrazovanja</w:t>
      </w:r>
      <w:r w:rsidR="006F1298">
        <w:t xml:space="preserve"> (</w:t>
      </w:r>
      <w:r w:rsidR="00727C6F" w:rsidRPr="006C0FF7">
        <w:t>k</w:t>
      </w:r>
      <w:r w:rsidR="00A84DD3" w:rsidRPr="006C0FF7">
        <w:t>oje je</w:t>
      </w:r>
      <w:r w:rsidR="00727C6F" w:rsidRPr="006C0FF7">
        <w:t xml:space="preserve"> naručitelj radova i </w:t>
      </w:r>
      <w:r w:rsidR="007E6D24" w:rsidRPr="006C0FF7">
        <w:t xml:space="preserve">usluga vezanih uz izgradnju </w:t>
      </w:r>
      <w:r w:rsidR="00E0219A" w:rsidRPr="006C0FF7">
        <w:t>građevine</w:t>
      </w:r>
      <w:r w:rsidR="006F1298" w:rsidRPr="006C0FF7">
        <w:t xml:space="preserve"> osnovne škole </w:t>
      </w:r>
      <w:r w:rsidR="00B032E1">
        <w:t>"</w:t>
      </w:r>
      <w:r w:rsidR="006F1298" w:rsidRPr="006C0FF7">
        <w:t>Vladimir Nazor</w:t>
      </w:r>
      <w:r w:rsidR="00B032E1">
        <w:t>"</w:t>
      </w:r>
      <w:r w:rsidR="006F1298" w:rsidRPr="006C0FF7">
        <w:t>)</w:t>
      </w:r>
      <w:r w:rsidR="00E0219A" w:rsidRPr="006C0FF7">
        <w:t xml:space="preserve"> </w:t>
      </w:r>
      <w:r w:rsidR="00727C6F" w:rsidRPr="006C0FF7">
        <w:t xml:space="preserve">u ukupnome iznosu od </w:t>
      </w:r>
      <w:r w:rsidR="008C1DD8" w:rsidRPr="006C0FF7">
        <w:t>11.202.770,61 kuna</w:t>
      </w:r>
      <w:r w:rsidR="00E0219A" w:rsidRPr="006C0FF7">
        <w:t xml:space="preserve"> s PDV-om, odnosno 2</w:t>
      </w:r>
      <w:r w:rsidR="008C1DD8" w:rsidRPr="006C0FF7">
        <w:t xml:space="preserve">0 posto troškova, </w:t>
      </w:r>
      <w:r w:rsidR="00727C6F" w:rsidRPr="006C0FF7">
        <w:t xml:space="preserve">podmiriti </w:t>
      </w:r>
      <w:r w:rsidR="007E6D24" w:rsidRPr="006C0FF7">
        <w:t xml:space="preserve">će </w:t>
      </w:r>
      <w:r w:rsidR="00727C6F" w:rsidRPr="006C0FF7">
        <w:t>Varaždinska županija i Općina Sveti Ilija po primitku zahtjeva za plaćanje</w:t>
      </w:r>
      <w:r w:rsidR="008C1DD8" w:rsidRPr="006C0FF7">
        <w:t xml:space="preserve">, od toga u 2021. godini u iznosu od </w:t>
      </w:r>
      <w:r w:rsidR="00E0219A" w:rsidRPr="006C0FF7">
        <w:t xml:space="preserve">7.052.550,54 </w:t>
      </w:r>
      <w:r w:rsidR="008C1DD8" w:rsidRPr="006C0FF7">
        <w:t>kuna</w:t>
      </w:r>
      <w:r w:rsidR="00E0219A" w:rsidRPr="006C0FF7">
        <w:t xml:space="preserve"> i u 2022. godini u iznosu od 2.135.205,63 kuna</w:t>
      </w:r>
      <w:r w:rsidR="006F1298" w:rsidRPr="006C0FF7">
        <w:t xml:space="preserve">. </w:t>
      </w:r>
      <w:r w:rsidR="00E0219A" w:rsidRPr="006C0FF7">
        <w:t xml:space="preserve">Ministarstvo znanosti i obrazovanja podmiriti </w:t>
      </w:r>
      <w:r w:rsidR="006F1298" w:rsidRPr="006C0FF7">
        <w:t xml:space="preserve">će </w:t>
      </w:r>
      <w:r w:rsidR="00E0219A" w:rsidRPr="006C0FF7">
        <w:t xml:space="preserve">iznos od 44.811.082,45 kuna s PDV-om, odnosno 80 posto troškova od </w:t>
      </w:r>
      <w:r w:rsidR="006F1298" w:rsidRPr="006C0FF7">
        <w:t>čega</w:t>
      </w:r>
      <w:r w:rsidR="00E0219A" w:rsidRPr="006C0FF7">
        <w:t xml:space="preserve"> u 2021. godini u iznosu od 25.187.680,50 kuna i u 2022. godini u iznosu od 9.548.329,74 kuna.</w:t>
      </w:r>
    </w:p>
    <w:p w14:paraId="04761139" w14:textId="77777777" w:rsidR="00F5677A" w:rsidRDefault="00F5677A" w:rsidP="00F5677A">
      <w:pPr>
        <w:jc w:val="both"/>
      </w:pPr>
    </w:p>
    <w:p w14:paraId="407F5920" w14:textId="77777777" w:rsidR="00F5677A" w:rsidRPr="009D416E" w:rsidRDefault="00F5677A" w:rsidP="00F5677A">
      <w:pPr>
        <w:jc w:val="both"/>
      </w:pPr>
      <w:r w:rsidRPr="006C0FF7">
        <w:t xml:space="preserve">Financijska sredstva </w:t>
      </w:r>
      <w:r w:rsidR="00157A27">
        <w:t>u iznosu od</w:t>
      </w:r>
      <w:r w:rsidRPr="006C0FF7">
        <w:t xml:space="preserve"> </w:t>
      </w:r>
      <w:r w:rsidR="00157A27">
        <w:t>44.811.082,45 kuna</w:t>
      </w:r>
      <w:r w:rsidR="001769C1">
        <w:t xml:space="preserve"> </w:t>
      </w:r>
      <w:r w:rsidRPr="006C0FF7">
        <w:t>osigurana su u Državnom proračunu Republike Hrvatske za 2020. i projekcijama za 2021. i 2022</w:t>
      </w:r>
      <w:r w:rsidRPr="009D416E">
        <w:t>. godinu (</w:t>
      </w:r>
      <w:r w:rsidR="00B032E1">
        <w:t>"</w:t>
      </w:r>
      <w:r w:rsidRPr="009D416E">
        <w:t>Narodne novine</w:t>
      </w:r>
      <w:r w:rsidR="00B032E1">
        <w:t>"</w:t>
      </w:r>
      <w:r w:rsidRPr="009D416E">
        <w:t xml:space="preserve">, broj 117/19) na razdjelu Ministarstva znanosti i obrazovanja, glavi 05, u okviru programa 3701 - Razvoj odgojno obrazovnog sustava na </w:t>
      </w:r>
      <w:r w:rsidRPr="006C0FF7">
        <w:t>aktivnosti K579064 KAPITALNE INVESTICIJE U OSNOVNOM I SREDNJEM ŠKOLSTVU</w:t>
      </w:r>
      <w:r w:rsidR="007D4332" w:rsidRPr="006C0FF7">
        <w:t xml:space="preserve">, na izvoru </w:t>
      </w:r>
      <w:r w:rsidR="006F1298" w:rsidRPr="006C0FF7">
        <w:t xml:space="preserve">financiranja </w:t>
      </w:r>
      <w:r w:rsidR="007D4332" w:rsidRPr="006C0FF7">
        <w:t>11 Opći prihodi i primici</w:t>
      </w:r>
      <w:r w:rsidR="00E0219A" w:rsidRPr="006C0FF7">
        <w:t xml:space="preserve"> u ukupnome iznosu od </w:t>
      </w:r>
      <w:r w:rsidR="00476FBF" w:rsidRPr="006C0FF7">
        <w:t xml:space="preserve">44.811.082,45 </w:t>
      </w:r>
      <w:r w:rsidR="00E0219A" w:rsidRPr="006C0FF7">
        <w:t>kuna, odnosno</w:t>
      </w:r>
      <w:r w:rsidR="007D4332" w:rsidRPr="006C0FF7">
        <w:t xml:space="preserve"> </w:t>
      </w:r>
      <w:r w:rsidRPr="006C0FF7">
        <w:t xml:space="preserve">u </w:t>
      </w:r>
      <w:r w:rsidRPr="00EF3328">
        <w:t xml:space="preserve">iznosu od </w:t>
      </w:r>
      <w:r w:rsidR="00EF3328" w:rsidRPr="00EF3328">
        <w:t>10.075.072,21</w:t>
      </w:r>
      <w:r w:rsidR="00316C25" w:rsidRPr="00EF3328">
        <w:t xml:space="preserve"> </w:t>
      </w:r>
      <w:r w:rsidRPr="00EF3328">
        <w:t xml:space="preserve">kune za 2020. godinu, </w:t>
      </w:r>
      <w:r w:rsidR="00316C25" w:rsidRPr="00EF3328">
        <w:t>25.187.680,50</w:t>
      </w:r>
      <w:r w:rsidRPr="00EF3328">
        <w:t xml:space="preserve"> kunu za 2021. godinu te </w:t>
      </w:r>
      <w:r w:rsidR="00316C25" w:rsidRPr="00EF3328">
        <w:t xml:space="preserve">9.548.329,74 </w:t>
      </w:r>
      <w:r w:rsidRPr="00EF3328">
        <w:t>kuna za 2022. godinu</w:t>
      </w:r>
      <w:r w:rsidR="000037FB" w:rsidRPr="00EF3328">
        <w:t>, dok će se sredstva u iznosu od 11.202.770,61 kuna, odnosno u iznosu od 2.015.014,44 kune za 2020. godinu,</w:t>
      </w:r>
      <w:r w:rsidR="000037FB" w:rsidRPr="006C0FF7">
        <w:t xml:space="preserve"> 7.052.550,54 kunu za 2021. godinu te 2.135.205,63 kuna za 2022. godinu</w:t>
      </w:r>
      <w:r w:rsidR="00476FBF" w:rsidRPr="006C0FF7">
        <w:t xml:space="preserve"> </w:t>
      </w:r>
      <w:r w:rsidR="006F1298" w:rsidRPr="006C0FF7">
        <w:t xml:space="preserve">planirati </w:t>
      </w:r>
      <w:r w:rsidR="000037FB" w:rsidRPr="006C0FF7">
        <w:t xml:space="preserve">u okviru iste pozicije na izvoru financiranja </w:t>
      </w:r>
      <w:r w:rsidR="00476FBF" w:rsidRPr="006C0FF7">
        <w:t xml:space="preserve">52 </w:t>
      </w:r>
      <w:r w:rsidR="006F1298" w:rsidRPr="006C0FF7">
        <w:t>Ostale p</w:t>
      </w:r>
      <w:r w:rsidR="00476FBF" w:rsidRPr="006C0FF7">
        <w:t>o</w:t>
      </w:r>
      <w:r w:rsidR="000037FB" w:rsidRPr="006C0FF7">
        <w:t>moći.</w:t>
      </w:r>
    </w:p>
    <w:p w14:paraId="708AFAE9" w14:textId="77777777" w:rsidR="003735B7" w:rsidRPr="009D416E" w:rsidRDefault="003735B7" w:rsidP="00F5677A">
      <w:pPr>
        <w:jc w:val="both"/>
      </w:pPr>
    </w:p>
    <w:p w14:paraId="1EC8B821" w14:textId="77777777" w:rsidR="00F5677A" w:rsidRPr="009D416E" w:rsidRDefault="00F5677A" w:rsidP="00F5677A">
      <w:pPr>
        <w:jc w:val="both"/>
      </w:pPr>
      <w:r w:rsidRPr="009D416E">
        <w:t>Člankom 44. stavkom 2. Zakona o proračunu (</w:t>
      </w:r>
      <w:r w:rsidR="00B032E1">
        <w:t>"</w:t>
      </w:r>
      <w:r w:rsidRPr="009D416E">
        <w:t>Narodne novine</w:t>
      </w:r>
      <w:r w:rsidR="00B032E1">
        <w:t>"</w:t>
      </w:r>
      <w:r w:rsidRPr="009D416E">
        <w:t>, broj 87/08, 136/12 i 15/15) propisano je da proračunski korisnik može preuzeti obveze po ugovoru koji zahtijeva plaćanje u sljedećim godinama uz suglasnost Vlade, a na prijedlog ministra financija.</w:t>
      </w:r>
    </w:p>
    <w:p w14:paraId="154C8AA8" w14:textId="77777777" w:rsidR="009D416E" w:rsidRDefault="009D416E" w:rsidP="00F5677A">
      <w:pPr>
        <w:jc w:val="both"/>
        <w:rPr>
          <w:highlight w:val="yellow"/>
        </w:rPr>
      </w:pPr>
    </w:p>
    <w:p w14:paraId="346FF924" w14:textId="77777777" w:rsidR="007E6D24" w:rsidRPr="0095736B" w:rsidRDefault="007E6D24" w:rsidP="007E6D24">
      <w:pPr>
        <w:jc w:val="both"/>
      </w:pPr>
      <w:r w:rsidRPr="0095736B">
        <w:t xml:space="preserve">Sukladno svemu prethodno navedenom predloženom Odlukom daje se suglasnost Ministarstvu znanosti i obrazovanja za preuzimanje obveza </w:t>
      </w:r>
      <w:r w:rsidR="00E3270F" w:rsidRPr="0095736B">
        <w:t>u 2021. i 2022. godini u</w:t>
      </w:r>
      <w:r w:rsidR="00DE5126">
        <w:t xml:space="preserve"> ukupnom iznosu od 43.923.766,41</w:t>
      </w:r>
      <w:r w:rsidR="00E3270F" w:rsidRPr="0095736B">
        <w:t xml:space="preserve"> kuna s PDV-om, od toga u 2021. godini u iznosu od 32.240.231,04 kunu i u 2022. godini u iznosu od 11.683.535,37 kuna</w:t>
      </w:r>
      <w:r w:rsidRPr="0095736B">
        <w:t xml:space="preserve"> za sklapanje </w:t>
      </w:r>
      <w:r w:rsidR="0095736B" w:rsidRPr="0095736B">
        <w:t xml:space="preserve">ugovora o izvođenju radova građenja građevine javne i društvene namjene (osnovnoškolske ustanove), građevine 2. skupine </w:t>
      </w:r>
      <w:r w:rsidR="00B032E1">
        <w:t>-</w:t>
      </w:r>
      <w:r w:rsidR="0095736B" w:rsidRPr="0095736B">
        <w:t xml:space="preserve"> OŠ </w:t>
      </w:r>
      <w:r w:rsidR="00B032E1">
        <w:t>"</w:t>
      </w:r>
      <w:r w:rsidR="0095736B" w:rsidRPr="0095736B">
        <w:t>Vladimir Nazor</w:t>
      </w:r>
      <w:r w:rsidR="00B032E1">
        <w:t>"</w:t>
      </w:r>
      <w:r w:rsidR="0095736B" w:rsidRPr="0095736B">
        <w:t>, Sveti Ilija</w:t>
      </w:r>
      <w:r w:rsidR="00DE5126">
        <w:t xml:space="preserve"> </w:t>
      </w:r>
      <w:r w:rsidR="00B032E1">
        <w:rPr>
          <w:rFonts w:cs="Arial"/>
          <w:color w:val="000000"/>
          <w:lang w:eastAsia="hr-HR"/>
        </w:rPr>
        <w:t>-</w:t>
      </w:r>
      <w:r w:rsidR="00DE5126" w:rsidRPr="00F5677A">
        <w:rPr>
          <w:rFonts w:cs="Arial"/>
          <w:color w:val="000000"/>
          <w:lang w:eastAsia="hr-HR"/>
        </w:rPr>
        <w:t xml:space="preserve"> vanjsko uređenje, pristupna prometnica, ograda i školski sportski tereni u Svetom Iliji, na građevinskoj čestici k.č.br. 95, k.o. Sv. Ilija </w:t>
      </w:r>
      <w:r w:rsidR="0095736B" w:rsidRPr="0095736B">
        <w:t xml:space="preserve">(Sv. Ilija, Ulica Vladimira Nazora bb) i za sklapanje ugovora o javnim uslugama stručnog nadzora nad javnim radovima građenja građevine javne i društvene namjene (osnovnoškolske ustanove), građevine 2. skupine </w:t>
      </w:r>
      <w:r w:rsidR="00B032E1">
        <w:t>-</w:t>
      </w:r>
      <w:r w:rsidR="0095736B" w:rsidRPr="0095736B">
        <w:t xml:space="preserve"> OŠ </w:t>
      </w:r>
      <w:r w:rsidR="00B032E1">
        <w:t>"</w:t>
      </w:r>
      <w:r w:rsidR="0095736B" w:rsidRPr="0095736B">
        <w:t>Vladimir Nazor</w:t>
      </w:r>
      <w:r w:rsidR="00B032E1">
        <w:t>"</w:t>
      </w:r>
      <w:r w:rsidR="0095736B" w:rsidRPr="0095736B">
        <w:t xml:space="preserve">, Sveti Ilija </w:t>
      </w:r>
      <w:r w:rsidR="00B032E1">
        <w:t>-</w:t>
      </w:r>
      <w:r w:rsidR="0095736B" w:rsidRPr="0095736B">
        <w:t xml:space="preserve"> vanjsko uređenje, pristupna prometnica, ograda i školski sportski tereni u Svetom Iliji, na građevinskoj čestici k.č.br. 95, k.o. Sv. Ilija (Sv. Ilija, Ulica Vladimira Nazora bb).</w:t>
      </w:r>
    </w:p>
    <w:p w14:paraId="46B5B710" w14:textId="77777777" w:rsidR="007E6D24" w:rsidRPr="0095736B" w:rsidRDefault="007E6D24" w:rsidP="009D416E">
      <w:pPr>
        <w:jc w:val="both"/>
      </w:pPr>
    </w:p>
    <w:p w14:paraId="443CCA9C" w14:textId="77777777" w:rsidR="007E6D24" w:rsidRPr="0095736B" w:rsidRDefault="0095736B" w:rsidP="009D416E">
      <w:pPr>
        <w:jc w:val="both"/>
      </w:pPr>
      <w:r w:rsidRPr="0095736B">
        <w:t>Također sukla</w:t>
      </w:r>
      <w:r w:rsidR="007E6D24" w:rsidRPr="0095736B">
        <w:t>dno toč</w:t>
      </w:r>
      <w:r w:rsidRPr="0095736B">
        <w:t>k</w:t>
      </w:r>
      <w:r w:rsidR="007E6D24" w:rsidRPr="0095736B">
        <w:t xml:space="preserve">i II. Odluke daje </w:t>
      </w:r>
      <w:r w:rsidRPr="0095736B">
        <w:t xml:space="preserve">se suglasnost ministarstvu za sklapanje Sporazuma o izgradnji Osnovne škole </w:t>
      </w:r>
      <w:r w:rsidR="00B032E1">
        <w:t>"</w:t>
      </w:r>
      <w:r w:rsidRPr="0095736B">
        <w:t>Vladimir Nazor</w:t>
      </w:r>
      <w:r w:rsidR="00B032E1">
        <w:t>"</w:t>
      </w:r>
      <w:r w:rsidRPr="0095736B">
        <w:t>, Sveti Ilija s Varaždinskom županijom i Općinom Sveti Ilija.</w:t>
      </w:r>
    </w:p>
    <w:p w14:paraId="6B35AECB" w14:textId="77777777" w:rsidR="007E6D24" w:rsidRPr="0095736B" w:rsidRDefault="007E6D24" w:rsidP="009D416E">
      <w:pPr>
        <w:jc w:val="both"/>
        <w:rPr>
          <w:highlight w:val="cyan"/>
        </w:rPr>
      </w:pPr>
    </w:p>
    <w:p w14:paraId="057F7FB6" w14:textId="77777777" w:rsidR="00BC52AA" w:rsidRPr="009D416E" w:rsidRDefault="00941AE3" w:rsidP="009D416E">
      <w:pPr>
        <w:jc w:val="both"/>
      </w:pPr>
    </w:p>
    <w:sectPr w:rsidR="00BC52AA" w:rsidRPr="009D416E" w:rsidSect="00C026D4">
      <w:head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1A9E" w14:textId="77777777" w:rsidR="003D5F83" w:rsidRDefault="003D5F83">
      <w:r>
        <w:separator/>
      </w:r>
    </w:p>
  </w:endnote>
  <w:endnote w:type="continuationSeparator" w:id="0">
    <w:p w14:paraId="56B5193B" w14:textId="77777777" w:rsidR="003D5F83" w:rsidRDefault="003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C19C" w14:textId="77777777" w:rsidR="003D5F83" w:rsidRDefault="003D5F83">
      <w:r>
        <w:separator/>
      </w:r>
    </w:p>
  </w:footnote>
  <w:footnote w:type="continuationSeparator" w:id="0">
    <w:p w14:paraId="23433DD0" w14:textId="77777777" w:rsidR="003D5F83" w:rsidRDefault="003D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9823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555A08" w14:textId="544F4776" w:rsidR="00C026D4" w:rsidRDefault="00C026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A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BA618" w14:textId="77777777" w:rsidR="00C026D4" w:rsidRDefault="00C02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46161EF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F75076D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F441A7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04432E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7169C5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1DAE29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DF40DB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2F24D2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04EDCD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EC46C8AE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75DA8C6A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A065B3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9E7D52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96041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C80803C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910804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33E307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B928B30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CF4625"/>
    <w:multiLevelType w:val="hybridMultilevel"/>
    <w:tmpl w:val="54D6FE46"/>
    <w:lvl w:ilvl="0" w:tplc="D92E3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2B32834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64823774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D73A732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5F2217A0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987420D2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7026FC9A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61CEB11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ED32567C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A540E92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2094380"/>
    <w:multiLevelType w:val="hybridMultilevel"/>
    <w:tmpl w:val="F29E3D5C"/>
    <w:lvl w:ilvl="0" w:tplc="683658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C7F44"/>
    <w:multiLevelType w:val="hybridMultilevel"/>
    <w:tmpl w:val="864EE760"/>
    <w:lvl w:ilvl="0" w:tplc="C0C26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91AC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CC9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05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F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23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D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0D2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E9D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23E46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2709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ED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41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AF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49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43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05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44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675EF862">
      <w:start w:val="1"/>
      <w:numFmt w:val="decimal"/>
      <w:lvlText w:val="%1."/>
      <w:lvlJc w:val="left"/>
      <w:pPr>
        <w:ind w:left="720" w:hanging="360"/>
      </w:pPr>
    </w:lvl>
    <w:lvl w:ilvl="1" w:tplc="662886EA" w:tentative="1">
      <w:start w:val="1"/>
      <w:numFmt w:val="lowerLetter"/>
      <w:lvlText w:val="%2."/>
      <w:lvlJc w:val="left"/>
      <w:pPr>
        <w:ind w:left="1440" w:hanging="360"/>
      </w:pPr>
    </w:lvl>
    <w:lvl w:ilvl="2" w:tplc="601462A6" w:tentative="1">
      <w:start w:val="1"/>
      <w:numFmt w:val="lowerRoman"/>
      <w:lvlText w:val="%3."/>
      <w:lvlJc w:val="right"/>
      <w:pPr>
        <w:ind w:left="2160" w:hanging="180"/>
      </w:pPr>
    </w:lvl>
    <w:lvl w:ilvl="3" w:tplc="0A46928E" w:tentative="1">
      <w:start w:val="1"/>
      <w:numFmt w:val="decimal"/>
      <w:lvlText w:val="%4."/>
      <w:lvlJc w:val="left"/>
      <w:pPr>
        <w:ind w:left="2880" w:hanging="360"/>
      </w:pPr>
    </w:lvl>
    <w:lvl w:ilvl="4" w:tplc="FA0EAA8E" w:tentative="1">
      <w:start w:val="1"/>
      <w:numFmt w:val="lowerLetter"/>
      <w:lvlText w:val="%5."/>
      <w:lvlJc w:val="left"/>
      <w:pPr>
        <w:ind w:left="3600" w:hanging="360"/>
      </w:pPr>
    </w:lvl>
    <w:lvl w:ilvl="5" w:tplc="7D3AB422" w:tentative="1">
      <w:start w:val="1"/>
      <w:numFmt w:val="lowerRoman"/>
      <w:lvlText w:val="%6."/>
      <w:lvlJc w:val="right"/>
      <w:pPr>
        <w:ind w:left="4320" w:hanging="180"/>
      </w:pPr>
    </w:lvl>
    <w:lvl w:ilvl="6" w:tplc="219EFD6C" w:tentative="1">
      <w:start w:val="1"/>
      <w:numFmt w:val="decimal"/>
      <w:lvlText w:val="%7."/>
      <w:lvlJc w:val="left"/>
      <w:pPr>
        <w:ind w:left="5040" w:hanging="360"/>
      </w:pPr>
    </w:lvl>
    <w:lvl w:ilvl="7" w:tplc="B02283BC" w:tentative="1">
      <w:start w:val="1"/>
      <w:numFmt w:val="lowerLetter"/>
      <w:lvlText w:val="%8."/>
      <w:lvlJc w:val="left"/>
      <w:pPr>
        <w:ind w:left="5760" w:hanging="360"/>
      </w:pPr>
    </w:lvl>
    <w:lvl w:ilvl="8" w:tplc="5CC20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AEF0DB14">
      <w:start w:val="1"/>
      <w:numFmt w:val="decimal"/>
      <w:lvlText w:val="%1."/>
      <w:lvlJc w:val="left"/>
      <w:pPr>
        <w:ind w:left="720" w:hanging="360"/>
      </w:pPr>
    </w:lvl>
    <w:lvl w:ilvl="1" w:tplc="4AFAF09E" w:tentative="1">
      <w:start w:val="1"/>
      <w:numFmt w:val="lowerLetter"/>
      <w:lvlText w:val="%2."/>
      <w:lvlJc w:val="left"/>
      <w:pPr>
        <w:ind w:left="1440" w:hanging="360"/>
      </w:pPr>
    </w:lvl>
    <w:lvl w:ilvl="2" w:tplc="6172EB50" w:tentative="1">
      <w:start w:val="1"/>
      <w:numFmt w:val="lowerRoman"/>
      <w:lvlText w:val="%3."/>
      <w:lvlJc w:val="right"/>
      <w:pPr>
        <w:ind w:left="2160" w:hanging="180"/>
      </w:pPr>
    </w:lvl>
    <w:lvl w:ilvl="3" w:tplc="193C5374" w:tentative="1">
      <w:start w:val="1"/>
      <w:numFmt w:val="decimal"/>
      <w:lvlText w:val="%4."/>
      <w:lvlJc w:val="left"/>
      <w:pPr>
        <w:ind w:left="2880" w:hanging="360"/>
      </w:pPr>
    </w:lvl>
    <w:lvl w:ilvl="4" w:tplc="FA262A86" w:tentative="1">
      <w:start w:val="1"/>
      <w:numFmt w:val="lowerLetter"/>
      <w:lvlText w:val="%5."/>
      <w:lvlJc w:val="left"/>
      <w:pPr>
        <w:ind w:left="3600" w:hanging="360"/>
      </w:pPr>
    </w:lvl>
    <w:lvl w:ilvl="5" w:tplc="C276A68C" w:tentative="1">
      <w:start w:val="1"/>
      <w:numFmt w:val="lowerRoman"/>
      <w:lvlText w:val="%6."/>
      <w:lvlJc w:val="right"/>
      <w:pPr>
        <w:ind w:left="4320" w:hanging="180"/>
      </w:pPr>
    </w:lvl>
    <w:lvl w:ilvl="6" w:tplc="C6FAFE8C" w:tentative="1">
      <w:start w:val="1"/>
      <w:numFmt w:val="decimal"/>
      <w:lvlText w:val="%7."/>
      <w:lvlJc w:val="left"/>
      <w:pPr>
        <w:ind w:left="5040" w:hanging="360"/>
      </w:pPr>
    </w:lvl>
    <w:lvl w:ilvl="7" w:tplc="CEF06C1E" w:tentative="1">
      <w:start w:val="1"/>
      <w:numFmt w:val="lowerLetter"/>
      <w:lvlText w:val="%8."/>
      <w:lvlJc w:val="left"/>
      <w:pPr>
        <w:ind w:left="5760" w:hanging="360"/>
      </w:pPr>
    </w:lvl>
    <w:lvl w:ilvl="8" w:tplc="1CDC7E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5A"/>
    <w:rsid w:val="000037FB"/>
    <w:rsid w:val="0004675B"/>
    <w:rsid w:val="000505D5"/>
    <w:rsid w:val="00057E54"/>
    <w:rsid w:val="0007419D"/>
    <w:rsid w:val="00080D4D"/>
    <w:rsid w:val="000D2405"/>
    <w:rsid w:val="000E147D"/>
    <w:rsid w:val="000F06EE"/>
    <w:rsid w:val="000F44A1"/>
    <w:rsid w:val="00157A27"/>
    <w:rsid w:val="00171A4E"/>
    <w:rsid w:val="001769C1"/>
    <w:rsid w:val="00181E2B"/>
    <w:rsid w:val="0019122E"/>
    <w:rsid w:val="001B615C"/>
    <w:rsid w:val="00207F41"/>
    <w:rsid w:val="002D57A3"/>
    <w:rsid w:val="00307D6D"/>
    <w:rsid w:val="00312B3C"/>
    <w:rsid w:val="00316C25"/>
    <w:rsid w:val="003509C2"/>
    <w:rsid w:val="003735B7"/>
    <w:rsid w:val="003D5F83"/>
    <w:rsid w:val="0045795A"/>
    <w:rsid w:val="00476FBF"/>
    <w:rsid w:val="004E1978"/>
    <w:rsid w:val="004E3BEB"/>
    <w:rsid w:val="004E7ACB"/>
    <w:rsid w:val="00513D35"/>
    <w:rsid w:val="005950A1"/>
    <w:rsid w:val="00686B23"/>
    <w:rsid w:val="006C0FF7"/>
    <w:rsid w:val="006C1599"/>
    <w:rsid w:val="006D147E"/>
    <w:rsid w:val="006F1298"/>
    <w:rsid w:val="006F3B85"/>
    <w:rsid w:val="00727C6F"/>
    <w:rsid w:val="00743CA1"/>
    <w:rsid w:val="007452EE"/>
    <w:rsid w:val="00772B43"/>
    <w:rsid w:val="0077330F"/>
    <w:rsid w:val="007A7133"/>
    <w:rsid w:val="007C4BDA"/>
    <w:rsid w:val="007D4332"/>
    <w:rsid w:val="007E6D24"/>
    <w:rsid w:val="0087070B"/>
    <w:rsid w:val="00883033"/>
    <w:rsid w:val="008B417C"/>
    <w:rsid w:val="008B6652"/>
    <w:rsid w:val="008C1DD8"/>
    <w:rsid w:val="0090745B"/>
    <w:rsid w:val="0091432D"/>
    <w:rsid w:val="00935AB1"/>
    <w:rsid w:val="00941AE3"/>
    <w:rsid w:val="00950CC9"/>
    <w:rsid w:val="0095736B"/>
    <w:rsid w:val="009D416E"/>
    <w:rsid w:val="009E1EB0"/>
    <w:rsid w:val="00A03ACD"/>
    <w:rsid w:val="00A274DF"/>
    <w:rsid w:val="00A36576"/>
    <w:rsid w:val="00A6532E"/>
    <w:rsid w:val="00A75262"/>
    <w:rsid w:val="00A84DD3"/>
    <w:rsid w:val="00B032E1"/>
    <w:rsid w:val="00BA40FF"/>
    <w:rsid w:val="00BE2BC5"/>
    <w:rsid w:val="00BF0B9C"/>
    <w:rsid w:val="00C026D4"/>
    <w:rsid w:val="00C04553"/>
    <w:rsid w:val="00C25CB0"/>
    <w:rsid w:val="00CD34B7"/>
    <w:rsid w:val="00D0302D"/>
    <w:rsid w:val="00D10802"/>
    <w:rsid w:val="00D31699"/>
    <w:rsid w:val="00DD3515"/>
    <w:rsid w:val="00DD53ED"/>
    <w:rsid w:val="00DE22B4"/>
    <w:rsid w:val="00DE5126"/>
    <w:rsid w:val="00E0219A"/>
    <w:rsid w:val="00E10D9A"/>
    <w:rsid w:val="00E3270F"/>
    <w:rsid w:val="00E54D3A"/>
    <w:rsid w:val="00E77E34"/>
    <w:rsid w:val="00E94B3A"/>
    <w:rsid w:val="00E94FB3"/>
    <w:rsid w:val="00EC136C"/>
    <w:rsid w:val="00EC3165"/>
    <w:rsid w:val="00EF3328"/>
    <w:rsid w:val="00F0171C"/>
    <w:rsid w:val="00F5677A"/>
    <w:rsid w:val="00F86498"/>
    <w:rsid w:val="00F90340"/>
    <w:rsid w:val="00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07F88"/>
  <w15:docId w15:val="{4E1794B0-D26E-4067-873F-B3B1277D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uiPriority w:val="39"/>
    <w:rsid w:val="00F567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6D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6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6D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D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C4D95DC82498A96757627935A81" ma:contentTypeVersion="0" ma:contentTypeDescription="Create a new document." ma:contentTypeScope="" ma:versionID="89f99933b1d8fc26419b7ff12e5dea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6C009-E748-43A1-90BC-1D567C0F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C4439-0820-45FF-906A-1E0F701D6A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5FA38-6FD5-452B-B8B6-E172D1D7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1351</Words>
  <Characters>7706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infodomdb</dc:creator>
  <cp:lastModifiedBy>Vlatka Šelimber</cp:lastModifiedBy>
  <cp:revision>2</cp:revision>
  <cp:lastPrinted>2020-05-07T05:28:00Z</cp:lastPrinted>
  <dcterms:created xsi:type="dcterms:W3CDTF">2020-05-07T10:02:00Z</dcterms:created>
  <dcterms:modified xsi:type="dcterms:W3CDTF">2020-05-07T10:02:00Z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0x010100E9996C4D95DC82498A96757627935A81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