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640A" w14:textId="77777777" w:rsidR="00025948" w:rsidRPr="009B5CBF" w:rsidRDefault="00025948" w:rsidP="00025948">
      <w:pPr>
        <w:jc w:val="center"/>
        <w:rPr>
          <w:sz w:val="28"/>
          <w:lang w:val="hr-HR"/>
        </w:rPr>
      </w:pPr>
      <w:bookmarkStart w:id="0" w:name="_GoBack"/>
      <w:bookmarkEnd w:id="0"/>
      <w:r w:rsidRPr="009B5CBF">
        <w:rPr>
          <w:sz w:val="28"/>
          <w:lang w:val="hr-HR"/>
        </w:rPr>
        <w:t>R E P U B L I K A   H R V A T S K A</w:t>
      </w:r>
    </w:p>
    <w:p w14:paraId="30849918" w14:textId="77777777" w:rsidR="00025948" w:rsidRPr="009B5CBF" w:rsidRDefault="00025948" w:rsidP="00025948">
      <w:pPr>
        <w:jc w:val="center"/>
        <w:rPr>
          <w:sz w:val="28"/>
          <w:lang w:val="hr-HR"/>
        </w:rPr>
      </w:pPr>
      <w:r w:rsidRPr="009B5CBF">
        <w:rPr>
          <w:sz w:val="28"/>
          <w:lang w:val="hr-HR"/>
        </w:rPr>
        <w:t>VLADA REPUBLIKE HRVATSKE</w:t>
      </w:r>
    </w:p>
    <w:p w14:paraId="69F1EFCE" w14:textId="77777777" w:rsidR="00025948" w:rsidRPr="009B5CBF" w:rsidRDefault="00025948" w:rsidP="00025948">
      <w:pPr>
        <w:rPr>
          <w:lang w:val="hr-HR"/>
        </w:rPr>
      </w:pPr>
    </w:p>
    <w:p w14:paraId="0189939F" w14:textId="77777777" w:rsidR="00025948" w:rsidRPr="009B5CBF" w:rsidRDefault="00025948" w:rsidP="00025948">
      <w:pPr>
        <w:rPr>
          <w:lang w:val="hr-HR"/>
        </w:rPr>
      </w:pPr>
    </w:p>
    <w:p w14:paraId="15F0EFD0" w14:textId="77777777" w:rsidR="00025948" w:rsidRPr="009B5CBF" w:rsidRDefault="00025948" w:rsidP="00025948">
      <w:pPr>
        <w:rPr>
          <w:lang w:val="hr-HR"/>
        </w:rPr>
      </w:pPr>
    </w:p>
    <w:p w14:paraId="572CC91E" w14:textId="77777777" w:rsidR="00025948" w:rsidRPr="009B5CBF" w:rsidRDefault="00025948" w:rsidP="00025948">
      <w:pPr>
        <w:rPr>
          <w:lang w:val="hr-HR"/>
        </w:rPr>
      </w:pPr>
    </w:p>
    <w:p w14:paraId="6C2C5EF9" w14:textId="77777777" w:rsidR="00025948" w:rsidRPr="009B5CBF" w:rsidRDefault="00025948" w:rsidP="00025948">
      <w:pPr>
        <w:rPr>
          <w:lang w:val="hr-HR"/>
        </w:rPr>
      </w:pPr>
    </w:p>
    <w:p w14:paraId="7D445B28" w14:textId="77777777" w:rsidR="00025948" w:rsidRPr="009B5CBF" w:rsidRDefault="00025948" w:rsidP="00025948">
      <w:pPr>
        <w:rPr>
          <w:lang w:val="hr-HR"/>
        </w:rPr>
      </w:pPr>
    </w:p>
    <w:p w14:paraId="426A1287" w14:textId="77777777" w:rsidR="00025948" w:rsidRPr="009B5CBF" w:rsidRDefault="00025948" w:rsidP="00025948">
      <w:pPr>
        <w:rPr>
          <w:lang w:val="hr-HR"/>
        </w:rPr>
      </w:pPr>
    </w:p>
    <w:p w14:paraId="7A55AEC3" w14:textId="77777777" w:rsidR="00025948" w:rsidRPr="009B5CBF" w:rsidRDefault="00025948" w:rsidP="00025948">
      <w:pPr>
        <w:pStyle w:val="Title"/>
        <w:jc w:val="center"/>
        <w:rPr>
          <w:lang w:val="hr-HR"/>
        </w:rPr>
      </w:pPr>
      <w:r w:rsidRPr="009B5CBF">
        <w:rPr>
          <w:lang w:val="hr-HR"/>
        </w:rPr>
        <w:t>OBRAZLOŽENJE PRIJEDLOGA IZMJENA I DOPUNA DRŽAVNOG PRORAČUNA REPUBLIKE HRVATSKE I FINANCIJSKIH PLANOVA IZV</w:t>
      </w:r>
      <w:r w:rsidR="003C433B" w:rsidRPr="009B5CBF">
        <w:rPr>
          <w:lang w:val="hr-HR"/>
        </w:rPr>
        <w:t>ANPRORAČUNSKIH KORISNIKA ZA 20</w:t>
      </w:r>
      <w:r w:rsidR="00890A93" w:rsidRPr="009B5CBF">
        <w:rPr>
          <w:lang w:val="hr-HR"/>
        </w:rPr>
        <w:t>20</w:t>
      </w:r>
      <w:r w:rsidRPr="009B5CBF">
        <w:rPr>
          <w:lang w:val="hr-HR"/>
        </w:rPr>
        <w:t>. GODINU</w:t>
      </w:r>
    </w:p>
    <w:p w14:paraId="441E7A5B" w14:textId="77777777" w:rsidR="00025948" w:rsidRPr="009B5CBF" w:rsidRDefault="00025948" w:rsidP="00025948">
      <w:pPr>
        <w:rPr>
          <w:lang w:val="hr-HR"/>
        </w:rPr>
      </w:pPr>
    </w:p>
    <w:p w14:paraId="6048D74A" w14:textId="77777777" w:rsidR="00025948" w:rsidRPr="009B5CBF" w:rsidRDefault="00025948" w:rsidP="00025948">
      <w:pPr>
        <w:rPr>
          <w:lang w:val="hr-HR"/>
        </w:rPr>
      </w:pPr>
    </w:p>
    <w:p w14:paraId="657810BD" w14:textId="77777777" w:rsidR="00025948" w:rsidRPr="009B5CBF" w:rsidRDefault="00025948" w:rsidP="00025948">
      <w:pPr>
        <w:rPr>
          <w:lang w:val="hr-HR"/>
        </w:rPr>
      </w:pPr>
    </w:p>
    <w:p w14:paraId="4A272137" w14:textId="77777777" w:rsidR="0072362F" w:rsidRPr="009B5CBF" w:rsidRDefault="0072362F" w:rsidP="00025948">
      <w:pPr>
        <w:rPr>
          <w:lang w:val="hr-HR"/>
        </w:rPr>
      </w:pPr>
    </w:p>
    <w:p w14:paraId="5A320CCD" w14:textId="77777777" w:rsidR="0072362F" w:rsidRPr="009B5CBF" w:rsidRDefault="0072362F" w:rsidP="00025948">
      <w:pPr>
        <w:rPr>
          <w:lang w:val="hr-HR"/>
        </w:rPr>
      </w:pPr>
    </w:p>
    <w:p w14:paraId="4D21FBCC" w14:textId="77777777" w:rsidR="00025948" w:rsidRPr="009B5CBF" w:rsidRDefault="00025948" w:rsidP="00025948">
      <w:pPr>
        <w:rPr>
          <w:lang w:val="hr-HR"/>
        </w:rPr>
      </w:pPr>
    </w:p>
    <w:p w14:paraId="2BC5AD75" w14:textId="77777777" w:rsidR="00025948" w:rsidRPr="009B5CBF" w:rsidRDefault="00025948" w:rsidP="00025948">
      <w:pPr>
        <w:rPr>
          <w:lang w:val="hr-HR"/>
        </w:rPr>
      </w:pPr>
    </w:p>
    <w:p w14:paraId="599C2E01" w14:textId="77777777" w:rsidR="00025948" w:rsidRPr="009B5CBF" w:rsidRDefault="00025948" w:rsidP="00025948">
      <w:pPr>
        <w:rPr>
          <w:lang w:val="hr-HR"/>
        </w:rPr>
      </w:pPr>
    </w:p>
    <w:p w14:paraId="579DC7A9" w14:textId="77777777" w:rsidR="00025948" w:rsidRPr="009B5CBF" w:rsidRDefault="00025948" w:rsidP="00025948">
      <w:pPr>
        <w:rPr>
          <w:lang w:val="hr-HR"/>
        </w:rPr>
      </w:pPr>
    </w:p>
    <w:p w14:paraId="5B017C6E" w14:textId="77777777" w:rsidR="00025948" w:rsidRPr="009B5CBF" w:rsidRDefault="00025948" w:rsidP="00025948">
      <w:pPr>
        <w:rPr>
          <w:lang w:val="hr-HR"/>
        </w:rPr>
      </w:pPr>
    </w:p>
    <w:p w14:paraId="4462410E" w14:textId="77777777" w:rsidR="00025948" w:rsidRPr="009B5CBF" w:rsidRDefault="00025948" w:rsidP="00025948">
      <w:pPr>
        <w:jc w:val="center"/>
        <w:rPr>
          <w:lang w:val="hr-HR"/>
        </w:rPr>
        <w:sectPr w:rsidR="00025948" w:rsidRPr="009B5CBF" w:rsidSect="00927736">
          <w:footerReference w:type="default" r:id="rId8"/>
          <w:pgSz w:w="11906" w:h="16838"/>
          <w:pgMar w:top="1417" w:right="1417" w:bottom="1417" w:left="1417" w:header="708" w:footer="708" w:gutter="0"/>
          <w:cols w:space="708"/>
          <w:titlePg/>
          <w:docGrid w:linePitch="360"/>
        </w:sectPr>
      </w:pPr>
      <w:r w:rsidRPr="009B5CBF">
        <w:rPr>
          <w:lang w:val="hr-HR"/>
        </w:rPr>
        <w:t xml:space="preserve">Zagreb, </w:t>
      </w:r>
      <w:r w:rsidR="00462EC5">
        <w:rPr>
          <w:lang w:val="hr-HR"/>
        </w:rPr>
        <w:t>svibanj</w:t>
      </w:r>
      <w:r w:rsidR="008C09FB" w:rsidRPr="009B5CBF">
        <w:rPr>
          <w:lang w:val="hr-HR"/>
        </w:rPr>
        <w:t xml:space="preserve"> </w:t>
      </w:r>
      <w:r w:rsidR="003C433B" w:rsidRPr="009B5CBF">
        <w:rPr>
          <w:lang w:val="hr-HR"/>
        </w:rPr>
        <w:t>20</w:t>
      </w:r>
      <w:r w:rsidR="00890A93" w:rsidRPr="009B5CBF">
        <w:rPr>
          <w:lang w:val="hr-HR"/>
        </w:rPr>
        <w:t>20</w:t>
      </w:r>
      <w:r w:rsidRPr="009B5CBF">
        <w:rPr>
          <w:lang w:val="hr-HR"/>
        </w:rPr>
        <w:t>.</w:t>
      </w:r>
    </w:p>
    <w:sdt>
      <w:sdtPr>
        <w:rPr>
          <w:rFonts w:asciiTheme="minorHAnsi" w:eastAsiaTheme="minorHAnsi" w:hAnsiTheme="minorHAnsi" w:cstheme="minorBidi"/>
          <w:b w:val="0"/>
          <w:bCs w:val="0"/>
          <w:color w:val="auto"/>
          <w:sz w:val="22"/>
          <w:szCs w:val="22"/>
          <w:lang w:val="hr-HR" w:eastAsia="en-US"/>
        </w:rPr>
        <w:id w:val="-1530321216"/>
        <w:docPartObj>
          <w:docPartGallery w:val="Table of Contents"/>
          <w:docPartUnique/>
        </w:docPartObj>
      </w:sdtPr>
      <w:sdtEndPr/>
      <w:sdtContent>
        <w:p w14:paraId="08667C39" w14:textId="77777777" w:rsidR="00025948" w:rsidRPr="009B5CBF" w:rsidRDefault="00025948">
          <w:pPr>
            <w:pStyle w:val="TOCHeading"/>
            <w:rPr>
              <w:lang w:val="hr-HR"/>
            </w:rPr>
          </w:pPr>
          <w:r w:rsidRPr="009B5CBF">
            <w:rPr>
              <w:lang w:val="hr-HR"/>
            </w:rPr>
            <w:t>Sadržaj</w:t>
          </w:r>
        </w:p>
        <w:p w14:paraId="5EB84AC8" w14:textId="77777777" w:rsidR="00025948" w:rsidRPr="009B5CBF" w:rsidRDefault="00025948" w:rsidP="00025948">
          <w:pPr>
            <w:rPr>
              <w:lang w:val="hr-HR" w:eastAsia="ja-JP"/>
            </w:rPr>
          </w:pPr>
        </w:p>
        <w:p w14:paraId="5F19BDB6" w14:textId="77777777" w:rsidR="009C6EC4" w:rsidRDefault="00025948">
          <w:pPr>
            <w:pStyle w:val="TOC1"/>
            <w:tabs>
              <w:tab w:val="left" w:pos="440"/>
              <w:tab w:val="right" w:leader="dot" w:pos="9062"/>
            </w:tabs>
            <w:rPr>
              <w:rFonts w:eastAsiaTheme="minorEastAsia"/>
              <w:noProof/>
              <w:lang w:val="hr-HR" w:eastAsia="hr-HR"/>
            </w:rPr>
          </w:pPr>
          <w:r w:rsidRPr="009B5CBF">
            <w:rPr>
              <w:lang w:val="hr-HR"/>
            </w:rPr>
            <w:fldChar w:fldCharType="begin"/>
          </w:r>
          <w:r w:rsidRPr="009B5CBF">
            <w:rPr>
              <w:lang w:val="hr-HR"/>
            </w:rPr>
            <w:instrText xml:space="preserve"> TOC \o "1-3" \h \z \u </w:instrText>
          </w:r>
          <w:r w:rsidRPr="009B5CBF">
            <w:rPr>
              <w:lang w:val="hr-HR"/>
            </w:rPr>
            <w:fldChar w:fldCharType="separate"/>
          </w:r>
          <w:hyperlink w:anchor="_Toc39733103" w:history="1">
            <w:r w:rsidR="009C6EC4" w:rsidRPr="003B7FB5">
              <w:rPr>
                <w:rStyle w:val="Hyperlink"/>
                <w:noProof/>
                <w:lang w:val="hr-HR"/>
              </w:rPr>
              <w:t>1.</w:t>
            </w:r>
            <w:r w:rsidR="009C6EC4">
              <w:rPr>
                <w:rFonts w:eastAsiaTheme="minorEastAsia"/>
                <w:noProof/>
                <w:lang w:val="hr-HR" w:eastAsia="hr-HR"/>
              </w:rPr>
              <w:tab/>
            </w:r>
            <w:r w:rsidR="009C6EC4" w:rsidRPr="003B7FB5">
              <w:rPr>
                <w:rStyle w:val="Hyperlink"/>
                <w:noProof/>
                <w:lang w:val="hr-HR"/>
              </w:rPr>
              <w:t>UVOD</w:t>
            </w:r>
            <w:r w:rsidR="009C6EC4">
              <w:rPr>
                <w:noProof/>
                <w:webHidden/>
              </w:rPr>
              <w:tab/>
            </w:r>
            <w:r w:rsidR="009C6EC4">
              <w:rPr>
                <w:noProof/>
                <w:webHidden/>
              </w:rPr>
              <w:fldChar w:fldCharType="begin"/>
            </w:r>
            <w:r w:rsidR="009C6EC4">
              <w:rPr>
                <w:noProof/>
                <w:webHidden/>
              </w:rPr>
              <w:instrText xml:space="preserve"> PAGEREF _Toc39733103 \h </w:instrText>
            </w:r>
            <w:r w:rsidR="009C6EC4">
              <w:rPr>
                <w:noProof/>
                <w:webHidden/>
              </w:rPr>
            </w:r>
            <w:r w:rsidR="009C6EC4">
              <w:rPr>
                <w:noProof/>
                <w:webHidden/>
              </w:rPr>
              <w:fldChar w:fldCharType="separate"/>
            </w:r>
            <w:r w:rsidR="00C3717D">
              <w:rPr>
                <w:noProof/>
                <w:webHidden/>
              </w:rPr>
              <w:t>3</w:t>
            </w:r>
            <w:r w:rsidR="009C6EC4">
              <w:rPr>
                <w:noProof/>
                <w:webHidden/>
              </w:rPr>
              <w:fldChar w:fldCharType="end"/>
            </w:r>
          </w:hyperlink>
        </w:p>
        <w:p w14:paraId="798FCDE6" w14:textId="77777777" w:rsidR="009C6EC4" w:rsidRDefault="00C40FFD">
          <w:pPr>
            <w:pStyle w:val="TOC1"/>
            <w:tabs>
              <w:tab w:val="left" w:pos="440"/>
              <w:tab w:val="right" w:leader="dot" w:pos="9062"/>
            </w:tabs>
            <w:rPr>
              <w:rFonts w:eastAsiaTheme="minorEastAsia"/>
              <w:noProof/>
              <w:lang w:val="hr-HR" w:eastAsia="hr-HR"/>
            </w:rPr>
          </w:pPr>
          <w:hyperlink w:anchor="_Toc39733104" w:history="1">
            <w:r w:rsidR="009C6EC4" w:rsidRPr="003B7FB5">
              <w:rPr>
                <w:rStyle w:val="Hyperlink"/>
                <w:noProof/>
                <w:lang w:val="hr-HR"/>
              </w:rPr>
              <w:t>2.</w:t>
            </w:r>
            <w:r w:rsidR="009C6EC4">
              <w:rPr>
                <w:rFonts w:eastAsiaTheme="minorEastAsia"/>
                <w:noProof/>
                <w:lang w:val="hr-HR" w:eastAsia="hr-HR"/>
              </w:rPr>
              <w:tab/>
            </w:r>
            <w:r w:rsidR="009C6EC4" w:rsidRPr="003B7FB5">
              <w:rPr>
                <w:rStyle w:val="Hyperlink"/>
                <w:noProof/>
                <w:lang w:val="hr-HR"/>
              </w:rPr>
              <w:t>MAKROEKONOMSKI OKVIR</w:t>
            </w:r>
            <w:r w:rsidR="009C6EC4">
              <w:rPr>
                <w:noProof/>
                <w:webHidden/>
              </w:rPr>
              <w:tab/>
            </w:r>
            <w:r w:rsidR="009C6EC4">
              <w:rPr>
                <w:noProof/>
                <w:webHidden/>
              </w:rPr>
              <w:fldChar w:fldCharType="begin"/>
            </w:r>
            <w:r w:rsidR="009C6EC4">
              <w:rPr>
                <w:noProof/>
                <w:webHidden/>
              </w:rPr>
              <w:instrText xml:space="preserve"> PAGEREF _Toc39733104 \h </w:instrText>
            </w:r>
            <w:r w:rsidR="009C6EC4">
              <w:rPr>
                <w:noProof/>
                <w:webHidden/>
              </w:rPr>
            </w:r>
            <w:r w:rsidR="009C6EC4">
              <w:rPr>
                <w:noProof/>
                <w:webHidden/>
              </w:rPr>
              <w:fldChar w:fldCharType="separate"/>
            </w:r>
            <w:r w:rsidR="00C3717D">
              <w:rPr>
                <w:noProof/>
                <w:webHidden/>
              </w:rPr>
              <w:t>5</w:t>
            </w:r>
            <w:r w:rsidR="009C6EC4">
              <w:rPr>
                <w:noProof/>
                <w:webHidden/>
              </w:rPr>
              <w:fldChar w:fldCharType="end"/>
            </w:r>
          </w:hyperlink>
        </w:p>
        <w:p w14:paraId="1CDAE825" w14:textId="77777777" w:rsidR="009C6EC4" w:rsidRDefault="00C40FFD">
          <w:pPr>
            <w:pStyle w:val="TOC1"/>
            <w:tabs>
              <w:tab w:val="left" w:pos="440"/>
              <w:tab w:val="right" w:leader="dot" w:pos="9062"/>
            </w:tabs>
            <w:rPr>
              <w:rFonts w:eastAsiaTheme="minorEastAsia"/>
              <w:noProof/>
              <w:lang w:val="hr-HR" w:eastAsia="hr-HR"/>
            </w:rPr>
          </w:pPr>
          <w:hyperlink w:anchor="_Toc39733105" w:history="1">
            <w:r w:rsidR="009C6EC4" w:rsidRPr="003B7FB5">
              <w:rPr>
                <w:rStyle w:val="Hyperlink"/>
                <w:noProof/>
                <w:lang w:val="hr-HR"/>
              </w:rPr>
              <w:t>3.</w:t>
            </w:r>
            <w:r w:rsidR="009C6EC4">
              <w:rPr>
                <w:rFonts w:eastAsiaTheme="minorEastAsia"/>
                <w:noProof/>
                <w:lang w:val="hr-HR" w:eastAsia="hr-HR"/>
              </w:rPr>
              <w:tab/>
            </w:r>
            <w:r w:rsidR="009C6EC4" w:rsidRPr="003B7FB5">
              <w:rPr>
                <w:rStyle w:val="Hyperlink"/>
                <w:noProof/>
                <w:lang w:val="hr-HR"/>
              </w:rPr>
              <w:t>PRIHODI DRŽAVNOG PRORAČUNA</w:t>
            </w:r>
            <w:r w:rsidR="009C6EC4">
              <w:rPr>
                <w:noProof/>
                <w:webHidden/>
              </w:rPr>
              <w:tab/>
            </w:r>
            <w:r w:rsidR="009C6EC4">
              <w:rPr>
                <w:noProof/>
                <w:webHidden/>
              </w:rPr>
              <w:fldChar w:fldCharType="begin"/>
            </w:r>
            <w:r w:rsidR="009C6EC4">
              <w:rPr>
                <w:noProof/>
                <w:webHidden/>
              </w:rPr>
              <w:instrText xml:space="preserve"> PAGEREF _Toc39733105 \h </w:instrText>
            </w:r>
            <w:r w:rsidR="009C6EC4">
              <w:rPr>
                <w:noProof/>
                <w:webHidden/>
              </w:rPr>
            </w:r>
            <w:r w:rsidR="009C6EC4">
              <w:rPr>
                <w:noProof/>
                <w:webHidden/>
              </w:rPr>
              <w:fldChar w:fldCharType="separate"/>
            </w:r>
            <w:r w:rsidR="00C3717D">
              <w:rPr>
                <w:noProof/>
                <w:webHidden/>
              </w:rPr>
              <w:t>8</w:t>
            </w:r>
            <w:r w:rsidR="009C6EC4">
              <w:rPr>
                <w:noProof/>
                <w:webHidden/>
              </w:rPr>
              <w:fldChar w:fldCharType="end"/>
            </w:r>
          </w:hyperlink>
        </w:p>
        <w:p w14:paraId="15088306" w14:textId="77777777" w:rsidR="009C6EC4" w:rsidRDefault="00C40FFD">
          <w:pPr>
            <w:pStyle w:val="TOC1"/>
            <w:tabs>
              <w:tab w:val="left" w:pos="440"/>
              <w:tab w:val="right" w:leader="dot" w:pos="9062"/>
            </w:tabs>
            <w:rPr>
              <w:rFonts w:eastAsiaTheme="minorEastAsia"/>
              <w:noProof/>
              <w:lang w:val="hr-HR" w:eastAsia="hr-HR"/>
            </w:rPr>
          </w:pPr>
          <w:hyperlink w:anchor="_Toc39733106" w:history="1">
            <w:r w:rsidR="009C6EC4" w:rsidRPr="003B7FB5">
              <w:rPr>
                <w:rStyle w:val="Hyperlink"/>
                <w:noProof/>
                <w:lang w:val="hr-HR"/>
              </w:rPr>
              <w:t>4.</w:t>
            </w:r>
            <w:r w:rsidR="009C6EC4">
              <w:rPr>
                <w:rFonts w:eastAsiaTheme="minorEastAsia"/>
                <w:noProof/>
                <w:lang w:val="hr-HR" w:eastAsia="hr-HR"/>
              </w:rPr>
              <w:tab/>
            </w:r>
            <w:r w:rsidR="009C6EC4" w:rsidRPr="003B7FB5">
              <w:rPr>
                <w:rStyle w:val="Hyperlink"/>
                <w:noProof/>
                <w:lang w:val="hr-HR"/>
              </w:rPr>
              <w:t>RASHODI DRŽAVNOG PRORAČUNA</w:t>
            </w:r>
            <w:r w:rsidR="009C6EC4">
              <w:rPr>
                <w:noProof/>
                <w:webHidden/>
              </w:rPr>
              <w:tab/>
            </w:r>
            <w:r w:rsidR="009C6EC4">
              <w:rPr>
                <w:noProof/>
                <w:webHidden/>
              </w:rPr>
              <w:fldChar w:fldCharType="begin"/>
            </w:r>
            <w:r w:rsidR="009C6EC4">
              <w:rPr>
                <w:noProof/>
                <w:webHidden/>
              </w:rPr>
              <w:instrText xml:space="preserve"> PAGEREF _Toc39733106 \h </w:instrText>
            </w:r>
            <w:r w:rsidR="009C6EC4">
              <w:rPr>
                <w:noProof/>
                <w:webHidden/>
              </w:rPr>
            </w:r>
            <w:r w:rsidR="009C6EC4">
              <w:rPr>
                <w:noProof/>
                <w:webHidden/>
              </w:rPr>
              <w:fldChar w:fldCharType="separate"/>
            </w:r>
            <w:r w:rsidR="00C3717D">
              <w:rPr>
                <w:noProof/>
                <w:webHidden/>
              </w:rPr>
              <w:t>12</w:t>
            </w:r>
            <w:r w:rsidR="009C6EC4">
              <w:rPr>
                <w:noProof/>
                <w:webHidden/>
              </w:rPr>
              <w:fldChar w:fldCharType="end"/>
            </w:r>
          </w:hyperlink>
        </w:p>
        <w:p w14:paraId="02973DC6" w14:textId="77777777" w:rsidR="009C6EC4" w:rsidRDefault="00C40FFD">
          <w:pPr>
            <w:pStyle w:val="TOC2"/>
            <w:tabs>
              <w:tab w:val="left" w:pos="880"/>
              <w:tab w:val="right" w:leader="dot" w:pos="9062"/>
            </w:tabs>
            <w:rPr>
              <w:rFonts w:eastAsiaTheme="minorEastAsia"/>
              <w:noProof/>
              <w:lang w:val="hr-HR" w:eastAsia="hr-HR"/>
            </w:rPr>
          </w:pPr>
          <w:hyperlink w:anchor="_Toc39733107" w:history="1">
            <w:r w:rsidR="009C6EC4" w:rsidRPr="003B7FB5">
              <w:rPr>
                <w:rStyle w:val="Hyperlink"/>
                <w:noProof/>
                <w:lang w:val="hr-HR"/>
              </w:rPr>
              <w:t>4.1.</w:t>
            </w:r>
            <w:r w:rsidR="009C6EC4">
              <w:rPr>
                <w:rFonts w:eastAsiaTheme="minorEastAsia"/>
                <w:noProof/>
                <w:lang w:val="hr-HR" w:eastAsia="hr-HR"/>
              </w:rPr>
              <w:tab/>
            </w:r>
            <w:r w:rsidR="009C6EC4" w:rsidRPr="003B7FB5">
              <w:rPr>
                <w:rStyle w:val="Hyperlink"/>
                <w:noProof/>
                <w:lang w:val="hr-HR"/>
              </w:rPr>
              <w:t>Obrazloženje rashoda po ekonomskoj klasifikaciji</w:t>
            </w:r>
            <w:r w:rsidR="009C6EC4">
              <w:rPr>
                <w:noProof/>
                <w:webHidden/>
              </w:rPr>
              <w:tab/>
            </w:r>
            <w:r w:rsidR="009C6EC4">
              <w:rPr>
                <w:noProof/>
                <w:webHidden/>
              </w:rPr>
              <w:fldChar w:fldCharType="begin"/>
            </w:r>
            <w:r w:rsidR="009C6EC4">
              <w:rPr>
                <w:noProof/>
                <w:webHidden/>
              </w:rPr>
              <w:instrText xml:space="preserve"> PAGEREF _Toc39733107 \h </w:instrText>
            </w:r>
            <w:r w:rsidR="009C6EC4">
              <w:rPr>
                <w:noProof/>
                <w:webHidden/>
              </w:rPr>
            </w:r>
            <w:r w:rsidR="009C6EC4">
              <w:rPr>
                <w:noProof/>
                <w:webHidden/>
              </w:rPr>
              <w:fldChar w:fldCharType="separate"/>
            </w:r>
            <w:r w:rsidR="00C3717D">
              <w:rPr>
                <w:noProof/>
                <w:webHidden/>
              </w:rPr>
              <w:t>13</w:t>
            </w:r>
            <w:r w:rsidR="009C6EC4">
              <w:rPr>
                <w:noProof/>
                <w:webHidden/>
              </w:rPr>
              <w:fldChar w:fldCharType="end"/>
            </w:r>
          </w:hyperlink>
        </w:p>
        <w:p w14:paraId="7F297811" w14:textId="77777777" w:rsidR="009C6EC4" w:rsidRDefault="00C40FFD">
          <w:pPr>
            <w:pStyle w:val="TOC2"/>
            <w:tabs>
              <w:tab w:val="left" w:pos="880"/>
              <w:tab w:val="right" w:leader="dot" w:pos="9062"/>
            </w:tabs>
            <w:rPr>
              <w:rFonts w:eastAsiaTheme="minorEastAsia"/>
              <w:noProof/>
              <w:lang w:val="hr-HR" w:eastAsia="hr-HR"/>
            </w:rPr>
          </w:pPr>
          <w:hyperlink w:anchor="_Toc39733108" w:history="1">
            <w:r w:rsidR="009C6EC4" w:rsidRPr="003B7FB5">
              <w:rPr>
                <w:rStyle w:val="Hyperlink"/>
                <w:noProof/>
                <w:lang w:val="hr-HR"/>
              </w:rPr>
              <w:t>4.2.</w:t>
            </w:r>
            <w:r w:rsidR="009C6EC4">
              <w:rPr>
                <w:rFonts w:eastAsiaTheme="minorEastAsia"/>
                <w:noProof/>
                <w:lang w:val="hr-HR" w:eastAsia="hr-HR"/>
              </w:rPr>
              <w:tab/>
            </w:r>
            <w:r w:rsidR="009C6EC4" w:rsidRPr="003B7FB5">
              <w:rPr>
                <w:rStyle w:val="Hyperlink"/>
                <w:noProof/>
                <w:lang w:val="hr-HR"/>
              </w:rPr>
              <w:t>Obrazloženje rashoda po funkcijskoj klasifikaciji</w:t>
            </w:r>
            <w:r w:rsidR="009C6EC4">
              <w:rPr>
                <w:noProof/>
                <w:webHidden/>
              </w:rPr>
              <w:tab/>
            </w:r>
            <w:r w:rsidR="009C6EC4">
              <w:rPr>
                <w:noProof/>
                <w:webHidden/>
              </w:rPr>
              <w:fldChar w:fldCharType="begin"/>
            </w:r>
            <w:r w:rsidR="009C6EC4">
              <w:rPr>
                <w:noProof/>
                <w:webHidden/>
              </w:rPr>
              <w:instrText xml:space="preserve"> PAGEREF _Toc39733108 \h </w:instrText>
            </w:r>
            <w:r w:rsidR="009C6EC4">
              <w:rPr>
                <w:noProof/>
                <w:webHidden/>
              </w:rPr>
            </w:r>
            <w:r w:rsidR="009C6EC4">
              <w:rPr>
                <w:noProof/>
                <w:webHidden/>
              </w:rPr>
              <w:fldChar w:fldCharType="separate"/>
            </w:r>
            <w:r w:rsidR="00C3717D">
              <w:rPr>
                <w:noProof/>
                <w:webHidden/>
              </w:rPr>
              <w:t>15</w:t>
            </w:r>
            <w:r w:rsidR="009C6EC4">
              <w:rPr>
                <w:noProof/>
                <w:webHidden/>
              </w:rPr>
              <w:fldChar w:fldCharType="end"/>
            </w:r>
          </w:hyperlink>
        </w:p>
        <w:p w14:paraId="74F02BA5" w14:textId="77777777" w:rsidR="009C6EC4" w:rsidRDefault="00C40FFD">
          <w:pPr>
            <w:pStyle w:val="TOC2"/>
            <w:tabs>
              <w:tab w:val="left" w:pos="880"/>
              <w:tab w:val="right" w:leader="dot" w:pos="9062"/>
            </w:tabs>
            <w:rPr>
              <w:rFonts w:eastAsiaTheme="minorEastAsia"/>
              <w:noProof/>
              <w:lang w:val="hr-HR" w:eastAsia="hr-HR"/>
            </w:rPr>
          </w:pPr>
          <w:hyperlink w:anchor="_Toc39733109" w:history="1">
            <w:r w:rsidR="009C6EC4" w:rsidRPr="003B7FB5">
              <w:rPr>
                <w:rStyle w:val="Hyperlink"/>
                <w:noProof/>
                <w:lang w:val="hr-HR"/>
              </w:rPr>
              <w:t>4.3.</w:t>
            </w:r>
            <w:r w:rsidR="009C6EC4">
              <w:rPr>
                <w:rFonts w:eastAsiaTheme="minorEastAsia"/>
                <w:noProof/>
                <w:lang w:val="hr-HR" w:eastAsia="hr-HR"/>
              </w:rPr>
              <w:tab/>
            </w:r>
            <w:r w:rsidR="009C6EC4" w:rsidRPr="003B7FB5">
              <w:rPr>
                <w:rStyle w:val="Hyperlink"/>
                <w:noProof/>
                <w:lang w:val="hr-HR"/>
              </w:rPr>
              <w:t>Obrazloženje rashoda po izvorima financiranja</w:t>
            </w:r>
            <w:r w:rsidR="009C6EC4">
              <w:rPr>
                <w:noProof/>
                <w:webHidden/>
              </w:rPr>
              <w:tab/>
            </w:r>
            <w:r w:rsidR="009C6EC4">
              <w:rPr>
                <w:noProof/>
                <w:webHidden/>
              </w:rPr>
              <w:fldChar w:fldCharType="begin"/>
            </w:r>
            <w:r w:rsidR="009C6EC4">
              <w:rPr>
                <w:noProof/>
                <w:webHidden/>
              </w:rPr>
              <w:instrText xml:space="preserve"> PAGEREF _Toc39733109 \h </w:instrText>
            </w:r>
            <w:r w:rsidR="009C6EC4">
              <w:rPr>
                <w:noProof/>
                <w:webHidden/>
              </w:rPr>
            </w:r>
            <w:r w:rsidR="009C6EC4">
              <w:rPr>
                <w:noProof/>
                <w:webHidden/>
              </w:rPr>
              <w:fldChar w:fldCharType="separate"/>
            </w:r>
            <w:r w:rsidR="00C3717D">
              <w:rPr>
                <w:noProof/>
                <w:webHidden/>
              </w:rPr>
              <w:t>16</w:t>
            </w:r>
            <w:r w:rsidR="009C6EC4">
              <w:rPr>
                <w:noProof/>
                <w:webHidden/>
              </w:rPr>
              <w:fldChar w:fldCharType="end"/>
            </w:r>
          </w:hyperlink>
        </w:p>
        <w:p w14:paraId="3CC75972" w14:textId="77777777" w:rsidR="009C6EC4" w:rsidRDefault="00C40FFD">
          <w:pPr>
            <w:pStyle w:val="TOC1"/>
            <w:tabs>
              <w:tab w:val="left" w:pos="440"/>
              <w:tab w:val="right" w:leader="dot" w:pos="9062"/>
            </w:tabs>
            <w:rPr>
              <w:rFonts w:eastAsiaTheme="minorEastAsia"/>
              <w:noProof/>
              <w:lang w:val="hr-HR" w:eastAsia="hr-HR"/>
            </w:rPr>
          </w:pPr>
          <w:hyperlink w:anchor="_Toc39733110" w:history="1">
            <w:r w:rsidR="009C6EC4" w:rsidRPr="003B7FB5">
              <w:rPr>
                <w:rStyle w:val="Hyperlink"/>
                <w:noProof/>
                <w:lang w:val="hr-HR"/>
              </w:rPr>
              <w:t>5.</w:t>
            </w:r>
            <w:r w:rsidR="009C6EC4">
              <w:rPr>
                <w:rFonts w:eastAsiaTheme="minorEastAsia"/>
                <w:noProof/>
                <w:lang w:val="hr-HR" w:eastAsia="hr-HR"/>
              </w:rPr>
              <w:tab/>
            </w:r>
            <w:r w:rsidR="009C6EC4" w:rsidRPr="003B7FB5">
              <w:rPr>
                <w:rStyle w:val="Hyperlink"/>
                <w:noProof/>
                <w:lang w:val="hr-HR"/>
              </w:rPr>
              <w:t>UKUPNI MANJAK DRŽAVNOG PRORAČUNA</w:t>
            </w:r>
            <w:r w:rsidR="009C6EC4">
              <w:rPr>
                <w:noProof/>
                <w:webHidden/>
              </w:rPr>
              <w:tab/>
            </w:r>
            <w:r w:rsidR="009C6EC4">
              <w:rPr>
                <w:noProof/>
                <w:webHidden/>
              </w:rPr>
              <w:fldChar w:fldCharType="begin"/>
            </w:r>
            <w:r w:rsidR="009C6EC4">
              <w:rPr>
                <w:noProof/>
                <w:webHidden/>
              </w:rPr>
              <w:instrText xml:space="preserve"> PAGEREF _Toc39733110 \h </w:instrText>
            </w:r>
            <w:r w:rsidR="009C6EC4">
              <w:rPr>
                <w:noProof/>
                <w:webHidden/>
              </w:rPr>
            </w:r>
            <w:r w:rsidR="009C6EC4">
              <w:rPr>
                <w:noProof/>
                <w:webHidden/>
              </w:rPr>
              <w:fldChar w:fldCharType="separate"/>
            </w:r>
            <w:r w:rsidR="00C3717D">
              <w:rPr>
                <w:noProof/>
                <w:webHidden/>
              </w:rPr>
              <w:t>17</w:t>
            </w:r>
            <w:r w:rsidR="009C6EC4">
              <w:rPr>
                <w:noProof/>
                <w:webHidden/>
              </w:rPr>
              <w:fldChar w:fldCharType="end"/>
            </w:r>
          </w:hyperlink>
        </w:p>
        <w:p w14:paraId="46BF31AC" w14:textId="77777777" w:rsidR="009C6EC4" w:rsidRDefault="00C40FFD">
          <w:pPr>
            <w:pStyle w:val="TOC1"/>
            <w:tabs>
              <w:tab w:val="left" w:pos="440"/>
              <w:tab w:val="right" w:leader="dot" w:pos="9062"/>
            </w:tabs>
            <w:rPr>
              <w:rFonts w:eastAsiaTheme="minorEastAsia"/>
              <w:noProof/>
              <w:lang w:val="hr-HR" w:eastAsia="hr-HR"/>
            </w:rPr>
          </w:pPr>
          <w:hyperlink w:anchor="_Toc39733111" w:history="1">
            <w:r w:rsidR="009C6EC4" w:rsidRPr="003B7FB5">
              <w:rPr>
                <w:rStyle w:val="Hyperlink"/>
                <w:noProof/>
                <w:lang w:val="hr-HR"/>
              </w:rPr>
              <w:t>6.</w:t>
            </w:r>
            <w:r w:rsidR="009C6EC4">
              <w:rPr>
                <w:rFonts w:eastAsiaTheme="minorEastAsia"/>
                <w:noProof/>
                <w:lang w:val="hr-HR" w:eastAsia="hr-HR"/>
              </w:rPr>
              <w:tab/>
            </w:r>
            <w:r w:rsidR="009C6EC4" w:rsidRPr="003B7FB5">
              <w:rPr>
                <w:rStyle w:val="Hyperlink"/>
                <w:noProof/>
                <w:lang w:val="hr-HR"/>
              </w:rPr>
              <w:t>RAČUN FINANCIRANJA DRŽAVNOG PRORAČUNA</w:t>
            </w:r>
            <w:r w:rsidR="009C6EC4">
              <w:rPr>
                <w:noProof/>
                <w:webHidden/>
              </w:rPr>
              <w:tab/>
            </w:r>
            <w:r w:rsidR="009C6EC4">
              <w:rPr>
                <w:noProof/>
                <w:webHidden/>
              </w:rPr>
              <w:fldChar w:fldCharType="begin"/>
            </w:r>
            <w:r w:rsidR="009C6EC4">
              <w:rPr>
                <w:noProof/>
                <w:webHidden/>
              </w:rPr>
              <w:instrText xml:space="preserve"> PAGEREF _Toc39733111 \h </w:instrText>
            </w:r>
            <w:r w:rsidR="009C6EC4">
              <w:rPr>
                <w:noProof/>
                <w:webHidden/>
              </w:rPr>
            </w:r>
            <w:r w:rsidR="009C6EC4">
              <w:rPr>
                <w:noProof/>
                <w:webHidden/>
              </w:rPr>
              <w:fldChar w:fldCharType="separate"/>
            </w:r>
            <w:r w:rsidR="00C3717D">
              <w:rPr>
                <w:noProof/>
                <w:webHidden/>
              </w:rPr>
              <w:t>18</w:t>
            </w:r>
            <w:r w:rsidR="009C6EC4">
              <w:rPr>
                <w:noProof/>
                <w:webHidden/>
              </w:rPr>
              <w:fldChar w:fldCharType="end"/>
            </w:r>
          </w:hyperlink>
        </w:p>
        <w:p w14:paraId="2FE1635C" w14:textId="77777777" w:rsidR="009C6EC4" w:rsidRDefault="00C40FFD">
          <w:pPr>
            <w:pStyle w:val="TOC1"/>
            <w:tabs>
              <w:tab w:val="left" w:pos="440"/>
              <w:tab w:val="right" w:leader="dot" w:pos="9062"/>
            </w:tabs>
            <w:rPr>
              <w:rFonts w:eastAsiaTheme="minorEastAsia"/>
              <w:noProof/>
              <w:lang w:val="hr-HR" w:eastAsia="hr-HR"/>
            </w:rPr>
          </w:pPr>
          <w:hyperlink w:anchor="_Toc39733112" w:history="1">
            <w:r w:rsidR="009C6EC4" w:rsidRPr="003B7FB5">
              <w:rPr>
                <w:rStyle w:val="Hyperlink"/>
                <w:noProof/>
                <w:lang w:val="hr-HR"/>
              </w:rPr>
              <w:t>7.</w:t>
            </w:r>
            <w:r w:rsidR="009C6EC4">
              <w:rPr>
                <w:rFonts w:eastAsiaTheme="minorEastAsia"/>
                <w:noProof/>
                <w:lang w:val="hr-HR" w:eastAsia="hr-HR"/>
              </w:rPr>
              <w:tab/>
            </w:r>
            <w:r w:rsidR="009C6EC4" w:rsidRPr="003B7FB5">
              <w:rPr>
                <w:rStyle w:val="Hyperlink"/>
                <w:noProof/>
                <w:lang w:val="hr-HR"/>
              </w:rPr>
              <w:t>PROCJENA UKUPNOG MANJKA PRORAČUNA OPĆE DRŽAVE</w:t>
            </w:r>
            <w:r w:rsidR="009C6EC4">
              <w:rPr>
                <w:noProof/>
                <w:webHidden/>
              </w:rPr>
              <w:tab/>
            </w:r>
            <w:r w:rsidR="009C6EC4">
              <w:rPr>
                <w:noProof/>
                <w:webHidden/>
              </w:rPr>
              <w:fldChar w:fldCharType="begin"/>
            </w:r>
            <w:r w:rsidR="009C6EC4">
              <w:rPr>
                <w:noProof/>
                <w:webHidden/>
              </w:rPr>
              <w:instrText xml:space="preserve"> PAGEREF _Toc39733112 \h </w:instrText>
            </w:r>
            <w:r w:rsidR="009C6EC4">
              <w:rPr>
                <w:noProof/>
                <w:webHidden/>
              </w:rPr>
            </w:r>
            <w:r w:rsidR="009C6EC4">
              <w:rPr>
                <w:noProof/>
                <w:webHidden/>
              </w:rPr>
              <w:fldChar w:fldCharType="separate"/>
            </w:r>
            <w:r w:rsidR="00C3717D">
              <w:rPr>
                <w:noProof/>
                <w:webHidden/>
              </w:rPr>
              <w:t>20</w:t>
            </w:r>
            <w:r w:rsidR="009C6EC4">
              <w:rPr>
                <w:noProof/>
                <w:webHidden/>
              </w:rPr>
              <w:fldChar w:fldCharType="end"/>
            </w:r>
          </w:hyperlink>
        </w:p>
        <w:p w14:paraId="74AD8C06" w14:textId="77777777" w:rsidR="00025948" w:rsidRPr="009B5CBF" w:rsidRDefault="00025948">
          <w:pPr>
            <w:rPr>
              <w:lang w:val="hr-HR"/>
            </w:rPr>
          </w:pPr>
          <w:r w:rsidRPr="009B5CBF">
            <w:rPr>
              <w:b/>
              <w:bCs/>
              <w:lang w:val="hr-HR"/>
            </w:rPr>
            <w:fldChar w:fldCharType="end"/>
          </w:r>
        </w:p>
      </w:sdtContent>
    </w:sdt>
    <w:p w14:paraId="40E1A695" w14:textId="77777777" w:rsidR="00C062D4" w:rsidRPr="009B5CBF" w:rsidRDefault="00C062D4" w:rsidP="00025948">
      <w:pPr>
        <w:rPr>
          <w:lang w:val="hr-HR"/>
        </w:rPr>
      </w:pPr>
    </w:p>
    <w:p w14:paraId="2BC08B41" w14:textId="77777777" w:rsidR="00025948" w:rsidRPr="009B5CBF" w:rsidRDefault="00025948" w:rsidP="00025948">
      <w:pPr>
        <w:rPr>
          <w:lang w:val="hr-HR"/>
        </w:rPr>
      </w:pPr>
      <w:r w:rsidRPr="009B5CBF">
        <w:rPr>
          <w:lang w:val="hr-HR"/>
        </w:rPr>
        <w:br w:type="page"/>
      </w:r>
    </w:p>
    <w:p w14:paraId="14AB1063" w14:textId="77777777" w:rsidR="00025948" w:rsidRPr="009B5CBF" w:rsidRDefault="00025948" w:rsidP="001E19B0">
      <w:pPr>
        <w:pStyle w:val="Heading1"/>
        <w:numPr>
          <w:ilvl w:val="0"/>
          <w:numId w:val="1"/>
        </w:numPr>
        <w:spacing w:after="240"/>
        <w:rPr>
          <w:lang w:val="hr-HR"/>
        </w:rPr>
      </w:pPr>
      <w:bookmarkStart w:id="1" w:name="_Toc468888687"/>
      <w:bookmarkStart w:id="2" w:name="_Toc39733103"/>
      <w:r w:rsidRPr="009B5CBF">
        <w:rPr>
          <w:lang w:val="hr-HR"/>
        </w:rPr>
        <w:lastRenderedPageBreak/>
        <w:t>UVOD</w:t>
      </w:r>
      <w:bookmarkEnd w:id="1"/>
      <w:bookmarkEnd w:id="2"/>
    </w:p>
    <w:p w14:paraId="01A05C4B" w14:textId="77777777" w:rsidR="00890A93" w:rsidRPr="009B5CBF" w:rsidRDefault="00890A93" w:rsidP="00890A93">
      <w:pPr>
        <w:rPr>
          <w:lang w:val="hr-HR"/>
        </w:rPr>
      </w:pPr>
    </w:p>
    <w:p w14:paraId="000150D0" w14:textId="77777777" w:rsidR="00256902" w:rsidRDefault="004A6071" w:rsidP="004A6071">
      <w:pPr>
        <w:jc w:val="both"/>
        <w:rPr>
          <w:lang w:val="hr-HR"/>
        </w:rPr>
      </w:pPr>
      <w:r>
        <w:rPr>
          <w:lang w:val="hr-HR"/>
        </w:rPr>
        <w:t xml:space="preserve">Pandemija koronavirusa ima iznimno negativni zdravstveni, socijalni i ekonomski utjecaj na globalnoj razini pa tako i u RH. Od ožujka 2020. godine na razini čitave RH provode se epidemiološke mjere, uključujući i mjere socijalne izolacije s vrlo nepovoljnim utjecajem na gospodarsku aktivnost koja je smanjena ili obustavljena na gotovo svim područjima, osim onim neophodnim za funkcioniranje društva. U prvoj fazi, ključni napori bili su prvenstveno usmjereni na zaustavljanje širenja koronavirusa i sprječavanje neodrživih pritisaka na sustav javnog zdravstva. Povrh svega navedenog, 22. ožujka 2020., Zagreb i okolicu pogodio je najsnažniji potres u proteklih 140 godina uzrokovavši velika infrastrukturna oštećenja i dodatan pritisak na funkcioniranje javnih službi. Žuran odgovor na ove izazove kao i smanjena gospodarska aktivnost dovode do snažnih izazova i za fiskalnu politiku te dosadašnje pozitivne fiskalne pokazatelje. </w:t>
      </w:r>
      <w:r w:rsidR="00256902">
        <w:rPr>
          <w:lang w:val="hr-HR"/>
        </w:rPr>
        <w:t>Naime, u</w:t>
      </w:r>
      <w:r w:rsidR="00256902" w:rsidRPr="00256902">
        <w:rPr>
          <w:lang w:val="hr-HR"/>
        </w:rPr>
        <w:t xml:space="preserve"> protekle četiri godine ostvareni su značajni napori na području konsolidacije javnih financija. Nakon što je RH u lipnju 2017. izašla iz procedure prekomjernog proračunskog manjka, u naredne tri godine bilježi se proračunski višak i snažno smanjenje udjela javnog duga u BDP-u i to za više od 11 postotnih bodova u odnosu na kraj 2015. godine. Time je stvoren fiskalni prostor za brzu i snažnu fiskalnu potporu za održavanje zaposlenosti i cjelokupne gospodarske aktivnosti kao odgovor na </w:t>
      </w:r>
      <w:r w:rsidR="00256902">
        <w:rPr>
          <w:lang w:val="hr-HR"/>
        </w:rPr>
        <w:t xml:space="preserve">ovu </w:t>
      </w:r>
      <w:r w:rsidR="00256902" w:rsidRPr="00256902">
        <w:rPr>
          <w:lang w:val="hr-HR"/>
        </w:rPr>
        <w:t xml:space="preserve">krizu. </w:t>
      </w:r>
    </w:p>
    <w:p w14:paraId="4D85EB71" w14:textId="77777777" w:rsidR="004A6071" w:rsidRDefault="004A6071" w:rsidP="004A6071">
      <w:pPr>
        <w:jc w:val="both"/>
        <w:rPr>
          <w:lang w:val="hr-HR"/>
        </w:rPr>
      </w:pPr>
      <w:r>
        <w:rPr>
          <w:lang w:val="hr-HR"/>
        </w:rPr>
        <w:t xml:space="preserve">Kako je postalo nedvojbeno da pandemija koronavirusa vrlo negativno utječe na gospodarsku aktivnost, Vlada RH je 17. ožujka 2020., a potom i 2. travnja 2020. donijela dva sveobuhvatna i ciljana paketa gospodarskih mjera. Njihov cilj je prvenstveno pomoći privatnom sektoru kao nositelju gospodarske aktivnosti da što uspješnije prebrodi krizu kroz očuvanje radnih mjesta, isplatu plaća, odnosno rješavanje problema nelikvidnosti onima čija je poslovna aktivnost smanjena. Također se želi očuvati dohodak najranjivijih skupina stanovništva te postaviti temelje za brzi gospodarski oporavak. U tom kontekstu, donesene su horizontalne mjere namijenjene pomoći gospodarstvu i stanovništvu, kao i niz mjera usmjerenih na ublažavanje negativnih posljedica u pojedinačnim sektorima koje imaju učinke kako s prihodne, tako i s rashodne strane proračuna. </w:t>
      </w:r>
    </w:p>
    <w:p w14:paraId="25A63603" w14:textId="77777777" w:rsidR="002B3BAA" w:rsidRDefault="004A6071" w:rsidP="002B3BAA">
      <w:pPr>
        <w:jc w:val="both"/>
        <w:rPr>
          <w:lang w:val="hr-HR"/>
        </w:rPr>
      </w:pPr>
      <w:r>
        <w:rPr>
          <w:lang w:val="hr-HR"/>
        </w:rPr>
        <w:t>Temeljem izmjena i dopuna Općeg poreznog zakona</w:t>
      </w:r>
      <w:r>
        <w:rPr>
          <w:rStyle w:val="FootnoteReference"/>
          <w:lang w:val="hr-HR"/>
        </w:rPr>
        <w:footnoteReference w:id="1"/>
      </w:r>
      <w:r>
        <w:rPr>
          <w:lang w:val="hr-HR"/>
        </w:rPr>
        <w:t xml:space="preserve"> te Pravilnika o dopunama Pravilnika o provedbi OPZ-a</w:t>
      </w:r>
      <w:r>
        <w:rPr>
          <w:rStyle w:val="FootnoteReference"/>
          <w:lang w:val="hr-HR"/>
        </w:rPr>
        <w:footnoteReference w:id="2"/>
      </w:r>
      <w:r>
        <w:rPr>
          <w:lang w:val="hr-HR"/>
        </w:rPr>
        <w:t xml:space="preserve">, poduzetnicima koji su imali ili su procijenili da će imati pad prihoda veći od 20%, omogućena je beskamatna odgoda i obročna otplata izravnih poreza i doprinosa. Dodatno, travanjskim paketom gospodarskih mjera ova je mjera ojačana te će poduzetnici s godišnjim prihodom manjim od 7,5 milijuna kuna (kojih je 93%), s padom prihoda većim od 50%, biti u potpunosti oslobođeni plaćanja javnih davanja koja dospijevaju tijekom travnja, svibnja i lipnja 2020. godine. U istom razdoblju, tvrtke koje ostvaruju prihod veći od 7,5 milijuna kuna, uz pad prihoda veći od 50%, bit će djelomično oslobođeni plaćanja navedenih davanja ovisno o padu prihoda. Nadalje, uvedena je i mogućnost plaćanja PDV-a po plaćenim i naplaćenim računima, sve s ciljem osiguravanja dodatne likvidnosti gospodarskih subjekata. </w:t>
      </w:r>
      <w:r w:rsidR="002B3BAA">
        <w:rPr>
          <w:lang w:val="hr-HR"/>
        </w:rPr>
        <w:t>Projicirani učinak mjera odgode i otpisa izravnih poreza i doprinosa na razini državnog proračuna iznosi 2,5 milijardi kuna u 2020. godini.</w:t>
      </w:r>
    </w:p>
    <w:p w14:paraId="1A55E11C" w14:textId="77777777" w:rsidR="002B3BAA" w:rsidRDefault="002B3BAA" w:rsidP="002B3BAA">
      <w:pPr>
        <w:jc w:val="both"/>
        <w:rPr>
          <w:lang w:val="hr-HR"/>
        </w:rPr>
      </w:pPr>
      <w:r>
        <w:rPr>
          <w:lang w:val="hr-HR"/>
        </w:rPr>
        <w:t xml:space="preserve">Kako bi se očuvala radna mjesta u najugroženijim sektorima pogođenim koronavirusom, donesena je mjera potpore kojom se sufinancira trošak plaće u iznosu od 3.250 kuna po zaposlenom za ožujak, a </w:t>
      </w:r>
      <w:r>
        <w:rPr>
          <w:lang w:val="hr-HR"/>
        </w:rPr>
        <w:lastRenderedPageBreak/>
        <w:t>iznos za travanj i svibanj povećan je na 4.000 kuna, s tim da će trošak doprinosa za mirovinsko i zdravstveno osiguranje snositi državni proračun. Trenutno je ovom mjerom obuhvaćeno gotovo 84 tisuća poslodav</w:t>
      </w:r>
      <w:r w:rsidR="009F1616">
        <w:rPr>
          <w:lang w:val="hr-HR"/>
        </w:rPr>
        <w:t>aca za 485 tisuća radnih mjesta</w:t>
      </w:r>
      <w:r>
        <w:rPr>
          <w:lang w:val="hr-HR"/>
        </w:rPr>
        <w:t>.</w:t>
      </w:r>
      <w:r w:rsidR="00B74EF4">
        <w:rPr>
          <w:lang w:val="hr-HR"/>
        </w:rPr>
        <w:t xml:space="preserve"> </w:t>
      </w:r>
    </w:p>
    <w:p w14:paraId="6BA9B0BB" w14:textId="77777777" w:rsidR="00B74EF4" w:rsidRDefault="00B74EF4" w:rsidP="002B3BAA">
      <w:pPr>
        <w:jc w:val="both"/>
        <w:rPr>
          <w:lang w:val="hr-HR"/>
        </w:rPr>
      </w:pPr>
      <w:r>
        <w:rPr>
          <w:lang w:val="hr-HR"/>
        </w:rPr>
        <w:t>Ove ekonomske mjere, ali i niz mjera usmjerenih na podržavanje likvidnosti u gospodarstvu usporedive su sa svim objavljenim inozemnim paketima mjera, a prema dosad dostupnim podacima i analizama postižu i očekivane rezultate.</w:t>
      </w:r>
    </w:p>
    <w:p w14:paraId="67EDF3A9" w14:textId="77777777" w:rsidR="002B3BAA" w:rsidRDefault="002B3BAA" w:rsidP="004A6071">
      <w:pPr>
        <w:jc w:val="both"/>
        <w:rPr>
          <w:lang w:val="hr-HR"/>
        </w:rPr>
      </w:pPr>
      <w:r w:rsidRPr="002B3BAA">
        <w:rPr>
          <w:lang w:val="hr-HR"/>
        </w:rPr>
        <w:t xml:space="preserve">Dosad objavljeni visokofrekventni pokazatelji za 2020. godinu pokazuju tek početne učinke pandemije COVID-19 na domaće gospodarstvo. Tako se bilježi rekordno niska razina indeksa ukupnog ekonomskog raspoloženja, a u travnju je došlo i do izraženog pogoršanja potrošačkog optimizma. Nastavno na navedeno i materijalizaciju ekonomskih posljedica zdravstvene krize, makroekonomski scenarij pretpostavlja da će glavni udar na domaće, ali i globalno gospodarstvo biti kratkotrajne naravi, a najintenzivniji u prvoj polovici drugog tromjesečja. Slijedom toga, u 2020. godini očekuje se pad BDP-a od 9,4%, pri čemu će sve sastavnice s rashodne strane BDP-a, izuzev državne potrošnje, bilježiti pad. </w:t>
      </w:r>
    </w:p>
    <w:p w14:paraId="2EA992CE" w14:textId="77777777" w:rsidR="00256902" w:rsidRDefault="00322E85" w:rsidP="004A6071">
      <w:pPr>
        <w:jc w:val="both"/>
        <w:rPr>
          <w:lang w:val="hr-HR"/>
        </w:rPr>
      </w:pPr>
      <w:r>
        <w:rPr>
          <w:lang w:val="hr-HR"/>
        </w:rPr>
        <w:t xml:space="preserve">Sukladno makroekonomskim pretpostavkama, učincima prethodno spomenutih mjera </w:t>
      </w:r>
      <w:r w:rsidRPr="00256902">
        <w:rPr>
          <w:lang w:val="hr-HR"/>
        </w:rPr>
        <w:t>porezne politike koje je Vlada RH provela kako bi se pružila potpora gospodarstvu i građanima te fiskalnim učincima provedenog poreznog rasterećenja u 2019</w:t>
      </w:r>
      <w:r>
        <w:rPr>
          <w:lang w:val="hr-HR"/>
        </w:rPr>
        <w:t xml:space="preserve">. i 2020., </w:t>
      </w:r>
      <w:r w:rsidR="00256902" w:rsidRPr="00256902">
        <w:rPr>
          <w:lang w:val="hr-HR"/>
        </w:rPr>
        <w:t xml:space="preserve">ukupni prihodi </w:t>
      </w:r>
      <w:r w:rsidR="00256902">
        <w:rPr>
          <w:lang w:val="hr-HR"/>
        </w:rPr>
        <w:t xml:space="preserve">državnog proračuna </w:t>
      </w:r>
      <w:r>
        <w:rPr>
          <w:lang w:val="hr-HR"/>
        </w:rPr>
        <w:t>u</w:t>
      </w:r>
      <w:r w:rsidRPr="00256902">
        <w:rPr>
          <w:lang w:val="hr-HR"/>
        </w:rPr>
        <w:t xml:space="preserve"> 2020. godini </w:t>
      </w:r>
      <w:r w:rsidR="00256902" w:rsidRPr="00256902">
        <w:rPr>
          <w:lang w:val="hr-HR"/>
        </w:rPr>
        <w:t xml:space="preserve">planirani su na razini od </w:t>
      </w:r>
      <w:r w:rsidR="00965909">
        <w:rPr>
          <w:lang w:val="hr-HR"/>
        </w:rPr>
        <w:t>122</w:t>
      </w:r>
      <w:r w:rsidR="00256902">
        <w:rPr>
          <w:lang w:val="hr-HR"/>
        </w:rPr>
        <w:t xml:space="preserve"> milijard</w:t>
      </w:r>
      <w:r w:rsidR="00965909">
        <w:rPr>
          <w:lang w:val="hr-HR"/>
        </w:rPr>
        <w:t>e</w:t>
      </w:r>
      <w:r w:rsidR="00256902">
        <w:rPr>
          <w:lang w:val="hr-HR"/>
        </w:rPr>
        <w:t xml:space="preserve"> kuna i smanjuju se za </w:t>
      </w:r>
      <w:r w:rsidR="00965909">
        <w:rPr>
          <w:lang w:val="hr-HR"/>
        </w:rPr>
        <w:t xml:space="preserve">23,2 </w:t>
      </w:r>
      <w:r w:rsidR="00256902">
        <w:rPr>
          <w:lang w:val="hr-HR"/>
        </w:rPr>
        <w:t>milijard</w:t>
      </w:r>
      <w:r w:rsidR="00965909">
        <w:rPr>
          <w:lang w:val="hr-HR"/>
        </w:rPr>
        <w:t>e</w:t>
      </w:r>
      <w:r w:rsidR="00256902">
        <w:rPr>
          <w:lang w:val="hr-HR"/>
        </w:rPr>
        <w:t xml:space="preserve"> kuna u odnosu na prvotni plan</w:t>
      </w:r>
      <w:r w:rsidR="00256902" w:rsidRPr="00256902">
        <w:rPr>
          <w:lang w:val="hr-HR"/>
        </w:rPr>
        <w:t xml:space="preserve">. </w:t>
      </w:r>
    </w:p>
    <w:p w14:paraId="3A71BEB4" w14:textId="77777777" w:rsidR="00B72346" w:rsidRPr="006C489E" w:rsidRDefault="005A6A43" w:rsidP="00B72346">
      <w:pPr>
        <w:spacing w:before="240"/>
        <w:jc w:val="both"/>
        <w:rPr>
          <w:rFonts w:cs="Times New Roman"/>
          <w:lang w:val="hr-HR"/>
        </w:rPr>
      </w:pPr>
      <w:r>
        <w:rPr>
          <w:lang w:val="hr-HR"/>
        </w:rPr>
        <w:t xml:space="preserve">S druge strane, </w:t>
      </w:r>
      <w:r w:rsidR="00966612">
        <w:rPr>
          <w:lang w:val="hr-HR"/>
        </w:rPr>
        <w:t>I</w:t>
      </w:r>
      <w:r w:rsidR="002B3BAA">
        <w:rPr>
          <w:lang w:val="hr-HR"/>
        </w:rPr>
        <w:t xml:space="preserve">zmjenama i dopunama </w:t>
      </w:r>
      <w:r w:rsidR="00966612">
        <w:rPr>
          <w:lang w:val="hr-HR"/>
        </w:rPr>
        <w:t>D</w:t>
      </w:r>
      <w:r w:rsidR="00256902">
        <w:rPr>
          <w:lang w:val="hr-HR"/>
        </w:rPr>
        <w:t>ržavnog proračuna</w:t>
      </w:r>
      <w:r w:rsidR="00966612">
        <w:rPr>
          <w:lang w:val="hr-HR"/>
        </w:rPr>
        <w:t xml:space="preserve"> Republike Hrvatske</w:t>
      </w:r>
      <w:r w:rsidR="00256902">
        <w:rPr>
          <w:lang w:val="hr-HR"/>
        </w:rPr>
        <w:t xml:space="preserve"> za 2020. godinu </w:t>
      </w:r>
      <w:r w:rsidR="002B3BAA">
        <w:rPr>
          <w:lang w:val="hr-HR"/>
        </w:rPr>
        <w:t xml:space="preserve">ukupni rashodi </w:t>
      </w:r>
      <w:r w:rsidR="00256902">
        <w:rPr>
          <w:lang w:val="hr-HR"/>
        </w:rPr>
        <w:t xml:space="preserve">planirani su u iznosu od </w:t>
      </w:r>
      <w:r w:rsidR="00965909">
        <w:rPr>
          <w:lang w:val="hr-HR"/>
        </w:rPr>
        <w:t>147,3</w:t>
      </w:r>
      <w:r w:rsidR="00256902">
        <w:rPr>
          <w:lang w:val="hr-HR"/>
        </w:rPr>
        <w:t xml:space="preserve"> milijard</w:t>
      </w:r>
      <w:r w:rsidR="00965909">
        <w:rPr>
          <w:lang w:val="hr-HR"/>
        </w:rPr>
        <w:t>e kuna</w:t>
      </w:r>
      <w:r w:rsidR="00256902">
        <w:rPr>
          <w:lang w:val="hr-HR"/>
        </w:rPr>
        <w:t>.</w:t>
      </w:r>
      <w:r>
        <w:rPr>
          <w:lang w:val="hr-HR"/>
        </w:rPr>
        <w:t xml:space="preserve"> Pritom je važno naglasiti kako su </w:t>
      </w:r>
      <w:r w:rsidR="00256902" w:rsidRPr="00256902">
        <w:rPr>
          <w:lang w:val="hr-HR"/>
        </w:rPr>
        <w:t>rashodi državnog proračuna</w:t>
      </w:r>
      <w:r>
        <w:rPr>
          <w:lang w:val="hr-HR"/>
        </w:rPr>
        <w:t>,</w:t>
      </w:r>
      <w:r w:rsidR="00256902" w:rsidRPr="00256902">
        <w:rPr>
          <w:lang w:val="hr-HR"/>
        </w:rPr>
        <w:t xml:space="preserve"> zadržani na istoj razini</w:t>
      </w:r>
      <w:r>
        <w:rPr>
          <w:lang w:val="hr-HR"/>
        </w:rPr>
        <w:t xml:space="preserve"> kao i u originalnom planu za ovu godinu. Međutim, </w:t>
      </w:r>
      <w:r w:rsidR="00256902" w:rsidRPr="00256902">
        <w:rPr>
          <w:lang w:val="hr-HR"/>
        </w:rPr>
        <w:t xml:space="preserve">izvršene </w:t>
      </w:r>
      <w:r w:rsidR="005910E9">
        <w:rPr>
          <w:lang w:val="hr-HR"/>
        </w:rPr>
        <w:t xml:space="preserve">su </w:t>
      </w:r>
      <w:r w:rsidR="00F51DEA">
        <w:rPr>
          <w:lang w:val="hr-HR"/>
        </w:rPr>
        <w:t>značajne</w:t>
      </w:r>
      <w:r>
        <w:rPr>
          <w:lang w:val="hr-HR"/>
        </w:rPr>
        <w:t xml:space="preserve"> </w:t>
      </w:r>
      <w:r w:rsidR="00256902" w:rsidRPr="00256902">
        <w:rPr>
          <w:lang w:val="hr-HR"/>
        </w:rPr>
        <w:t>realokacije kako bi se osigurala financijska sredstva potrebna za financiranje mjera i aktivnosti u borbi s epidemijom i njezinim posljedicama</w:t>
      </w:r>
      <w:r w:rsidR="00A23247">
        <w:rPr>
          <w:lang w:val="hr-HR"/>
        </w:rPr>
        <w:t>. Z</w:t>
      </w:r>
      <w:r w:rsidR="00A23247" w:rsidRPr="006C489E">
        <w:rPr>
          <w:rFonts w:cs="Times New Roman"/>
          <w:lang w:val="hr-HR"/>
        </w:rPr>
        <w:t xml:space="preserve">a provedbu mjere </w:t>
      </w:r>
      <w:r w:rsidR="00A23247" w:rsidRPr="00966612">
        <w:rPr>
          <w:bCs/>
          <w:iCs/>
          <w:lang w:val="hr-HR"/>
        </w:rPr>
        <w:t>Potpore za očuvanje radnih mjesta poduzetnicima pogođenima koronavirusom COVID-19</w:t>
      </w:r>
      <w:r w:rsidR="00A23247" w:rsidRPr="006C489E">
        <w:rPr>
          <w:b/>
          <w:bCs/>
          <w:i/>
          <w:iCs/>
          <w:lang w:val="hr-HR"/>
        </w:rPr>
        <w:t xml:space="preserve"> </w:t>
      </w:r>
      <w:r w:rsidR="00A23247">
        <w:rPr>
          <w:lang w:val="hr-HR"/>
        </w:rPr>
        <w:t>osigurava se 6,7 milijardi</w:t>
      </w:r>
      <w:r w:rsidR="00A23247" w:rsidRPr="006C489E">
        <w:rPr>
          <w:lang w:val="hr-HR"/>
        </w:rPr>
        <w:t xml:space="preserve"> kuna. Početkom travnja izvršena je preraspodjela Vlade Republike Hrvatske u iznosu od 1,8 milijardi kuna, a ovim </w:t>
      </w:r>
      <w:r w:rsidR="009F1616" w:rsidRPr="009F1616">
        <w:rPr>
          <w:lang w:val="hr-HR"/>
        </w:rPr>
        <w:t xml:space="preserve">Izmjenama i dopunama Državnog proračuna Republike Hrvatske za 2020. godinu </w:t>
      </w:r>
      <w:r w:rsidR="00A23247" w:rsidRPr="006C489E">
        <w:rPr>
          <w:lang w:val="hr-HR"/>
        </w:rPr>
        <w:t xml:space="preserve">osigurava </w:t>
      </w:r>
      <w:r w:rsidR="0000672A">
        <w:rPr>
          <w:lang w:val="hr-HR"/>
        </w:rPr>
        <w:t xml:space="preserve">se dodatnih </w:t>
      </w:r>
      <w:r w:rsidR="00A23247" w:rsidRPr="006C489E">
        <w:rPr>
          <w:lang w:val="hr-HR"/>
        </w:rPr>
        <w:t>4,9 milijardi kuna</w:t>
      </w:r>
      <w:r w:rsidR="00966612">
        <w:rPr>
          <w:lang w:val="hr-HR"/>
        </w:rPr>
        <w:t xml:space="preserve"> (iz sredstava </w:t>
      </w:r>
      <w:r w:rsidR="009F1616">
        <w:rPr>
          <w:lang w:val="hr-HR"/>
        </w:rPr>
        <w:t>fondova Europske unije</w:t>
      </w:r>
      <w:r w:rsidR="00966612">
        <w:rPr>
          <w:lang w:val="hr-HR"/>
        </w:rPr>
        <w:t xml:space="preserve"> 1,6 milijard</w:t>
      </w:r>
      <w:r w:rsidR="0000672A">
        <w:rPr>
          <w:lang w:val="hr-HR"/>
        </w:rPr>
        <w:t>a</w:t>
      </w:r>
      <w:r w:rsidR="00966612">
        <w:rPr>
          <w:lang w:val="hr-HR"/>
        </w:rPr>
        <w:t xml:space="preserve"> kuna)</w:t>
      </w:r>
      <w:r w:rsidR="00A23247">
        <w:rPr>
          <w:lang w:val="hr-HR"/>
        </w:rPr>
        <w:t xml:space="preserve">. Osiguravaju se i </w:t>
      </w:r>
      <w:r w:rsidR="00A23247" w:rsidRPr="006C489E">
        <w:rPr>
          <w:rFonts w:cs="Times New Roman"/>
          <w:lang w:val="hr-HR"/>
        </w:rPr>
        <w:t xml:space="preserve">sredstva </w:t>
      </w:r>
      <w:r w:rsidR="00A23247">
        <w:rPr>
          <w:rFonts w:cs="Times New Roman"/>
          <w:lang w:val="hr-HR"/>
        </w:rPr>
        <w:t>u iznosu od 100,0 milijuna</w:t>
      </w:r>
      <w:r w:rsidR="0000672A">
        <w:rPr>
          <w:rFonts w:cs="Times New Roman"/>
          <w:lang w:val="hr-HR"/>
        </w:rPr>
        <w:t xml:space="preserve"> kuna</w:t>
      </w:r>
      <w:r w:rsidR="00A23247">
        <w:rPr>
          <w:rFonts w:cs="Times New Roman"/>
          <w:lang w:val="hr-HR"/>
        </w:rPr>
        <w:t xml:space="preserve"> </w:t>
      </w:r>
      <w:r w:rsidR="00A23247" w:rsidRPr="006C489E">
        <w:rPr>
          <w:rFonts w:cs="Times New Roman"/>
          <w:lang w:val="hr-HR"/>
        </w:rPr>
        <w:t>za hitnu prvu fazu provedbe obnove obiteljskih kuća, stambeno poslovnih zgrada i višestambenih zgrada oštećenih potresom na području Grada Zagreba i okolice</w:t>
      </w:r>
      <w:r w:rsidR="00B72346">
        <w:rPr>
          <w:rFonts w:cs="Times New Roman"/>
          <w:lang w:val="hr-HR"/>
        </w:rPr>
        <w:t xml:space="preserve">. </w:t>
      </w:r>
      <w:r w:rsidR="00B72346" w:rsidRPr="006C489E">
        <w:rPr>
          <w:rFonts w:cs="Times New Roman"/>
          <w:lang w:val="hr-HR"/>
        </w:rPr>
        <w:t xml:space="preserve">Za financiranje </w:t>
      </w:r>
      <w:r w:rsidR="00B72346">
        <w:rPr>
          <w:rFonts w:cs="Times New Roman"/>
          <w:lang w:val="hr-HR"/>
        </w:rPr>
        <w:t>navedenih</w:t>
      </w:r>
      <w:r w:rsidR="00B72346" w:rsidRPr="006C489E">
        <w:rPr>
          <w:rFonts w:cs="Times New Roman"/>
          <w:lang w:val="hr-HR"/>
        </w:rPr>
        <w:t xml:space="preserve"> mjera sredstva su osigurana iz ušteda ministarst</w:t>
      </w:r>
      <w:r w:rsidR="00B72346">
        <w:rPr>
          <w:rFonts w:cs="Times New Roman"/>
          <w:lang w:val="hr-HR"/>
        </w:rPr>
        <w:t>a</w:t>
      </w:r>
      <w:r w:rsidR="00B72346" w:rsidRPr="006C489E">
        <w:rPr>
          <w:rFonts w:cs="Times New Roman"/>
          <w:lang w:val="hr-HR"/>
        </w:rPr>
        <w:t>va i drug</w:t>
      </w:r>
      <w:r w:rsidR="00B72346">
        <w:rPr>
          <w:rFonts w:cs="Times New Roman"/>
          <w:lang w:val="hr-HR"/>
        </w:rPr>
        <w:t>ih</w:t>
      </w:r>
      <w:r w:rsidR="00B72346" w:rsidRPr="006C489E">
        <w:rPr>
          <w:rFonts w:cs="Times New Roman"/>
          <w:lang w:val="hr-HR"/>
        </w:rPr>
        <w:t xml:space="preserve"> državn</w:t>
      </w:r>
      <w:r w:rsidR="00B72346">
        <w:rPr>
          <w:rFonts w:cs="Times New Roman"/>
          <w:lang w:val="hr-HR"/>
        </w:rPr>
        <w:t>ih</w:t>
      </w:r>
      <w:r w:rsidR="00B72346" w:rsidRPr="006C489E">
        <w:rPr>
          <w:rFonts w:cs="Times New Roman"/>
          <w:lang w:val="hr-HR"/>
        </w:rPr>
        <w:t xml:space="preserve"> tijela, a posebice </w:t>
      </w:r>
      <w:r w:rsidR="00B72346">
        <w:rPr>
          <w:rFonts w:cs="Times New Roman"/>
          <w:lang w:val="hr-HR"/>
        </w:rPr>
        <w:t xml:space="preserve">Ministarstva financija, </w:t>
      </w:r>
      <w:r w:rsidR="00B72346" w:rsidRPr="006C489E">
        <w:rPr>
          <w:rFonts w:cs="Times New Roman"/>
          <w:lang w:val="hr-HR"/>
        </w:rPr>
        <w:t>Ministarstv</w:t>
      </w:r>
      <w:r w:rsidR="00B72346">
        <w:rPr>
          <w:rFonts w:cs="Times New Roman"/>
          <w:lang w:val="hr-HR"/>
        </w:rPr>
        <w:t>a</w:t>
      </w:r>
      <w:r w:rsidR="00B72346" w:rsidRPr="006C489E">
        <w:rPr>
          <w:rFonts w:cs="Times New Roman"/>
          <w:lang w:val="hr-HR"/>
        </w:rPr>
        <w:t xml:space="preserve"> znanosti i obrazovanja</w:t>
      </w:r>
      <w:r w:rsidR="00B72346">
        <w:rPr>
          <w:rFonts w:cs="Times New Roman"/>
          <w:lang w:val="hr-HR"/>
        </w:rPr>
        <w:t>,</w:t>
      </w:r>
      <w:r w:rsidR="00B72346" w:rsidRPr="006C489E">
        <w:rPr>
          <w:rFonts w:cs="Times New Roman"/>
          <w:lang w:val="hr-HR"/>
        </w:rPr>
        <w:t xml:space="preserve"> Ministarstv</w:t>
      </w:r>
      <w:r w:rsidR="00B72346">
        <w:rPr>
          <w:rFonts w:cs="Times New Roman"/>
          <w:lang w:val="hr-HR"/>
        </w:rPr>
        <w:t>a obrane i Ministarstva unutarnjih poslova.</w:t>
      </w:r>
      <w:r w:rsidR="00B72346" w:rsidRPr="006C489E">
        <w:rPr>
          <w:rFonts w:cs="Times New Roman"/>
          <w:lang w:val="hr-HR"/>
        </w:rPr>
        <w:t xml:space="preserve"> </w:t>
      </w:r>
    </w:p>
    <w:p w14:paraId="38ADDF60" w14:textId="77777777" w:rsidR="00965909" w:rsidRDefault="005910E9" w:rsidP="00965909">
      <w:pPr>
        <w:jc w:val="both"/>
        <w:rPr>
          <w:lang w:val="hr-HR"/>
        </w:rPr>
      </w:pPr>
      <w:r w:rsidRPr="00965909">
        <w:rPr>
          <w:lang w:val="hr-HR"/>
        </w:rPr>
        <w:t xml:space="preserve">Sukladno planiranim prihodima i rashodima, očekuje se da će državni proračun zabilježiti manjak u iznosu od </w:t>
      </w:r>
      <w:r w:rsidR="00965909" w:rsidRPr="00965909">
        <w:rPr>
          <w:lang w:val="hr-HR"/>
        </w:rPr>
        <w:t>25,3</w:t>
      </w:r>
      <w:r w:rsidRPr="00965909">
        <w:rPr>
          <w:lang w:val="hr-HR"/>
        </w:rPr>
        <w:t xml:space="preserve"> milijard</w:t>
      </w:r>
      <w:r w:rsidR="00965909" w:rsidRPr="00965909">
        <w:rPr>
          <w:lang w:val="hr-HR"/>
        </w:rPr>
        <w:t>e</w:t>
      </w:r>
      <w:r w:rsidRPr="00965909">
        <w:rPr>
          <w:lang w:val="hr-HR"/>
        </w:rPr>
        <w:t xml:space="preserve"> kuna ili </w:t>
      </w:r>
      <w:r w:rsidR="00965909" w:rsidRPr="00965909">
        <w:rPr>
          <w:lang w:val="hr-HR"/>
        </w:rPr>
        <w:t>7</w:t>
      </w:r>
      <w:r w:rsidRPr="00965909">
        <w:rPr>
          <w:lang w:val="hr-HR"/>
        </w:rPr>
        <w:t xml:space="preserve">% BDP-a. Opća država prema ESA 2010 metodologiji imat će manjak u iznosu od </w:t>
      </w:r>
      <w:r w:rsidR="00203260" w:rsidRPr="00965909">
        <w:rPr>
          <w:lang w:val="hr-HR"/>
        </w:rPr>
        <w:t>24,8</w:t>
      </w:r>
      <w:r w:rsidRPr="00965909">
        <w:rPr>
          <w:lang w:val="hr-HR"/>
        </w:rPr>
        <w:t xml:space="preserve"> milijardi kuna ili 6,8</w:t>
      </w:r>
      <w:r w:rsidR="00203260" w:rsidRPr="00965909">
        <w:rPr>
          <w:lang w:val="hr-HR"/>
        </w:rPr>
        <w:t>% BDP-a</w:t>
      </w:r>
      <w:r w:rsidRPr="00965909">
        <w:rPr>
          <w:lang w:val="hr-HR"/>
        </w:rPr>
        <w:t xml:space="preserve">. </w:t>
      </w:r>
      <w:r w:rsidR="00965909" w:rsidRPr="00965909">
        <w:rPr>
          <w:lang w:val="hr-HR"/>
        </w:rPr>
        <w:t>Temeljem kretanja fiskalnog salda proračuna opće države očekuje se da će udio javnog duga u BDP-u u 2020. zabilježiti rast za 13,5 postotnih bodova u odnosu na 2019. godinu te će iznositi 86,7% BDP-a, ponajviše zbog povećanih potreba za zaduživanjem uslijed negativnog fiskalnog učinka uzrokovanog pandemijom koronavirusa.</w:t>
      </w:r>
    </w:p>
    <w:p w14:paraId="015F3381" w14:textId="77777777" w:rsidR="00025948" w:rsidRPr="009B5CBF" w:rsidRDefault="00025948" w:rsidP="00965909">
      <w:pPr>
        <w:jc w:val="both"/>
        <w:rPr>
          <w:lang w:val="hr-HR"/>
        </w:rPr>
      </w:pPr>
      <w:r w:rsidRPr="009B5CBF">
        <w:rPr>
          <w:lang w:val="hr-HR"/>
        </w:rPr>
        <w:br w:type="page"/>
      </w:r>
    </w:p>
    <w:p w14:paraId="3C47963C" w14:textId="77777777" w:rsidR="00025948" w:rsidRPr="009B5CBF" w:rsidRDefault="00025948" w:rsidP="00025948">
      <w:pPr>
        <w:pStyle w:val="Heading1"/>
        <w:numPr>
          <w:ilvl w:val="0"/>
          <w:numId w:val="1"/>
        </w:numPr>
        <w:rPr>
          <w:lang w:val="hr-HR"/>
        </w:rPr>
      </w:pPr>
      <w:bookmarkStart w:id="3" w:name="_Toc381720705"/>
      <w:bookmarkStart w:id="4" w:name="_Toc497069941"/>
      <w:bookmarkStart w:id="5" w:name="_Toc39733104"/>
      <w:r w:rsidRPr="009B5CBF">
        <w:rPr>
          <w:lang w:val="hr-HR"/>
        </w:rPr>
        <w:lastRenderedPageBreak/>
        <w:t>MAKROEKONOMSKI OKVIR</w:t>
      </w:r>
      <w:bookmarkEnd w:id="3"/>
      <w:bookmarkEnd w:id="4"/>
      <w:bookmarkEnd w:id="5"/>
    </w:p>
    <w:p w14:paraId="215B4262" w14:textId="77777777" w:rsidR="00D70C36" w:rsidRPr="009B5CBF" w:rsidRDefault="00D70C36" w:rsidP="00D70C36">
      <w:pPr>
        <w:spacing w:before="240"/>
        <w:jc w:val="both"/>
        <w:rPr>
          <w:rFonts w:cs="Times New Roman"/>
          <w:lang w:val="hr-HR"/>
        </w:rPr>
      </w:pPr>
    </w:p>
    <w:p w14:paraId="450E6C96" w14:textId="77777777" w:rsidR="00890A93" w:rsidRPr="009B5CBF" w:rsidRDefault="00890A93" w:rsidP="00890A93">
      <w:pPr>
        <w:jc w:val="both"/>
        <w:rPr>
          <w:rFonts w:ascii="Calibri" w:eastAsia="Times New Roman" w:hAnsi="Calibri" w:cs="Times New Roman"/>
          <w:color w:val="000000"/>
          <w:lang w:val="hr-HR" w:eastAsia="hr-HR"/>
        </w:rPr>
      </w:pPr>
      <w:r w:rsidRPr="009B5CBF">
        <w:rPr>
          <w:lang w:val="hr-HR"/>
        </w:rPr>
        <w:t xml:space="preserve">Hrvatska se suočava s materijalizacijom ekonomskih posljedica globalne zdravstvene krize uzrokovane pandemijom COVID-19 virusa koja je pogodila čitavo svjetsko gospodarstvo. Razmjeri i vremensko trajanje ekonomskih poremećaja još uvijek su vrlo neizvjesni. </w:t>
      </w:r>
      <w:r w:rsidRPr="009B5CBF">
        <w:rPr>
          <w:rFonts w:ascii="Calibri" w:eastAsia="Times New Roman" w:hAnsi="Calibri" w:cs="Times New Roman"/>
          <w:color w:val="000000"/>
          <w:lang w:val="hr-HR" w:eastAsia="hr-HR"/>
        </w:rPr>
        <w:t xml:space="preserve">Dosad objavljeni visokofrekventni pokazatelji za 2020. godinu pokazuju tek početne učinke </w:t>
      </w:r>
      <w:r w:rsidR="004A6071" w:rsidRPr="009B5CBF">
        <w:rPr>
          <w:rFonts w:ascii="Calibri" w:eastAsia="Times New Roman" w:hAnsi="Calibri" w:cs="Times New Roman"/>
          <w:color w:val="000000"/>
          <w:lang w:val="hr-HR" w:eastAsia="hr-HR"/>
        </w:rPr>
        <w:t xml:space="preserve">pandemije </w:t>
      </w:r>
      <w:r w:rsidRPr="009B5CBF">
        <w:rPr>
          <w:rFonts w:ascii="Calibri" w:eastAsia="Times New Roman" w:hAnsi="Calibri" w:cs="Times New Roman"/>
          <w:color w:val="000000"/>
          <w:lang w:val="hr-HR" w:eastAsia="hr-HR"/>
        </w:rPr>
        <w:t xml:space="preserve">COVID-19 na domaće gospodarstvo. </w:t>
      </w:r>
      <w:r w:rsidRPr="009B5CBF">
        <w:rPr>
          <w:lang w:val="hr-HR"/>
        </w:rPr>
        <w:t xml:space="preserve">Rezultati anketiranja poduzeća za travanj ukazuju na vrlo snažan pad pouzdanja poslovnih subjekata u svim djelatnostima, a posebice u uslugama i trgovini na malo, što je rezultiralo rekordno niskom razinom indeksa ukupnog ekonomskog raspoloženja. Nadalje, u travnju je došlo do izraženog pogoršanja potrošačkog optimizma na mjesečnoj razini. </w:t>
      </w:r>
      <w:r w:rsidRPr="009B5CBF">
        <w:rPr>
          <w:rFonts w:ascii="Calibri" w:eastAsia="Times New Roman" w:hAnsi="Calibri" w:cs="Times New Roman"/>
          <w:color w:val="000000"/>
          <w:lang w:val="hr-HR" w:eastAsia="hr-HR"/>
        </w:rPr>
        <w:t xml:space="preserve">Nakon snažnog međugodišnjeg rasta u prva dva mjeseca, u ožujku je došlo do pada prometa od trgovine na malo od 7,0%. Također, u prvom tromjesečju 2020. došlo je do međugodišnjeg pada obujma industrijske proizvodnje od 4,2%. Iako administrativni podaci Hrvatskog zavoda za mirovinsko osiguranje ukazuju na međugodišnji rast broja osiguranika od 1,8% u prva tri mjeseca ove godine, u ožujku je međugodišnji rast osjetno usporio te je broj osiguranika zabilježio pad u odnosu na veljaču. Prema preliminarnim podacima, sezonski prilagođena harmonizirana stopa nezaposlenosti u ožujku 2020. je iznosila 6,8%, povećavši se za 0,6 postotnih bodova u odnosu na veljaču. </w:t>
      </w:r>
    </w:p>
    <w:p w14:paraId="55689F2B" w14:textId="77777777" w:rsidR="00890A93" w:rsidRPr="009B5CBF" w:rsidRDefault="00890A93" w:rsidP="00890A93">
      <w:pPr>
        <w:jc w:val="both"/>
        <w:rPr>
          <w:lang w:val="hr-HR"/>
        </w:rPr>
      </w:pPr>
      <w:r w:rsidRPr="009B5CBF">
        <w:rPr>
          <w:lang w:val="hr-HR"/>
        </w:rPr>
        <w:t>Obzirom na prevladavajuće očekivanje privremenog karaktera zdravstvene ugroze, ali i glavnine ekonomskih poremećaja, kao i pravovremene epidemiološke i ekonomske mjere, kumulativni negativni ekonomski učinak krize u slučaju RH ipak bi trebao biti manji od onog globalne financijske krize. Temeljna pretpostavka na kojoj se bazira makroekonomski scenarij je da će glavni udar na domaće, ali i globalno gospodarstvo biti kratkotrajne naravi, a najintenzivniji u prvoj polovici drugog tromjesečja 2020.</w:t>
      </w:r>
      <w:r w:rsidR="004A6071">
        <w:rPr>
          <w:lang w:val="hr-HR"/>
        </w:rPr>
        <w:t xml:space="preserve"> godine.</w:t>
      </w:r>
      <w:r w:rsidRPr="009B5CBF">
        <w:rPr>
          <w:lang w:val="hr-HR"/>
        </w:rPr>
        <w:t xml:space="preserve"> Tako će ekonomska aktivnost dosegnuti dno u drugom tromjesečju, pri čemu će u većini sektora već prema kraju drugog tromjesečja doći do promjene trenda i početka postupnog oporavka, koji će započeti inicijalnim izraženijim skokom aktivnosti, popraćenim faznim popuštanjem epidemioloških mjera. Slijedom toga, na razini čitave 2020. godine očekuje se pad BDP-a od 9,4%. </w:t>
      </w:r>
    </w:p>
    <w:p w14:paraId="29AF04F2" w14:textId="77777777" w:rsidR="009B5CBF" w:rsidRPr="009B5CBF" w:rsidRDefault="009B5CBF" w:rsidP="001C0D49">
      <w:pPr>
        <w:pStyle w:val="Caption"/>
        <w:spacing w:before="240"/>
        <w:jc w:val="both"/>
        <w:rPr>
          <w:rFonts w:asciiTheme="minorHAnsi" w:hAnsiTheme="minorHAnsi"/>
          <w:b w:val="0"/>
          <w:i/>
          <w:sz w:val="22"/>
          <w:szCs w:val="22"/>
        </w:rPr>
      </w:pPr>
    </w:p>
    <w:p w14:paraId="3A5D86F7" w14:textId="77777777" w:rsidR="009B5CBF" w:rsidRPr="009B5CBF" w:rsidRDefault="009B5CBF" w:rsidP="001C0D49">
      <w:pPr>
        <w:pStyle w:val="Caption"/>
        <w:spacing w:before="240"/>
        <w:jc w:val="both"/>
        <w:rPr>
          <w:rFonts w:asciiTheme="minorHAnsi" w:hAnsiTheme="minorHAnsi"/>
          <w:b w:val="0"/>
          <w:i/>
          <w:sz w:val="22"/>
          <w:szCs w:val="22"/>
        </w:rPr>
      </w:pPr>
    </w:p>
    <w:p w14:paraId="310F7D69" w14:textId="77777777" w:rsidR="009B5CBF" w:rsidRPr="009B5CBF" w:rsidRDefault="009B5CBF" w:rsidP="001C0D49">
      <w:pPr>
        <w:pStyle w:val="Caption"/>
        <w:spacing w:before="240"/>
        <w:jc w:val="both"/>
        <w:rPr>
          <w:rFonts w:asciiTheme="minorHAnsi" w:hAnsiTheme="minorHAnsi"/>
          <w:b w:val="0"/>
          <w:i/>
          <w:sz w:val="22"/>
          <w:szCs w:val="22"/>
        </w:rPr>
      </w:pPr>
    </w:p>
    <w:p w14:paraId="3A4AEA27" w14:textId="77777777" w:rsidR="009B5CBF" w:rsidRPr="009B5CBF" w:rsidRDefault="009B5CBF" w:rsidP="001C0D49">
      <w:pPr>
        <w:pStyle w:val="Caption"/>
        <w:spacing w:before="240"/>
        <w:jc w:val="both"/>
        <w:rPr>
          <w:rFonts w:asciiTheme="minorHAnsi" w:hAnsiTheme="minorHAnsi"/>
          <w:b w:val="0"/>
          <w:i/>
          <w:sz w:val="22"/>
          <w:szCs w:val="22"/>
        </w:rPr>
      </w:pPr>
    </w:p>
    <w:p w14:paraId="6705BF2B" w14:textId="77777777" w:rsidR="009B5CBF" w:rsidRPr="009B5CBF" w:rsidRDefault="009B5CBF" w:rsidP="001C0D49">
      <w:pPr>
        <w:pStyle w:val="Caption"/>
        <w:spacing w:before="240"/>
        <w:jc w:val="both"/>
        <w:rPr>
          <w:rFonts w:asciiTheme="minorHAnsi" w:hAnsiTheme="minorHAnsi"/>
          <w:b w:val="0"/>
          <w:i/>
          <w:sz w:val="22"/>
          <w:szCs w:val="22"/>
        </w:rPr>
      </w:pPr>
    </w:p>
    <w:p w14:paraId="6283CF21" w14:textId="77777777" w:rsidR="009B5CBF" w:rsidRPr="009B5CBF" w:rsidRDefault="009B5CBF" w:rsidP="001C0D49">
      <w:pPr>
        <w:pStyle w:val="Caption"/>
        <w:spacing w:before="240"/>
        <w:jc w:val="both"/>
        <w:rPr>
          <w:rFonts w:asciiTheme="minorHAnsi" w:hAnsiTheme="minorHAnsi"/>
          <w:b w:val="0"/>
          <w:i/>
          <w:sz w:val="22"/>
          <w:szCs w:val="22"/>
        </w:rPr>
      </w:pPr>
    </w:p>
    <w:p w14:paraId="75ADFE26" w14:textId="77777777" w:rsidR="009B5CBF" w:rsidRPr="009B5CBF" w:rsidRDefault="009B5CBF" w:rsidP="001C0D49">
      <w:pPr>
        <w:pStyle w:val="Caption"/>
        <w:spacing w:before="240"/>
        <w:jc w:val="both"/>
        <w:rPr>
          <w:rFonts w:asciiTheme="minorHAnsi" w:hAnsiTheme="minorHAnsi"/>
          <w:b w:val="0"/>
          <w:i/>
          <w:sz w:val="22"/>
          <w:szCs w:val="22"/>
        </w:rPr>
      </w:pPr>
    </w:p>
    <w:p w14:paraId="2EFBFDDA" w14:textId="77777777" w:rsidR="009B5CBF" w:rsidRPr="009B5CBF" w:rsidRDefault="009B5CBF" w:rsidP="001C0D49">
      <w:pPr>
        <w:pStyle w:val="Caption"/>
        <w:spacing w:before="240"/>
        <w:jc w:val="both"/>
        <w:rPr>
          <w:rFonts w:asciiTheme="minorHAnsi" w:hAnsiTheme="minorHAnsi"/>
          <w:b w:val="0"/>
          <w:i/>
          <w:sz w:val="22"/>
          <w:szCs w:val="22"/>
        </w:rPr>
      </w:pPr>
    </w:p>
    <w:p w14:paraId="14466C64" w14:textId="77777777" w:rsidR="009B5CBF" w:rsidRPr="009B5CBF" w:rsidRDefault="009B5CBF" w:rsidP="001C0D49">
      <w:pPr>
        <w:pStyle w:val="Caption"/>
        <w:spacing w:before="240"/>
        <w:jc w:val="both"/>
        <w:rPr>
          <w:rFonts w:asciiTheme="minorHAnsi" w:hAnsiTheme="minorHAnsi"/>
          <w:b w:val="0"/>
          <w:i/>
          <w:sz w:val="22"/>
          <w:szCs w:val="22"/>
        </w:rPr>
      </w:pPr>
    </w:p>
    <w:p w14:paraId="6CB8E3C9" w14:textId="77777777" w:rsidR="00336226" w:rsidRPr="009B5CBF" w:rsidRDefault="00336226" w:rsidP="00D5262A">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lastRenderedPageBreak/>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1</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00890A93" w:rsidRPr="009B5CBF">
        <w:rPr>
          <w:rFonts w:asciiTheme="minorHAnsi" w:hAnsiTheme="minorHAnsi"/>
          <w:b w:val="0"/>
          <w:i/>
          <w:sz w:val="22"/>
          <w:szCs w:val="22"/>
        </w:rPr>
        <w:t>Projekcija bruto domaćeg proizvoda za RH</w:t>
      </w:r>
    </w:p>
    <w:p w14:paraId="0C077D59" w14:textId="77777777" w:rsidR="009B5CBF" w:rsidRPr="009B5CBF" w:rsidRDefault="009B5CBF" w:rsidP="009B5CBF">
      <w:pPr>
        <w:rPr>
          <w:lang w:val="hr-HR"/>
        </w:rPr>
      </w:pPr>
      <w:r w:rsidRPr="009B5CBF">
        <w:rPr>
          <w:noProof/>
          <w:lang w:val="hr-HR" w:eastAsia="hr-HR"/>
        </w:rPr>
        <w:drawing>
          <wp:inline distT="0" distB="0" distL="0" distR="0">
            <wp:extent cx="4975920" cy="3323229"/>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8614" cy="3345064"/>
                    </a:xfrm>
                    <a:prstGeom prst="rect">
                      <a:avLst/>
                    </a:prstGeom>
                    <a:noFill/>
                    <a:ln>
                      <a:noFill/>
                    </a:ln>
                  </pic:spPr>
                </pic:pic>
              </a:graphicData>
            </a:graphic>
          </wp:inline>
        </w:drawing>
      </w:r>
    </w:p>
    <w:p w14:paraId="16608565" w14:textId="77777777" w:rsidR="00890A93" w:rsidRPr="009B5CBF" w:rsidRDefault="00890A93" w:rsidP="00890A93">
      <w:pPr>
        <w:spacing w:after="0"/>
        <w:jc w:val="both"/>
        <w:rPr>
          <w:i/>
          <w:sz w:val="20"/>
          <w:lang w:val="hr-HR"/>
        </w:rPr>
      </w:pPr>
      <w:r w:rsidRPr="009B5CBF">
        <w:rPr>
          <w:i/>
          <w:sz w:val="20"/>
          <w:vertAlign w:val="superscript"/>
          <w:lang w:val="hr-HR"/>
        </w:rPr>
        <w:t xml:space="preserve">1 </w:t>
      </w:r>
      <w:r w:rsidRPr="009B5CBF">
        <w:rPr>
          <w:i/>
          <w:sz w:val="20"/>
          <w:lang w:val="hr-HR"/>
        </w:rPr>
        <w:t>Prema definiciji nacionalnih računa.</w:t>
      </w:r>
    </w:p>
    <w:p w14:paraId="0FEA20CD" w14:textId="77777777" w:rsidR="00890A93" w:rsidRPr="009B5CBF" w:rsidRDefault="00890A93" w:rsidP="00890A93">
      <w:pPr>
        <w:spacing w:after="0"/>
        <w:jc w:val="both"/>
        <w:rPr>
          <w:i/>
          <w:sz w:val="20"/>
          <w:lang w:val="hr-HR"/>
        </w:rPr>
      </w:pPr>
      <w:r w:rsidRPr="009B5CBF">
        <w:rPr>
          <w:i/>
          <w:sz w:val="20"/>
          <w:lang w:val="hr-HR"/>
        </w:rPr>
        <w:t>Napomena: Podaci za 2019. su preliminarni.</w:t>
      </w:r>
    </w:p>
    <w:p w14:paraId="23F9194A" w14:textId="77777777" w:rsidR="00890A93" w:rsidRPr="009B5CBF" w:rsidRDefault="00890A93" w:rsidP="00890A93">
      <w:pPr>
        <w:jc w:val="both"/>
        <w:rPr>
          <w:i/>
          <w:sz w:val="20"/>
          <w:lang w:val="hr-HR"/>
        </w:rPr>
      </w:pPr>
      <w:r w:rsidRPr="009B5CBF">
        <w:rPr>
          <w:i/>
          <w:sz w:val="20"/>
          <w:lang w:val="hr-HR"/>
        </w:rPr>
        <w:t>Izvor: Državni zavod za statistiku, Ministarstvo financija</w:t>
      </w:r>
    </w:p>
    <w:p w14:paraId="264BE3EE" w14:textId="77777777" w:rsidR="009B5CBF" w:rsidRPr="009B5CBF" w:rsidRDefault="009B5CBF" w:rsidP="009B5CBF">
      <w:pPr>
        <w:jc w:val="both"/>
        <w:rPr>
          <w:lang w:val="hr-HR"/>
        </w:rPr>
      </w:pPr>
      <w:r w:rsidRPr="009B5CBF">
        <w:rPr>
          <w:lang w:val="hr-HR"/>
        </w:rPr>
        <w:t xml:space="preserve">Promatrajući projekcije sastavnica s rashodne strane BDP-a, pod utjecajem opisanih kretanja osobna potrošnja oštro će pasti u drugom tromjesečju, nakon čega se očekuje izraženiji skok oporavka koji će velikim dijelom nadoknaditi inicijalni pad osobne potrošnje, a potom će uslijediti relativno spor i produžen opravak. Sve komponente investicijske aktivnosti izuzev građevine snažno su usporavale kroz cijelu 2019. godinu te će, pod utjecajem COVID-19 krize, krajem prvog i početkom drugog tromjesečja zabilježiti snažan pad. Trenutni ciklus pojačane građevinske djelatnosti, uključujući i velike infrastrukturne projekte, nastavit će se i početkom drugog tromjesečja, uzevši u obzir vremenski odmak svojstven toj djelatnosti, ali i prioritete nastavka velikih projekata. Također, dinamika investicija u državnom sektoru bit će pomaknuta prema kraju 2020. godine. Državna potrošnja neće izraženije promijeniti svoju kratkoročnu putanju budući da će pojačana potrošnja vezana uz COVID-19 krizu te slabija dinamika tržišnog outputa biti nadomještena brojnim uštedama manje produktivnih rashoda u okviru </w:t>
      </w:r>
      <w:r w:rsidRPr="00EE3D13">
        <w:rPr>
          <w:lang w:val="hr-HR"/>
        </w:rPr>
        <w:t>intermedijarne potrošnje,</w:t>
      </w:r>
      <w:r w:rsidRPr="009B5CBF">
        <w:rPr>
          <w:lang w:val="hr-HR"/>
        </w:rPr>
        <w:t xml:space="preserve"> kao i slabijim rastom naknada zaposlenicima u odnosu na prethodna očekivanja. Izvoz roba ostvarit će u 2020. godini nešto jači pad od investicija u fiksni kapital, ali će imati i brži oporavak. Najveći udar od svih komponenti s rashodne strane u 2020. zabilježit će izvoz usluga koji će se pod utjecajem pada turističke aktivnosti gotovo prepoloviti. U ovu projekciju ugrađena je pretpostavka o padu noćenja stranih turista ipak nešto slabijem od 70%, zahvaljujući svim posljednjim specifičnim aktivnostima usmjerenim k podizanju broja turističkih dolazaka u 2020., ali i povoljnoj epidemiološkoj perspektivi. Konačno, uvoz roba i usluga svojim će kretanjem pratiti pad konačne potražnje, pri čemu najveće padove u 2020. bilježe sastavnice potražnje s najizraženijim ukupnim (izravnim i neizravnim) udjelom uvozne komponente. </w:t>
      </w:r>
    </w:p>
    <w:p w14:paraId="4873F634" w14:textId="77777777" w:rsidR="009B5CBF" w:rsidRPr="009B5CBF" w:rsidRDefault="009B5CBF" w:rsidP="009B5CBF">
      <w:pPr>
        <w:jc w:val="both"/>
        <w:rPr>
          <w:lang w:val="hr-HR"/>
        </w:rPr>
      </w:pPr>
      <w:r w:rsidRPr="009B5CBF">
        <w:rPr>
          <w:lang w:val="hr-HR"/>
        </w:rPr>
        <w:t xml:space="preserve">Predviđa se da će nakon rasta od 0,8% u 2019. godini, potrošačke cijene u 2020. zabilježiti blago smanjenje od 0,3% na međugodišnjoj razini. Glavne odrednice kretanja potrošačkih cijena u 2020. godini bit će osjetno smanjenje cijena nafte na svjetskim tržištima, snažan pad domaće potražnje te usporavanje inflacije u eurozoni. </w:t>
      </w:r>
    </w:p>
    <w:p w14:paraId="23B91371" w14:textId="77777777" w:rsidR="009B5CBF" w:rsidRPr="009B5CBF" w:rsidRDefault="009B5CBF" w:rsidP="009B5CBF">
      <w:pPr>
        <w:jc w:val="both"/>
        <w:rPr>
          <w:lang w:val="hr-HR"/>
        </w:rPr>
      </w:pPr>
      <w:r w:rsidRPr="009B5CBF">
        <w:rPr>
          <w:lang w:val="hr-HR"/>
        </w:rPr>
        <w:t xml:space="preserve">Prvi učinci pandemije koronavirusa na smanjenje zaposlenosti već su vidljivi u podacima o osiguranicima Hrvatskog zavoda za mirovinsko osiguranje dostupnim za kraj ožujka. U idućim mjesecima očekuje se intenziviranje negativnih trendova, pri čemu će gubici zaposlenosti biti koncentrirani u drugom tromjesečju, da bi nakon toga uslijedio postupni oporavak. Pritom će izraženije smanjenje broja zaposlenih biti prisutno u manjem broju sektora kao što su smještaj, ugostiteljstvo i prijevoz. Uvođenje potpore HZZ-a za očuvanje radnih mjesta znatno će ublažiti utjecaj šoka na zaposlenost te se na razini cijele 2020. godine očekuje pad broja zaposlenih od 3,3%, dok će prosječna anketna stopa nezaposlenosti u 2020. godini iznositi 9,5%. Isto tako, prvi dostupni podaci ukazuju na to da navedena mjera nije inicijalno previše izraženo djelovala niti na kretanje plaća. Slijedom navedenoga, pod pretpostavkom privremenog karaktera krize izazvane COVID-19 te opisane putanje gospodarske aktivnosti, u 2020. godini se očekuje tek umjeren pad plaća. </w:t>
      </w:r>
    </w:p>
    <w:p w14:paraId="0E2B94C5" w14:textId="77777777" w:rsidR="009B5CBF" w:rsidRPr="009B5CBF" w:rsidRDefault="009B5CBF" w:rsidP="009B5CBF">
      <w:pPr>
        <w:jc w:val="both"/>
        <w:rPr>
          <w:lang w:val="hr-HR"/>
        </w:rPr>
      </w:pPr>
      <w:r w:rsidRPr="009B5CBF">
        <w:rPr>
          <w:lang w:val="hr-HR"/>
        </w:rPr>
        <w:t>Detaljan opis makroekonomskih kretanja za 2020. godinu sadržan je u Programu konvergencije RH za 2020. i 2021. godinu koji je usvojen na sjednici Vlade Republike Hrvatske 30. travnja 2020. godine.</w:t>
      </w:r>
    </w:p>
    <w:p w14:paraId="38F6FE51" w14:textId="77777777" w:rsidR="00890A93" w:rsidRPr="009B5CBF" w:rsidRDefault="00890A93" w:rsidP="00890A93">
      <w:pPr>
        <w:rPr>
          <w:lang w:val="hr-HR"/>
        </w:rPr>
      </w:pPr>
    </w:p>
    <w:p w14:paraId="76873E77" w14:textId="77777777" w:rsidR="00025948" w:rsidRPr="009B5CBF" w:rsidRDefault="00025948" w:rsidP="002F1167">
      <w:pPr>
        <w:jc w:val="both"/>
        <w:rPr>
          <w:rFonts w:cs="Times New Roman"/>
          <w:color w:val="000000"/>
          <w:lang w:val="hr-HR"/>
        </w:rPr>
      </w:pPr>
      <w:r w:rsidRPr="009B5CBF">
        <w:rPr>
          <w:lang w:val="hr-HR"/>
        </w:rPr>
        <w:br w:type="page"/>
      </w:r>
    </w:p>
    <w:p w14:paraId="3D7461A7" w14:textId="77777777" w:rsidR="00025948" w:rsidRPr="009B5CBF" w:rsidRDefault="00025948" w:rsidP="00025948">
      <w:pPr>
        <w:pStyle w:val="Heading1"/>
        <w:numPr>
          <w:ilvl w:val="0"/>
          <w:numId w:val="1"/>
        </w:numPr>
        <w:rPr>
          <w:lang w:val="hr-HR"/>
        </w:rPr>
      </w:pPr>
      <w:bookmarkStart w:id="6" w:name="_Toc39733105"/>
      <w:r w:rsidRPr="009B5CBF">
        <w:rPr>
          <w:lang w:val="hr-HR"/>
        </w:rPr>
        <w:t>PRIHODI DRŽAVNOG PRORAČUNA</w:t>
      </w:r>
      <w:bookmarkEnd w:id="6"/>
      <w:r w:rsidRPr="009B5CBF">
        <w:rPr>
          <w:lang w:val="hr-HR"/>
        </w:rPr>
        <w:t xml:space="preserve"> </w:t>
      </w:r>
    </w:p>
    <w:p w14:paraId="34D3186A" w14:textId="77777777" w:rsidR="00684659" w:rsidRDefault="00684659" w:rsidP="00684659">
      <w:pPr>
        <w:spacing w:before="240"/>
        <w:jc w:val="both"/>
        <w:rPr>
          <w:rFonts w:cs="Times New Roman"/>
          <w:lang w:val="hr-HR"/>
        </w:rPr>
      </w:pPr>
    </w:p>
    <w:p w14:paraId="215C5EB2" w14:textId="77777777" w:rsidR="00684659" w:rsidRPr="00684659" w:rsidRDefault="00684659" w:rsidP="00684659">
      <w:pPr>
        <w:spacing w:before="240"/>
        <w:jc w:val="both"/>
        <w:rPr>
          <w:rFonts w:cs="Times New Roman"/>
          <w:lang w:val="hr-HR"/>
        </w:rPr>
      </w:pPr>
      <w:r w:rsidRPr="00684659">
        <w:rPr>
          <w:rFonts w:cs="Times New Roman"/>
          <w:lang w:val="hr-HR"/>
        </w:rPr>
        <w:t>Prihod</w:t>
      </w:r>
      <w:r w:rsidR="00B13D42">
        <w:rPr>
          <w:rFonts w:cs="Times New Roman"/>
          <w:lang w:val="hr-HR"/>
        </w:rPr>
        <w:t xml:space="preserve">i državnog proračuna planirani </w:t>
      </w:r>
      <w:r w:rsidR="009F1616" w:rsidRPr="009F1616">
        <w:rPr>
          <w:rFonts w:cs="Times New Roman"/>
          <w:lang w:val="hr-HR"/>
        </w:rPr>
        <w:t xml:space="preserve">Izmjenama i dopunama Državnog proračuna Republike Hrvatske za 2020. godinu </w:t>
      </w:r>
      <w:r w:rsidRPr="00684659">
        <w:rPr>
          <w:rFonts w:cs="Times New Roman"/>
          <w:lang w:val="hr-HR"/>
        </w:rPr>
        <w:t xml:space="preserve">temelje se na očekivanom padu gospodarske aktivnosti uslijed pandemije koronavirusa, mjerama porezne politike koje je Vlada RH provela kako bi se pružila potpora gospodarstvu i građanima te fiskalnim učincima provedenog poreznog rasterećenja u 2019., a koje svoj cjelogodišnji učinak imaju u 2020., kao i učincima poreznih izmjena iz 2020. godine. Navedene izmjene odnose se prvenstveno na porezno rasterećenje u sustavu PDV-a, poreza na dohodak, poreza na dobit, a određene porezne izmjene provedene su i u sustavu trošarina. </w:t>
      </w:r>
    </w:p>
    <w:p w14:paraId="6FA99160" w14:textId="77777777" w:rsidR="00684659" w:rsidRDefault="00B13D42" w:rsidP="00684659">
      <w:pPr>
        <w:spacing w:before="240"/>
        <w:jc w:val="both"/>
        <w:rPr>
          <w:rFonts w:cs="Times New Roman"/>
          <w:lang w:val="hr-HR"/>
        </w:rPr>
      </w:pPr>
      <w:r w:rsidRPr="00684659">
        <w:rPr>
          <w:rFonts w:cs="Times New Roman"/>
          <w:lang w:val="hr-HR"/>
        </w:rPr>
        <w:t>Novim planom proračuna za 2020. godinu ukupni prihodi iznose 123,4 milijarde kuna. Pritom prihodi poslovanja iznose 122,6 milijardi kuna, a prihodi od prodaje nefinancijske imovine 770,4 milijuna kuna.</w:t>
      </w:r>
      <w:r>
        <w:rPr>
          <w:rFonts w:cs="Times New Roman"/>
          <w:lang w:val="hr-HR"/>
        </w:rPr>
        <w:t xml:space="preserve"> U</w:t>
      </w:r>
      <w:r w:rsidR="00684659" w:rsidRPr="00684659">
        <w:rPr>
          <w:rFonts w:cs="Times New Roman"/>
          <w:lang w:val="hr-HR"/>
        </w:rPr>
        <w:t xml:space="preserve">kupni proračunski prihodi smanjuju se za </w:t>
      </w:r>
      <w:r>
        <w:rPr>
          <w:rFonts w:cs="Times New Roman"/>
          <w:lang w:val="hr-HR"/>
        </w:rPr>
        <w:t>23,2</w:t>
      </w:r>
      <w:r w:rsidR="00684659" w:rsidRPr="00684659">
        <w:rPr>
          <w:rFonts w:cs="Times New Roman"/>
          <w:lang w:val="hr-HR"/>
        </w:rPr>
        <w:t xml:space="preserve"> milijard</w:t>
      </w:r>
      <w:r>
        <w:rPr>
          <w:rFonts w:cs="Times New Roman"/>
          <w:lang w:val="hr-HR"/>
        </w:rPr>
        <w:t>e</w:t>
      </w:r>
      <w:r w:rsidR="00684659" w:rsidRPr="00684659">
        <w:rPr>
          <w:rFonts w:cs="Times New Roman"/>
          <w:lang w:val="hr-HR"/>
        </w:rPr>
        <w:t xml:space="preserve"> kuna, što prvenstveno proizlazi iz smanjenja poreznih prihoda koji su u odnosu na prvotni plan smanjeni za 18,1 milijardu kuna te smanjenja doprinosa za 3,8 milijardi kuna. </w:t>
      </w:r>
    </w:p>
    <w:p w14:paraId="573B115A" w14:textId="77777777" w:rsidR="00684659" w:rsidRPr="00684659" w:rsidRDefault="00684659" w:rsidP="00684659">
      <w:pPr>
        <w:spacing w:before="240"/>
        <w:jc w:val="both"/>
        <w:rPr>
          <w:rFonts w:cs="Times New Roman"/>
          <w:b/>
          <w:lang w:val="hr-HR"/>
        </w:rPr>
      </w:pPr>
      <w:r w:rsidRPr="00684659">
        <w:rPr>
          <w:rFonts w:cs="Times New Roman"/>
          <w:b/>
          <w:lang w:val="hr-HR"/>
        </w:rPr>
        <w:t>Prihodi od poreza</w:t>
      </w:r>
    </w:p>
    <w:p w14:paraId="10157EBE"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Prihodi od poreza su novim planom za 2020. godinu planirani u iznosu od 66 milijardi kuna, što je smanjenje od 18,1 milijardu kuna u odnosu na </w:t>
      </w:r>
      <w:r w:rsidR="000002CE">
        <w:rPr>
          <w:rFonts w:cs="Times New Roman"/>
          <w:lang w:val="hr-HR"/>
        </w:rPr>
        <w:t>originalni</w:t>
      </w:r>
      <w:r w:rsidRPr="00684659">
        <w:rPr>
          <w:rFonts w:cs="Times New Roman"/>
          <w:lang w:val="hr-HR"/>
        </w:rPr>
        <w:t xml:space="preserve"> plan proračuna.</w:t>
      </w:r>
      <w:r w:rsidR="000002CE">
        <w:rPr>
          <w:rFonts w:cs="Times New Roman"/>
          <w:lang w:val="hr-HR"/>
        </w:rPr>
        <w:t xml:space="preserve"> Pri</w:t>
      </w:r>
      <w:r w:rsidRPr="00684659">
        <w:rPr>
          <w:rFonts w:cs="Times New Roman"/>
          <w:lang w:val="hr-HR"/>
        </w:rPr>
        <w:t>tom najveće negativne promjene bilježi prihod od PDV-a.</w:t>
      </w:r>
    </w:p>
    <w:p w14:paraId="23ABF8B8" w14:textId="77777777" w:rsidR="00684659" w:rsidRPr="00684659" w:rsidRDefault="00684659" w:rsidP="00684659">
      <w:pPr>
        <w:spacing w:before="240"/>
        <w:jc w:val="both"/>
        <w:rPr>
          <w:rFonts w:cs="Times New Roman"/>
          <w:b/>
          <w:i/>
          <w:lang w:val="hr-HR"/>
        </w:rPr>
      </w:pPr>
      <w:r w:rsidRPr="00684659">
        <w:rPr>
          <w:rFonts w:cs="Times New Roman"/>
          <w:b/>
          <w:i/>
          <w:lang w:val="hr-HR"/>
        </w:rPr>
        <w:t>Porez na dobit</w:t>
      </w:r>
    </w:p>
    <w:p w14:paraId="17717F71" w14:textId="77777777" w:rsidR="00684659" w:rsidRPr="00684659" w:rsidRDefault="00684659" w:rsidP="00684659">
      <w:pPr>
        <w:spacing w:before="240"/>
        <w:jc w:val="both"/>
        <w:rPr>
          <w:rFonts w:cs="Times New Roman"/>
          <w:lang w:val="hr-HR"/>
        </w:rPr>
      </w:pPr>
      <w:r w:rsidRPr="00684659">
        <w:rPr>
          <w:rFonts w:cs="Times New Roman"/>
          <w:lang w:val="hr-HR"/>
        </w:rPr>
        <w:t>Prihod od poreza na dobit prema novom planu za 2020. godinu iznosi 6,5 milijardi kuna i za 2,8 milijardi kuna je manji od prvotno planiranog. Smanjenje ove prihodne kategorije rezultat je očekivanja o manje uplaćenim akontacijama u ostatku godine, a zbog očekivan</w:t>
      </w:r>
      <w:r w:rsidR="000002CE">
        <w:rPr>
          <w:rFonts w:cs="Times New Roman"/>
          <w:lang w:val="hr-HR"/>
        </w:rPr>
        <w:t>ih rezultata poslovanja</w:t>
      </w:r>
      <w:r w:rsidRPr="00684659">
        <w:rPr>
          <w:rFonts w:cs="Times New Roman"/>
          <w:lang w:val="hr-HR"/>
        </w:rPr>
        <w:t xml:space="preserve"> poduzetnika kao posljedice pada gospodarske aktivnosti </w:t>
      </w:r>
      <w:r w:rsidR="000002CE">
        <w:rPr>
          <w:rFonts w:cs="Times New Roman"/>
          <w:lang w:val="hr-HR"/>
        </w:rPr>
        <w:t>te mjera otpisa i odgode po osnovi poreza na dobit</w:t>
      </w:r>
      <w:r w:rsidRPr="00684659">
        <w:rPr>
          <w:rFonts w:cs="Times New Roman"/>
          <w:lang w:val="hr-HR"/>
        </w:rPr>
        <w:t xml:space="preserve">. </w:t>
      </w:r>
    </w:p>
    <w:p w14:paraId="7832C84C" w14:textId="77777777" w:rsidR="00684659" w:rsidRPr="00684659" w:rsidRDefault="00684659" w:rsidP="00684659">
      <w:pPr>
        <w:spacing w:before="240"/>
        <w:jc w:val="both"/>
        <w:rPr>
          <w:rFonts w:cs="Times New Roman"/>
          <w:b/>
          <w:i/>
          <w:lang w:val="hr-HR"/>
        </w:rPr>
      </w:pPr>
      <w:r w:rsidRPr="00684659">
        <w:rPr>
          <w:rFonts w:cs="Times New Roman"/>
          <w:b/>
          <w:i/>
          <w:lang w:val="hr-HR"/>
        </w:rPr>
        <w:t>Porez na dodanu vrijednost</w:t>
      </w:r>
    </w:p>
    <w:p w14:paraId="4F3AF8EE" w14:textId="77777777" w:rsidR="00684659" w:rsidRPr="00684659" w:rsidRDefault="00684659" w:rsidP="00684659">
      <w:pPr>
        <w:spacing w:before="240"/>
        <w:jc w:val="both"/>
        <w:rPr>
          <w:rFonts w:cs="Times New Roman"/>
          <w:lang w:val="hr-HR"/>
        </w:rPr>
      </w:pPr>
      <w:r w:rsidRPr="00684659">
        <w:rPr>
          <w:rFonts w:cs="Times New Roman"/>
          <w:lang w:val="hr-HR"/>
        </w:rPr>
        <w:t xml:space="preserve">Novi plan prihoda od poreza na dodanu vrijednost iznosi 43,7 milijardi kuna i manji je u odnosu na prvotno planirane za 12,1 milijardu kuna. Projekcija prihoda od PDV-a temelji se na </w:t>
      </w:r>
      <w:r w:rsidR="00E82346">
        <w:rPr>
          <w:rFonts w:cs="Times New Roman"/>
          <w:lang w:val="hr-HR"/>
        </w:rPr>
        <w:t>očekivanom kretanju osobne potrošnje, turističke aktivnosti</w:t>
      </w:r>
      <w:r w:rsidR="00E82346" w:rsidRPr="00E82346">
        <w:rPr>
          <w:rFonts w:cs="Times New Roman"/>
          <w:lang w:val="hr-HR"/>
        </w:rPr>
        <w:t xml:space="preserve">, ali i rashoda </w:t>
      </w:r>
      <w:r w:rsidR="00E82346">
        <w:rPr>
          <w:rFonts w:cs="Times New Roman"/>
          <w:lang w:val="hr-HR"/>
        </w:rPr>
        <w:t xml:space="preserve">opće </w:t>
      </w:r>
      <w:r w:rsidR="00E82346" w:rsidRPr="00E82346">
        <w:rPr>
          <w:rFonts w:cs="Times New Roman"/>
          <w:lang w:val="hr-HR"/>
        </w:rPr>
        <w:t>države za intermedijarnu potrošnju, investicije te socijalne transfere u naravi.</w:t>
      </w:r>
    </w:p>
    <w:p w14:paraId="246C9CE7" w14:textId="77777777" w:rsidR="00684659" w:rsidRPr="00684659" w:rsidRDefault="00684659" w:rsidP="00684659">
      <w:pPr>
        <w:spacing w:before="240"/>
        <w:jc w:val="both"/>
        <w:rPr>
          <w:rFonts w:cs="Times New Roman"/>
          <w:b/>
          <w:i/>
          <w:lang w:val="hr-HR"/>
        </w:rPr>
      </w:pPr>
      <w:r w:rsidRPr="00684659">
        <w:rPr>
          <w:rFonts w:cs="Times New Roman"/>
          <w:b/>
          <w:i/>
          <w:lang w:val="hr-HR"/>
        </w:rPr>
        <w:t>Posebni porezi i trošarine</w:t>
      </w:r>
    </w:p>
    <w:p w14:paraId="75CC069B"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Prihodi od posebnih poreza i trošarina prema </w:t>
      </w:r>
      <w:r w:rsidR="009F1616">
        <w:rPr>
          <w:rFonts w:cs="Times New Roman"/>
          <w:lang w:val="hr-HR"/>
        </w:rPr>
        <w:t xml:space="preserve">ovim </w:t>
      </w:r>
      <w:r w:rsidR="009F1616" w:rsidRPr="009F1616">
        <w:rPr>
          <w:rFonts w:cs="Times New Roman"/>
          <w:lang w:val="hr-HR"/>
        </w:rPr>
        <w:t xml:space="preserve">Izmjenama i dopunama Državnog proračuna Republike Hrvatske za 2020. godinu </w:t>
      </w:r>
      <w:r w:rsidRPr="00684659">
        <w:rPr>
          <w:rFonts w:cs="Times New Roman"/>
          <w:lang w:val="hr-HR"/>
        </w:rPr>
        <w:t>bilježe smanjenje od 2,7 milijardi kuna u odnosu na prvotni plan</w:t>
      </w:r>
      <w:r w:rsidR="008B023E">
        <w:rPr>
          <w:rFonts w:cs="Times New Roman"/>
          <w:lang w:val="hr-HR"/>
        </w:rPr>
        <w:t xml:space="preserve"> te</w:t>
      </w:r>
      <w:r w:rsidRPr="00684659">
        <w:rPr>
          <w:rFonts w:cs="Times New Roman"/>
          <w:lang w:val="hr-HR"/>
        </w:rPr>
        <w:t xml:space="preserve"> iznose 13,9 milijardi kuna. Izmjena originalne projekcije ovih prihoda rezultat je očekivanog smanjenja potrošnje pojedinih trošarinskih proizvoda uzimajući u obzir i učinke izmjena </w:t>
      </w:r>
      <w:r w:rsidR="008B023E">
        <w:rPr>
          <w:rFonts w:cs="Times New Roman"/>
          <w:lang w:val="hr-HR"/>
        </w:rPr>
        <w:t xml:space="preserve">propisa u trošarinskom sustavu pri čemu se najznačajniji učinak očekuje od </w:t>
      </w:r>
      <w:r w:rsidRPr="00684659">
        <w:rPr>
          <w:rFonts w:cs="Times New Roman"/>
          <w:lang w:val="hr-HR"/>
        </w:rPr>
        <w:t>povećanj</w:t>
      </w:r>
      <w:r w:rsidR="008B023E">
        <w:rPr>
          <w:rFonts w:cs="Times New Roman"/>
          <w:lang w:val="hr-HR"/>
        </w:rPr>
        <w:t>a</w:t>
      </w:r>
      <w:r w:rsidRPr="00684659">
        <w:rPr>
          <w:rFonts w:cs="Times New Roman"/>
          <w:lang w:val="hr-HR"/>
        </w:rPr>
        <w:t xml:space="preserve"> trošarin</w:t>
      </w:r>
      <w:r w:rsidR="008B023E">
        <w:rPr>
          <w:rFonts w:cs="Times New Roman"/>
          <w:lang w:val="hr-HR"/>
        </w:rPr>
        <w:t>a</w:t>
      </w:r>
      <w:r w:rsidRPr="00684659">
        <w:rPr>
          <w:rFonts w:cs="Times New Roman"/>
          <w:lang w:val="hr-HR"/>
        </w:rPr>
        <w:t xml:space="preserve"> na </w:t>
      </w:r>
      <w:r w:rsidR="008B023E">
        <w:rPr>
          <w:rFonts w:cs="Times New Roman"/>
          <w:lang w:val="hr-HR"/>
        </w:rPr>
        <w:t>duhan i duhanske proizvode.</w:t>
      </w:r>
      <w:r w:rsidRPr="00684659">
        <w:rPr>
          <w:rFonts w:cs="Times New Roman"/>
          <w:lang w:val="hr-HR"/>
        </w:rPr>
        <w:t xml:space="preserve"> </w:t>
      </w:r>
    </w:p>
    <w:p w14:paraId="2F266D75" w14:textId="77777777" w:rsidR="00684659" w:rsidRPr="00684659" w:rsidRDefault="00684659" w:rsidP="00684659">
      <w:pPr>
        <w:spacing w:before="240"/>
        <w:jc w:val="both"/>
        <w:rPr>
          <w:rFonts w:cs="Times New Roman"/>
          <w:lang w:val="hr-HR"/>
        </w:rPr>
      </w:pPr>
      <w:r w:rsidRPr="00684659">
        <w:rPr>
          <w:rFonts w:cs="Times New Roman"/>
          <w:lang w:val="hr-HR"/>
        </w:rPr>
        <w:t xml:space="preserve">Najveće promjene u prikupljenim prihodima očekuju se kod trošarina na energente i električnu energiju i posebnog poreza na osobne automobile, ostala motorna vozila, plovila i zrakoplove. Pri tome se prihodi od trošarina na energente i električnu energiju smanjuju za 2 milijarde kuna i iznose 6,9 milijardi kuna, a njihovo smanjenje uvjetovano je padom potrošnje naftnih derivata uslijed pandemije koronavirusa, te posljedično, očekivanjima o padu turističkog prometa. </w:t>
      </w:r>
    </w:p>
    <w:p w14:paraId="7041F2CC" w14:textId="77777777" w:rsidR="00684659" w:rsidRPr="00684659" w:rsidRDefault="00684659" w:rsidP="00684659">
      <w:pPr>
        <w:spacing w:before="240"/>
        <w:jc w:val="both"/>
        <w:rPr>
          <w:rFonts w:cs="Times New Roman"/>
          <w:lang w:val="hr-HR"/>
        </w:rPr>
      </w:pPr>
      <w:r w:rsidRPr="00684659">
        <w:rPr>
          <w:rFonts w:cs="Times New Roman"/>
          <w:lang w:val="hr-HR"/>
        </w:rPr>
        <w:t>Značajno smanjenje od 476 milijuna kuna očekuje se i kod prikupljenih prihoda od posebnog poreza na osobne automobile, ostala motorna vozila, plovila i zrakoplove, budući se zbog krize očekuje smanjenje prodaje osobnih automobila u o</w:t>
      </w:r>
      <w:r w:rsidR="008B023E">
        <w:rPr>
          <w:rFonts w:cs="Times New Roman"/>
          <w:lang w:val="hr-HR"/>
        </w:rPr>
        <w:t>voj</w:t>
      </w:r>
      <w:r w:rsidRPr="00684659">
        <w:rPr>
          <w:rFonts w:cs="Times New Roman"/>
          <w:lang w:val="hr-HR"/>
        </w:rPr>
        <w:t xml:space="preserve"> godin</w:t>
      </w:r>
      <w:r w:rsidR="008B023E">
        <w:rPr>
          <w:rFonts w:cs="Times New Roman"/>
          <w:lang w:val="hr-HR"/>
        </w:rPr>
        <w:t>i</w:t>
      </w:r>
      <w:r w:rsidRPr="00684659">
        <w:rPr>
          <w:rFonts w:cs="Times New Roman"/>
          <w:lang w:val="hr-HR"/>
        </w:rPr>
        <w:t xml:space="preserve">.  </w:t>
      </w:r>
    </w:p>
    <w:p w14:paraId="2D0C7F63" w14:textId="77777777" w:rsidR="00684659" w:rsidRPr="00684659" w:rsidRDefault="00684659" w:rsidP="00684659">
      <w:pPr>
        <w:spacing w:before="240"/>
        <w:jc w:val="both"/>
        <w:rPr>
          <w:rFonts w:cs="Times New Roman"/>
          <w:b/>
          <w:i/>
          <w:lang w:val="hr-HR"/>
        </w:rPr>
      </w:pPr>
      <w:r w:rsidRPr="00684659">
        <w:rPr>
          <w:rFonts w:cs="Times New Roman"/>
          <w:b/>
          <w:i/>
          <w:lang w:val="hr-HR"/>
        </w:rPr>
        <w:t>Ostali porezi na robu i usluge</w:t>
      </w:r>
    </w:p>
    <w:p w14:paraId="537FB56E" w14:textId="77777777" w:rsidR="00684659" w:rsidRPr="00684659" w:rsidRDefault="00684659" w:rsidP="00684659">
      <w:pPr>
        <w:spacing w:before="240"/>
        <w:jc w:val="both"/>
        <w:rPr>
          <w:rFonts w:cs="Times New Roman"/>
          <w:lang w:val="hr-HR"/>
        </w:rPr>
      </w:pPr>
      <w:r w:rsidRPr="00684659">
        <w:rPr>
          <w:rFonts w:cs="Times New Roman"/>
          <w:lang w:val="hr-HR"/>
        </w:rPr>
        <w:t xml:space="preserve">Ova kategorija poreznih prihoda uključuje prihode od poreza na osiguranja od automobilske odgovornosti i kasko osiguranja i u odnosu na prvotno planirane smanjuje se za 17,3 milijuna kuna. </w:t>
      </w:r>
    </w:p>
    <w:p w14:paraId="65602D34" w14:textId="77777777" w:rsidR="00684659" w:rsidRPr="00684659" w:rsidRDefault="00684659" w:rsidP="00684659">
      <w:pPr>
        <w:spacing w:before="240"/>
        <w:jc w:val="both"/>
        <w:rPr>
          <w:rFonts w:cs="Times New Roman"/>
          <w:b/>
          <w:i/>
          <w:lang w:val="hr-HR"/>
        </w:rPr>
      </w:pPr>
      <w:r w:rsidRPr="00684659">
        <w:rPr>
          <w:rFonts w:cs="Times New Roman"/>
          <w:b/>
          <w:i/>
          <w:lang w:val="hr-HR"/>
        </w:rPr>
        <w:t>Porez na dobitke od igara na sreću i ostali porezi od igara na sreću</w:t>
      </w:r>
    </w:p>
    <w:p w14:paraId="35B3017A" w14:textId="77777777" w:rsidR="00684659" w:rsidRPr="00684659" w:rsidRDefault="00684659" w:rsidP="00684659">
      <w:pPr>
        <w:spacing w:before="240"/>
        <w:jc w:val="both"/>
        <w:rPr>
          <w:rFonts w:cs="Times New Roman"/>
          <w:lang w:val="hr-HR"/>
        </w:rPr>
      </w:pPr>
      <w:r w:rsidRPr="00684659">
        <w:rPr>
          <w:rFonts w:cs="Times New Roman"/>
          <w:lang w:val="hr-HR"/>
        </w:rPr>
        <w:t xml:space="preserve">Planirani prihod po osnovi poreza na dobitke od igara na sreću i ostalih poreza od igara na sreću </w:t>
      </w:r>
      <w:r w:rsidR="009F1616" w:rsidRPr="009F1616">
        <w:rPr>
          <w:rFonts w:cs="Times New Roman"/>
          <w:lang w:val="hr-HR"/>
        </w:rPr>
        <w:t xml:space="preserve">Izmjenama i dopunama Državnog proračuna Republike Hrvatske za 2020. godinu </w:t>
      </w:r>
      <w:r w:rsidRPr="00684659">
        <w:rPr>
          <w:rFonts w:cs="Times New Roman"/>
          <w:lang w:val="hr-HR"/>
        </w:rPr>
        <w:t xml:space="preserve">smanjuje se </w:t>
      </w:r>
      <w:r w:rsidR="008B023E">
        <w:rPr>
          <w:rFonts w:cs="Times New Roman"/>
          <w:lang w:val="hr-HR"/>
        </w:rPr>
        <w:t>za</w:t>
      </w:r>
      <w:r w:rsidRPr="00684659">
        <w:rPr>
          <w:rFonts w:cs="Times New Roman"/>
          <w:lang w:val="hr-HR"/>
        </w:rPr>
        <w:t xml:space="preserve"> 100,7 milijuna kuna i iznosi 278,4 milijuna kuna. Plan </w:t>
      </w:r>
      <w:r w:rsidR="008B023E">
        <w:rPr>
          <w:rFonts w:cs="Times New Roman"/>
          <w:lang w:val="hr-HR"/>
        </w:rPr>
        <w:t xml:space="preserve">prihoda od </w:t>
      </w:r>
      <w:r w:rsidRPr="00684659">
        <w:rPr>
          <w:rFonts w:cs="Times New Roman"/>
          <w:lang w:val="hr-HR"/>
        </w:rPr>
        <w:t>naknada za priređivanje igara na sreću smanjuje se za 272,9 milijuna kuna te iznosi 833,3 milijuna kuna. Pad ovih prihoda izravna je posljedica ograničavanja rada casina i kladionica, kao i ostalih lutrijskih igara.</w:t>
      </w:r>
    </w:p>
    <w:p w14:paraId="2F4C7A24" w14:textId="77777777" w:rsidR="00684659" w:rsidRPr="00684659" w:rsidRDefault="00684659" w:rsidP="00684659">
      <w:pPr>
        <w:spacing w:before="240"/>
        <w:jc w:val="both"/>
        <w:rPr>
          <w:rFonts w:cs="Times New Roman"/>
          <w:b/>
          <w:i/>
          <w:lang w:val="hr-HR"/>
        </w:rPr>
      </w:pPr>
      <w:r w:rsidRPr="00684659">
        <w:rPr>
          <w:rFonts w:cs="Times New Roman"/>
          <w:b/>
          <w:i/>
          <w:lang w:val="hr-HR"/>
        </w:rPr>
        <w:t>Porezi na međunarodnu trgovinu i transakcije</w:t>
      </w:r>
    </w:p>
    <w:p w14:paraId="23F6823C"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 od poreza na međunarodnu trgovinu i transakcije novim planom proračuna za 2020. godinu planiran je u iznosu od 314 milijuna kuna, što je smanjenje od 46 milijuna kuna u odnosu na prvotni plan. </w:t>
      </w:r>
    </w:p>
    <w:p w14:paraId="42EEF264" w14:textId="77777777" w:rsidR="00684659" w:rsidRPr="00684659" w:rsidRDefault="00684659" w:rsidP="00684659">
      <w:pPr>
        <w:spacing w:before="240"/>
        <w:jc w:val="both"/>
        <w:rPr>
          <w:rFonts w:cs="Times New Roman"/>
          <w:b/>
          <w:i/>
          <w:lang w:val="hr-HR"/>
        </w:rPr>
      </w:pPr>
      <w:r w:rsidRPr="00684659">
        <w:rPr>
          <w:rFonts w:cs="Times New Roman"/>
          <w:b/>
          <w:i/>
          <w:lang w:val="hr-HR"/>
        </w:rPr>
        <w:t>Doprinosi</w:t>
      </w:r>
    </w:p>
    <w:p w14:paraId="63D5C1D0" w14:textId="77777777" w:rsidR="00684659" w:rsidRPr="00684659" w:rsidRDefault="009F1616" w:rsidP="00684659">
      <w:pPr>
        <w:spacing w:before="240"/>
        <w:jc w:val="both"/>
        <w:rPr>
          <w:rFonts w:cs="Times New Roman"/>
          <w:lang w:val="hr-HR"/>
        </w:rPr>
      </w:pPr>
      <w:r w:rsidRPr="009F1616">
        <w:rPr>
          <w:rFonts w:cs="Times New Roman"/>
          <w:lang w:val="hr-HR"/>
        </w:rPr>
        <w:t xml:space="preserve">Izmjenama i dopunama Državnog proračuna Republike Hrvatske za 2020. godinu </w:t>
      </w:r>
      <w:r w:rsidR="00684659" w:rsidRPr="00684659">
        <w:rPr>
          <w:rFonts w:cs="Times New Roman"/>
          <w:lang w:val="hr-HR"/>
        </w:rPr>
        <w:t>prihodi od doprinosa smanjuju se za 3,8 milijardi kuna i iznose 21,2 milijarde kuna. Ovo značajno smanjenje prihoda od doprinosa rezultat je očekivanog stanja na tržištu rada, odnosno očekivanog smanjenja plaća i zaposlenosti, koje je izravna posljedica pada gospodarstva uzrok</w:t>
      </w:r>
      <w:r w:rsidR="008B023E">
        <w:rPr>
          <w:rFonts w:cs="Times New Roman"/>
          <w:lang w:val="hr-HR"/>
        </w:rPr>
        <w:t xml:space="preserve">ovanog pandemijom koronavirusa, ali i učincima </w:t>
      </w:r>
      <w:r w:rsidR="008B023E" w:rsidRPr="008B023E">
        <w:rPr>
          <w:rFonts w:cs="Times New Roman"/>
          <w:lang w:val="hr-HR"/>
        </w:rPr>
        <w:t>mjera otpisa i odgode</w:t>
      </w:r>
      <w:r w:rsidR="008B023E">
        <w:rPr>
          <w:rFonts w:cs="Times New Roman"/>
          <w:lang w:val="hr-HR"/>
        </w:rPr>
        <w:t xml:space="preserve"> ove kategorije prihoda.</w:t>
      </w:r>
    </w:p>
    <w:p w14:paraId="1A794073" w14:textId="77777777" w:rsidR="00684659" w:rsidRPr="00684659" w:rsidRDefault="00684659" w:rsidP="00684659">
      <w:pPr>
        <w:spacing w:before="240"/>
        <w:jc w:val="both"/>
        <w:rPr>
          <w:rFonts w:cs="Times New Roman"/>
          <w:b/>
          <w:i/>
          <w:lang w:val="hr-HR"/>
        </w:rPr>
      </w:pPr>
      <w:r w:rsidRPr="00684659">
        <w:rPr>
          <w:rFonts w:cs="Times New Roman"/>
          <w:b/>
          <w:i/>
          <w:lang w:val="hr-HR"/>
        </w:rPr>
        <w:t>Pomoći</w:t>
      </w:r>
    </w:p>
    <w:p w14:paraId="38AA473B"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Prihodi od pomoći prema novom planu za 2020. planirani su u iznosu od </w:t>
      </w:r>
      <w:r w:rsidR="008B023E">
        <w:rPr>
          <w:rFonts w:cs="Times New Roman"/>
          <w:lang w:val="hr-HR"/>
        </w:rPr>
        <w:t>18</w:t>
      </w:r>
      <w:r w:rsidRPr="00684659">
        <w:rPr>
          <w:rFonts w:cs="Times New Roman"/>
          <w:lang w:val="hr-HR"/>
        </w:rPr>
        <w:t>,</w:t>
      </w:r>
      <w:r w:rsidR="008B023E">
        <w:rPr>
          <w:rFonts w:cs="Times New Roman"/>
          <w:lang w:val="hr-HR"/>
        </w:rPr>
        <w:t>3</w:t>
      </w:r>
      <w:r w:rsidRPr="00684659">
        <w:rPr>
          <w:rFonts w:cs="Times New Roman"/>
          <w:lang w:val="hr-HR"/>
        </w:rPr>
        <w:t xml:space="preserve"> milijarde kuna i u odnosu na prvotni plan smanjuju se za </w:t>
      </w:r>
      <w:r w:rsidR="008B023E">
        <w:rPr>
          <w:rFonts w:cs="Times New Roman"/>
          <w:lang w:val="hr-HR"/>
        </w:rPr>
        <w:t>502,9 milijuna</w:t>
      </w:r>
      <w:r w:rsidRPr="00684659">
        <w:rPr>
          <w:rFonts w:cs="Times New Roman"/>
          <w:lang w:val="hr-HR"/>
        </w:rPr>
        <w:t xml:space="preserve"> kuna. Oko 97% ukupnih prihoda od pomoći odnosi se na prihode od pomoći međunarodnih organizacija i institucija i tijela EU, koji su izravno vezani uz proje</w:t>
      </w:r>
      <w:r w:rsidR="008B023E">
        <w:rPr>
          <w:rFonts w:cs="Times New Roman"/>
          <w:lang w:val="hr-HR"/>
        </w:rPr>
        <w:t>kte financirane iz EU proračuna</w:t>
      </w:r>
      <w:r w:rsidRPr="00684659">
        <w:rPr>
          <w:rFonts w:cs="Times New Roman"/>
          <w:lang w:val="hr-HR"/>
        </w:rPr>
        <w:t xml:space="preserve">. Pritom valja naglasiti da će dio sredstva biti preusmjeren na nabavu zdravstvenog materijala i opreme, financiranje mjere za očuvanje radnih mjesta </w:t>
      </w:r>
      <w:r w:rsidR="00305F0F">
        <w:rPr>
          <w:rFonts w:cs="Times New Roman"/>
          <w:lang w:val="hr-HR"/>
        </w:rPr>
        <w:t>u okviru omogućene fleksibilnosti za pomoć u financiranju posljedica koronavirusa</w:t>
      </w:r>
      <w:r w:rsidRPr="00684659">
        <w:rPr>
          <w:rFonts w:cs="Times New Roman"/>
          <w:lang w:val="hr-HR"/>
        </w:rPr>
        <w:t>.</w:t>
      </w:r>
    </w:p>
    <w:p w14:paraId="777B78E6" w14:textId="77777777" w:rsidR="002F3F2E" w:rsidRDefault="002F3F2E" w:rsidP="00684659">
      <w:pPr>
        <w:spacing w:before="240"/>
        <w:jc w:val="both"/>
        <w:rPr>
          <w:rFonts w:cs="Times New Roman"/>
          <w:b/>
          <w:i/>
          <w:lang w:val="hr-HR"/>
        </w:rPr>
      </w:pPr>
    </w:p>
    <w:p w14:paraId="56DA00EC" w14:textId="77777777" w:rsidR="00684659" w:rsidRPr="00684659" w:rsidRDefault="00684659" w:rsidP="00684659">
      <w:pPr>
        <w:spacing w:before="240"/>
        <w:jc w:val="both"/>
        <w:rPr>
          <w:rFonts w:cs="Times New Roman"/>
          <w:b/>
          <w:i/>
          <w:lang w:val="hr-HR"/>
        </w:rPr>
      </w:pPr>
      <w:r w:rsidRPr="00684659">
        <w:rPr>
          <w:rFonts w:cs="Times New Roman"/>
          <w:b/>
          <w:i/>
          <w:lang w:val="hr-HR"/>
        </w:rPr>
        <w:t>Prihodi od imovine</w:t>
      </w:r>
    </w:p>
    <w:p w14:paraId="046230D5" w14:textId="77777777" w:rsidR="00684659" w:rsidRPr="00684659" w:rsidRDefault="00684659" w:rsidP="00684659">
      <w:pPr>
        <w:spacing w:before="240"/>
        <w:jc w:val="both"/>
        <w:rPr>
          <w:rFonts w:cs="Times New Roman"/>
          <w:lang w:val="hr-HR"/>
        </w:rPr>
      </w:pPr>
      <w:r w:rsidRPr="00684659">
        <w:rPr>
          <w:rFonts w:cs="Times New Roman"/>
          <w:lang w:val="hr-HR"/>
        </w:rPr>
        <w:t>Prihodi od imovine sastoje se od prihoda od kamata (na dane zajmove, po vrijednosnim papirima, na oročena sredstva i depozite po viđenju te zateznih kamata), prihoda od dobiti trgovačkih društava, kreditnih i ostalih financijskih organizacija, prihoda od dividendi, koncesija, iznajmljivanja i zakupa imovine, prihoda od legalizacije te ostalih prihoda od imovine. Ovi prihodi dijelom se prikupljaju na redovnoj bazi, a dijelom kao jednokratni prihodi. Prihodi od imovine novim planom proračuna za 2020. godinu iznose 2,2 milijarde kuna</w:t>
      </w:r>
      <w:r w:rsidR="00A74C1D">
        <w:rPr>
          <w:rFonts w:cs="Times New Roman"/>
          <w:lang w:val="hr-HR"/>
        </w:rPr>
        <w:t>,</w:t>
      </w:r>
      <w:r w:rsidRPr="00684659">
        <w:rPr>
          <w:rFonts w:cs="Times New Roman"/>
          <w:lang w:val="hr-HR"/>
        </w:rPr>
        <w:t xml:space="preserve"> što je smanjenje za 125,9 milijuna kuna u odnosu na prvotni plan proračuna. </w:t>
      </w:r>
    </w:p>
    <w:p w14:paraId="45F81FB7" w14:textId="77777777" w:rsidR="00684659" w:rsidRPr="00684659" w:rsidRDefault="00684659" w:rsidP="00684659">
      <w:pPr>
        <w:spacing w:before="240"/>
        <w:jc w:val="both"/>
        <w:rPr>
          <w:rFonts w:cs="Times New Roman"/>
          <w:b/>
          <w:i/>
          <w:lang w:val="hr-HR"/>
        </w:rPr>
      </w:pPr>
      <w:r w:rsidRPr="00684659">
        <w:rPr>
          <w:rFonts w:cs="Times New Roman"/>
          <w:b/>
          <w:i/>
          <w:lang w:val="hr-HR"/>
        </w:rPr>
        <w:t>Prihodi od upravnih i administrativnih pristojbi, pristojbi po posebnim propisima i naknada</w:t>
      </w:r>
    </w:p>
    <w:p w14:paraId="5AE57C21"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Prihodi od upravnih i administrativnih pristojbi, pristojbi po posebnim propisima i naknada novim planom za 2020. godinu planirani su na razini od 4,2 milijarde kuna, a u odnosu na prvotno planirane prihode po ovoj osnovi, smanjuju se za 438,5 milijuna kuna. Prihodi od upravnih i administrativnih pristojbi smanjuju se za 77 milijuna kuna u odnosu na planirane, a smanjenje je rezultat administrativnog rasterećenja te posljedično i smanjene naplate ovih prihoda. Prihodi po posebnim propisima novim planom za 2020. iznose 3,5 milijardi kuna i smanjuju se za 361,5 milijuna kuna. </w:t>
      </w:r>
    </w:p>
    <w:p w14:paraId="30D7F739" w14:textId="77777777" w:rsidR="00684659" w:rsidRPr="00684659" w:rsidRDefault="00684659" w:rsidP="00684659">
      <w:pPr>
        <w:spacing w:before="240"/>
        <w:jc w:val="both"/>
        <w:rPr>
          <w:rFonts w:cs="Times New Roman"/>
          <w:b/>
          <w:i/>
          <w:lang w:val="hr-HR"/>
        </w:rPr>
      </w:pPr>
      <w:r w:rsidRPr="00684659">
        <w:rPr>
          <w:rFonts w:cs="Times New Roman"/>
          <w:b/>
          <w:i/>
          <w:lang w:val="hr-HR"/>
        </w:rPr>
        <w:t>Prihodi od prodaje proizvoda i roba te pruženih usluga i prihodi od donacija</w:t>
      </w:r>
    </w:p>
    <w:p w14:paraId="68341B7F" w14:textId="77777777" w:rsidR="00684659" w:rsidRPr="00684659" w:rsidRDefault="00684659" w:rsidP="00684659">
      <w:pPr>
        <w:spacing w:before="240"/>
        <w:jc w:val="both"/>
        <w:rPr>
          <w:rFonts w:cs="Times New Roman"/>
          <w:lang w:val="hr-HR"/>
        </w:rPr>
      </w:pPr>
      <w:r w:rsidRPr="00684659">
        <w:rPr>
          <w:rFonts w:cs="Times New Roman"/>
          <w:lang w:val="hr-HR"/>
        </w:rPr>
        <w:t xml:space="preserve">Prihode od prodaje proizvoda i roba te pruženih usluga i prihode od donacija planiraju </w:t>
      </w:r>
      <w:r w:rsidR="00A74C1D">
        <w:rPr>
          <w:rFonts w:cs="Times New Roman"/>
          <w:lang w:val="hr-HR"/>
        </w:rPr>
        <w:t>proračunski</w:t>
      </w:r>
      <w:r w:rsidRPr="00684659">
        <w:rPr>
          <w:rFonts w:cs="Times New Roman"/>
          <w:lang w:val="hr-HR"/>
        </w:rPr>
        <w:t xml:space="preserve"> korisnici i to su njihovi namjenski prihodi. Ovi prihodi novim planom za 2020. godinu planirani su u iznosu od 1,2 milijarde kuna i smanjuju se za 44,8 milijuna kuna u odnosu na iznos planiran proračunom iz studenog 2019. godine. </w:t>
      </w:r>
    </w:p>
    <w:p w14:paraId="320FD684" w14:textId="77777777" w:rsidR="00684659" w:rsidRPr="00684659" w:rsidRDefault="00684659" w:rsidP="00684659">
      <w:pPr>
        <w:spacing w:before="240"/>
        <w:jc w:val="both"/>
        <w:rPr>
          <w:rFonts w:cs="Times New Roman"/>
          <w:b/>
          <w:i/>
          <w:lang w:val="hr-HR"/>
        </w:rPr>
      </w:pPr>
      <w:r w:rsidRPr="00684659">
        <w:rPr>
          <w:rFonts w:cs="Times New Roman"/>
          <w:b/>
          <w:i/>
          <w:lang w:val="hr-HR"/>
        </w:rPr>
        <w:t>Prihodi iz nadležnog proračuna i od HZZO-a temeljem ugovornih obveza</w:t>
      </w:r>
    </w:p>
    <w:p w14:paraId="24A557B4" w14:textId="77777777" w:rsidR="00684659" w:rsidRPr="00684659" w:rsidRDefault="00684659" w:rsidP="00684659">
      <w:pPr>
        <w:spacing w:before="240"/>
        <w:jc w:val="both"/>
        <w:rPr>
          <w:rFonts w:cs="Times New Roman"/>
          <w:lang w:val="hr-HR"/>
        </w:rPr>
      </w:pPr>
      <w:r w:rsidRPr="00684659">
        <w:rPr>
          <w:rFonts w:cs="Times New Roman"/>
          <w:lang w:val="hr-HR"/>
        </w:rPr>
        <w:t>Novim planom za 2020. godinu očekuje se kako će prihodi iz nadležnog proračuna i od HZZO-a temeljem ugovornih obveza iznositi 7,5 milijardi kuna, što je povećanje od 112,9 milijuna kuna u odnosu na prvotni plan.</w:t>
      </w:r>
    </w:p>
    <w:p w14:paraId="76224E62" w14:textId="77777777" w:rsidR="00684659" w:rsidRPr="00684659" w:rsidRDefault="00684659" w:rsidP="00684659">
      <w:pPr>
        <w:spacing w:before="240"/>
        <w:jc w:val="both"/>
        <w:rPr>
          <w:rFonts w:cs="Times New Roman"/>
          <w:b/>
          <w:i/>
          <w:lang w:val="hr-HR"/>
        </w:rPr>
      </w:pPr>
      <w:r w:rsidRPr="00684659">
        <w:rPr>
          <w:rFonts w:cs="Times New Roman"/>
          <w:b/>
          <w:i/>
          <w:lang w:val="hr-HR"/>
        </w:rPr>
        <w:t>Kazne, upravne mjere i ostali prihodi</w:t>
      </w:r>
    </w:p>
    <w:p w14:paraId="1D25F612" w14:textId="77777777" w:rsidR="00684659" w:rsidRPr="00684659" w:rsidRDefault="00684659" w:rsidP="00684659">
      <w:pPr>
        <w:spacing w:before="240"/>
        <w:jc w:val="both"/>
        <w:rPr>
          <w:rFonts w:cs="Times New Roman"/>
          <w:lang w:val="hr-HR"/>
        </w:rPr>
      </w:pPr>
      <w:r w:rsidRPr="00684659">
        <w:rPr>
          <w:rFonts w:cs="Times New Roman"/>
          <w:lang w:val="hr-HR"/>
        </w:rPr>
        <w:t>Prihodi od kazni, upravnih mjera i ostalih prihoda novim planom za 2020. godinu iznose 526,2 milijuna kuna i smanjuju se za 93,1 milijun kuna u odnosu na prvotni plan. Ovi prihodi planirani su sukladno ostvarenju proračunskih prihoda po ovoj osnovi u prva četiri mjeseca ove godine, te očekivanim kretanjima sukladno značajnom smanjenju aktivnosti i kretanja u v</w:t>
      </w:r>
      <w:r w:rsidR="00A74C1D">
        <w:rPr>
          <w:rFonts w:cs="Times New Roman"/>
          <w:lang w:val="hr-HR"/>
        </w:rPr>
        <w:t xml:space="preserve">rijeme pandemije koronavirusa. </w:t>
      </w:r>
    </w:p>
    <w:p w14:paraId="545DDCBD" w14:textId="77777777" w:rsidR="00684659" w:rsidRPr="00684659" w:rsidRDefault="00684659" w:rsidP="00684659">
      <w:pPr>
        <w:spacing w:before="240"/>
        <w:jc w:val="both"/>
        <w:rPr>
          <w:rFonts w:cs="Times New Roman"/>
          <w:b/>
          <w:lang w:val="hr-HR"/>
        </w:rPr>
      </w:pPr>
      <w:r w:rsidRPr="00684659">
        <w:rPr>
          <w:rFonts w:cs="Times New Roman"/>
          <w:b/>
          <w:lang w:val="hr-HR"/>
        </w:rPr>
        <w:t>Prihodi od prodaje nefinancijske imovine</w:t>
      </w:r>
    </w:p>
    <w:p w14:paraId="2FEA3473" w14:textId="77777777" w:rsidR="00A75BB0" w:rsidRDefault="00684659" w:rsidP="00684659">
      <w:pPr>
        <w:spacing w:before="240"/>
        <w:jc w:val="both"/>
        <w:rPr>
          <w:rFonts w:cs="Times New Roman"/>
          <w:lang w:val="hr-HR"/>
        </w:rPr>
      </w:pPr>
      <w:r w:rsidRPr="00684659">
        <w:rPr>
          <w:rFonts w:cs="Times New Roman"/>
          <w:lang w:val="hr-HR"/>
        </w:rPr>
        <w:t xml:space="preserve">Prihodi od prodaje nefinancijske imovine </w:t>
      </w:r>
      <w:r w:rsidR="009F1616" w:rsidRPr="009F1616">
        <w:rPr>
          <w:rFonts w:cs="Times New Roman"/>
          <w:lang w:val="hr-HR"/>
        </w:rPr>
        <w:t xml:space="preserve">Izmjenama i dopunama Državnog proračuna Republike Hrvatske za 2020. godinu </w:t>
      </w:r>
      <w:r w:rsidRPr="00684659">
        <w:rPr>
          <w:rFonts w:cs="Times New Roman"/>
          <w:lang w:val="hr-HR"/>
        </w:rPr>
        <w:t xml:space="preserve">planiraju se u iznosu od 770,4 milijuna kuna i smanjuju se za 238,9 milijuna kuna u odnosu na prvotno planirane. Ovi se prihodi najvećim dijelom odnose na prihode od prodaje građevinskih objekata, dok se ostatak odnosi na prihode od prodaje zemljišta, prijevoznih sredstava, postrojenja i opreme te prihode od prodaje zaliha. </w:t>
      </w:r>
    </w:p>
    <w:p w14:paraId="46EAE7EF" w14:textId="77777777" w:rsidR="00025948" w:rsidRDefault="00025948" w:rsidP="0076522F">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2</w:t>
      </w:r>
      <w:r w:rsidRPr="009B5CBF">
        <w:rPr>
          <w:rFonts w:asciiTheme="minorHAnsi" w:hAnsiTheme="minorHAnsi"/>
          <w:b w:val="0"/>
          <w:i/>
          <w:sz w:val="22"/>
          <w:szCs w:val="22"/>
        </w:rPr>
        <w:fldChar w:fldCharType="end"/>
      </w:r>
      <w:r w:rsidRPr="009B5CBF">
        <w:rPr>
          <w:rFonts w:asciiTheme="minorHAnsi" w:hAnsiTheme="minorHAnsi"/>
          <w:b w:val="0"/>
          <w:i/>
          <w:sz w:val="22"/>
          <w:szCs w:val="22"/>
        </w:rPr>
        <w:t>. Prihodi državnog proračuna za 20</w:t>
      </w:r>
      <w:r w:rsidR="00890A93" w:rsidRPr="009B5CBF">
        <w:rPr>
          <w:rFonts w:asciiTheme="minorHAnsi" w:hAnsiTheme="minorHAnsi"/>
          <w:b w:val="0"/>
          <w:i/>
          <w:sz w:val="22"/>
          <w:szCs w:val="22"/>
        </w:rPr>
        <w:t>20</w:t>
      </w:r>
      <w:r w:rsidRPr="009B5CBF">
        <w:rPr>
          <w:rFonts w:asciiTheme="minorHAnsi" w:hAnsiTheme="minorHAnsi"/>
          <w:b w:val="0"/>
          <w:i/>
          <w:sz w:val="22"/>
          <w:szCs w:val="22"/>
        </w:rPr>
        <w:t>. godinu</w:t>
      </w:r>
    </w:p>
    <w:p w14:paraId="3CD09297" w14:textId="77777777" w:rsidR="000D3576" w:rsidRPr="00364E3D" w:rsidRDefault="00796C59" w:rsidP="00364E3D">
      <w:pPr>
        <w:spacing w:after="0"/>
        <w:rPr>
          <w:noProof/>
          <w:lang w:val="hr-HR" w:eastAsia="hr-HR"/>
        </w:rPr>
      </w:pPr>
      <w:r w:rsidRPr="006E0462">
        <w:rPr>
          <w:noProof/>
          <w:lang w:val="hr-HR" w:eastAsia="hr-HR"/>
        </w:rPr>
        <w:drawing>
          <wp:inline distT="0" distB="0" distL="0" distR="0">
            <wp:extent cx="5760720" cy="4322005"/>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2005"/>
                    </a:xfrm>
                    <a:prstGeom prst="rect">
                      <a:avLst/>
                    </a:prstGeom>
                    <a:noFill/>
                    <a:ln>
                      <a:noFill/>
                    </a:ln>
                  </pic:spPr>
                </pic:pic>
              </a:graphicData>
            </a:graphic>
          </wp:inline>
        </w:drawing>
      </w:r>
    </w:p>
    <w:p w14:paraId="289491BC" w14:textId="77777777" w:rsidR="00025948" w:rsidRPr="009B5CBF" w:rsidRDefault="00025948" w:rsidP="005A21E0">
      <w:pPr>
        <w:jc w:val="both"/>
        <w:rPr>
          <w:rFonts w:cs="Times New Roman"/>
          <w:i/>
          <w:color w:val="000000"/>
          <w:lang w:val="hr-HR"/>
        </w:rPr>
      </w:pPr>
      <w:r w:rsidRPr="009B5CBF">
        <w:rPr>
          <w:rFonts w:cs="Times New Roman"/>
          <w:i/>
          <w:color w:val="000000"/>
          <w:lang w:val="hr-HR"/>
        </w:rPr>
        <w:t>Izvor: Ministarstvo financija</w:t>
      </w:r>
    </w:p>
    <w:p w14:paraId="66A79BD5" w14:textId="77777777" w:rsidR="00025948" w:rsidRPr="009B5CBF" w:rsidRDefault="00025948" w:rsidP="00025948">
      <w:pPr>
        <w:rPr>
          <w:lang w:val="hr-HR"/>
        </w:rPr>
      </w:pPr>
    </w:p>
    <w:p w14:paraId="47121F9B" w14:textId="77777777" w:rsidR="00025948" w:rsidRPr="009B5CBF" w:rsidRDefault="00025948" w:rsidP="00025948">
      <w:pPr>
        <w:rPr>
          <w:lang w:val="hr-HR"/>
        </w:rPr>
      </w:pPr>
      <w:r w:rsidRPr="009B5CBF">
        <w:rPr>
          <w:lang w:val="hr-HR"/>
        </w:rPr>
        <w:br w:type="page"/>
      </w:r>
    </w:p>
    <w:p w14:paraId="1D53665C" w14:textId="77777777" w:rsidR="00A461B3" w:rsidRDefault="00A461B3" w:rsidP="00A461B3">
      <w:pPr>
        <w:pStyle w:val="Heading1"/>
        <w:numPr>
          <w:ilvl w:val="0"/>
          <w:numId w:val="1"/>
        </w:numPr>
        <w:rPr>
          <w:lang w:val="hr-HR"/>
        </w:rPr>
      </w:pPr>
      <w:bookmarkStart w:id="7" w:name="_Toc381720707"/>
      <w:bookmarkStart w:id="8" w:name="_Toc497069943"/>
      <w:bookmarkStart w:id="9" w:name="_Toc23378480"/>
      <w:bookmarkStart w:id="10" w:name="_Toc39733106"/>
      <w:r w:rsidRPr="006C489E">
        <w:rPr>
          <w:lang w:val="hr-HR"/>
        </w:rPr>
        <w:t>RASHODI DRŽAVNOG PRORAČUNA</w:t>
      </w:r>
      <w:bookmarkEnd w:id="7"/>
      <w:bookmarkEnd w:id="8"/>
      <w:bookmarkEnd w:id="9"/>
      <w:bookmarkEnd w:id="10"/>
      <w:r w:rsidRPr="006C489E">
        <w:rPr>
          <w:lang w:val="hr-HR"/>
        </w:rPr>
        <w:t xml:space="preserve"> </w:t>
      </w:r>
    </w:p>
    <w:p w14:paraId="238AA43A" w14:textId="77777777" w:rsidR="002F3F2E" w:rsidRPr="002F3F2E" w:rsidRDefault="002F3F2E" w:rsidP="002F3F2E">
      <w:pPr>
        <w:rPr>
          <w:lang w:val="hr-HR"/>
        </w:rPr>
      </w:pPr>
    </w:p>
    <w:p w14:paraId="18CAFF84" w14:textId="77777777" w:rsidR="00A461B3" w:rsidRPr="006C489E" w:rsidRDefault="00A461B3" w:rsidP="00A461B3">
      <w:pPr>
        <w:spacing w:before="240"/>
        <w:jc w:val="both"/>
        <w:rPr>
          <w:rFonts w:cs="Times New Roman"/>
          <w:lang w:val="hr-HR"/>
        </w:rPr>
      </w:pPr>
      <w:r w:rsidRPr="006C489E">
        <w:rPr>
          <w:rFonts w:cs="Times New Roman"/>
          <w:lang w:val="hr-HR"/>
        </w:rPr>
        <w:t>Najznačajnija kretanja na stavkama rasho</w:t>
      </w:r>
      <w:r w:rsidR="009F1616">
        <w:rPr>
          <w:rFonts w:cs="Times New Roman"/>
          <w:lang w:val="hr-HR"/>
        </w:rPr>
        <w:t xml:space="preserve">da u ovim Izmjenama i dopunama </w:t>
      </w:r>
      <w:r w:rsidRPr="006C489E">
        <w:rPr>
          <w:rFonts w:cs="Times New Roman"/>
          <w:lang w:val="hr-HR"/>
        </w:rPr>
        <w:t xml:space="preserve">Državnog proračuna Republike Hrvatske za 2020. godinu povezana su uz potrebu osiguranja sredstava za provedbu mjera za očuvanje radnih mjesta kod poslodavaca kojima je zbog posebne okolnosti uvjetovane epidemijom koronavirusa (COVID-19) narušena gospodarska aktivnost, kao i financiranja drugih troškova, aktivnosti i projekata koji su povezani uz nastup </w:t>
      </w:r>
      <w:r w:rsidR="009F1616">
        <w:rPr>
          <w:rFonts w:cs="Times New Roman"/>
          <w:lang w:val="hr-HR"/>
        </w:rPr>
        <w:t>posebnih</w:t>
      </w:r>
      <w:r w:rsidRPr="006C489E">
        <w:rPr>
          <w:rFonts w:cs="Times New Roman"/>
          <w:lang w:val="hr-HR"/>
        </w:rPr>
        <w:t xml:space="preserve"> okolnosti. Podsjetimo, Vlada Republike Hrvatske je na sjednici 9. travnja 2020. usvojila preraspodjelu sredstava Državnog proračuna Republike Hrvatske za 2020. godinu kojom se osiguralo 2,1 milijard</w:t>
      </w:r>
      <w:r w:rsidR="009F1616">
        <w:rPr>
          <w:rFonts w:cs="Times New Roman"/>
          <w:lang w:val="hr-HR"/>
        </w:rPr>
        <w:t xml:space="preserve">u </w:t>
      </w:r>
      <w:r w:rsidRPr="006C489E">
        <w:rPr>
          <w:rFonts w:cs="Times New Roman"/>
          <w:lang w:val="hr-HR"/>
        </w:rPr>
        <w:t xml:space="preserve">kuna za financiranje, u najvećem dijelu, potpora Hrvatskog zavoda za zapošljavanje. </w:t>
      </w:r>
    </w:p>
    <w:p w14:paraId="3EB93881" w14:textId="77777777" w:rsidR="00A461B3" w:rsidRDefault="009F1616" w:rsidP="00A461B3">
      <w:pPr>
        <w:spacing w:before="240"/>
        <w:jc w:val="both"/>
        <w:rPr>
          <w:rFonts w:cs="Times New Roman"/>
          <w:lang w:val="hr-HR"/>
        </w:rPr>
      </w:pPr>
      <w:r>
        <w:rPr>
          <w:rFonts w:cs="Times New Roman"/>
          <w:lang w:val="hr-HR"/>
        </w:rPr>
        <w:t xml:space="preserve">Nadalje, </w:t>
      </w:r>
      <w:r w:rsidR="00A461B3" w:rsidRPr="006C489E">
        <w:rPr>
          <w:rFonts w:cs="Times New Roman"/>
          <w:lang w:val="hr-HR"/>
        </w:rPr>
        <w:t xml:space="preserve">ovim </w:t>
      </w:r>
      <w:r w:rsidRPr="009F1616">
        <w:rPr>
          <w:rFonts w:cs="Times New Roman"/>
          <w:lang w:val="hr-HR"/>
        </w:rPr>
        <w:t xml:space="preserve">Izmjenama i dopunama Državnog proračuna Republike Hrvatske za 2020. godinu </w:t>
      </w:r>
      <w:r w:rsidR="00A461B3" w:rsidRPr="006C489E">
        <w:rPr>
          <w:rFonts w:cs="Times New Roman"/>
          <w:lang w:val="hr-HR"/>
        </w:rPr>
        <w:t>osiguravaju se i sredstva novčan</w:t>
      </w:r>
      <w:r w:rsidR="00A461B3">
        <w:rPr>
          <w:rFonts w:cs="Times New Roman"/>
          <w:lang w:val="hr-HR"/>
        </w:rPr>
        <w:t>e</w:t>
      </w:r>
      <w:r w:rsidR="00A461B3" w:rsidRPr="006C489E">
        <w:rPr>
          <w:rFonts w:cs="Times New Roman"/>
          <w:lang w:val="hr-HR"/>
        </w:rPr>
        <w:t xml:space="preserve"> pomoć</w:t>
      </w:r>
      <w:r w:rsidR="00A461B3">
        <w:rPr>
          <w:rFonts w:cs="Times New Roman"/>
          <w:lang w:val="hr-HR"/>
        </w:rPr>
        <w:t>i za privremenu i nužnu zaštitu te</w:t>
      </w:r>
      <w:r w:rsidR="00A461B3" w:rsidRPr="006C489E">
        <w:rPr>
          <w:rFonts w:cs="Times New Roman"/>
          <w:lang w:val="hr-HR"/>
        </w:rPr>
        <w:t xml:space="preserve"> popravak obiteljskih kuća, stambeno poslovnih zgrada i višestambenih zgrada oštećenih potresom na području Grada Zagreba i okolice</w:t>
      </w:r>
      <w:r w:rsidR="00A461B3">
        <w:rPr>
          <w:rFonts w:cs="Times New Roman"/>
          <w:lang w:val="hr-HR"/>
        </w:rPr>
        <w:t>.</w:t>
      </w:r>
      <w:r w:rsidR="00A461B3" w:rsidRPr="006C489E">
        <w:rPr>
          <w:rFonts w:cs="Times New Roman"/>
          <w:lang w:val="hr-HR"/>
        </w:rPr>
        <w:t xml:space="preserve"> </w:t>
      </w:r>
      <w:r w:rsidR="00A461B3">
        <w:rPr>
          <w:rFonts w:cs="Times New Roman"/>
          <w:lang w:val="hr-HR"/>
        </w:rPr>
        <w:t xml:space="preserve">Ova sredstva moći će se koristiti </w:t>
      </w:r>
      <w:r w:rsidR="00A461B3" w:rsidRPr="006C489E">
        <w:rPr>
          <w:rFonts w:cs="Times New Roman"/>
          <w:lang w:val="hr-HR"/>
        </w:rPr>
        <w:t>za nužnu privremenu zaštitu zgrada od utjecaja atmosferilija i uklanjanja/pr</w:t>
      </w:r>
      <w:r w:rsidR="00A461B3">
        <w:rPr>
          <w:rFonts w:cs="Times New Roman"/>
          <w:lang w:val="hr-HR"/>
        </w:rPr>
        <w:t>idržanja opasnih dijelova zgrada</w:t>
      </w:r>
      <w:r w:rsidR="00A461B3" w:rsidRPr="006C489E">
        <w:rPr>
          <w:rFonts w:cs="Times New Roman"/>
          <w:lang w:val="hr-HR"/>
        </w:rPr>
        <w:t xml:space="preserve"> koji su mogli, odnosno koji mogu</w:t>
      </w:r>
      <w:r w:rsidR="00A461B3">
        <w:rPr>
          <w:rFonts w:cs="Times New Roman"/>
          <w:lang w:val="hr-HR"/>
        </w:rPr>
        <w:t>,</w:t>
      </w:r>
      <w:r w:rsidR="00A461B3" w:rsidRPr="006C489E">
        <w:rPr>
          <w:rFonts w:cs="Times New Roman"/>
          <w:lang w:val="hr-HR"/>
        </w:rPr>
        <w:t xml:space="preserve"> ugroziti život ili zdravlje ljudi, popravak ili zamjenu dimnja</w:t>
      </w:r>
      <w:r w:rsidR="00A461B3">
        <w:rPr>
          <w:rFonts w:cs="Times New Roman"/>
          <w:lang w:val="hr-HR"/>
        </w:rPr>
        <w:t>ka, popravak ili zamjenu zabatnih zidova</w:t>
      </w:r>
      <w:r w:rsidR="00A461B3" w:rsidRPr="006C489E">
        <w:rPr>
          <w:rFonts w:cs="Times New Roman"/>
          <w:lang w:val="hr-HR"/>
        </w:rPr>
        <w:t xml:space="preserve"> te poprav</w:t>
      </w:r>
      <w:r w:rsidR="00A461B3">
        <w:rPr>
          <w:rFonts w:cs="Times New Roman"/>
          <w:lang w:val="hr-HR"/>
        </w:rPr>
        <w:t>ak</w:t>
      </w:r>
      <w:r w:rsidR="00A461B3" w:rsidRPr="006C489E">
        <w:rPr>
          <w:rFonts w:cs="Times New Roman"/>
          <w:lang w:val="hr-HR"/>
        </w:rPr>
        <w:t xml:space="preserve"> dizala.</w:t>
      </w:r>
    </w:p>
    <w:p w14:paraId="62B986A0" w14:textId="77777777" w:rsidR="00A461B3" w:rsidRPr="006C489E" w:rsidRDefault="00A461B3" w:rsidP="00A461B3">
      <w:pPr>
        <w:spacing w:before="240"/>
        <w:jc w:val="both"/>
        <w:rPr>
          <w:rFonts w:cs="Times New Roman"/>
          <w:lang w:val="hr-HR"/>
        </w:rPr>
      </w:pPr>
      <w:r w:rsidRPr="006C489E">
        <w:rPr>
          <w:rFonts w:cs="Times New Roman"/>
          <w:lang w:val="hr-HR"/>
        </w:rPr>
        <w:t xml:space="preserve">Za financiranje </w:t>
      </w:r>
      <w:r>
        <w:rPr>
          <w:rFonts w:cs="Times New Roman"/>
          <w:lang w:val="hr-HR"/>
        </w:rPr>
        <w:t>navedenih</w:t>
      </w:r>
      <w:r w:rsidRPr="006C489E">
        <w:rPr>
          <w:rFonts w:cs="Times New Roman"/>
          <w:lang w:val="hr-HR"/>
        </w:rPr>
        <w:t xml:space="preserve"> mjera sredstva su osigurana iz ušteda ministarst</w:t>
      </w:r>
      <w:r>
        <w:rPr>
          <w:rFonts w:cs="Times New Roman"/>
          <w:lang w:val="hr-HR"/>
        </w:rPr>
        <w:t>a</w:t>
      </w:r>
      <w:r w:rsidRPr="006C489E">
        <w:rPr>
          <w:rFonts w:cs="Times New Roman"/>
          <w:lang w:val="hr-HR"/>
        </w:rPr>
        <w:t>va i drug</w:t>
      </w:r>
      <w:r>
        <w:rPr>
          <w:rFonts w:cs="Times New Roman"/>
          <w:lang w:val="hr-HR"/>
        </w:rPr>
        <w:t>ih</w:t>
      </w:r>
      <w:r w:rsidRPr="006C489E">
        <w:rPr>
          <w:rFonts w:cs="Times New Roman"/>
          <w:lang w:val="hr-HR"/>
        </w:rPr>
        <w:t xml:space="preserve"> državn</w:t>
      </w:r>
      <w:r>
        <w:rPr>
          <w:rFonts w:cs="Times New Roman"/>
          <w:lang w:val="hr-HR"/>
        </w:rPr>
        <w:t>ih</w:t>
      </w:r>
      <w:r w:rsidRPr="006C489E">
        <w:rPr>
          <w:rFonts w:cs="Times New Roman"/>
          <w:lang w:val="hr-HR"/>
        </w:rPr>
        <w:t xml:space="preserve"> tijela, a posebice </w:t>
      </w:r>
      <w:r>
        <w:rPr>
          <w:rFonts w:cs="Times New Roman"/>
          <w:lang w:val="hr-HR"/>
        </w:rPr>
        <w:t xml:space="preserve">Ministarstva financija, </w:t>
      </w:r>
      <w:r w:rsidRPr="006C489E">
        <w:rPr>
          <w:rFonts w:cs="Times New Roman"/>
          <w:lang w:val="hr-HR"/>
        </w:rPr>
        <w:t>Ministarstv</w:t>
      </w:r>
      <w:r>
        <w:rPr>
          <w:rFonts w:cs="Times New Roman"/>
          <w:lang w:val="hr-HR"/>
        </w:rPr>
        <w:t>a</w:t>
      </w:r>
      <w:r w:rsidRPr="006C489E">
        <w:rPr>
          <w:rFonts w:cs="Times New Roman"/>
          <w:lang w:val="hr-HR"/>
        </w:rPr>
        <w:t xml:space="preserve"> znanosti i obrazovanja</w:t>
      </w:r>
      <w:r>
        <w:rPr>
          <w:rFonts w:cs="Times New Roman"/>
          <w:lang w:val="hr-HR"/>
        </w:rPr>
        <w:t>,</w:t>
      </w:r>
      <w:r w:rsidRPr="006C489E">
        <w:rPr>
          <w:rFonts w:cs="Times New Roman"/>
          <w:lang w:val="hr-HR"/>
        </w:rPr>
        <w:t xml:space="preserve"> Ministarstv</w:t>
      </w:r>
      <w:r>
        <w:rPr>
          <w:rFonts w:cs="Times New Roman"/>
          <w:lang w:val="hr-HR"/>
        </w:rPr>
        <w:t>a obrane i Ministarstva unutarnjih poslova.</w:t>
      </w:r>
      <w:r w:rsidRPr="006C489E">
        <w:rPr>
          <w:rFonts w:cs="Times New Roman"/>
          <w:lang w:val="hr-HR"/>
        </w:rPr>
        <w:t xml:space="preserve"> </w:t>
      </w:r>
    </w:p>
    <w:p w14:paraId="026E9932" w14:textId="77777777" w:rsidR="00A461B3" w:rsidRPr="002F3F2E" w:rsidRDefault="00A461B3" w:rsidP="002F3F2E">
      <w:pPr>
        <w:spacing w:before="240"/>
        <w:jc w:val="both"/>
        <w:rPr>
          <w:rFonts w:cs="Times New Roman"/>
          <w:lang w:val="hr-HR"/>
        </w:rPr>
      </w:pPr>
      <w:r w:rsidRPr="002F3F2E">
        <w:rPr>
          <w:rFonts w:cs="Times New Roman"/>
          <w:lang w:val="hr-HR"/>
        </w:rPr>
        <w:t>Izmjenama i dopunama Državnog proračuna Republike Hrvatske za 2020. godinu ukupni rashodi zadržavaju se na istoj razini od 147,3 milijarde kuna, međutim izvršene su nužne preraspodjele unutar proračunskih stavki.</w:t>
      </w:r>
    </w:p>
    <w:p w14:paraId="67F7CA4F" w14:textId="77777777" w:rsidR="00796C59" w:rsidRDefault="00796C59" w:rsidP="00796C59">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3</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796C59">
        <w:rPr>
          <w:rFonts w:asciiTheme="minorHAnsi" w:hAnsiTheme="minorHAnsi"/>
          <w:b w:val="0"/>
          <w:i/>
          <w:sz w:val="22"/>
          <w:szCs w:val="22"/>
        </w:rPr>
        <w:t>Ukupni rashodi državnog proračuna po ekonomskoj klasifikaciji</w:t>
      </w:r>
    </w:p>
    <w:p w14:paraId="28192CEB" w14:textId="77777777" w:rsidR="00A461B3" w:rsidRPr="006E0462" w:rsidRDefault="00516C30" w:rsidP="006E0462">
      <w:pPr>
        <w:spacing w:after="0"/>
        <w:rPr>
          <w:noProof/>
          <w:lang w:val="hr-HR" w:eastAsia="hr-HR"/>
        </w:rPr>
      </w:pPr>
      <w:r w:rsidRPr="00516C30">
        <w:rPr>
          <w:noProof/>
          <w:lang w:val="hr-HR" w:eastAsia="hr-HR"/>
        </w:rPr>
        <w:drawing>
          <wp:inline distT="0" distB="0" distL="0" distR="0">
            <wp:extent cx="5759450" cy="26765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3872" cy="2678580"/>
                    </a:xfrm>
                    <a:prstGeom prst="rect">
                      <a:avLst/>
                    </a:prstGeom>
                    <a:noFill/>
                    <a:ln>
                      <a:noFill/>
                    </a:ln>
                  </pic:spPr>
                </pic:pic>
              </a:graphicData>
            </a:graphic>
          </wp:inline>
        </w:drawing>
      </w:r>
    </w:p>
    <w:p w14:paraId="68DCF348" w14:textId="77777777" w:rsidR="00A461B3" w:rsidRPr="006E0462" w:rsidRDefault="00A461B3" w:rsidP="006E0462">
      <w:pPr>
        <w:jc w:val="both"/>
        <w:rPr>
          <w:rFonts w:cs="Times New Roman"/>
          <w:i/>
          <w:color w:val="000000"/>
          <w:lang w:val="hr-HR"/>
        </w:rPr>
      </w:pPr>
      <w:r w:rsidRPr="006E0462">
        <w:rPr>
          <w:rFonts w:cs="Times New Roman"/>
          <w:i/>
          <w:color w:val="000000"/>
          <w:lang w:val="hr-HR"/>
        </w:rPr>
        <w:t>Izvor: Ministarstvo financija</w:t>
      </w:r>
    </w:p>
    <w:p w14:paraId="7F6E0F08" w14:textId="77777777" w:rsidR="00796C59" w:rsidRPr="00A461B3" w:rsidRDefault="00796C59" w:rsidP="00A461B3">
      <w:pPr>
        <w:spacing w:after="0"/>
        <w:jc w:val="both"/>
        <w:rPr>
          <w:rFonts w:cs="Times New Roman"/>
          <w:i/>
          <w:szCs w:val="24"/>
          <w:lang w:val="hr-HR"/>
        </w:rPr>
      </w:pPr>
    </w:p>
    <w:p w14:paraId="3C43AC1A" w14:textId="77777777" w:rsidR="002F3F2E" w:rsidRPr="00C3717D" w:rsidRDefault="00A461B3" w:rsidP="00C3717D">
      <w:pPr>
        <w:pStyle w:val="Heading2"/>
        <w:numPr>
          <w:ilvl w:val="1"/>
          <w:numId w:val="3"/>
        </w:numPr>
        <w:ind w:left="993" w:hanging="567"/>
        <w:rPr>
          <w:lang w:val="hr-HR"/>
        </w:rPr>
      </w:pPr>
      <w:bookmarkStart w:id="11" w:name="_Toc23378481"/>
      <w:bookmarkStart w:id="12" w:name="_Toc39733107"/>
      <w:r w:rsidRPr="006C489E">
        <w:rPr>
          <w:lang w:val="hr-HR"/>
        </w:rPr>
        <w:t>Obrazloženje rashoda po ekonomskoj klasifikaciji</w:t>
      </w:r>
      <w:bookmarkEnd w:id="11"/>
      <w:bookmarkEnd w:id="12"/>
    </w:p>
    <w:p w14:paraId="0B2E4793" w14:textId="77777777" w:rsidR="00A461B3" w:rsidRPr="006C489E" w:rsidRDefault="00A461B3" w:rsidP="00A461B3">
      <w:pPr>
        <w:spacing w:before="240"/>
        <w:jc w:val="both"/>
        <w:rPr>
          <w:rFonts w:cs="Times New Roman"/>
          <w:b/>
          <w:lang w:val="hr-HR"/>
        </w:rPr>
      </w:pPr>
      <w:r w:rsidRPr="006C489E">
        <w:rPr>
          <w:rFonts w:cs="Times New Roman"/>
          <w:b/>
          <w:lang w:val="hr-HR"/>
        </w:rPr>
        <w:t>Rashodi poslovanja</w:t>
      </w:r>
    </w:p>
    <w:p w14:paraId="097C9BFC" w14:textId="77777777" w:rsidR="00A461B3" w:rsidRPr="006C489E" w:rsidRDefault="00A461B3" w:rsidP="00A461B3">
      <w:pPr>
        <w:spacing w:before="240"/>
        <w:jc w:val="both"/>
        <w:rPr>
          <w:rFonts w:cs="Times New Roman"/>
          <w:lang w:val="hr-HR"/>
        </w:rPr>
      </w:pPr>
      <w:r w:rsidRPr="006C489E">
        <w:rPr>
          <w:rFonts w:cs="Times New Roman"/>
          <w:lang w:val="hr-HR"/>
        </w:rPr>
        <w:t xml:space="preserve">Ukupni rashodi poslovanja </w:t>
      </w:r>
      <w:r>
        <w:rPr>
          <w:rFonts w:cs="Times New Roman"/>
          <w:lang w:val="hr-HR"/>
        </w:rPr>
        <w:t>povećavaju se</w:t>
      </w:r>
      <w:r w:rsidRPr="006C489E">
        <w:rPr>
          <w:rFonts w:cs="Times New Roman"/>
          <w:lang w:val="hr-HR"/>
        </w:rPr>
        <w:t xml:space="preserve"> za </w:t>
      </w:r>
      <w:r>
        <w:rPr>
          <w:rFonts w:cs="Times New Roman"/>
          <w:lang w:val="hr-HR"/>
        </w:rPr>
        <w:t>326,5</w:t>
      </w:r>
      <w:r w:rsidRPr="006C489E">
        <w:rPr>
          <w:rFonts w:cs="Times New Roman"/>
          <w:lang w:val="hr-HR"/>
        </w:rPr>
        <w:t xml:space="preserve"> milijuna kuna i iznose </w:t>
      </w:r>
      <w:r>
        <w:rPr>
          <w:rFonts w:cs="Times New Roman"/>
          <w:lang w:val="hr-HR"/>
        </w:rPr>
        <w:t>141,5</w:t>
      </w:r>
      <w:r w:rsidRPr="006C489E">
        <w:rPr>
          <w:rFonts w:cs="Times New Roman"/>
          <w:lang w:val="hr-HR"/>
        </w:rPr>
        <w:t xml:space="preserve"> milijardi kuna. Navedeno je rezultat smanjenja rashoda </w:t>
      </w:r>
      <w:r w:rsidRPr="00F70B2A">
        <w:rPr>
          <w:rFonts w:cs="Times New Roman"/>
          <w:lang w:val="hr-HR"/>
        </w:rPr>
        <w:t xml:space="preserve">koji se financiraju iz EU i ostalih izvora financiranja </w:t>
      </w:r>
      <w:r w:rsidRPr="006C489E">
        <w:rPr>
          <w:rFonts w:cs="Times New Roman"/>
          <w:lang w:val="hr-HR"/>
        </w:rPr>
        <w:t xml:space="preserve">u iznosu od </w:t>
      </w:r>
      <w:r>
        <w:rPr>
          <w:rFonts w:cs="Times New Roman"/>
          <w:lang w:val="hr-HR"/>
        </w:rPr>
        <w:t>106,0</w:t>
      </w:r>
      <w:r w:rsidRPr="006C489E">
        <w:rPr>
          <w:rFonts w:cs="Times New Roman"/>
          <w:lang w:val="hr-HR"/>
        </w:rPr>
        <w:t xml:space="preserve"> milijun</w:t>
      </w:r>
      <w:r>
        <w:rPr>
          <w:rFonts w:cs="Times New Roman"/>
          <w:lang w:val="hr-HR"/>
        </w:rPr>
        <w:t>a</w:t>
      </w:r>
      <w:r w:rsidRPr="006C489E">
        <w:rPr>
          <w:rFonts w:cs="Times New Roman"/>
          <w:lang w:val="hr-HR"/>
        </w:rPr>
        <w:t xml:space="preserve"> kuna i povećanja rashoda </w:t>
      </w:r>
      <w:r w:rsidRPr="00F70B2A">
        <w:rPr>
          <w:rFonts w:cs="Times New Roman"/>
          <w:lang w:val="hr-HR"/>
        </w:rPr>
        <w:t>koji se financiraju iz općih prihoda i primitaka, doprinosa i namjenskih primitaka</w:t>
      </w:r>
      <w:r w:rsidRPr="006C489E">
        <w:rPr>
          <w:rFonts w:cs="Times New Roman"/>
          <w:lang w:val="hr-HR"/>
        </w:rPr>
        <w:t xml:space="preserve"> u iznosu od </w:t>
      </w:r>
      <w:r>
        <w:rPr>
          <w:rFonts w:cs="Times New Roman"/>
          <w:lang w:val="hr-HR"/>
        </w:rPr>
        <w:t xml:space="preserve">432,6 </w:t>
      </w:r>
      <w:r w:rsidRPr="006C489E">
        <w:rPr>
          <w:rFonts w:cs="Times New Roman"/>
          <w:lang w:val="hr-HR"/>
        </w:rPr>
        <w:t>milijuna kuna.</w:t>
      </w:r>
    </w:p>
    <w:p w14:paraId="0C78D443" w14:textId="77777777" w:rsidR="00A461B3" w:rsidRPr="006C489E" w:rsidRDefault="00A461B3" w:rsidP="00A461B3">
      <w:pPr>
        <w:spacing w:before="240"/>
        <w:jc w:val="both"/>
        <w:rPr>
          <w:rFonts w:cs="Times New Roman"/>
          <w:b/>
          <w:i/>
          <w:lang w:val="hr-HR"/>
        </w:rPr>
      </w:pPr>
      <w:r w:rsidRPr="006C489E">
        <w:rPr>
          <w:rFonts w:cs="Times New Roman"/>
          <w:b/>
          <w:i/>
          <w:lang w:val="hr-HR"/>
        </w:rPr>
        <w:t>Rashodi za zaposlene</w:t>
      </w:r>
    </w:p>
    <w:p w14:paraId="1273CD48" w14:textId="77777777" w:rsidR="00A461B3" w:rsidRPr="006C489E" w:rsidRDefault="00A461B3" w:rsidP="00A461B3">
      <w:pPr>
        <w:spacing w:before="240"/>
        <w:jc w:val="both"/>
        <w:rPr>
          <w:rFonts w:cs="Times New Roman"/>
          <w:lang w:val="hr-HR"/>
        </w:rPr>
      </w:pPr>
      <w:r w:rsidRPr="006C489E">
        <w:rPr>
          <w:rFonts w:cs="Times New Roman"/>
          <w:lang w:val="hr-HR"/>
        </w:rPr>
        <w:t xml:space="preserve">Ukupni rashodi za zaposlene ovim su Izmjenama i dopunama planirani na razini od 22,3 milijarde kuna i smanjuju se u odnosu na tekući plan za </w:t>
      </w:r>
      <w:r>
        <w:rPr>
          <w:rFonts w:cs="Times New Roman"/>
          <w:lang w:val="hr-HR"/>
        </w:rPr>
        <w:t>391,7</w:t>
      </w:r>
      <w:r w:rsidRPr="006C489E">
        <w:rPr>
          <w:rFonts w:cs="Times New Roman"/>
          <w:lang w:val="hr-HR"/>
        </w:rPr>
        <w:t xml:space="preserve"> mil</w:t>
      </w:r>
      <w:r>
        <w:rPr>
          <w:rFonts w:cs="Times New Roman"/>
          <w:lang w:val="hr-HR"/>
        </w:rPr>
        <w:t>ijuna</w:t>
      </w:r>
      <w:r w:rsidRPr="006C489E">
        <w:rPr>
          <w:rFonts w:cs="Times New Roman"/>
          <w:lang w:val="hr-HR"/>
        </w:rPr>
        <w:t xml:space="preserve"> kuna. </w:t>
      </w:r>
    </w:p>
    <w:p w14:paraId="7F970CCF" w14:textId="77777777" w:rsidR="00A461B3" w:rsidRPr="006C489E" w:rsidRDefault="00A461B3" w:rsidP="00A461B3">
      <w:pPr>
        <w:shd w:val="clear" w:color="auto" w:fill="FFFFFF"/>
        <w:spacing w:after="0"/>
        <w:jc w:val="both"/>
        <w:rPr>
          <w:rFonts w:cs="Times New Roman"/>
          <w:lang w:val="hr-HR"/>
        </w:rPr>
      </w:pPr>
      <w:r w:rsidRPr="006C489E">
        <w:rPr>
          <w:rFonts w:cs="Times New Roman"/>
          <w:lang w:val="hr-HR"/>
        </w:rPr>
        <w:t>Uz mjere koje su donesene</w:t>
      </w:r>
      <w:r>
        <w:rPr>
          <w:rFonts w:cs="Times New Roman"/>
          <w:lang w:val="hr-HR"/>
        </w:rPr>
        <w:t xml:space="preserve"> </w:t>
      </w:r>
      <w:r w:rsidRPr="006C489E">
        <w:rPr>
          <w:rFonts w:cs="Times New Roman"/>
          <w:lang w:val="hr-HR"/>
        </w:rPr>
        <w:t xml:space="preserve">radi olakšanja problema nelikvidnosti onih gospodarstvenika čija je poslovna aktivnost smanjena uslijed epidemije, uz istovremeno očuvanje radnih mjesta i zaposlenosti, doneseni su i akti značajni za rad i poslovanje svih subjekata u sustavu proračuna. Riječ je o Zaključku </w:t>
      </w:r>
      <w:hyperlink r:id="rId12" w:history="1">
        <w:r w:rsidRPr="006C489E">
          <w:rPr>
            <w:rFonts w:cs="Times New Roman"/>
            <w:lang w:val="hr-HR"/>
          </w:rPr>
          <w:t>o ograničavanju rashoda proračunskih i izvanproračunskih korisnika državnog proračuna zbog promjene gospodarskih okolnosti uslijed epidemije koronavirusa</w:t>
        </w:r>
      </w:hyperlink>
      <w:r w:rsidR="00623D98">
        <w:rPr>
          <w:rFonts w:cs="Times New Roman"/>
          <w:lang w:val="hr-HR"/>
        </w:rPr>
        <w:t xml:space="preserve"> </w:t>
      </w:r>
      <w:r w:rsidRPr="006C489E">
        <w:rPr>
          <w:rFonts w:cs="Times New Roman"/>
          <w:lang w:val="hr-HR"/>
        </w:rPr>
        <w:t xml:space="preserve">i </w:t>
      </w:r>
      <w:hyperlink r:id="rId13" w:history="1">
        <w:r w:rsidRPr="006C489E">
          <w:rPr>
            <w:rFonts w:cs="Times New Roman"/>
            <w:lang w:val="hr-HR"/>
          </w:rPr>
          <w:t>Odluci o ograničavanju korištenja sredstava predviđenih Državnim proračunom Republike Hrvatske i financijskim planovima izvanproračunskih korisnika državnog proračuna za 2020. godinu</w:t>
        </w:r>
      </w:hyperlink>
      <w:r w:rsidRPr="006C489E">
        <w:rPr>
          <w:rFonts w:cs="Times New Roman"/>
          <w:lang w:val="hr-HR"/>
        </w:rPr>
        <w:t xml:space="preserve"> (u daljnjem tekstu: Odluka).  Odluka je stupila na snagu </w:t>
      </w:r>
      <w:r>
        <w:rPr>
          <w:rFonts w:cs="Times New Roman"/>
          <w:lang w:val="hr-HR"/>
        </w:rPr>
        <w:t>4</w:t>
      </w:r>
      <w:r w:rsidRPr="006C489E">
        <w:rPr>
          <w:rFonts w:cs="Times New Roman"/>
          <w:lang w:val="hr-HR"/>
        </w:rPr>
        <w:t xml:space="preserve">. travnja 2020., a </w:t>
      </w:r>
      <w:r>
        <w:rPr>
          <w:rFonts w:cs="Times New Roman"/>
          <w:lang w:val="hr-HR"/>
        </w:rPr>
        <w:t>istom</w:t>
      </w:r>
      <w:r w:rsidRPr="006C489E">
        <w:rPr>
          <w:rFonts w:cs="Times New Roman"/>
          <w:lang w:val="hr-HR"/>
        </w:rPr>
        <w:t xml:space="preserve"> se između ostaloga ograničila mogućnost zapošljavanja, odnosno prijema na određeno ili neodređeno vrijeme u državnim i javnim službama. Navedena Odluka je bila privremenog karaktera</w:t>
      </w:r>
      <w:r>
        <w:rPr>
          <w:rFonts w:cs="Times New Roman"/>
          <w:lang w:val="hr-HR"/>
        </w:rPr>
        <w:t xml:space="preserve">, a sada su navedena ograničenja dio </w:t>
      </w:r>
      <w:r w:rsidRPr="006C489E">
        <w:rPr>
          <w:rFonts w:cs="Times New Roman"/>
          <w:lang w:val="hr-HR"/>
        </w:rPr>
        <w:t>Zakona o izmjenama i dopunama</w:t>
      </w:r>
      <w:r>
        <w:rPr>
          <w:rFonts w:cs="Times New Roman"/>
          <w:lang w:val="hr-HR"/>
        </w:rPr>
        <w:t xml:space="preserve"> Zakona o izvršavanju</w:t>
      </w:r>
      <w:r w:rsidRPr="006C489E">
        <w:rPr>
          <w:rFonts w:cs="Times New Roman"/>
          <w:lang w:val="hr-HR"/>
        </w:rPr>
        <w:t xml:space="preserve"> Državnog proračuna Republike Hrvatske za 2020. godinu koji se donosi uz </w:t>
      </w:r>
      <w:r>
        <w:rPr>
          <w:rFonts w:cs="Times New Roman"/>
          <w:lang w:val="hr-HR"/>
        </w:rPr>
        <w:t xml:space="preserve">ove </w:t>
      </w:r>
      <w:r w:rsidR="009F1616" w:rsidRPr="009F1616">
        <w:rPr>
          <w:rFonts w:cs="Times New Roman"/>
          <w:lang w:val="hr-HR"/>
        </w:rPr>
        <w:t>Izmjen</w:t>
      </w:r>
      <w:r w:rsidR="009F1616">
        <w:rPr>
          <w:rFonts w:cs="Times New Roman"/>
          <w:lang w:val="hr-HR"/>
        </w:rPr>
        <w:t>e</w:t>
      </w:r>
      <w:r w:rsidR="009F1616" w:rsidRPr="009F1616">
        <w:rPr>
          <w:rFonts w:cs="Times New Roman"/>
          <w:lang w:val="hr-HR"/>
        </w:rPr>
        <w:t xml:space="preserve"> i dopun</w:t>
      </w:r>
      <w:r w:rsidR="009F1616">
        <w:rPr>
          <w:rFonts w:cs="Times New Roman"/>
          <w:lang w:val="hr-HR"/>
        </w:rPr>
        <w:t>e</w:t>
      </w:r>
      <w:r w:rsidR="009F1616" w:rsidRPr="009F1616">
        <w:rPr>
          <w:rFonts w:cs="Times New Roman"/>
          <w:lang w:val="hr-HR"/>
        </w:rPr>
        <w:t xml:space="preserve"> Državnog proračuna Republike Hrvatske za 2020. godinu</w:t>
      </w:r>
      <w:r>
        <w:rPr>
          <w:rFonts w:cs="Times New Roman"/>
          <w:lang w:val="hr-HR"/>
        </w:rPr>
        <w:t>.</w:t>
      </w:r>
    </w:p>
    <w:p w14:paraId="60D3503E" w14:textId="77777777" w:rsidR="00A461B3" w:rsidRPr="006C489E" w:rsidRDefault="00A461B3" w:rsidP="00A461B3">
      <w:pPr>
        <w:spacing w:before="240"/>
        <w:jc w:val="both"/>
        <w:rPr>
          <w:rFonts w:cs="Times New Roman"/>
          <w:b/>
          <w:i/>
          <w:lang w:val="hr-HR"/>
        </w:rPr>
      </w:pPr>
      <w:r w:rsidRPr="006C489E">
        <w:rPr>
          <w:rFonts w:cs="Times New Roman"/>
          <w:b/>
          <w:i/>
          <w:lang w:val="hr-HR"/>
        </w:rPr>
        <w:t>Materijalni rashodi</w:t>
      </w:r>
    </w:p>
    <w:p w14:paraId="25BA3BDB" w14:textId="77777777" w:rsidR="00A461B3" w:rsidRPr="006C489E" w:rsidRDefault="00A461B3" w:rsidP="00A461B3">
      <w:pPr>
        <w:spacing w:before="240"/>
        <w:jc w:val="both"/>
        <w:rPr>
          <w:rFonts w:cs="Times New Roman"/>
          <w:lang w:val="hr-HR"/>
        </w:rPr>
      </w:pPr>
      <w:r w:rsidRPr="006C489E">
        <w:rPr>
          <w:rFonts w:cs="Times New Roman"/>
          <w:lang w:val="hr-HR"/>
        </w:rPr>
        <w:t xml:space="preserve">Ukupni materijalni rashodi ovim se </w:t>
      </w:r>
      <w:r w:rsidR="009F1616" w:rsidRPr="009F1616">
        <w:rPr>
          <w:rFonts w:cs="Times New Roman"/>
          <w:lang w:val="hr-HR"/>
        </w:rPr>
        <w:t xml:space="preserve">Izmjenama i dopunama Državnog proračuna Republike Hrvatske za 2020. godinu </w:t>
      </w:r>
      <w:r w:rsidRPr="006C489E">
        <w:rPr>
          <w:rFonts w:cs="Times New Roman"/>
          <w:lang w:val="hr-HR"/>
        </w:rPr>
        <w:t xml:space="preserve">smanjuju za </w:t>
      </w:r>
      <w:r>
        <w:rPr>
          <w:rFonts w:cs="Times New Roman"/>
          <w:lang w:val="hr-HR"/>
        </w:rPr>
        <w:t>588,2</w:t>
      </w:r>
      <w:r w:rsidRPr="006C489E">
        <w:rPr>
          <w:rFonts w:cs="Times New Roman"/>
          <w:lang w:val="hr-HR"/>
        </w:rPr>
        <w:t xml:space="preserve"> milijuna kun</w:t>
      </w:r>
      <w:r>
        <w:rPr>
          <w:rFonts w:cs="Times New Roman"/>
          <w:lang w:val="hr-HR"/>
        </w:rPr>
        <w:t>a čime dolaze na razinu od 14,3</w:t>
      </w:r>
      <w:r w:rsidRPr="006C489E">
        <w:rPr>
          <w:rFonts w:cs="Times New Roman"/>
          <w:lang w:val="hr-HR"/>
        </w:rPr>
        <w:t xml:space="preserve"> milijarde kuna. Navedeno je rezultat smanjenja rashoda</w:t>
      </w:r>
      <w:r w:rsidRPr="008A0640">
        <w:rPr>
          <w:rFonts w:cs="Times New Roman"/>
          <w:lang w:val="hr-HR"/>
        </w:rPr>
        <w:t xml:space="preserve"> </w:t>
      </w:r>
      <w:r w:rsidRPr="00F70B2A">
        <w:rPr>
          <w:rFonts w:cs="Times New Roman"/>
          <w:lang w:val="hr-HR"/>
        </w:rPr>
        <w:t>koji se financiraju iz općih prihoda i primitaka, doprinosa i namjenskih primitaka</w:t>
      </w:r>
      <w:r w:rsidRPr="006C489E">
        <w:rPr>
          <w:rFonts w:cs="Times New Roman"/>
          <w:lang w:val="hr-HR"/>
        </w:rPr>
        <w:t xml:space="preserve"> u iznosu od 285,4 milijuna kuna i to prvenstveno uslijed smanjenja ovih rashoda kod većine proračunskih korisnika, a u najvećem dijelu na razdjelu Ministarstva obrane</w:t>
      </w:r>
      <w:r>
        <w:rPr>
          <w:rFonts w:cs="Times New Roman"/>
          <w:lang w:val="hr-HR"/>
        </w:rPr>
        <w:t xml:space="preserve"> u visini od 133,2</w:t>
      </w:r>
      <w:r w:rsidRPr="006C489E">
        <w:rPr>
          <w:rFonts w:cs="Times New Roman"/>
          <w:lang w:val="hr-HR"/>
        </w:rPr>
        <w:t xml:space="preserve"> milijuna kuna.</w:t>
      </w:r>
    </w:p>
    <w:p w14:paraId="74971886" w14:textId="77777777" w:rsidR="002F3F2E" w:rsidRPr="00C3717D" w:rsidRDefault="00A461B3" w:rsidP="00A461B3">
      <w:pPr>
        <w:spacing w:before="240"/>
        <w:jc w:val="both"/>
        <w:rPr>
          <w:rFonts w:cs="Times New Roman"/>
          <w:lang w:val="hr-HR"/>
        </w:rPr>
      </w:pPr>
      <w:r w:rsidRPr="006C489E">
        <w:rPr>
          <w:rFonts w:cs="Times New Roman"/>
          <w:lang w:val="hr-HR"/>
        </w:rPr>
        <w:t>Istodobno</w:t>
      </w:r>
      <w:r w:rsidR="009F1616">
        <w:rPr>
          <w:rFonts w:cs="Times New Roman"/>
          <w:lang w:val="hr-HR"/>
        </w:rPr>
        <w:t>,</w:t>
      </w:r>
      <w:r w:rsidRPr="006C489E">
        <w:rPr>
          <w:rFonts w:cs="Times New Roman"/>
          <w:lang w:val="hr-HR"/>
        </w:rPr>
        <w:t xml:space="preserve"> smanjuju se izdvajanja za ovu kategoriju rashoda </w:t>
      </w:r>
      <w:r w:rsidRPr="00F70B2A">
        <w:rPr>
          <w:rFonts w:cs="Times New Roman"/>
          <w:lang w:val="hr-HR"/>
        </w:rPr>
        <w:t>koji se financiraju iz EU i ostalih izvora financiranja</w:t>
      </w:r>
      <w:r w:rsidRPr="006C489E">
        <w:rPr>
          <w:rFonts w:cs="Times New Roman"/>
          <w:lang w:val="hr-HR"/>
        </w:rPr>
        <w:t xml:space="preserve"> u iznosu od </w:t>
      </w:r>
      <w:r>
        <w:rPr>
          <w:rFonts w:cs="Times New Roman"/>
          <w:lang w:val="hr-HR"/>
        </w:rPr>
        <w:t>302,8</w:t>
      </w:r>
      <w:r w:rsidRPr="006C489E">
        <w:rPr>
          <w:rFonts w:cs="Times New Roman"/>
          <w:lang w:val="hr-HR"/>
        </w:rPr>
        <w:t xml:space="preserve"> milijuna kuna i to ponajprije na pozicijama Ministarstva zaštite okoliša i energetike u iznosu od 124,0 milijuna kuna, od čega 101,8 milijuna na rashodima za administraciju i upravljanje nacionalnih parkova i parkova prirode.</w:t>
      </w:r>
    </w:p>
    <w:p w14:paraId="6394AFF5" w14:textId="77777777" w:rsidR="00A461B3" w:rsidRPr="006C489E" w:rsidRDefault="00A461B3" w:rsidP="00A461B3">
      <w:pPr>
        <w:spacing w:before="240"/>
        <w:jc w:val="both"/>
        <w:rPr>
          <w:rFonts w:cs="Times New Roman"/>
          <w:b/>
          <w:i/>
          <w:lang w:val="hr-HR"/>
        </w:rPr>
      </w:pPr>
      <w:r w:rsidRPr="006C489E">
        <w:rPr>
          <w:rFonts w:cs="Times New Roman"/>
          <w:b/>
          <w:i/>
          <w:lang w:val="hr-HR"/>
        </w:rPr>
        <w:t>Financijski rashodi</w:t>
      </w:r>
    </w:p>
    <w:p w14:paraId="5A2F3DC4" w14:textId="77777777" w:rsidR="00A461B3" w:rsidRDefault="00A461B3" w:rsidP="00A461B3">
      <w:pPr>
        <w:spacing w:before="240"/>
        <w:jc w:val="both"/>
        <w:rPr>
          <w:rFonts w:ascii="Calibri" w:hAnsi="Calibri"/>
          <w:color w:val="222222"/>
          <w:shd w:val="clear" w:color="auto" w:fill="FFFFFF"/>
          <w:lang w:val="hr-HR"/>
        </w:rPr>
      </w:pPr>
      <w:r w:rsidRPr="006C489E">
        <w:rPr>
          <w:rFonts w:ascii="Calibri" w:hAnsi="Calibri"/>
          <w:color w:val="222222"/>
          <w:shd w:val="clear" w:color="auto" w:fill="FFFFFF"/>
          <w:lang w:val="hr-HR"/>
        </w:rPr>
        <w:t xml:space="preserve">Financijski rashodi, koji su najvećim dijelom određeni kretanjem rashoda za kamate, u skladu s uvjetima na financijskim tržištima, odnosno troškovima servisiranja javnog duga, bilježe razinu od </w:t>
      </w:r>
      <w:r>
        <w:rPr>
          <w:rFonts w:ascii="Calibri" w:hAnsi="Calibri"/>
          <w:color w:val="222222"/>
          <w:shd w:val="clear" w:color="auto" w:fill="FFFFFF"/>
          <w:lang w:val="hr-HR"/>
        </w:rPr>
        <w:t>7,2 milijarde</w:t>
      </w:r>
      <w:r w:rsidRPr="006C489E">
        <w:rPr>
          <w:rFonts w:ascii="Calibri" w:hAnsi="Calibri"/>
          <w:color w:val="222222"/>
          <w:shd w:val="clear" w:color="auto" w:fill="FFFFFF"/>
          <w:lang w:val="hr-HR"/>
        </w:rPr>
        <w:t xml:space="preserve"> kuna u 2020. godini.</w:t>
      </w:r>
    </w:p>
    <w:p w14:paraId="61617A64" w14:textId="77777777" w:rsidR="00A461B3" w:rsidRPr="006C489E" w:rsidRDefault="00A461B3" w:rsidP="00A461B3">
      <w:pPr>
        <w:spacing w:before="240"/>
        <w:jc w:val="both"/>
        <w:rPr>
          <w:rFonts w:cs="Times New Roman"/>
          <w:b/>
          <w:i/>
          <w:lang w:val="hr-HR"/>
        </w:rPr>
      </w:pPr>
      <w:r w:rsidRPr="006C489E">
        <w:rPr>
          <w:rFonts w:cs="Times New Roman"/>
          <w:b/>
          <w:i/>
          <w:lang w:val="hr-HR"/>
        </w:rPr>
        <w:t>Subvencije</w:t>
      </w:r>
    </w:p>
    <w:p w14:paraId="73A147A2" w14:textId="77777777" w:rsidR="00A461B3" w:rsidRPr="006C489E" w:rsidRDefault="00A461B3" w:rsidP="00A461B3">
      <w:pPr>
        <w:spacing w:before="240"/>
        <w:jc w:val="both"/>
        <w:rPr>
          <w:rFonts w:cs="Times New Roman"/>
          <w:lang w:val="hr-HR"/>
        </w:rPr>
      </w:pPr>
      <w:r w:rsidRPr="006C489E">
        <w:rPr>
          <w:rFonts w:cs="Times New Roman"/>
          <w:lang w:val="hr-HR"/>
        </w:rPr>
        <w:t xml:space="preserve">Ukupni rashodi za subvencije iznose 13,4 milijarde kuna što je u odnosu na tekući plan povećanje od </w:t>
      </w:r>
      <w:r>
        <w:rPr>
          <w:rFonts w:cs="Times New Roman"/>
          <w:lang w:val="hr-HR"/>
        </w:rPr>
        <w:t>5,0 milijardi</w:t>
      </w:r>
      <w:r w:rsidRPr="006C489E">
        <w:rPr>
          <w:rFonts w:cs="Times New Roman"/>
          <w:lang w:val="hr-HR"/>
        </w:rPr>
        <w:t xml:space="preserve"> kuna. Ovo povećanje je rezultat povećanja subvencija na pozicijama Hrvatskog zavoda za zapošljavanje u iznosu od 4,5 milijardi kuna za potpore za očuvanje radnih mjesta i Ministarstva poljoprivrede u iznosu od </w:t>
      </w:r>
      <w:r>
        <w:rPr>
          <w:rFonts w:cs="Times New Roman"/>
          <w:lang w:val="hr-HR"/>
        </w:rPr>
        <w:t>507,8</w:t>
      </w:r>
      <w:r w:rsidRPr="006C489E">
        <w:rPr>
          <w:rFonts w:cs="Times New Roman"/>
          <w:lang w:val="hr-HR"/>
        </w:rPr>
        <w:t xml:space="preserve"> mili</w:t>
      </w:r>
      <w:r>
        <w:rPr>
          <w:rFonts w:cs="Times New Roman"/>
          <w:lang w:val="hr-HR"/>
        </w:rPr>
        <w:t xml:space="preserve">juna </w:t>
      </w:r>
      <w:r w:rsidRPr="006C489E">
        <w:rPr>
          <w:rFonts w:cs="Times New Roman"/>
          <w:lang w:val="hr-HR"/>
        </w:rPr>
        <w:t>kuna</w:t>
      </w:r>
      <w:r w:rsidR="00205365">
        <w:rPr>
          <w:rFonts w:cs="Times New Roman"/>
          <w:lang w:val="hr-HR"/>
        </w:rPr>
        <w:t>,</w:t>
      </w:r>
      <w:r w:rsidRPr="006C489E">
        <w:rPr>
          <w:rFonts w:cs="Times New Roman"/>
          <w:lang w:val="hr-HR"/>
        </w:rPr>
        <w:t xml:space="preserve"> </w:t>
      </w:r>
      <w:r>
        <w:rPr>
          <w:rFonts w:cs="Times New Roman"/>
          <w:lang w:val="hr-HR"/>
        </w:rPr>
        <w:t xml:space="preserve">ponajprije </w:t>
      </w:r>
      <w:r w:rsidRPr="006C489E">
        <w:rPr>
          <w:rFonts w:cs="Times New Roman"/>
          <w:lang w:val="hr-HR"/>
        </w:rPr>
        <w:t>za mjere ruralnog razvoja i izravna plaćanja</w:t>
      </w:r>
      <w:r w:rsidR="00205365">
        <w:rPr>
          <w:rFonts w:cs="Times New Roman"/>
          <w:lang w:val="hr-HR"/>
        </w:rPr>
        <w:t xml:space="preserve"> poljoprivrednim proizvođačima</w:t>
      </w:r>
      <w:r w:rsidRPr="006C489E">
        <w:rPr>
          <w:rFonts w:cs="Times New Roman"/>
          <w:lang w:val="hr-HR"/>
        </w:rPr>
        <w:t>.</w:t>
      </w:r>
    </w:p>
    <w:p w14:paraId="0D4614FB" w14:textId="77777777" w:rsidR="00A461B3" w:rsidRPr="006C489E" w:rsidRDefault="00A461B3" w:rsidP="00A461B3">
      <w:pPr>
        <w:spacing w:before="240"/>
        <w:jc w:val="both"/>
        <w:rPr>
          <w:rFonts w:cs="Times New Roman"/>
          <w:lang w:val="hr-HR"/>
        </w:rPr>
      </w:pPr>
      <w:r w:rsidRPr="006C489E">
        <w:rPr>
          <w:rFonts w:cs="Times New Roman"/>
          <w:lang w:val="hr-HR"/>
        </w:rPr>
        <w:t xml:space="preserve">Treba istaknuti da se za provedbu mjere </w:t>
      </w:r>
      <w:r w:rsidRPr="006C489E">
        <w:rPr>
          <w:b/>
          <w:bCs/>
          <w:i/>
          <w:iCs/>
          <w:lang w:val="hr-HR"/>
        </w:rPr>
        <w:t xml:space="preserve">Potpore za očuvanje radnih mjesta </w:t>
      </w:r>
      <w:r>
        <w:rPr>
          <w:b/>
          <w:bCs/>
          <w:i/>
          <w:iCs/>
          <w:lang w:val="hr-HR"/>
        </w:rPr>
        <w:t>poduzetnicima pogođenima korona</w:t>
      </w:r>
      <w:r w:rsidRPr="006C489E">
        <w:rPr>
          <w:b/>
          <w:bCs/>
          <w:i/>
          <w:iCs/>
          <w:lang w:val="hr-HR"/>
        </w:rPr>
        <w:t xml:space="preserve">virusom COVID-19 </w:t>
      </w:r>
      <w:r w:rsidR="00205365" w:rsidRPr="00205365">
        <w:rPr>
          <w:bCs/>
          <w:iCs/>
          <w:lang w:val="hr-HR"/>
        </w:rPr>
        <w:t>na svim kategorijama rashoda</w:t>
      </w:r>
      <w:r w:rsidR="00205365">
        <w:rPr>
          <w:b/>
          <w:bCs/>
          <w:i/>
          <w:iCs/>
          <w:lang w:val="hr-HR"/>
        </w:rPr>
        <w:t xml:space="preserve"> </w:t>
      </w:r>
      <w:r>
        <w:rPr>
          <w:lang w:val="hr-HR"/>
        </w:rPr>
        <w:t>osigurava 6,7 milijardi</w:t>
      </w:r>
      <w:r w:rsidRPr="006C489E">
        <w:rPr>
          <w:lang w:val="hr-HR"/>
        </w:rPr>
        <w:t xml:space="preserve"> kuna. Početkom travnja izvršena je preraspodjela Vlade Republike Hrvatske u iznosu od 1,8 milijardi kuna, a ovim </w:t>
      </w:r>
      <w:r w:rsidR="009F1616" w:rsidRPr="009F1616">
        <w:rPr>
          <w:lang w:val="hr-HR"/>
        </w:rPr>
        <w:t xml:space="preserve">Izmjenama i dopunama Državnog proračuna Republike Hrvatske za 2020. godinu </w:t>
      </w:r>
      <w:r w:rsidR="00623D98">
        <w:rPr>
          <w:lang w:val="hr-HR"/>
        </w:rPr>
        <w:t xml:space="preserve">osigurava se dodatnih </w:t>
      </w:r>
      <w:r w:rsidRPr="006C489E">
        <w:rPr>
          <w:lang w:val="hr-HR"/>
        </w:rPr>
        <w:t>4,9 milijardi kuna od čega</w:t>
      </w:r>
      <w:r>
        <w:rPr>
          <w:lang w:val="hr-HR"/>
        </w:rPr>
        <w:t xml:space="preserve"> je</w:t>
      </w:r>
      <w:r w:rsidRPr="006C489E">
        <w:rPr>
          <w:lang w:val="hr-HR"/>
        </w:rPr>
        <w:t xml:space="preserve">, kao što smo prethodno istaknuli, na ovoj </w:t>
      </w:r>
      <w:r w:rsidR="00205365">
        <w:rPr>
          <w:lang w:val="hr-HR"/>
        </w:rPr>
        <w:t>kategoriji rashoda</w:t>
      </w:r>
      <w:r>
        <w:rPr>
          <w:lang w:val="hr-HR"/>
        </w:rPr>
        <w:t xml:space="preserve"> planirano</w:t>
      </w:r>
      <w:r w:rsidRPr="006C489E">
        <w:rPr>
          <w:lang w:val="hr-HR"/>
        </w:rPr>
        <w:t xml:space="preserve"> 4,5 milijardi kuna.  </w:t>
      </w:r>
    </w:p>
    <w:p w14:paraId="549F8FDD" w14:textId="77777777" w:rsidR="00A461B3" w:rsidRPr="006C489E" w:rsidRDefault="00A461B3" w:rsidP="00A461B3">
      <w:pPr>
        <w:spacing w:before="240"/>
        <w:jc w:val="both"/>
        <w:rPr>
          <w:rFonts w:cs="Times New Roman"/>
          <w:b/>
          <w:i/>
          <w:lang w:val="hr-HR"/>
        </w:rPr>
      </w:pPr>
      <w:r w:rsidRPr="006C489E">
        <w:rPr>
          <w:rFonts w:cs="Times New Roman"/>
          <w:b/>
          <w:i/>
          <w:lang w:val="hr-HR"/>
        </w:rPr>
        <w:t>Pomoći dane u inozemstvo i unutar općeg proračuna</w:t>
      </w:r>
    </w:p>
    <w:p w14:paraId="085EF159" w14:textId="77777777" w:rsidR="00A461B3" w:rsidRPr="006C489E" w:rsidRDefault="00A461B3" w:rsidP="00A461B3">
      <w:pPr>
        <w:spacing w:before="240"/>
        <w:jc w:val="both"/>
        <w:rPr>
          <w:rFonts w:cs="Times New Roman"/>
          <w:lang w:val="hr-HR"/>
        </w:rPr>
      </w:pPr>
      <w:r w:rsidRPr="006C489E">
        <w:rPr>
          <w:rFonts w:cs="Times New Roman"/>
          <w:lang w:val="hr-HR"/>
        </w:rPr>
        <w:t xml:space="preserve">Ukupne pomoći smanjuju se za </w:t>
      </w:r>
      <w:r>
        <w:rPr>
          <w:rFonts w:cs="Times New Roman"/>
          <w:lang w:val="hr-HR"/>
        </w:rPr>
        <w:t>2,2 milijarde</w:t>
      </w:r>
      <w:r w:rsidRPr="006C489E">
        <w:rPr>
          <w:rFonts w:cs="Times New Roman"/>
          <w:lang w:val="hr-HR"/>
        </w:rPr>
        <w:t xml:space="preserve"> kuna i iznose </w:t>
      </w:r>
      <w:r>
        <w:rPr>
          <w:rFonts w:cs="Times New Roman"/>
          <w:lang w:val="hr-HR"/>
        </w:rPr>
        <w:t>27,1</w:t>
      </w:r>
      <w:r w:rsidRPr="006C489E">
        <w:rPr>
          <w:rFonts w:cs="Times New Roman"/>
          <w:lang w:val="hr-HR"/>
        </w:rPr>
        <w:t xml:space="preserve"> milijard</w:t>
      </w:r>
      <w:r>
        <w:rPr>
          <w:rFonts w:cs="Times New Roman"/>
          <w:lang w:val="hr-HR"/>
        </w:rPr>
        <w:t>u</w:t>
      </w:r>
      <w:r w:rsidRPr="006C489E">
        <w:rPr>
          <w:rFonts w:cs="Times New Roman"/>
          <w:lang w:val="hr-HR"/>
        </w:rPr>
        <w:t xml:space="preserve"> kuna. To je posljedica smanjenja rashoda </w:t>
      </w:r>
      <w:r w:rsidRPr="00F70B2A">
        <w:rPr>
          <w:rFonts w:cs="Times New Roman"/>
          <w:lang w:val="hr-HR"/>
        </w:rPr>
        <w:t>koji se financiraju iz općih prihoda i primitaka, doprinosa i namjenskih primitaka</w:t>
      </w:r>
      <w:r w:rsidRPr="006C489E">
        <w:rPr>
          <w:rFonts w:cs="Times New Roman"/>
          <w:lang w:val="hr-HR"/>
        </w:rPr>
        <w:t xml:space="preserve"> u iznosu od </w:t>
      </w:r>
      <w:r>
        <w:rPr>
          <w:rFonts w:cs="Times New Roman"/>
          <w:lang w:val="hr-HR"/>
        </w:rPr>
        <w:t>838,7</w:t>
      </w:r>
      <w:r w:rsidRPr="006C489E">
        <w:rPr>
          <w:rFonts w:cs="Times New Roman"/>
          <w:lang w:val="hr-HR"/>
        </w:rPr>
        <w:t xml:space="preserve"> </w:t>
      </w:r>
      <w:r>
        <w:rPr>
          <w:rFonts w:cs="Times New Roman"/>
          <w:lang w:val="hr-HR"/>
        </w:rPr>
        <w:t>milijuna</w:t>
      </w:r>
      <w:r w:rsidRPr="006C489E">
        <w:rPr>
          <w:rFonts w:cs="Times New Roman"/>
          <w:lang w:val="hr-HR"/>
        </w:rPr>
        <w:t xml:space="preserve"> kuna, kao i onih koji </w:t>
      </w:r>
      <w:r w:rsidRPr="00F70B2A">
        <w:rPr>
          <w:rFonts w:cs="Times New Roman"/>
          <w:lang w:val="hr-HR"/>
        </w:rPr>
        <w:t>se financiraju iz EU i ostalih izvora financiranja</w:t>
      </w:r>
      <w:r w:rsidRPr="006C489E">
        <w:rPr>
          <w:rFonts w:cs="Times New Roman"/>
          <w:lang w:val="hr-HR"/>
        </w:rPr>
        <w:t xml:space="preserve"> u iznosu od </w:t>
      </w:r>
      <w:r>
        <w:rPr>
          <w:rFonts w:cs="Times New Roman"/>
          <w:lang w:val="hr-HR"/>
        </w:rPr>
        <w:t>1,3</w:t>
      </w:r>
      <w:r w:rsidRPr="006C489E">
        <w:rPr>
          <w:rFonts w:cs="Times New Roman"/>
          <w:lang w:val="hr-HR"/>
        </w:rPr>
        <w:t xml:space="preserve"> milijard</w:t>
      </w:r>
      <w:r>
        <w:rPr>
          <w:rFonts w:cs="Times New Roman"/>
          <w:lang w:val="hr-HR"/>
        </w:rPr>
        <w:t>e</w:t>
      </w:r>
      <w:r w:rsidRPr="006C489E">
        <w:rPr>
          <w:rFonts w:cs="Times New Roman"/>
          <w:lang w:val="hr-HR"/>
        </w:rPr>
        <w:t xml:space="preserve"> kuna. </w:t>
      </w:r>
      <w:r>
        <w:rPr>
          <w:rFonts w:cs="Times New Roman"/>
          <w:lang w:val="hr-HR"/>
        </w:rPr>
        <w:t>Smanjenje rashoda financiranih iz EU i ostalih izvora r</w:t>
      </w:r>
      <w:r w:rsidRPr="006C489E">
        <w:rPr>
          <w:rFonts w:cs="Times New Roman"/>
          <w:lang w:val="hr-HR"/>
        </w:rPr>
        <w:t>ezultat</w:t>
      </w:r>
      <w:r>
        <w:rPr>
          <w:rFonts w:cs="Times New Roman"/>
          <w:lang w:val="hr-HR"/>
        </w:rPr>
        <w:t xml:space="preserve"> je prvenstveno smanjenja rashoda </w:t>
      </w:r>
      <w:r w:rsidRPr="006C489E">
        <w:rPr>
          <w:rFonts w:cs="Times New Roman"/>
          <w:lang w:val="hr-HR"/>
        </w:rPr>
        <w:t xml:space="preserve">na pozicijama Ministarstva mora, prometa i infrastrukture u iznosu od </w:t>
      </w:r>
      <w:r>
        <w:rPr>
          <w:rFonts w:cs="Times New Roman"/>
          <w:lang w:val="hr-HR"/>
        </w:rPr>
        <w:t>630,3</w:t>
      </w:r>
      <w:r w:rsidRPr="006C489E">
        <w:rPr>
          <w:rFonts w:cs="Times New Roman"/>
          <w:lang w:val="hr-HR"/>
        </w:rPr>
        <w:t xml:space="preserve"> milijuna kuna, Ministarstv</w:t>
      </w:r>
      <w:r w:rsidR="00205365">
        <w:rPr>
          <w:rFonts w:cs="Times New Roman"/>
          <w:lang w:val="hr-HR"/>
        </w:rPr>
        <w:t xml:space="preserve">a zaštite okoliša i energetike </w:t>
      </w:r>
      <w:r>
        <w:rPr>
          <w:rFonts w:cs="Times New Roman"/>
          <w:lang w:val="hr-HR"/>
        </w:rPr>
        <w:t>u iznosu od 456,5</w:t>
      </w:r>
      <w:r w:rsidRPr="006C489E">
        <w:rPr>
          <w:rFonts w:cs="Times New Roman"/>
          <w:lang w:val="hr-HR"/>
        </w:rPr>
        <w:t xml:space="preserve"> milijuna kuna</w:t>
      </w:r>
      <w:r>
        <w:rPr>
          <w:rFonts w:cs="Times New Roman"/>
          <w:lang w:val="hr-HR"/>
        </w:rPr>
        <w:t xml:space="preserve"> i</w:t>
      </w:r>
      <w:r w:rsidRPr="006C489E">
        <w:rPr>
          <w:rFonts w:cs="Times New Roman"/>
          <w:lang w:val="hr-HR"/>
        </w:rPr>
        <w:t xml:space="preserve"> Minist</w:t>
      </w:r>
      <w:r>
        <w:rPr>
          <w:rFonts w:cs="Times New Roman"/>
          <w:lang w:val="hr-HR"/>
        </w:rPr>
        <w:t>arstva znanosti i obrazovanja</w:t>
      </w:r>
      <w:r w:rsidR="00205365">
        <w:rPr>
          <w:rFonts w:cs="Times New Roman"/>
          <w:lang w:val="hr-HR"/>
        </w:rPr>
        <w:t xml:space="preserve"> </w:t>
      </w:r>
      <w:r w:rsidRPr="006C489E">
        <w:rPr>
          <w:rFonts w:cs="Times New Roman"/>
          <w:lang w:val="hr-HR"/>
        </w:rPr>
        <w:t>u iznosu od 108,</w:t>
      </w:r>
      <w:r>
        <w:rPr>
          <w:rFonts w:cs="Times New Roman"/>
          <w:lang w:val="hr-HR"/>
        </w:rPr>
        <w:t>4</w:t>
      </w:r>
      <w:r w:rsidR="00205365">
        <w:rPr>
          <w:rFonts w:cs="Times New Roman"/>
          <w:lang w:val="hr-HR"/>
        </w:rPr>
        <w:t xml:space="preserve"> milijuna kuna, a sve u okviru provedbe</w:t>
      </w:r>
      <w:r w:rsidRPr="008A0640">
        <w:rPr>
          <w:rFonts w:cs="Times New Roman"/>
          <w:lang w:val="hr-HR"/>
        </w:rPr>
        <w:t xml:space="preserve"> </w:t>
      </w:r>
      <w:r w:rsidR="00205365" w:rsidRPr="006C489E">
        <w:rPr>
          <w:rFonts w:cs="Times New Roman"/>
          <w:lang w:val="hr-HR"/>
        </w:rPr>
        <w:t>O</w:t>
      </w:r>
      <w:r w:rsidR="00205365">
        <w:rPr>
          <w:rFonts w:cs="Times New Roman"/>
          <w:lang w:val="hr-HR"/>
        </w:rPr>
        <w:t>perativnog programa</w:t>
      </w:r>
      <w:r w:rsidR="00205365" w:rsidRPr="006C489E">
        <w:rPr>
          <w:rFonts w:cs="Times New Roman"/>
          <w:lang w:val="hr-HR"/>
        </w:rPr>
        <w:t xml:space="preserve"> </w:t>
      </w:r>
      <w:r w:rsidR="00205365">
        <w:rPr>
          <w:rFonts w:cs="Times New Roman"/>
          <w:lang w:val="hr-HR"/>
        </w:rPr>
        <w:t>Konkurentnost i kohezija.</w:t>
      </w:r>
    </w:p>
    <w:p w14:paraId="3D5D9190" w14:textId="77777777" w:rsidR="00A461B3" w:rsidRPr="006C489E" w:rsidRDefault="00A461B3" w:rsidP="00A461B3">
      <w:pPr>
        <w:spacing w:before="240"/>
        <w:jc w:val="both"/>
        <w:rPr>
          <w:rFonts w:cs="Times New Roman"/>
          <w:color w:val="000000"/>
          <w:lang w:val="hr-HR" w:eastAsia="hr-HR"/>
        </w:rPr>
      </w:pPr>
      <w:r w:rsidRPr="006C489E">
        <w:rPr>
          <w:rFonts w:cs="Times New Roman"/>
          <w:b/>
          <w:i/>
          <w:lang w:val="hr-HR"/>
        </w:rPr>
        <w:t>Naknade građanima i kućanstvima</w:t>
      </w:r>
    </w:p>
    <w:p w14:paraId="49A61DEC" w14:textId="77777777" w:rsidR="00A461B3" w:rsidRPr="006C489E" w:rsidRDefault="00A461B3" w:rsidP="00A461B3">
      <w:pPr>
        <w:spacing w:before="240"/>
        <w:jc w:val="both"/>
        <w:rPr>
          <w:rFonts w:cs="Times New Roman"/>
          <w:lang w:val="hr-HR"/>
        </w:rPr>
      </w:pPr>
      <w:r w:rsidRPr="006C489E">
        <w:rPr>
          <w:rFonts w:cs="Times New Roman"/>
          <w:lang w:val="hr-HR"/>
        </w:rPr>
        <w:t>Ukupne naknade građanima i kućanstvima na temelju osiguranja i druge naknade povećavaju se za 327,9 milijuna kuna i iznose 51,2 milijard</w:t>
      </w:r>
      <w:r>
        <w:rPr>
          <w:rFonts w:cs="Times New Roman"/>
          <w:lang w:val="hr-HR"/>
        </w:rPr>
        <w:t>e</w:t>
      </w:r>
      <w:r w:rsidRPr="006C489E">
        <w:rPr>
          <w:rFonts w:cs="Times New Roman"/>
          <w:lang w:val="hr-HR"/>
        </w:rPr>
        <w:t xml:space="preserve"> kuna. </w:t>
      </w:r>
      <w:r>
        <w:rPr>
          <w:rFonts w:cs="Times New Roman"/>
          <w:lang w:val="hr-HR"/>
        </w:rPr>
        <w:t>U</w:t>
      </w:r>
      <w:r w:rsidRPr="006C489E">
        <w:rPr>
          <w:rFonts w:cs="Times New Roman"/>
          <w:lang w:val="hr-HR"/>
        </w:rPr>
        <w:t xml:space="preserve">nutar ove kategorije osigurana su dodatna sredstva u iznosu od 385,0 milijuna kuna za provedbu mjere </w:t>
      </w:r>
      <w:r w:rsidRPr="006C489E">
        <w:rPr>
          <w:b/>
          <w:bCs/>
          <w:i/>
          <w:iCs/>
          <w:lang w:val="hr-HR"/>
        </w:rPr>
        <w:t>Potpore za očuvanje radnih mjesta poduzetnicima pogođenima Korona virusom COVID-19</w:t>
      </w:r>
      <w:r w:rsidRPr="00272320">
        <w:rPr>
          <w:bCs/>
          <w:iCs/>
          <w:lang w:val="hr-HR"/>
        </w:rPr>
        <w:t>,</w:t>
      </w:r>
      <w:r w:rsidRPr="006C489E">
        <w:rPr>
          <w:b/>
          <w:bCs/>
          <w:i/>
          <w:iCs/>
          <w:lang w:val="hr-HR"/>
        </w:rPr>
        <w:t xml:space="preserve"> </w:t>
      </w:r>
      <w:r w:rsidRPr="006C489E">
        <w:rPr>
          <w:bCs/>
          <w:iCs/>
          <w:lang w:val="hr-HR"/>
        </w:rPr>
        <w:t xml:space="preserve">kao i 24,0 milijuna kuna na pozicijama Agencije za pravni promet i posredovanje nekretninama za subvencioniranje stambenih kredita. </w:t>
      </w:r>
      <w:r>
        <w:rPr>
          <w:bCs/>
          <w:iCs/>
          <w:lang w:val="hr-HR"/>
        </w:rPr>
        <w:t xml:space="preserve">Uz navedeno, realociraju se sredstva unutar pozicija Hrvatskog zavoda za mirovinsko osiguranje s neto smanjenjem rashoda u iznosu od 54,4 milijuna kuna, kao i sredstva u okviru sustava </w:t>
      </w:r>
      <w:r w:rsidRPr="006C489E">
        <w:rPr>
          <w:bCs/>
          <w:iCs/>
          <w:lang w:val="hr-HR"/>
        </w:rPr>
        <w:t>socijalne skrbi</w:t>
      </w:r>
      <w:r>
        <w:rPr>
          <w:bCs/>
          <w:iCs/>
          <w:lang w:val="hr-HR"/>
        </w:rPr>
        <w:t xml:space="preserve"> s neto povećanjem rashoda u iznosu od 8,6 milijuna kuna.</w:t>
      </w:r>
      <w:r w:rsidRPr="006C489E">
        <w:rPr>
          <w:bCs/>
          <w:iCs/>
          <w:lang w:val="hr-HR"/>
        </w:rPr>
        <w:t xml:space="preserve"> </w:t>
      </w:r>
    </w:p>
    <w:p w14:paraId="04D6D40F" w14:textId="77777777" w:rsidR="00A461B3" w:rsidRPr="006C489E" w:rsidRDefault="00A461B3" w:rsidP="00A461B3">
      <w:pPr>
        <w:spacing w:before="240"/>
        <w:jc w:val="both"/>
        <w:rPr>
          <w:rFonts w:cs="Times New Roman"/>
          <w:b/>
          <w:i/>
          <w:lang w:val="hr-HR"/>
        </w:rPr>
      </w:pPr>
      <w:r w:rsidRPr="006C489E">
        <w:rPr>
          <w:rFonts w:cs="Times New Roman"/>
          <w:b/>
          <w:i/>
          <w:lang w:val="hr-HR"/>
        </w:rPr>
        <w:t xml:space="preserve">Ostali rashodi </w:t>
      </w:r>
    </w:p>
    <w:p w14:paraId="4091F773" w14:textId="77777777" w:rsidR="00A461B3" w:rsidRPr="006C489E" w:rsidRDefault="00A461B3" w:rsidP="00A461B3">
      <w:pPr>
        <w:spacing w:before="240"/>
        <w:jc w:val="both"/>
        <w:rPr>
          <w:rFonts w:cs="Times New Roman"/>
          <w:lang w:val="hr-HR"/>
        </w:rPr>
      </w:pPr>
      <w:r w:rsidRPr="006C489E">
        <w:rPr>
          <w:rFonts w:cs="Times New Roman"/>
          <w:lang w:val="hr-HR"/>
        </w:rPr>
        <w:t xml:space="preserve">Ukupni ostali rashodi smanjuju se za </w:t>
      </w:r>
      <w:r>
        <w:rPr>
          <w:rFonts w:cs="Times New Roman"/>
          <w:lang w:val="hr-HR"/>
        </w:rPr>
        <w:t>1,2 milijarde kuna</w:t>
      </w:r>
      <w:r w:rsidRPr="006C489E">
        <w:rPr>
          <w:rFonts w:cs="Times New Roman"/>
          <w:lang w:val="hr-HR"/>
        </w:rPr>
        <w:t xml:space="preserve"> </w:t>
      </w:r>
      <w:r>
        <w:rPr>
          <w:rFonts w:cs="Times New Roman"/>
          <w:lang w:val="hr-HR"/>
        </w:rPr>
        <w:t>i to većinom</w:t>
      </w:r>
      <w:r w:rsidRPr="006C489E">
        <w:rPr>
          <w:rFonts w:cs="Times New Roman"/>
          <w:lang w:val="hr-HR"/>
        </w:rPr>
        <w:t xml:space="preserve"> na EU izvorima </w:t>
      </w:r>
      <w:r w:rsidR="00205365">
        <w:rPr>
          <w:rFonts w:cs="Times New Roman"/>
          <w:lang w:val="hr-HR"/>
        </w:rPr>
        <w:t>u iznosu od</w:t>
      </w:r>
      <w:r w:rsidRPr="006C489E">
        <w:rPr>
          <w:rFonts w:cs="Times New Roman"/>
          <w:lang w:val="hr-HR"/>
        </w:rPr>
        <w:t xml:space="preserve"> </w:t>
      </w:r>
      <w:r>
        <w:rPr>
          <w:rFonts w:cs="Times New Roman"/>
          <w:lang w:val="hr-HR"/>
        </w:rPr>
        <w:t>1</w:t>
      </w:r>
      <w:r w:rsidR="00205365">
        <w:rPr>
          <w:rFonts w:cs="Times New Roman"/>
          <w:lang w:val="hr-HR"/>
        </w:rPr>
        <w:t>,</w:t>
      </w:r>
      <w:r w:rsidRPr="006C489E">
        <w:rPr>
          <w:rFonts w:cs="Times New Roman"/>
          <w:lang w:val="hr-HR"/>
        </w:rPr>
        <w:t xml:space="preserve">1 </w:t>
      </w:r>
      <w:r>
        <w:rPr>
          <w:rFonts w:cs="Times New Roman"/>
          <w:lang w:val="hr-HR"/>
        </w:rPr>
        <w:t>milijardu</w:t>
      </w:r>
      <w:r w:rsidRPr="006C489E">
        <w:rPr>
          <w:rFonts w:cs="Times New Roman"/>
          <w:lang w:val="hr-HR"/>
        </w:rPr>
        <w:t xml:space="preserve"> kuna</w:t>
      </w:r>
      <w:r w:rsidR="00CF4823">
        <w:rPr>
          <w:rFonts w:cs="Times New Roman"/>
          <w:lang w:val="hr-HR"/>
        </w:rPr>
        <w:t>. Napominjemo</w:t>
      </w:r>
      <w:r>
        <w:rPr>
          <w:rFonts w:cs="Times New Roman"/>
          <w:lang w:val="hr-HR"/>
        </w:rPr>
        <w:t xml:space="preserve"> kako navedeno uključuje smanjenje na</w:t>
      </w:r>
      <w:r w:rsidRPr="006C489E">
        <w:rPr>
          <w:rFonts w:cs="Times New Roman"/>
          <w:lang w:val="hr-HR"/>
        </w:rPr>
        <w:t xml:space="preserve"> pozicijama Ministarstva poljoprivrede u iznosu od </w:t>
      </w:r>
      <w:r>
        <w:rPr>
          <w:rFonts w:cs="Times New Roman"/>
          <w:lang w:val="hr-HR"/>
        </w:rPr>
        <w:t>582,6</w:t>
      </w:r>
      <w:r w:rsidRPr="006C489E">
        <w:rPr>
          <w:rFonts w:cs="Times New Roman"/>
          <w:lang w:val="hr-HR"/>
        </w:rPr>
        <w:t xml:space="preserve"> milijuna kuna </w:t>
      </w:r>
      <w:r>
        <w:rPr>
          <w:rFonts w:cs="Times New Roman"/>
          <w:lang w:val="hr-HR"/>
        </w:rPr>
        <w:t>od čega je 447,3 milijuna kuna prenamijenjeno na</w:t>
      </w:r>
      <w:r w:rsidRPr="006C489E">
        <w:rPr>
          <w:rFonts w:cs="Times New Roman"/>
          <w:lang w:val="hr-HR"/>
        </w:rPr>
        <w:t xml:space="preserve"> </w:t>
      </w:r>
      <w:r>
        <w:rPr>
          <w:rFonts w:cs="Times New Roman"/>
          <w:lang w:val="hr-HR"/>
        </w:rPr>
        <w:t>subvencije u poljoprivredi</w:t>
      </w:r>
      <w:r w:rsidRPr="006C489E">
        <w:rPr>
          <w:rFonts w:cs="Times New Roman"/>
          <w:lang w:val="hr-HR"/>
        </w:rPr>
        <w:t xml:space="preserve">. Također, smanjuju se </w:t>
      </w:r>
      <w:r>
        <w:rPr>
          <w:rFonts w:cs="Times New Roman"/>
          <w:lang w:val="hr-HR"/>
        </w:rPr>
        <w:t>rashodi u okviru Operativnog programa</w:t>
      </w:r>
      <w:r w:rsidRPr="006C489E">
        <w:rPr>
          <w:rFonts w:cs="Times New Roman"/>
          <w:lang w:val="hr-HR"/>
        </w:rPr>
        <w:t xml:space="preserve"> Konkurentnost i kohezija iz nadležnosti Ministarstva gospodarstva, poduzetništva i obrta</w:t>
      </w:r>
      <w:r>
        <w:rPr>
          <w:rFonts w:cs="Times New Roman"/>
          <w:lang w:val="hr-HR"/>
        </w:rPr>
        <w:t xml:space="preserve"> u iznosu od 237,9 milijuna kuna</w:t>
      </w:r>
      <w:r w:rsidRPr="006C489E">
        <w:rPr>
          <w:rFonts w:cs="Times New Roman"/>
          <w:lang w:val="hr-HR"/>
        </w:rPr>
        <w:t xml:space="preserve">. </w:t>
      </w:r>
    </w:p>
    <w:p w14:paraId="3ACED2DD" w14:textId="77777777" w:rsidR="00A461B3" w:rsidRPr="006C489E" w:rsidRDefault="00A461B3" w:rsidP="00A461B3">
      <w:pPr>
        <w:spacing w:before="240"/>
        <w:jc w:val="both"/>
        <w:rPr>
          <w:rFonts w:cs="Times New Roman"/>
          <w:lang w:val="hr-HR"/>
        </w:rPr>
      </w:pPr>
      <w:r w:rsidRPr="006C489E">
        <w:rPr>
          <w:rFonts w:cs="Times New Roman"/>
          <w:lang w:val="hr-HR"/>
        </w:rPr>
        <w:t xml:space="preserve">Rashodi </w:t>
      </w:r>
      <w:r w:rsidRPr="00F70B2A">
        <w:rPr>
          <w:rFonts w:cs="Times New Roman"/>
          <w:lang w:val="hr-HR"/>
        </w:rPr>
        <w:t>koji se financiraju iz općih prihoda i primitaka, doprinosa i namjenskih primitaka</w:t>
      </w:r>
      <w:r w:rsidRPr="006C489E">
        <w:rPr>
          <w:rFonts w:cs="Times New Roman"/>
          <w:lang w:val="hr-HR"/>
        </w:rPr>
        <w:t xml:space="preserve"> smanjuju se za </w:t>
      </w:r>
      <w:r>
        <w:rPr>
          <w:rFonts w:cs="Times New Roman"/>
          <w:lang w:val="hr-HR"/>
        </w:rPr>
        <w:t xml:space="preserve">149,4 </w:t>
      </w:r>
      <w:r w:rsidRPr="006C489E">
        <w:rPr>
          <w:rFonts w:cs="Times New Roman"/>
          <w:lang w:val="hr-HR"/>
        </w:rPr>
        <w:t xml:space="preserve">milijuna kuna. </w:t>
      </w:r>
      <w:r w:rsidR="00205365">
        <w:rPr>
          <w:rFonts w:cs="Times New Roman"/>
          <w:lang w:val="hr-HR"/>
        </w:rPr>
        <w:t>Pritom su osigurana</w:t>
      </w:r>
      <w:r w:rsidRPr="006C489E">
        <w:rPr>
          <w:rFonts w:cs="Times New Roman"/>
          <w:lang w:val="hr-HR"/>
        </w:rPr>
        <w:t xml:space="preserve"> </w:t>
      </w:r>
      <w:r>
        <w:rPr>
          <w:rFonts w:cs="Times New Roman"/>
          <w:lang w:val="hr-HR"/>
        </w:rPr>
        <w:t xml:space="preserve">sredstava </w:t>
      </w:r>
      <w:r w:rsidRPr="006C489E">
        <w:rPr>
          <w:rFonts w:cs="Times New Roman"/>
          <w:lang w:val="hr-HR"/>
        </w:rPr>
        <w:t xml:space="preserve">za novu proračunsku aktivnost na pozicijama Ministarstva graditeljstva i prostornog uređenja </w:t>
      </w:r>
      <w:r w:rsidRPr="006C489E">
        <w:rPr>
          <w:rFonts w:cs="Times New Roman"/>
          <w:b/>
          <w:i/>
          <w:lang w:val="hr-HR"/>
        </w:rPr>
        <w:t>„Sanacija štete uzrokovana potresom na području Grada Zagreba i okolice“</w:t>
      </w:r>
      <w:r w:rsidRPr="00272320">
        <w:rPr>
          <w:rFonts w:cs="Times New Roman"/>
          <w:lang w:val="hr-HR"/>
        </w:rPr>
        <w:t>.</w:t>
      </w:r>
      <w:r w:rsidRPr="006C489E">
        <w:rPr>
          <w:rFonts w:cs="Times New Roman"/>
          <w:lang w:val="hr-HR"/>
        </w:rPr>
        <w:t xml:space="preserve"> Riječ je o sredstvima koja se osiguravaju za hitnu prvu fazu provedbe obnove obiteljskih kuća, stambeno poslovnih zgrada i višestambenih zgrada oštećenih potresom na području Grada Zagreba i okolice</w:t>
      </w:r>
      <w:r>
        <w:rPr>
          <w:rFonts w:cs="Times New Roman"/>
          <w:lang w:val="hr-HR"/>
        </w:rPr>
        <w:t xml:space="preserve">, </w:t>
      </w:r>
      <w:r w:rsidRPr="006C489E">
        <w:rPr>
          <w:rFonts w:cs="Times New Roman"/>
          <w:lang w:val="hr-HR"/>
        </w:rPr>
        <w:t>u obliku novčane pomoći za privremenu i nužnu zaštitu zgrada od utjecaja atmosferilija i uklanjanja/pridržanja opasnih dijelova zgrad</w:t>
      </w:r>
      <w:r>
        <w:rPr>
          <w:rFonts w:cs="Times New Roman"/>
          <w:lang w:val="hr-HR"/>
        </w:rPr>
        <w:t>a</w:t>
      </w:r>
      <w:r w:rsidRPr="006C489E">
        <w:rPr>
          <w:rFonts w:cs="Times New Roman"/>
          <w:lang w:val="hr-HR"/>
        </w:rPr>
        <w:t xml:space="preserve"> koji su mogli, odnosno koji mogu</w:t>
      </w:r>
      <w:r>
        <w:rPr>
          <w:rFonts w:cs="Times New Roman"/>
          <w:lang w:val="hr-HR"/>
        </w:rPr>
        <w:t>,</w:t>
      </w:r>
      <w:r w:rsidRPr="006C489E">
        <w:rPr>
          <w:rFonts w:cs="Times New Roman"/>
          <w:lang w:val="hr-HR"/>
        </w:rPr>
        <w:t xml:space="preserve"> ugroziti život ili zdravlje ljudi, popravak ili zamjenu dimnjaka, popravak ili zamjenu zabatn</w:t>
      </w:r>
      <w:r>
        <w:rPr>
          <w:rFonts w:cs="Times New Roman"/>
          <w:lang w:val="hr-HR"/>
        </w:rPr>
        <w:t>ih</w:t>
      </w:r>
      <w:r w:rsidRPr="006C489E">
        <w:rPr>
          <w:rFonts w:cs="Times New Roman"/>
          <w:lang w:val="hr-HR"/>
        </w:rPr>
        <w:t xml:space="preserve"> zid</w:t>
      </w:r>
      <w:r>
        <w:rPr>
          <w:rFonts w:cs="Times New Roman"/>
          <w:lang w:val="hr-HR"/>
        </w:rPr>
        <w:t>ova te popravaka</w:t>
      </w:r>
      <w:r w:rsidRPr="006C489E">
        <w:rPr>
          <w:rFonts w:cs="Times New Roman"/>
          <w:lang w:val="hr-HR"/>
        </w:rPr>
        <w:t xml:space="preserve"> dizala.</w:t>
      </w:r>
      <w:r>
        <w:rPr>
          <w:rFonts w:cs="Times New Roman"/>
          <w:lang w:val="hr-HR"/>
        </w:rPr>
        <w:t xml:space="preserve"> </w:t>
      </w:r>
      <w:r w:rsidRPr="006C489E">
        <w:rPr>
          <w:rFonts w:cs="Times New Roman"/>
          <w:lang w:val="hr-HR"/>
        </w:rPr>
        <w:t xml:space="preserve">Na </w:t>
      </w:r>
      <w:r>
        <w:rPr>
          <w:rFonts w:cs="Times New Roman"/>
          <w:lang w:val="hr-HR"/>
        </w:rPr>
        <w:t>ovoj</w:t>
      </w:r>
      <w:r w:rsidRPr="006C489E">
        <w:rPr>
          <w:rFonts w:cs="Times New Roman"/>
          <w:lang w:val="hr-HR"/>
        </w:rPr>
        <w:t xml:space="preserve"> proračunskoj poziciji osigurano je 99,0 milijuna kuna, od čega je 12 milijuna kuna osigurano iz izvora donacije. </w:t>
      </w:r>
      <w:r>
        <w:rPr>
          <w:rFonts w:cs="Times New Roman"/>
          <w:lang w:val="hr-HR"/>
        </w:rPr>
        <w:t>Na drugim kategorijama rashoda za navedene svrhe osigurano je još 1,0 milijun kuna.</w:t>
      </w:r>
    </w:p>
    <w:p w14:paraId="2B7C4B31" w14:textId="77777777" w:rsidR="00A461B3" w:rsidRPr="006C489E" w:rsidRDefault="00A461B3" w:rsidP="00A461B3">
      <w:pPr>
        <w:spacing w:before="240"/>
        <w:jc w:val="both"/>
        <w:rPr>
          <w:rFonts w:cs="Times New Roman"/>
          <w:lang w:val="hr-HR"/>
        </w:rPr>
      </w:pPr>
      <w:r w:rsidRPr="006C489E">
        <w:rPr>
          <w:rFonts w:cs="Times New Roman"/>
          <w:lang w:val="hr-HR"/>
        </w:rPr>
        <w:t xml:space="preserve">Na pozicijama Ministarstva financija provedeno je 91,9 milijuna kuna smanjenja. </w:t>
      </w:r>
      <w:r>
        <w:rPr>
          <w:rFonts w:cs="Times New Roman"/>
          <w:lang w:val="hr-HR"/>
        </w:rPr>
        <w:t>Proračunska zaliha smanjena je</w:t>
      </w:r>
      <w:r w:rsidRPr="006C489E">
        <w:rPr>
          <w:rFonts w:cs="Times New Roman"/>
          <w:lang w:val="hr-HR"/>
        </w:rPr>
        <w:t xml:space="preserve"> za 50,0 milijuna kuna. Unutar aktivnosti temeljem koje se financiraju naknade štete uzrokovane </w:t>
      </w:r>
      <w:r>
        <w:rPr>
          <w:rFonts w:cs="Times New Roman"/>
          <w:lang w:val="hr-HR"/>
        </w:rPr>
        <w:t>elementarnim nepogodama smanjen</w:t>
      </w:r>
      <w:r w:rsidRPr="006C489E">
        <w:rPr>
          <w:rFonts w:cs="Times New Roman"/>
          <w:lang w:val="hr-HR"/>
        </w:rPr>
        <w:t xml:space="preserve">a su sredstva u iznosu od 20,0 milijuna kuna </w:t>
      </w:r>
      <w:r>
        <w:rPr>
          <w:rFonts w:cs="Times New Roman"/>
          <w:lang w:val="hr-HR"/>
        </w:rPr>
        <w:t>na ovoj kategoriji</w:t>
      </w:r>
      <w:r w:rsidRPr="006C489E">
        <w:rPr>
          <w:rFonts w:cs="Times New Roman"/>
          <w:lang w:val="hr-HR"/>
        </w:rPr>
        <w:t xml:space="preserve"> rashoda, a povećana su u istom iznosu na kategoriji pomoći.</w:t>
      </w:r>
      <w:r w:rsidR="00462EC5">
        <w:rPr>
          <w:rFonts w:cs="Times New Roman"/>
          <w:lang w:val="hr-HR"/>
        </w:rPr>
        <w:t xml:space="preserve"> </w:t>
      </w:r>
      <w:r w:rsidRPr="006C489E">
        <w:rPr>
          <w:rFonts w:cs="Times New Roman"/>
          <w:lang w:val="hr-HR"/>
        </w:rPr>
        <w:t>Hrvatska biskupska konferencija odrekla</w:t>
      </w:r>
      <w:r>
        <w:rPr>
          <w:rFonts w:cs="Times New Roman"/>
          <w:lang w:val="hr-HR"/>
        </w:rPr>
        <w:t xml:space="preserve"> se</w:t>
      </w:r>
      <w:r w:rsidRPr="006C489E">
        <w:rPr>
          <w:rFonts w:cs="Times New Roman"/>
          <w:lang w:val="hr-HR"/>
        </w:rPr>
        <w:t xml:space="preserve"> iznosa od 20,9 milijuna kuna </w:t>
      </w:r>
      <w:r w:rsidR="00462EC5">
        <w:rPr>
          <w:rFonts w:cs="Times New Roman"/>
          <w:lang w:val="hr-HR"/>
        </w:rPr>
        <w:t>čime je i Katolička crkva</w:t>
      </w:r>
      <w:r w:rsidRPr="006C489E">
        <w:rPr>
          <w:rFonts w:cs="Times New Roman"/>
          <w:lang w:val="hr-HR"/>
        </w:rPr>
        <w:t xml:space="preserve"> </w:t>
      </w:r>
      <w:r w:rsidR="00462EC5">
        <w:rPr>
          <w:rFonts w:cs="Times New Roman"/>
          <w:lang w:val="hr-HR"/>
        </w:rPr>
        <w:t xml:space="preserve">dala </w:t>
      </w:r>
      <w:r w:rsidRPr="006C489E">
        <w:rPr>
          <w:rFonts w:cs="Times New Roman"/>
          <w:lang w:val="hr-HR"/>
        </w:rPr>
        <w:t xml:space="preserve">svoj doprinos prevladavanju ove krize. </w:t>
      </w:r>
    </w:p>
    <w:p w14:paraId="5A5D67A6" w14:textId="77777777" w:rsidR="00A461B3" w:rsidRPr="006C489E" w:rsidRDefault="00A461B3" w:rsidP="00A461B3">
      <w:pPr>
        <w:spacing w:before="240"/>
        <w:jc w:val="both"/>
        <w:rPr>
          <w:rFonts w:cs="Times New Roman"/>
          <w:b/>
          <w:lang w:val="hr-HR"/>
        </w:rPr>
      </w:pPr>
      <w:r w:rsidRPr="006C489E">
        <w:rPr>
          <w:rFonts w:cs="Times New Roman"/>
          <w:b/>
          <w:lang w:val="hr-HR"/>
        </w:rPr>
        <w:t>Rashodi za nabavu nefinancijske imovine</w:t>
      </w:r>
    </w:p>
    <w:p w14:paraId="4C5E24C5" w14:textId="77777777" w:rsidR="00E21C16" w:rsidRDefault="00A461B3" w:rsidP="00A461B3">
      <w:pPr>
        <w:spacing w:before="240"/>
        <w:jc w:val="both"/>
        <w:rPr>
          <w:rFonts w:cs="Times New Roman"/>
          <w:lang w:val="hr-HR"/>
        </w:rPr>
      </w:pPr>
      <w:r w:rsidRPr="006C489E">
        <w:rPr>
          <w:rFonts w:cs="Times New Roman"/>
          <w:lang w:val="hr-HR"/>
        </w:rPr>
        <w:t xml:space="preserve">Ukupni rashodi za nabavu nefinancijske imovine smanjuju se za </w:t>
      </w:r>
      <w:r>
        <w:rPr>
          <w:rFonts w:cs="Times New Roman"/>
          <w:lang w:val="hr-HR"/>
        </w:rPr>
        <w:t>326,5</w:t>
      </w:r>
      <w:r w:rsidRPr="006C489E">
        <w:rPr>
          <w:rFonts w:cs="Times New Roman"/>
          <w:lang w:val="hr-HR"/>
        </w:rPr>
        <w:t xml:space="preserve"> milijun</w:t>
      </w:r>
      <w:r>
        <w:rPr>
          <w:rFonts w:cs="Times New Roman"/>
          <w:lang w:val="hr-HR"/>
        </w:rPr>
        <w:t>a</w:t>
      </w:r>
      <w:r w:rsidRPr="006C489E">
        <w:rPr>
          <w:rFonts w:cs="Times New Roman"/>
          <w:lang w:val="hr-HR"/>
        </w:rPr>
        <w:t xml:space="preserve"> kuna i iznose </w:t>
      </w:r>
      <w:r>
        <w:rPr>
          <w:rFonts w:cs="Times New Roman"/>
          <w:lang w:val="hr-HR"/>
        </w:rPr>
        <w:t>5,8</w:t>
      </w:r>
      <w:r w:rsidRPr="006C489E">
        <w:rPr>
          <w:rFonts w:cs="Times New Roman"/>
          <w:lang w:val="hr-HR"/>
        </w:rPr>
        <w:t xml:space="preserve"> milijardi kuna. Navedeno je rezultat smanj</w:t>
      </w:r>
      <w:r>
        <w:rPr>
          <w:rFonts w:cs="Times New Roman"/>
          <w:lang w:val="hr-HR"/>
        </w:rPr>
        <w:t xml:space="preserve">enja </w:t>
      </w:r>
      <w:r w:rsidRPr="006C489E">
        <w:rPr>
          <w:rFonts w:cs="Times New Roman"/>
          <w:lang w:val="hr-HR"/>
        </w:rPr>
        <w:t>sredst</w:t>
      </w:r>
      <w:r>
        <w:rPr>
          <w:rFonts w:cs="Times New Roman"/>
          <w:lang w:val="hr-HR"/>
        </w:rPr>
        <w:t>a</w:t>
      </w:r>
      <w:r w:rsidRPr="006C489E">
        <w:rPr>
          <w:rFonts w:cs="Times New Roman"/>
          <w:lang w:val="hr-HR"/>
        </w:rPr>
        <w:t xml:space="preserve">va za nabavu robnih zaliha </w:t>
      </w:r>
      <w:r>
        <w:rPr>
          <w:rFonts w:cs="Times New Roman"/>
          <w:lang w:val="hr-HR"/>
        </w:rPr>
        <w:t>financiranih</w:t>
      </w:r>
      <w:r w:rsidRPr="006C489E">
        <w:rPr>
          <w:rFonts w:cs="Times New Roman"/>
          <w:lang w:val="hr-HR"/>
        </w:rPr>
        <w:t xml:space="preserve"> iz općih prihoda i primitaka </w:t>
      </w:r>
      <w:r>
        <w:rPr>
          <w:rFonts w:cs="Times New Roman"/>
          <w:lang w:val="hr-HR"/>
        </w:rPr>
        <w:t>unutar pozicija</w:t>
      </w:r>
      <w:r w:rsidRPr="006C489E">
        <w:rPr>
          <w:rFonts w:cs="Times New Roman"/>
          <w:lang w:val="hr-HR"/>
        </w:rPr>
        <w:t xml:space="preserve"> Ravnateljstva za robne zalihe u iznosu od 381,9 milijuna kuna</w:t>
      </w:r>
      <w:r>
        <w:rPr>
          <w:rFonts w:cs="Times New Roman"/>
          <w:lang w:val="hr-HR"/>
        </w:rPr>
        <w:t xml:space="preserve"> budući da će se nabava financirati iz EU izvora. Stoga se rashodi koji se financiraju iz EU izvora na </w:t>
      </w:r>
      <w:r w:rsidRPr="006C489E">
        <w:rPr>
          <w:rFonts w:cs="Times New Roman"/>
          <w:lang w:val="hr-HR"/>
        </w:rPr>
        <w:t>Ravnateljstv</w:t>
      </w:r>
      <w:r>
        <w:rPr>
          <w:rFonts w:cs="Times New Roman"/>
          <w:lang w:val="hr-HR"/>
        </w:rPr>
        <w:t>u</w:t>
      </w:r>
      <w:r w:rsidRPr="006C489E">
        <w:rPr>
          <w:rFonts w:cs="Times New Roman"/>
          <w:lang w:val="hr-HR"/>
        </w:rPr>
        <w:t xml:space="preserve"> za robne zalihe </w:t>
      </w:r>
      <w:r>
        <w:rPr>
          <w:rFonts w:cs="Times New Roman"/>
          <w:lang w:val="hr-HR"/>
        </w:rPr>
        <w:t xml:space="preserve">povećavaju za 320,3 milijuna kuna. Unutar rashoda za nabavu nefinancijske imovine planirano je i povećanje rashoda u iznosu od 106,0 milijuna kuna na EU i ostalim izvorima, od čega je najznačajnije na pozicijama Ministarstva zdravstva.  </w:t>
      </w:r>
    </w:p>
    <w:p w14:paraId="52B56EC2" w14:textId="77777777" w:rsidR="00C555C3" w:rsidRPr="006C489E" w:rsidRDefault="00C555C3" w:rsidP="00A461B3">
      <w:pPr>
        <w:spacing w:before="240"/>
        <w:jc w:val="both"/>
        <w:rPr>
          <w:rFonts w:cs="Times New Roman"/>
          <w:lang w:val="hr-HR"/>
        </w:rPr>
      </w:pPr>
    </w:p>
    <w:p w14:paraId="1566F679" w14:textId="77777777" w:rsidR="00A461B3" w:rsidRDefault="00A461B3" w:rsidP="00A461B3">
      <w:pPr>
        <w:pStyle w:val="Heading2"/>
        <w:numPr>
          <w:ilvl w:val="1"/>
          <w:numId w:val="3"/>
        </w:numPr>
        <w:ind w:left="993" w:hanging="567"/>
        <w:rPr>
          <w:lang w:val="hr-HR"/>
        </w:rPr>
      </w:pPr>
      <w:r w:rsidRPr="006C489E">
        <w:rPr>
          <w:lang w:val="hr-HR"/>
        </w:rPr>
        <w:t xml:space="preserve"> </w:t>
      </w:r>
      <w:bookmarkStart w:id="13" w:name="_Toc23378482"/>
      <w:bookmarkStart w:id="14" w:name="_Toc39733108"/>
      <w:r w:rsidRPr="006C489E">
        <w:rPr>
          <w:lang w:val="hr-HR"/>
        </w:rPr>
        <w:t>Obrazloženje rashoda po funkcijskoj klasifikaciji</w:t>
      </w:r>
      <w:bookmarkEnd w:id="13"/>
      <w:bookmarkEnd w:id="14"/>
    </w:p>
    <w:p w14:paraId="2A0A4C50" w14:textId="77777777" w:rsidR="00E21C16" w:rsidRPr="00E21C16" w:rsidRDefault="00E21C16" w:rsidP="00E21C16">
      <w:pPr>
        <w:rPr>
          <w:lang w:val="hr-HR"/>
        </w:rPr>
      </w:pPr>
    </w:p>
    <w:p w14:paraId="681E500F" w14:textId="77777777" w:rsidR="00A461B3" w:rsidRDefault="00A461B3" w:rsidP="00A461B3">
      <w:pPr>
        <w:spacing w:before="240"/>
        <w:jc w:val="both"/>
        <w:rPr>
          <w:rFonts w:cs="Times New Roman"/>
          <w:lang w:val="hr-HR"/>
        </w:rPr>
      </w:pPr>
      <w:r>
        <w:rPr>
          <w:rFonts w:cs="Times New Roman"/>
          <w:szCs w:val="24"/>
          <w:lang w:val="hr-HR"/>
        </w:rPr>
        <w:t>R</w:t>
      </w:r>
      <w:r w:rsidRPr="006C489E">
        <w:rPr>
          <w:rFonts w:cs="Times New Roman"/>
          <w:szCs w:val="24"/>
          <w:lang w:val="hr-HR"/>
        </w:rPr>
        <w:t xml:space="preserve">ashodi državnog proračuna </w:t>
      </w:r>
      <w:r>
        <w:rPr>
          <w:rFonts w:cs="Times New Roman"/>
          <w:szCs w:val="24"/>
          <w:lang w:val="hr-HR"/>
        </w:rPr>
        <w:t>ostaju na istoj razini od 147,3 milijarde kuna s tim da se, gl</w:t>
      </w:r>
      <w:r w:rsidRPr="006C489E">
        <w:rPr>
          <w:rFonts w:cs="Times New Roman"/>
          <w:szCs w:val="24"/>
          <w:lang w:val="hr-HR"/>
        </w:rPr>
        <w:t xml:space="preserve">edano </w:t>
      </w:r>
      <w:r>
        <w:rPr>
          <w:rFonts w:cs="Times New Roman"/>
          <w:szCs w:val="24"/>
          <w:lang w:val="hr-HR"/>
        </w:rPr>
        <w:t>po</w:t>
      </w:r>
      <w:r w:rsidRPr="006C489E">
        <w:rPr>
          <w:rFonts w:cs="Times New Roman"/>
          <w:szCs w:val="24"/>
          <w:lang w:val="hr-HR"/>
        </w:rPr>
        <w:t xml:space="preserve"> funkcijsk</w:t>
      </w:r>
      <w:r>
        <w:rPr>
          <w:rFonts w:cs="Times New Roman"/>
          <w:szCs w:val="24"/>
          <w:lang w:val="hr-HR"/>
        </w:rPr>
        <w:t>oj</w:t>
      </w:r>
      <w:r w:rsidRPr="006C489E">
        <w:rPr>
          <w:rFonts w:cs="Times New Roman"/>
          <w:szCs w:val="24"/>
          <w:lang w:val="hr-HR"/>
        </w:rPr>
        <w:t xml:space="preserve"> klasifikacij</w:t>
      </w:r>
      <w:r>
        <w:rPr>
          <w:rFonts w:cs="Times New Roman"/>
          <w:szCs w:val="24"/>
          <w:lang w:val="hr-HR"/>
        </w:rPr>
        <w:t xml:space="preserve">i, </w:t>
      </w:r>
      <w:r w:rsidRPr="006C489E">
        <w:rPr>
          <w:rFonts w:cs="Times New Roman"/>
          <w:szCs w:val="24"/>
          <w:lang w:val="hr-HR"/>
        </w:rPr>
        <w:t xml:space="preserve">opće javne usluge </w:t>
      </w:r>
      <w:r>
        <w:rPr>
          <w:rFonts w:cs="Times New Roman"/>
          <w:szCs w:val="24"/>
          <w:lang w:val="hr-HR"/>
        </w:rPr>
        <w:t xml:space="preserve">smanjuju </w:t>
      </w:r>
      <w:r w:rsidRPr="006C489E">
        <w:rPr>
          <w:rFonts w:cs="Times New Roman"/>
          <w:szCs w:val="24"/>
          <w:lang w:val="hr-HR"/>
        </w:rPr>
        <w:t>u iznosu od 1,</w:t>
      </w:r>
      <w:r>
        <w:rPr>
          <w:rFonts w:cs="Times New Roman"/>
          <w:szCs w:val="24"/>
          <w:lang w:val="hr-HR"/>
        </w:rPr>
        <w:t>7</w:t>
      </w:r>
      <w:r w:rsidRPr="006C489E">
        <w:rPr>
          <w:rFonts w:cs="Times New Roman"/>
          <w:szCs w:val="24"/>
          <w:lang w:val="hr-HR"/>
        </w:rPr>
        <w:t xml:space="preserve"> milijard</w:t>
      </w:r>
      <w:r>
        <w:rPr>
          <w:rFonts w:cs="Times New Roman"/>
          <w:szCs w:val="24"/>
          <w:lang w:val="hr-HR"/>
        </w:rPr>
        <w:t>i</w:t>
      </w:r>
      <w:r w:rsidRPr="006C489E">
        <w:rPr>
          <w:rFonts w:cs="Times New Roman"/>
          <w:szCs w:val="24"/>
          <w:lang w:val="hr-HR"/>
        </w:rPr>
        <w:t xml:space="preserve"> kuna</w:t>
      </w:r>
      <w:r>
        <w:rPr>
          <w:rFonts w:cs="Times New Roman"/>
          <w:szCs w:val="24"/>
          <w:lang w:val="hr-HR"/>
        </w:rPr>
        <w:t xml:space="preserve">, a </w:t>
      </w:r>
      <w:r w:rsidRPr="006C489E">
        <w:rPr>
          <w:rFonts w:cs="Times New Roman"/>
          <w:szCs w:val="24"/>
          <w:lang w:val="hr-HR"/>
        </w:rPr>
        <w:t>ekonomsk</w:t>
      </w:r>
      <w:r>
        <w:rPr>
          <w:rFonts w:cs="Times New Roman"/>
          <w:szCs w:val="24"/>
          <w:lang w:val="hr-HR"/>
        </w:rPr>
        <w:t>i</w:t>
      </w:r>
      <w:r w:rsidRPr="006C489E">
        <w:rPr>
          <w:rFonts w:cs="Times New Roman"/>
          <w:szCs w:val="24"/>
          <w:lang w:val="hr-HR"/>
        </w:rPr>
        <w:t xml:space="preserve"> poslov</w:t>
      </w:r>
      <w:r>
        <w:rPr>
          <w:rFonts w:cs="Times New Roman"/>
          <w:szCs w:val="24"/>
          <w:lang w:val="hr-HR"/>
        </w:rPr>
        <w:t>i</w:t>
      </w:r>
      <w:r w:rsidRPr="006C489E">
        <w:rPr>
          <w:rFonts w:cs="Times New Roman"/>
          <w:szCs w:val="24"/>
          <w:lang w:val="hr-HR"/>
        </w:rPr>
        <w:t xml:space="preserve"> </w:t>
      </w:r>
      <w:r>
        <w:rPr>
          <w:rFonts w:cs="Times New Roman"/>
          <w:szCs w:val="24"/>
          <w:lang w:val="hr-HR"/>
        </w:rPr>
        <w:t>za 1,1 milijardu kuna. Za</w:t>
      </w:r>
      <w:r w:rsidRPr="006C489E">
        <w:rPr>
          <w:rFonts w:cs="Times New Roman"/>
          <w:szCs w:val="24"/>
          <w:lang w:val="hr-HR"/>
        </w:rPr>
        <w:t xml:space="preserve"> </w:t>
      </w:r>
      <w:r>
        <w:rPr>
          <w:rFonts w:cs="Times New Roman"/>
          <w:szCs w:val="24"/>
          <w:lang w:val="hr-HR"/>
        </w:rPr>
        <w:t>4</w:t>
      </w:r>
      <w:r w:rsidRPr="006C489E">
        <w:rPr>
          <w:rFonts w:cs="Times New Roman"/>
          <w:szCs w:val="24"/>
          <w:lang w:val="hr-HR"/>
        </w:rPr>
        <w:t>,</w:t>
      </w:r>
      <w:r>
        <w:rPr>
          <w:rFonts w:cs="Times New Roman"/>
          <w:szCs w:val="24"/>
          <w:lang w:val="hr-HR"/>
        </w:rPr>
        <w:t>6 milijardi kuna povećavaju se</w:t>
      </w:r>
      <w:r w:rsidRPr="006C489E">
        <w:rPr>
          <w:rFonts w:cs="Times New Roman"/>
          <w:szCs w:val="24"/>
          <w:lang w:val="hr-HR"/>
        </w:rPr>
        <w:t xml:space="preserve"> izdvajanja</w:t>
      </w:r>
      <w:r>
        <w:rPr>
          <w:rFonts w:cs="Times New Roman"/>
          <w:szCs w:val="24"/>
          <w:lang w:val="hr-HR"/>
        </w:rPr>
        <w:t xml:space="preserve"> za socijalnu zaštitu i to ponajprije zbog financiranja </w:t>
      </w:r>
      <w:r w:rsidRPr="006C489E">
        <w:rPr>
          <w:rFonts w:cs="Times New Roman"/>
          <w:szCs w:val="24"/>
          <w:lang w:val="hr-HR"/>
        </w:rPr>
        <w:t xml:space="preserve"> </w:t>
      </w:r>
      <w:r w:rsidRPr="006C489E">
        <w:rPr>
          <w:rFonts w:cs="Times New Roman"/>
          <w:lang w:val="hr-HR"/>
        </w:rPr>
        <w:t>provedb</w:t>
      </w:r>
      <w:r>
        <w:rPr>
          <w:rFonts w:cs="Times New Roman"/>
          <w:lang w:val="hr-HR"/>
        </w:rPr>
        <w:t>e</w:t>
      </w:r>
      <w:r w:rsidRPr="006C489E">
        <w:rPr>
          <w:rFonts w:cs="Times New Roman"/>
          <w:lang w:val="hr-HR"/>
        </w:rPr>
        <w:t xml:space="preserve"> mjera za očuvanje radnih mjesta kod poslodavaca kojima je zbog posebne okolnosti uvjetovane</w:t>
      </w:r>
      <w:r w:rsidR="008E433A">
        <w:rPr>
          <w:rFonts w:cs="Times New Roman"/>
          <w:lang w:val="hr-HR"/>
        </w:rPr>
        <w:t xml:space="preserve"> epidemijom koronavirusa (COVID</w:t>
      </w:r>
      <w:r w:rsidRPr="006C489E">
        <w:rPr>
          <w:rFonts w:cs="Times New Roman"/>
          <w:lang w:val="hr-HR"/>
        </w:rPr>
        <w:t>-19) narušena gospodarska aktivnost</w:t>
      </w:r>
      <w:r>
        <w:rPr>
          <w:rFonts w:cs="Times New Roman"/>
          <w:lang w:val="hr-HR"/>
        </w:rPr>
        <w:t>.</w:t>
      </w:r>
    </w:p>
    <w:p w14:paraId="6DF235B9" w14:textId="77777777" w:rsidR="00C555C3" w:rsidRDefault="00C555C3" w:rsidP="00796C59">
      <w:pPr>
        <w:pStyle w:val="Caption"/>
        <w:spacing w:before="240" w:after="120"/>
        <w:jc w:val="both"/>
        <w:rPr>
          <w:rFonts w:asciiTheme="minorHAnsi" w:hAnsiTheme="minorHAnsi"/>
          <w:b w:val="0"/>
          <w:i/>
          <w:sz w:val="22"/>
          <w:szCs w:val="22"/>
        </w:rPr>
      </w:pPr>
    </w:p>
    <w:p w14:paraId="0003F817" w14:textId="77777777" w:rsidR="00C555C3" w:rsidRDefault="00C555C3" w:rsidP="00796C59">
      <w:pPr>
        <w:pStyle w:val="Caption"/>
        <w:spacing w:before="240" w:after="120"/>
        <w:jc w:val="both"/>
        <w:rPr>
          <w:rFonts w:asciiTheme="minorHAnsi" w:hAnsiTheme="minorHAnsi"/>
          <w:b w:val="0"/>
          <w:i/>
          <w:sz w:val="22"/>
          <w:szCs w:val="22"/>
        </w:rPr>
      </w:pPr>
    </w:p>
    <w:p w14:paraId="335143D4" w14:textId="77777777" w:rsidR="00C555C3" w:rsidRDefault="00C555C3" w:rsidP="00796C59">
      <w:pPr>
        <w:pStyle w:val="Caption"/>
        <w:spacing w:before="240" w:after="120"/>
        <w:jc w:val="both"/>
        <w:rPr>
          <w:rFonts w:asciiTheme="minorHAnsi" w:hAnsiTheme="minorHAnsi"/>
          <w:b w:val="0"/>
          <w:i/>
          <w:sz w:val="22"/>
          <w:szCs w:val="22"/>
        </w:rPr>
      </w:pPr>
    </w:p>
    <w:p w14:paraId="4FA3DBB5" w14:textId="77777777" w:rsidR="00C555C3" w:rsidRDefault="00C555C3" w:rsidP="00796C59">
      <w:pPr>
        <w:pStyle w:val="Caption"/>
        <w:spacing w:before="240" w:after="120"/>
        <w:jc w:val="both"/>
        <w:rPr>
          <w:rFonts w:asciiTheme="minorHAnsi" w:hAnsiTheme="minorHAnsi"/>
          <w:b w:val="0"/>
          <w:i/>
          <w:sz w:val="22"/>
          <w:szCs w:val="22"/>
        </w:rPr>
      </w:pPr>
    </w:p>
    <w:p w14:paraId="5C307F30" w14:textId="77777777" w:rsidR="00796C59" w:rsidRDefault="00796C59" w:rsidP="00796C59">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4</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796C59">
        <w:rPr>
          <w:rFonts w:asciiTheme="minorHAnsi" w:hAnsiTheme="minorHAnsi"/>
          <w:b w:val="0"/>
          <w:i/>
          <w:sz w:val="22"/>
          <w:szCs w:val="22"/>
        </w:rPr>
        <w:t xml:space="preserve">Rashodi državnog proračuna po funkcijskoj klasifikaciji  </w:t>
      </w:r>
    </w:p>
    <w:p w14:paraId="4B8C4115" w14:textId="77777777" w:rsidR="00796C59" w:rsidRPr="00796C59" w:rsidRDefault="00796C59" w:rsidP="00796C59">
      <w:pPr>
        <w:spacing w:after="0"/>
        <w:rPr>
          <w:noProof/>
          <w:lang w:val="hr-HR" w:eastAsia="hr-HR"/>
        </w:rPr>
      </w:pPr>
      <w:r w:rsidRPr="006E0462">
        <w:rPr>
          <w:noProof/>
          <w:lang w:val="hr-HR" w:eastAsia="hr-HR"/>
        </w:rPr>
        <w:drawing>
          <wp:inline distT="0" distB="0" distL="0" distR="0">
            <wp:extent cx="5760720" cy="2153124"/>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153124"/>
                    </a:xfrm>
                    <a:prstGeom prst="rect">
                      <a:avLst/>
                    </a:prstGeom>
                    <a:noFill/>
                    <a:ln>
                      <a:noFill/>
                    </a:ln>
                  </pic:spPr>
                </pic:pic>
              </a:graphicData>
            </a:graphic>
          </wp:inline>
        </w:drawing>
      </w:r>
    </w:p>
    <w:p w14:paraId="5EA9AB01" w14:textId="77777777" w:rsidR="00A461B3" w:rsidRDefault="00A461B3" w:rsidP="006E0462">
      <w:pPr>
        <w:jc w:val="both"/>
        <w:rPr>
          <w:rFonts w:cs="Times New Roman"/>
          <w:i/>
          <w:color w:val="000000"/>
          <w:lang w:val="hr-HR"/>
        </w:rPr>
      </w:pPr>
      <w:r w:rsidRPr="006C489E">
        <w:rPr>
          <w:rFonts w:cs="Times New Roman"/>
          <w:i/>
          <w:color w:val="000000"/>
          <w:lang w:val="hr-HR"/>
        </w:rPr>
        <w:t>Izvor: Ministarstvo financija</w:t>
      </w:r>
    </w:p>
    <w:p w14:paraId="2E12202E" w14:textId="77777777" w:rsidR="00E21C16" w:rsidRPr="00671EBB" w:rsidRDefault="00E21C16" w:rsidP="00CF0514">
      <w:pPr>
        <w:spacing w:before="240"/>
        <w:rPr>
          <w:b/>
          <w:i/>
          <w:lang w:val="hr-HR"/>
        </w:rPr>
      </w:pPr>
    </w:p>
    <w:p w14:paraId="08693DE3" w14:textId="77777777" w:rsidR="00A461B3" w:rsidRDefault="00A461B3" w:rsidP="00A461B3">
      <w:pPr>
        <w:pStyle w:val="Heading2"/>
        <w:numPr>
          <w:ilvl w:val="1"/>
          <w:numId w:val="3"/>
        </w:numPr>
        <w:ind w:left="993" w:hanging="567"/>
        <w:rPr>
          <w:lang w:val="hr-HR"/>
        </w:rPr>
      </w:pPr>
      <w:bookmarkStart w:id="15" w:name="_Toc23378483"/>
      <w:bookmarkStart w:id="16" w:name="_Toc39733109"/>
      <w:r w:rsidRPr="006C489E">
        <w:rPr>
          <w:lang w:val="hr-HR"/>
        </w:rPr>
        <w:t>Obrazloženje rashoda po izvorima financiranja</w:t>
      </w:r>
      <w:bookmarkEnd w:id="15"/>
      <w:bookmarkEnd w:id="16"/>
    </w:p>
    <w:p w14:paraId="4877D148" w14:textId="77777777" w:rsidR="00E21C16" w:rsidRPr="00E21C16" w:rsidRDefault="00E21C16" w:rsidP="00E21C16">
      <w:pPr>
        <w:rPr>
          <w:lang w:val="hr-HR"/>
        </w:rPr>
      </w:pPr>
    </w:p>
    <w:p w14:paraId="37A48A41" w14:textId="77777777" w:rsidR="00A461B3" w:rsidRPr="006C489E" w:rsidRDefault="00A461B3" w:rsidP="00A461B3">
      <w:pPr>
        <w:spacing w:before="240"/>
        <w:jc w:val="both"/>
        <w:rPr>
          <w:rFonts w:cs="Times New Roman"/>
          <w:szCs w:val="24"/>
          <w:lang w:val="hr-HR"/>
        </w:rPr>
      </w:pPr>
      <w:r w:rsidRPr="006C489E">
        <w:rPr>
          <w:rFonts w:cs="Times New Roman"/>
          <w:szCs w:val="24"/>
          <w:lang w:val="hr-HR"/>
        </w:rPr>
        <w:t xml:space="preserve">S ciljem daljnjeg povećanja transparentnosti korištenja proračunskih sredstava u nastavku se u okviru obrazloženja rashoda državnog proračuna, daje prikaz rashoda i po izvorima financiranja. </w:t>
      </w:r>
    </w:p>
    <w:p w14:paraId="3E58A3F3" w14:textId="77777777" w:rsidR="00796C59" w:rsidRDefault="00796C59" w:rsidP="00796C59">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5</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796C59">
        <w:rPr>
          <w:rFonts w:asciiTheme="minorHAnsi" w:hAnsiTheme="minorHAnsi"/>
          <w:b w:val="0"/>
          <w:i/>
          <w:sz w:val="22"/>
          <w:szCs w:val="22"/>
        </w:rPr>
        <w:t>Rashodi državnog proračuna po izvorima financiranja</w:t>
      </w:r>
    </w:p>
    <w:p w14:paraId="69966DED" w14:textId="77777777" w:rsidR="00796C59" w:rsidRPr="006E0462" w:rsidRDefault="00796C59" w:rsidP="00796C59">
      <w:pPr>
        <w:spacing w:after="0"/>
        <w:rPr>
          <w:noProof/>
          <w:lang w:val="hr-HR" w:eastAsia="hr-HR"/>
        </w:rPr>
      </w:pPr>
      <w:r w:rsidRPr="006E0462">
        <w:rPr>
          <w:noProof/>
          <w:lang w:val="hr-HR" w:eastAsia="hr-HR"/>
        </w:rPr>
        <w:drawing>
          <wp:inline distT="0" distB="0" distL="0" distR="0">
            <wp:extent cx="5760720" cy="1947384"/>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947384"/>
                    </a:xfrm>
                    <a:prstGeom prst="rect">
                      <a:avLst/>
                    </a:prstGeom>
                    <a:noFill/>
                    <a:ln>
                      <a:noFill/>
                    </a:ln>
                  </pic:spPr>
                </pic:pic>
              </a:graphicData>
            </a:graphic>
          </wp:inline>
        </w:drawing>
      </w:r>
    </w:p>
    <w:p w14:paraId="4B041655" w14:textId="77777777" w:rsidR="00A461B3" w:rsidRPr="006C489E" w:rsidRDefault="00A461B3" w:rsidP="006E0462">
      <w:pPr>
        <w:jc w:val="both"/>
        <w:rPr>
          <w:rFonts w:cs="Times New Roman"/>
          <w:i/>
          <w:color w:val="000000"/>
          <w:lang w:val="hr-HR"/>
        </w:rPr>
      </w:pPr>
      <w:r w:rsidRPr="006C489E">
        <w:rPr>
          <w:rFonts w:cs="Times New Roman"/>
          <w:i/>
          <w:color w:val="000000"/>
          <w:lang w:val="hr-HR"/>
        </w:rPr>
        <w:t>Izvor: Ministarstvo financija</w:t>
      </w:r>
    </w:p>
    <w:p w14:paraId="76D990AB" w14:textId="77777777" w:rsidR="00A461B3" w:rsidRDefault="00A461B3" w:rsidP="00A461B3">
      <w:pPr>
        <w:spacing w:before="240"/>
        <w:jc w:val="both"/>
        <w:rPr>
          <w:rFonts w:cs="Times New Roman"/>
          <w:szCs w:val="24"/>
          <w:lang w:val="hr-HR"/>
        </w:rPr>
      </w:pPr>
      <w:r w:rsidRPr="006C489E">
        <w:rPr>
          <w:rFonts w:cs="Times New Roman"/>
          <w:szCs w:val="24"/>
          <w:lang w:val="hr-HR"/>
        </w:rPr>
        <w:t>Gledano kroz izvore financiranja, rashodi koji se financiraju iz izvora koji utječu na rezultat proračuna opće države (izvora 1 Opći prihodi i primici, 2 Doprinosi za obvezna osiguranja i 8 Namjenski primici od zadu</w:t>
      </w:r>
      <w:r>
        <w:rPr>
          <w:rFonts w:cs="Times New Roman"/>
          <w:szCs w:val="24"/>
          <w:lang w:val="hr-HR"/>
        </w:rPr>
        <w:t>živanja) ostaju na istoj razini, kao i rashodi koji se financiraju iz EU i ostalih izvora financiranja.</w:t>
      </w:r>
    </w:p>
    <w:p w14:paraId="138FEF81" w14:textId="77777777" w:rsidR="00462EC5" w:rsidRDefault="00462EC5">
      <w:pPr>
        <w:rPr>
          <w:rFonts w:cs="Times New Roman"/>
          <w:szCs w:val="24"/>
          <w:lang w:val="hr-HR"/>
        </w:rPr>
      </w:pPr>
      <w:r>
        <w:rPr>
          <w:rFonts w:cs="Times New Roman"/>
          <w:szCs w:val="24"/>
          <w:lang w:val="hr-HR"/>
        </w:rPr>
        <w:br w:type="page"/>
      </w:r>
    </w:p>
    <w:p w14:paraId="13E3D340" w14:textId="77777777" w:rsidR="00462EC5" w:rsidRPr="009B5CBF" w:rsidRDefault="00462EC5" w:rsidP="00462EC5">
      <w:pPr>
        <w:pStyle w:val="Heading1"/>
        <w:numPr>
          <w:ilvl w:val="0"/>
          <w:numId w:val="1"/>
        </w:numPr>
        <w:rPr>
          <w:lang w:val="hr-HR"/>
        </w:rPr>
      </w:pPr>
      <w:bookmarkStart w:id="17" w:name="_Toc39733110"/>
      <w:r w:rsidRPr="009B5CBF">
        <w:rPr>
          <w:lang w:val="hr-HR"/>
        </w:rPr>
        <w:t>UKUPNI MANJAK DRŽAVNOG PRORAČUNA</w:t>
      </w:r>
      <w:bookmarkEnd w:id="17"/>
    </w:p>
    <w:p w14:paraId="262BF83F" w14:textId="77777777" w:rsidR="00462EC5" w:rsidRPr="009B5CBF" w:rsidRDefault="00462EC5" w:rsidP="00462EC5">
      <w:pPr>
        <w:spacing w:before="240"/>
        <w:jc w:val="both"/>
        <w:rPr>
          <w:rFonts w:cs="Times New Roman"/>
          <w:lang w:val="hr-HR"/>
        </w:rPr>
      </w:pPr>
    </w:p>
    <w:p w14:paraId="7FDF52FD" w14:textId="77777777" w:rsidR="00462EC5" w:rsidRPr="009B5CBF" w:rsidRDefault="00462EC5" w:rsidP="00462EC5">
      <w:pPr>
        <w:jc w:val="both"/>
        <w:rPr>
          <w:lang w:val="hr-HR"/>
        </w:rPr>
      </w:pPr>
      <w:r w:rsidRPr="00AC174D">
        <w:rPr>
          <w:lang w:val="hr-HR"/>
        </w:rPr>
        <w:t>Slijedom ukupno planiranih prihoda u iznosu od 122 milijarde kuna te ukupno planiranih rashoda u iznosu od 147,3 milijard</w:t>
      </w:r>
      <w:r w:rsidR="008E433A">
        <w:rPr>
          <w:lang w:val="hr-HR"/>
        </w:rPr>
        <w:t>e</w:t>
      </w:r>
      <w:r w:rsidRPr="00AC174D">
        <w:rPr>
          <w:lang w:val="hr-HR"/>
        </w:rPr>
        <w:t xml:space="preserve"> kuna, manjak državnog proračuna za 2020. godinu planiran je u iznosu od 25,3 milijarde kuna ili 7% bruto domaćeg proizvoda.</w:t>
      </w:r>
    </w:p>
    <w:p w14:paraId="357FA667" w14:textId="77777777" w:rsidR="00796C59" w:rsidRDefault="00796C59" w:rsidP="006E0462">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6</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796C59">
        <w:rPr>
          <w:rFonts w:asciiTheme="minorHAnsi" w:hAnsiTheme="minorHAnsi"/>
          <w:b w:val="0"/>
          <w:i/>
          <w:sz w:val="22"/>
          <w:szCs w:val="22"/>
        </w:rPr>
        <w:t>Ukupni manjak državnog proračuna</w:t>
      </w:r>
    </w:p>
    <w:p w14:paraId="7D1F85DF" w14:textId="77777777" w:rsidR="0006121D" w:rsidRPr="0006121D" w:rsidRDefault="0006121D" w:rsidP="0006121D">
      <w:pPr>
        <w:spacing w:after="0"/>
        <w:rPr>
          <w:noProof/>
          <w:lang w:val="hr-HR" w:eastAsia="hr-HR"/>
        </w:rPr>
      </w:pPr>
      <w:r w:rsidRPr="006E0462">
        <w:rPr>
          <w:noProof/>
          <w:lang w:val="hr-HR" w:eastAsia="hr-HR"/>
        </w:rPr>
        <w:drawing>
          <wp:inline distT="0" distB="0" distL="0" distR="0">
            <wp:extent cx="5760720" cy="1853392"/>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1853392"/>
                    </a:xfrm>
                    <a:prstGeom prst="rect">
                      <a:avLst/>
                    </a:prstGeom>
                    <a:noFill/>
                    <a:ln>
                      <a:noFill/>
                    </a:ln>
                  </pic:spPr>
                </pic:pic>
              </a:graphicData>
            </a:graphic>
          </wp:inline>
        </w:drawing>
      </w:r>
    </w:p>
    <w:p w14:paraId="3D5FAEA7" w14:textId="77777777" w:rsidR="00462EC5" w:rsidRPr="009B5CBF" w:rsidRDefault="00462EC5" w:rsidP="006E0462">
      <w:pPr>
        <w:jc w:val="both"/>
        <w:rPr>
          <w:rFonts w:cs="Times New Roman"/>
          <w:i/>
          <w:color w:val="000000"/>
          <w:lang w:val="hr-HR"/>
        </w:rPr>
      </w:pPr>
      <w:r w:rsidRPr="009B5CBF">
        <w:rPr>
          <w:rFonts w:cs="Times New Roman"/>
          <w:i/>
          <w:color w:val="000000"/>
          <w:lang w:val="hr-HR"/>
        </w:rPr>
        <w:t>Izvor: Ministarstvo financija</w:t>
      </w:r>
    </w:p>
    <w:p w14:paraId="1ABC1336" w14:textId="77777777" w:rsidR="00A461B3" w:rsidRPr="006C489E" w:rsidRDefault="00462EC5" w:rsidP="00A461B3">
      <w:pPr>
        <w:rPr>
          <w:lang w:val="hr-HR"/>
        </w:rPr>
      </w:pPr>
      <w:r w:rsidRPr="009B5CBF">
        <w:rPr>
          <w:lang w:val="hr-HR"/>
        </w:rPr>
        <w:br w:type="page"/>
      </w:r>
    </w:p>
    <w:p w14:paraId="3C39D097" w14:textId="77777777" w:rsidR="00DC5CAF" w:rsidRDefault="00DC5CAF" w:rsidP="00462EC5">
      <w:pPr>
        <w:pStyle w:val="Heading1"/>
        <w:numPr>
          <w:ilvl w:val="0"/>
          <w:numId w:val="1"/>
        </w:numPr>
        <w:rPr>
          <w:lang w:val="hr-HR"/>
        </w:rPr>
      </w:pPr>
      <w:bookmarkStart w:id="18" w:name="_Toc39733111"/>
      <w:r w:rsidRPr="009B5CBF">
        <w:rPr>
          <w:lang w:val="hr-HR"/>
        </w:rPr>
        <w:t>RAČUN FINANCIRANJA DRŽAVNOG PRORAČUNA</w:t>
      </w:r>
      <w:bookmarkEnd w:id="18"/>
    </w:p>
    <w:p w14:paraId="1103FFC2" w14:textId="77777777" w:rsidR="00DC5CAF" w:rsidRPr="00EC38E4" w:rsidRDefault="00DC5CAF" w:rsidP="00DC5CAF">
      <w:pPr>
        <w:rPr>
          <w:lang w:val="hr-HR"/>
        </w:rPr>
      </w:pPr>
    </w:p>
    <w:p w14:paraId="61777337" w14:textId="77777777" w:rsidR="00DC5CAF" w:rsidRPr="00C45AF0" w:rsidRDefault="009F1616" w:rsidP="00DC5CAF">
      <w:pPr>
        <w:jc w:val="both"/>
        <w:rPr>
          <w:lang w:val="hr-HR"/>
        </w:rPr>
      </w:pPr>
      <w:r>
        <w:rPr>
          <w:lang w:val="hr-HR"/>
        </w:rPr>
        <w:t>U I</w:t>
      </w:r>
      <w:r w:rsidR="00DC5CAF" w:rsidRPr="00C45AF0">
        <w:rPr>
          <w:lang w:val="hr-HR"/>
        </w:rPr>
        <w:t xml:space="preserve">zmjenama i dopunama Državnog proračuna </w:t>
      </w:r>
      <w:r>
        <w:rPr>
          <w:lang w:val="hr-HR"/>
        </w:rPr>
        <w:t xml:space="preserve">Republike Hrvatske </w:t>
      </w:r>
      <w:r w:rsidR="00DC5CAF" w:rsidRPr="00C45AF0">
        <w:rPr>
          <w:lang w:val="hr-HR"/>
        </w:rPr>
        <w:t xml:space="preserve">za 2020. godinu planiran je manjak državnog proračuna u iznosu od 25,3 milijarde kuna, što je za 23,2 milijarde kuna više u odnosu na prvotno planirani iznos. Planirani manjak financirat će se razlikom ukupnih primitaka od financijske imovine i zaduživanja te ukupnih izdataka za financijsku imovinu i otplate zajmova. Pritom su ukupni primici od financijske imovine i zaduživanja planirani u iznosu od 63,4 milijarde kuna, dok su ukupni izdaci za financijsku imovinu i otplate zajmova planirani u iznosu od 38,1 milijardu kuna. </w:t>
      </w:r>
    </w:p>
    <w:p w14:paraId="3E8BF898" w14:textId="77777777" w:rsidR="00DC5CAF" w:rsidRPr="00C45AF0" w:rsidRDefault="00DC5CAF" w:rsidP="00DC5CAF">
      <w:pPr>
        <w:jc w:val="both"/>
        <w:rPr>
          <w:lang w:val="hr-HR"/>
        </w:rPr>
      </w:pPr>
      <w:r w:rsidRPr="00C45AF0">
        <w:rPr>
          <w:lang w:val="hr-HR"/>
        </w:rPr>
        <w:t>Ukupni primici od financ</w:t>
      </w:r>
      <w:r w:rsidR="009F1616">
        <w:rPr>
          <w:lang w:val="hr-HR"/>
        </w:rPr>
        <w:t>ijske imovine i zaduživanja, u I</w:t>
      </w:r>
      <w:r w:rsidRPr="00C45AF0">
        <w:rPr>
          <w:lang w:val="hr-HR"/>
        </w:rPr>
        <w:t xml:space="preserve">zmjenama i dopunama Državnog proračuna </w:t>
      </w:r>
      <w:r w:rsidR="009F1616" w:rsidRPr="009F1616">
        <w:rPr>
          <w:lang w:val="hr-HR"/>
        </w:rPr>
        <w:t xml:space="preserve">Republike Hrvatske </w:t>
      </w:r>
      <w:r w:rsidRPr="00C45AF0">
        <w:rPr>
          <w:lang w:val="hr-HR"/>
        </w:rPr>
        <w:t>za 2020. godinu, planirani su u iznosu od 63,4 milijarde kuna što je za 32,9 milijardi kuna više u odnosu na prvotni plan. Navedeno povećanje rezultat je povećanja plana primitaka od izdanih vrijednosnih papira za 24,9 milijardi kuna te primitaka od zaduživanja za 10,7 milijardi kuna uz istovremeno smanjenje plana primitaka od primljenih povrata glavnica danih zajmova i depozita za 1,7 milijardi kuna i primitaka od prodaje dionica i udjela u glavnici za 940,0 milijuna kuna. Na povećanje plana primitaka od izdanih vrijednosnih papira i primitaka od zaduživanja u najvećoj mjeri utječe potreba za dodatnim financijskim sredstvima koja će biti usmjerena na saniranje posljedica epidemije koronavirusa kao i za provedbu mjera za pomoć gospodarstvu.</w:t>
      </w:r>
    </w:p>
    <w:p w14:paraId="1ACCC37A" w14:textId="77777777" w:rsidR="00DC5CAF" w:rsidRPr="00EF63E6" w:rsidRDefault="00DC5CAF" w:rsidP="00DC5CAF">
      <w:pPr>
        <w:jc w:val="both"/>
        <w:rPr>
          <w:rFonts w:ascii="Calibri" w:eastAsia="Calibri" w:hAnsi="Calibri" w:cs="Times New Roman"/>
          <w:lang w:val="hr-HR"/>
        </w:rPr>
      </w:pPr>
      <w:r w:rsidRPr="00C45AF0">
        <w:rPr>
          <w:lang w:val="hr-HR"/>
        </w:rPr>
        <w:t xml:space="preserve">Ukupni izdaci za financijsku imovinu i otplate zajmova planirani su u iznosu 38,1 milijardu kuna, što je povećanje za 8,0 milijardi kuna u odnosu na prvotno planirana sredstva. Izdaci za dane zajmove i depozite planirani su u iznosu od 9,5 milijardi kuna i u odnosu na prvotno planirana sredstva povećani su za 7,9 milijardi kuna što je rezultat povećanja plana izdataka za dane zajmove kreditnim i ostalim financijskim institucijama u javnom sektoru u iznosu od 3,0 milijarde kuna, izdataka za depozite i jamčevne pologe u iznosu od 1,9 milijardi kuna, izdataka za dane zajmove trgovačkim društvima i obrtnicima izvan javnog sektora u iznosu od 76,7 milijuna kuna te izdataka danih zajmova drugim razinama vlasti u iznosu od 2,9 milijardi kuna, uz istovremeno smanjenje izdataka za dane zajmove neprofitnim organizacijama, građanima i kućanstvima u iznosu od 50,0 milijuna kuna. </w:t>
      </w:r>
      <w:r w:rsidR="00EF63E6" w:rsidRPr="00EF63E6">
        <w:rPr>
          <w:rFonts w:ascii="Calibri" w:eastAsia="Calibri" w:hAnsi="Calibri" w:cs="Times New Roman"/>
          <w:lang w:val="hr-HR"/>
        </w:rPr>
        <w:t xml:space="preserve">Povećanje plana danih zajmova drugim razinama vlasti u iznosu od 2,9 milijardi kuna odnosi se na sredstava beskamatnog zajma koja će se dodjeljivati jedinicama lokalne i područne (regionalne) samouprave, Hrvatskom zavodu za zdravstveno osiguranje i Hrvatskom zavodu za mirovinsko osiguranje kojima su uslijed povrata, odnosno odgode i otpisa plaćanja i/ili obročne otplate poreza na dohodak, prireza porezu na dohodak i doprinosa smanjeni prihodi, a sve s ciljem zadržavanja održivosti financiranja na cijelom području Republike Hrvatske tijekom razdoblja trajanja epidemije koronavirusa. Povećanje plana izdataka za dane zajmove kreditnim i ostalim financijskim institucijama u javnom sektoru u iznosu od 3,0 milijarde kuna odnosi se na sredstava namijenjena Hrvatskoj banci za obnovu i razvitak koja će, radi ublažavanja negativnih posljedica epidemije koronavirusa, provoditi mjere za očuvanje razine gospodarske aktivnosti, likvidnosti gospodarskih subjekata te očuvanja radnih mjesta. </w:t>
      </w:r>
    </w:p>
    <w:p w14:paraId="3C73D425" w14:textId="77777777" w:rsidR="00DC5CAF" w:rsidRPr="00C45AF0" w:rsidRDefault="00DC5CAF" w:rsidP="00DC5CAF">
      <w:pPr>
        <w:jc w:val="both"/>
        <w:rPr>
          <w:lang w:val="hr-HR"/>
        </w:rPr>
      </w:pPr>
      <w:r w:rsidRPr="00C45AF0">
        <w:rPr>
          <w:lang w:val="hr-HR"/>
        </w:rPr>
        <w:t>Izdaci za otplatu glavnice primljenih kredita i zajmova planiraju se u iznosu od 5,5 milijardi kuna i u odnosu na prvotni plan povećavaju se za 3,7%, odnosno 198,0 milijuna kuna.</w:t>
      </w:r>
    </w:p>
    <w:p w14:paraId="429E6B74" w14:textId="77777777" w:rsidR="00DC5CAF" w:rsidRPr="00C45AF0" w:rsidRDefault="00DC5CAF" w:rsidP="00DC5CAF">
      <w:pPr>
        <w:jc w:val="both"/>
        <w:rPr>
          <w:lang w:val="hr-HR"/>
        </w:rPr>
      </w:pPr>
      <w:r w:rsidRPr="00C45AF0">
        <w:rPr>
          <w:lang w:val="hr-HR"/>
        </w:rPr>
        <w:t>Plan izdataka za otplatu glavnice za izdane vrijednosne papire ostaje na razini prvotnog plana u iznosu od 23,0 milijarde kuna.</w:t>
      </w:r>
    </w:p>
    <w:p w14:paraId="528D1D14" w14:textId="77777777" w:rsidR="00DC5CAF" w:rsidRDefault="00DC5CAF" w:rsidP="00DC5CAF">
      <w:pPr>
        <w:jc w:val="both"/>
        <w:rPr>
          <w:lang w:val="hr-HR"/>
        </w:rPr>
      </w:pPr>
      <w:r w:rsidRPr="00C45AF0">
        <w:rPr>
          <w:lang w:val="hr-HR"/>
        </w:rPr>
        <w:t>Zatvarajuća stavka između ukupnih primitaka od financijske imovine i zaduživanja, ukupnih izdataka za financijsku imovinu i otplate zajmova te ukupnog manjka proračuna jesu prijenos depozita iz prethodne godine u iznosu od 7,2 milijarde kuna te prijenos depozita u sljedeću godinu u iznosu od 7,1 milijardu kuna.</w:t>
      </w:r>
    </w:p>
    <w:p w14:paraId="0AA15D3D" w14:textId="77777777" w:rsidR="006E0462" w:rsidRDefault="006E0462" w:rsidP="006E0462">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7</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6E0462">
        <w:rPr>
          <w:rFonts w:asciiTheme="minorHAnsi" w:hAnsiTheme="minorHAnsi"/>
          <w:b w:val="0"/>
          <w:i/>
          <w:sz w:val="22"/>
          <w:szCs w:val="22"/>
        </w:rPr>
        <w:t>Ukupni prihodi, rashodi i financiranje državnog proračuna</w:t>
      </w:r>
    </w:p>
    <w:p w14:paraId="6B829FE2" w14:textId="77777777" w:rsidR="006E0462" w:rsidRPr="006E0462" w:rsidRDefault="006E0462" w:rsidP="006E0462">
      <w:pPr>
        <w:spacing w:after="0"/>
        <w:rPr>
          <w:noProof/>
          <w:lang w:val="hr-HR" w:eastAsia="hr-HR"/>
        </w:rPr>
      </w:pPr>
      <w:r w:rsidRPr="006E0462">
        <w:rPr>
          <w:noProof/>
          <w:lang w:val="hr-HR" w:eastAsia="hr-HR"/>
        </w:rPr>
        <w:drawing>
          <wp:inline distT="0" distB="0" distL="0" distR="0">
            <wp:extent cx="5760720" cy="2316402"/>
            <wp:effectExtent l="0" t="0" r="0" b="825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316402"/>
                    </a:xfrm>
                    <a:prstGeom prst="rect">
                      <a:avLst/>
                    </a:prstGeom>
                    <a:noFill/>
                    <a:ln>
                      <a:noFill/>
                    </a:ln>
                  </pic:spPr>
                </pic:pic>
              </a:graphicData>
            </a:graphic>
          </wp:inline>
        </w:drawing>
      </w:r>
    </w:p>
    <w:p w14:paraId="0D3CA02F" w14:textId="77777777" w:rsidR="00DC5CAF" w:rsidRPr="006E0462" w:rsidRDefault="00DC5CAF" w:rsidP="006E0462">
      <w:pPr>
        <w:jc w:val="both"/>
        <w:rPr>
          <w:rFonts w:cs="Times New Roman"/>
          <w:i/>
          <w:color w:val="000000"/>
          <w:lang w:val="hr-HR"/>
        </w:rPr>
      </w:pPr>
      <w:r w:rsidRPr="009B5CBF">
        <w:rPr>
          <w:rFonts w:cs="Times New Roman"/>
          <w:i/>
          <w:color w:val="000000"/>
          <w:lang w:val="hr-HR"/>
        </w:rPr>
        <w:t>Izvor: Ministarstvo financija</w:t>
      </w:r>
    </w:p>
    <w:p w14:paraId="69D9E0F2" w14:textId="77777777" w:rsidR="003C433B" w:rsidRPr="009B5CBF" w:rsidRDefault="003C433B" w:rsidP="00025948">
      <w:pPr>
        <w:rPr>
          <w:rFonts w:cs="Times New Roman"/>
          <w:lang w:val="hr-HR"/>
        </w:rPr>
      </w:pPr>
    </w:p>
    <w:p w14:paraId="669794C1" w14:textId="77777777" w:rsidR="00746FEB" w:rsidRPr="009B5CBF" w:rsidRDefault="00746FEB" w:rsidP="00025948">
      <w:pPr>
        <w:rPr>
          <w:lang w:val="hr-HR"/>
        </w:rPr>
      </w:pPr>
    </w:p>
    <w:p w14:paraId="60329F15" w14:textId="77777777" w:rsidR="00025948" w:rsidRPr="009B5CBF" w:rsidRDefault="00025948" w:rsidP="00025948">
      <w:pPr>
        <w:rPr>
          <w:lang w:val="hr-HR"/>
        </w:rPr>
      </w:pPr>
      <w:r w:rsidRPr="009B5CBF">
        <w:rPr>
          <w:lang w:val="hr-HR"/>
        </w:rPr>
        <w:br w:type="page"/>
      </w:r>
    </w:p>
    <w:p w14:paraId="110DC2D9" w14:textId="77777777" w:rsidR="00025948" w:rsidRPr="009B5CBF" w:rsidRDefault="00025948" w:rsidP="00462EC5">
      <w:pPr>
        <w:pStyle w:val="Heading1"/>
        <w:numPr>
          <w:ilvl w:val="0"/>
          <w:numId w:val="1"/>
        </w:numPr>
        <w:rPr>
          <w:lang w:val="hr-HR"/>
        </w:rPr>
      </w:pPr>
      <w:bookmarkStart w:id="19" w:name="_Toc39733112"/>
      <w:r w:rsidRPr="009B5CBF">
        <w:rPr>
          <w:lang w:val="hr-HR"/>
        </w:rPr>
        <w:t>PROCJENA UKUPNOG MANJKA PRORAČUNA OPĆE DRŽAVE</w:t>
      </w:r>
      <w:bookmarkEnd w:id="19"/>
      <w:r w:rsidRPr="009B5CBF">
        <w:rPr>
          <w:lang w:val="hr-HR"/>
        </w:rPr>
        <w:t xml:space="preserve"> </w:t>
      </w:r>
    </w:p>
    <w:p w14:paraId="57F8A69E" w14:textId="77777777" w:rsidR="00F50D8B" w:rsidRPr="009B5CBF" w:rsidRDefault="00F50D8B" w:rsidP="00025948">
      <w:pPr>
        <w:jc w:val="both"/>
        <w:rPr>
          <w:rFonts w:cs="Times New Roman"/>
          <w:lang w:val="hr-HR"/>
        </w:rPr>
      </w:pPr>
    </w:p>
    <w:p w14:paraId="791CE68B" w14:textId="77777777" w:rsidR="00025948" w:rsidRDefault="00F50D8B" w:rsidP="00025948">
      <w:pPr>
        <w:jc w:val="both"/>
        <w:rPr>
          <w:lang w:val="hr-HR"/>
        </w:rPr>
      </w:pPr>
      <w:r w:rsidRPr="00E97503">
        <w:rPr>
          <w:lang w:val="hr-HR"/>
        </w:rPr>
        <w:t xml:space="preserve">Novim planom </w:t>
      </w:r>
      <w:r w:rsidR="00025948" w:rsidRPr="00E97503">
        <w:rPr>
          <w:lang w:val="hr-HR"/>
        </w:rPr>
        <w:t>u 20</w:t>
      </w:r>
      <w:r w:rsidR="003C16AA" w:rsidRPr="00E97503">
        <w:rPr>
          <w:lang w:val="hr-HR"/>
        </w:rPr>
        <w:t>20</w:t>
      </w:r>
      <w:r w:rsidR="00025948" w:rsidRPr="00E97503">
        <w:rPr>
          <w:lang w:val="hr-HR"/>
        </w:rPr>
        <w:t xml:space="preserve">. godini </w:t>
      </w:r>
      <w:r w:rsidRPr="00E97503">
        <w:rPr>
          <w:lang w:val="hr-HR"/>
        </w:rPr>
        <w:t xml:space="preserve">opći proračun prema nacionalnoj metodologiji </w:t>
      </w:r>
      <w:r w:rsidR="00E97503" w:rsidRPr="00E97503">
        <w:rPr>
          <w:lang w:val="hr-HR"/>
        </w:rPr>
        <w:t>bilježi manjak od 28,9 milijardi kuna ili 8% BDP-a</w:t>
      </w:r>
      <w:r w:rsidRPr="00E97503">
        <w:rPr>
          <w:lang w:val="hr-HR"/>
        </w:rPr>
        <w:t>. P</w:t>
      </w:r>
      <w:r w:rsidR="00025948" w:rsidRPr="00E97503">
        <w:rPr>
          <w:lang w:val="hr-HR"/>
        </w:rPr>
        <w:t xml:space="preserve">ritom državni proračun bilježi razinu manjka od </w:t>
      </w:r>
      <w:r w:rsidR="00E97503" w:rsidRPr="00E97503">
        <w:rPr>
          <w:lang w:val="hr-HR"/>
        </w:rPr>
        <w:t>7</w:t>
      </w:r>
      <w:r w:rsidR="00025948" w:rsidRPr="00E97503">
        <w:rPr>
          <w:lang w:val="hr-HR"/>
        </w:rPr>
        <w:t xml:space="preserve">% BDP-a, izvanproračunski korisnici </w:t>
      </w:r>
      <w:r w:rsidR="00E97503" w:rsidRPr="00E97503">
        <w:rPr>
          <w:lang w:val="hr-HR"/>
        </w:rPr>
        <w:t xml:space="preserve">manjak </w:t>
      </w:r>
      <w:r w:rsidR="00025948" w:rsidRPr="00E97503">
        <w:rPr>
          <w:lang w:val="hr-HR"/>
        </w:rPr>
        <w:t>od 0,</w:t>
      </w:r>
      <w:r w:rsidR="00E97503" w:rsidRPr="00E97503">
        <w:rPr>
          <w:lang w:val="hr-HR"/>
        </w:rPr>
        <w:t>7</w:t>
      </w:r>
      <w:r w:rsidR="00025948" w:rsidRPr="00E97503">
        <w:rPr>
          <w:lang w:val="hr-HR"/>
        </w:rPr>
        <w:t>% BDP-a</w:t>
      </w:r>
      <w:r w:rsidR="00E97503" w:rsidRPr="00E97503">
        <w:rPr>
          <w:lang w:val="hr-HR"/>
        </w:rPr>
        <w:t>, a</w:t>
      </w:r>
      <w:r w:rsidR="00025948" w:rsidRPr="00E97503">
        <w:rPr>
          <w:lang w:val="hr-HR"/>
        </w:rPr>
        <w:t xml:space="preserve"> jedinice lokalne i područne (regionalne) samouprave </w:t>
      </w:r>
      <w:r w:rsidRPr="00E97503">
        <w:rPr>
          <w:lang w:val="hr-HR"/>
        </w:rPr>
        <w:t xml:space="preserve">manjak od </w:t>
      </w:r>
      <w:r w:rsidR="00025948" w:rsidRPr="00E97503">
        <w:rPr>
          <w:lang w:val="hr-HR"/>
        </w:rPr>
        <w:t>0,</w:t>
      </w:r>
      <w:r w:rsidR="00E97503" w:rsidRPr="00E97503">
        <w:rPr>
          <w:lang w:val="hr-HR"/>
        </w:rPr>
        <w:t>3</w:t>
      </w:r>
      <w:r w:rsidR="00025948" w:rsidRPr="00E97503">
        <w:rPr>
          <w:lang w:val="hr-HR"/>
        </w:rPr>
        <w:t>% BDP-a.</w:t>
      </w:r>
      <w:r w:rsidR="00025948" w:rsidRPr="009B5CBF">
        <w:rPr>
          <w:lang w:val="hr-HR"/>
        </w:rPr>
        <w:t xml:space="preserve"> </w:t>
      </w:r>
    </w:p>
    <w:p w14:paraId="64C558F5" w14:textId="77777777" w:rsidR="00E97503" w:rsidRPr="009B5CBF" w:rsidRDefault="00E97503" w:rsidP="00025948">
      <w:pPr>
        <w:jc w:val="both"/>
        <w:rPr>
          <w:lang w:val="hr-HR"/>
        </w:rPr>
      </w:pPr>
      <w:r w:rsidRPr="00E97503">
        <w:rPr>
          <w:lang w:val="hr-HR"/>
        </w:rPr>
        <w:t>Kada se ovim veličinama pridodaju prilagodbe nacionalne metodologije računs</w:t>
      </w:r>
      <w:r>
        <w:rPr>
          <w:lang w:val="hr-HR"/>
        </w:rPr>
        <w:t xml:space="preserve">kog plana metodologiji ESA 2010, a ponajprije projicirani iznos odgođenih javnih davanja, </w:t>
      </w:r>
      <w:r w:rsidRPr="00E97503">
        <w:rPr>
          <w:lang w:val="hr-HR"/>
        </w:rPr>
        <w:t xml:space="preserve">procjenjuje se kako će planirani manjak općeg proračuna u 2020. godini iznositi </w:t>
      </w:r>
      <w:r>
        <w:rPr>
          <w:lang w:val="hr-HR"/>
        </w:rPr>
        <w:t xml:space="preserve">24,8 milijardi kuna ili 6,8% </w:t>
      </w:r>
      <w:r w:rsidRPr="00E97503">
        <w:rPr>
          <w:lang w:val="hr-HR"/>
        </w:rPr>
        <w:t xml:space="preserve">BDP-a. </w:t>
      </w:r>
    </w:p>
    <w:p w14:paraId="01F28F97" w14:textId="77777777" w:rsidR="006E0462" w:rsidRDefault="006E0462" w:rsidP="006E0462">
      <w:pPr>
        <w:pStyle w:val="Caption"/>
        <w:spacing w:before="240" w:after="120"/>
        <w:jc w:val="both"/>
        <w:rPr>
          <w:rFonts w:asciiTheme="minorHAnsi" w:hAnsiTheme="minorHAnsi"/>
          <w:b w:val="0"/>
          <w:i/>
          <w:sz w:val="22"/>
          <w:szCs w:val="22"/>
        </w:rPr>
      </w:pPr>
      <w:r w:rsidRPr="009B5CBF">
        <w:rPr>
          <w:rFonts w:asciiTheme="minorHAnsi" w:hAnsiTheme="minorHAnsi"/>
          <w:b w:val="0"/>
          <w:i/>
          <w:sz w:val="22"/>
          <w:szCs w:val="22"/>
        </w:rPr>
        <w:t xml:space="preserve">Tablica </w:t>
      </w:r>
      <w:r w:rsidRPr="009B5CBF">
        <w:rPr>
          <w:rFonts w:asciiTheme="minorHAnsi" w:hAnsiTheme="minorHAnsi"/>
          <w:b w:val="0"/>
          <w:i/>
          <w:sz w:val="22"/>
          <w:szCs w:val="22"/>
        </w:rPr>
        <w:fldChar w:fldCharType="begin"/>
      </w:r>
      <w:r w:rsidRPr="009B5CBF">
        <w:rPr>
          <w:rFonts w:asciiTheme="minorHAnsi" w:hAnsiTheme="minorHAnsi"/>
          <w:b w:val="0"/>
          <w:i/>
          <w:sz w:val="22"/>
          <w:szCs w:val="22"/>
        </w:rPr>
        <w:instrText xml:space="preserve"> SEQ Tablica \* ARABIC </w:instrText>
      </w:r>
      <w:r w:rsidRPr="009B5CBF">
        <w:rPr>
          <w:rFonts w:asciiTheme="minorHAnsi" w:hAnsiTheme="minorHAnsi"/>
          <w:b w:val="0"/>
          <w:i/>
          <w:sz w:val="22"/>
          <w:szCs w:val="22"/>
        </w:rPr>
        <w:fldChar w:fldCharType="separate"/>
      </w:r>
      <w:r w:rsidR="00C3717D">
        <w:rPr>
          <w:rFonts w:asciiTheme="minorHAnsi" w:hAnsiTheme="minorHAnsi"/>
          <w:b w:val="0"/>
          <w:i/>
          <w:noProof/>
          <w:sz w:val="22"/>
          <w:szCs w:val="22"/>
        </w:rPr>
        <w:t>8</w:t>
      </w:r>
      <w:r w:rsidRPr="009B5CBF">
        <w:rPr>
          <w:rFonts w:asciiTheme="minorHAnsi" w:hAnsiTheme="minorHAnsi"/>
          <w:b w:val="0"/>
          <w:i/>
          <w:sz w:val="22"/>
          <w:szCs w:val="22"/>
        </w:rPr>
        <w:fldChar w:fldCharType="end"/>
      </w:r>
      <w:r w:rsidRPr="009B5CBF">
        <w:rPr>
          <w:rFonts w:asciiTheme="minorHAnsi" w:hAnsiTheme="minorHAnsi"/>
          <w:b w:val="0"/>
          <w:i/>
          <w:sz w:val="22"/>
          <w:szCs w:val="22"/>
        </w:rPr>
        <w:t xml:space="preserve">. </w:t>
      </w:r>
      <w:r w:rsidRPr="006E0462">
        <w:rPr>
          <w:rFonts w:asciiTheme="minorHAnsi" w:hAnsiTheme="minorHAnsi"/>
          <w:b w:val="0"/>
          <w:i/>
          <w:sz w:val="22"/>
          <w:szCs w:val="22"/>
        </w:rPr>
        <w:t>Procjena ukupnog manjka/viška proračuna opće države</w:t>
      </w:r>
    </w:p>
    <w:p w14:paraId="517B4C80" w14:textId="77777777" w:rsidR="001F2B62" w:rsidRPr="001F2B62" w:rsidRDefault="001F2B62" w:rsidP="006E0462">
      <w:pPr>
        <w:spacing w:after="0"/>
        <w:rPr>
          <w:lang w:val="hr-HR"/>
        </w:rPr>
      </w:pPr>
      <w:r w:rsidRPr="001F2B62">
        <w:rPr>
          <w:noProof/>
          <w:lang w:val="hr-HR" w:eastAsia="hr-HR"/>
        </w:rPr>
        <w:drawing>
          <wp:inline distT="0" distB="0" distL="0" distR="0">
            <wp:extent cx="5760720" cy="421075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210755"/>
                    </a:xfrm>
                    <a:prstGeom prst="rect">
                      <a:avLst/>
                    </a:prstGeom>
                    <a:noFill/>
                    <a:ln>
                      <a:noFill/>
                    </a:ln>
                  </pic:spPr>
                </pic:pic>
              </a:graphicData>
            </a:graphic>
          </wp:inline>
        </w:drawing>
      </w:r>
    </w:p>
    <w:p w14:paraId="0232B0A2" w14:textId="77777777" w:rsidR="00992BE3" w:rsidRPr="009B5CBF" w:rsidRDefault="00025948" w:rsidP="006E0462">
      <w:pPr>
        <w:jc w:val="both"/>
        <w:rPr>
          <w:rFonts w:cs="Times New Roman"/>
          <w:i/>
          <w:color w:val="000000"/>
          <w:lang w:val="hr-HR"/>
        </w:rPr>
      </w:pPr>
      <w:r w:rsidRPr="009B5CBF">
        <w:rPr>
          <w:rFonts w:cs="Times New Roman"/>
          <w:i/>
          <w:color w:val="000000"/>
          <w:lang w:val="hr-HR"/>
        </w:rPr>
        <w:t>Izvor: Ministarstvo financija</w:t>
      </w:r>
    </w:p>
    <w:p w14:paraId="6DAEF112" w14:textId="77777777" w:rsidR="00BD5FC6" w:rsidRPr="00992BE3" w:rsidRDefault="00992BE3" w:rsidP="00992BE3">
      <w:pPr>
        <w:jc w:val="both"/>
        <w:rPr>
          <w:lang w:val="hr-HR"/>
        </w:rPr>
      </w:pPr>
      <w:r w:rsidRPr="00992BE3">
        <w:rPr>
          <w:lang w:val="hr-HR"/>
        </w:rPr>
        <w:t>Temeljem kretanja fiskalnog salda proračuna opće države očekuje se da će udio javnog duga u BDP-u u 2020. zabilježiti rast za 13,5 postotnih bodova u odnosu na 2019. godinu te će iznositi 86,7% BDP-a, ponajviše zbog povećanih potreba za zaduživanjem uslijed negativnog fiskalnog učinka uzrokovanog pandemijom koronavirusa. Osim toga, u projekciju kretanja javnog duga, uključeni su i iznosi dodatnih potreba za likvidnosti koji se temelje na iznosu odgođenih javnih davanja, a u projekciju duga uključeno je i projicirano smanjenje depozita na razini opće države u iznosu od 6 milijardi kuna.</w:t>
      </w:r>
    </w:p>
    <w:sectPr w:rsidR="00BD5FC6" w:rsidRPr="00992B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02B1" w14:textId="77777777" w:rsidR="003461F5" w:rsidRDefault="003461F5">
      <w:pPr>
        <w:spacing w:after="0" w:line="240" w:lineRule="auto"/>
      </w:pPr>
      <w:r>
        <w:separator/>
      </w:r>
    </w:p>
  </w:endnote>
  <w:endnote w:type="continuationSeparator" w:id="0">
    <w:p w14:paraId="700B2633" w14:textId="77777777" w:rsidR="003461F5" w:rsidRDefault="0034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70035"/>
      <w:docPartObj>
        <w:docPartGallery w:val="Page Numbers (Bottom of Page)"/>
        <w:docPartUnique/>
      </w:docPartObj>
    </w:sdtPr>
    <w:sdtEndPr>
      <w:rPr>
        <w:noProof/>
        <w:sz w:val="20"/>
        <w:szCs w:val="20"/>
      </w:rPr>
    </w:sdtEndPr>
    <w:sdtContent>
      <w:p w14:paraId="27C0E3DD" w14:textId="1D3973C5" w:rsidR="00927736" w:rsidRPr="00927736" w:rsidRDefault="00AA04C8">
        <w:pPr>
          <w:pStyle w:val="Footer"/>
          <w:jc w:val="right"/>
          <w:rPr>
            <w:sz w:val="20"/>
            <w:szCs w:val="20"/>
          </w:rPr>
        </w:pPr>
        <w:r w:rsidRPr="00927736">
          <w:rPr>
            <w:sz w:val="20"/>
            <w:szCs w:val="20"/>
          </w:rPr>
          <w:fldChar w:fldCharType="begin"/>
        </w:r>
        <w:r w:rsidRPr="00927736">
          <w:rPr>
            <w:sz w:val="20"/>
            <w:szCs w:val="20"/>
          </w:rPr>
          <w:instrText xml:space="preserve"> PAGE   \* MERGEFORMAT </w:instrText>
        </w:r>
        <w:r w:rsidRPr="00927736">
          <w:rPr>
            <w:sz w:val="20"/>
            <w:szCs w:val="20"/>
          </w:rPr>
          <w:fldChar w:fldCharType="separate"/>
        </w:r>
        <w:r w:rsidR="00C40FFD">
          <w:rPr>
            <w:noProof/>
            <w:sz w:val="20"/>
            <w:szCs w:val="20"/>
          </w:rPr>
          <w:t>5</w:t>
        </w:r>
        <w:r w:rsidRPr="00927736">
          <w:rPr>
            <w:noProof/>
            <w:sz w:val="20"/>
            <w:szCs w:val="20"/>
          </w:rPr>
          <w:fldChar w:fldCharType="end"/>
        </w:r>
      </w:p>
    </w:sdtContent>
  </w:sdt>
  <w:p w14:paraId="2DF252E1" w14:textId="77777777" w:rsidR="00927736" w:rsidRDefault="00C4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31E8C" w14:textId="77777777" w:rsidR="003461F5" w:rsidRDefault="003461F5">
      <w:pPr>
        <w:spacing w:after="0" w:line="240" w:lineRule="auto"/>
      </w:pPr>
      <w:r>
        <w:separator/>
      </w:r>
    </w:p>
  </w:footnote>
  <w:footnote w:type="continuationSeparator" w:id="0">
    <w:p w14:paraId="5497DE10" w14:textId="77777777" w:rsidR="003461F5" w:rsidRDefault="003461F5">
      <w:pPr>
        <w:spacing w:after="0" w:line="240" w:lineRule="auto"/>
      </w:pPr>
      <w:r>
        <w:continuationSeparator/>
      </w:r>
    </w:p>
  </w:footnote>
  <w:footnote w:id="1">
    <w:p w14:paraId="612EF9BB" w14:textId="77777777" w:rsidR="004A6071" w:rsidRPr="009F1616" w:rsidRDefault="004A6071" w:rsidP="004A6071">
      <w:pPr>
        <w:pStyle w:val="FootnoteText"/>
        <w:rPr>
          <w:lang w:val="hr-HR"/>
        </w:rPr>
      </w:pPr>
      <w:r>
        <w:rPr>
          <w:rStyle w:val="FootnoteReference"/>
        </w:rPr>
        <w:footnoteRef/>
      </w:r>
      <w:r>
        <w:t xml:space="preserve"> </w:t>
      </w:r>
      <w:r w:rsidR="009F1616">
        <w:rPr>
          <w:lang w:val="hr-HR"/>
        </w:rPr>
        <w:t>Narodne novine, br. 115/16, 106/18, 121/19, 32/20 i 42/</w:t>
      </w:r>
      <w:r w:rsidRPr="009F1616">
        <w:rPr>
          <w:lang w:val="hr-HR"/>
        </w:rPr>
        <w:t>20</w:t>
      </w:r>
    </w:p>
  </w:footnote>
  <w:footnote w:id="2">
    <w:p w14:paraId="622F66AE" w14:textId="77777777" w:rsidR="004A6071" w:rsidRDefault="004A6071" w:rsidP="004A6071">
      <w:pPr>
        <w:pStyle w:val="FootnoteText"/>
      </w:pPr>
      <w:r w:rsidRPr="009F1616">
        <w:rPr>
          <w:rStyle w:val="FootnoteReference"/>
          <w:lang w:val="hr-HR"/>
        </w:rPr>
        <w:footnoteRef/>
      </w:r>
      <w:r w:rsidRPr="009F1616">
        <w:rPr>
          <w:lang w:val="hr-HR"/>
        </w:rPr>
        <w:t xml:space="preserve"> Narodne novine, broj: 35/2020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1B6"/>
    <w:multiLevelType w:val="hybridMultilevel"/>
    <w:tmpl w:val="B370616A"/>
    <w:lvl w:ilvl="0" w:tplc="67602842">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9875CE"/>
    <w:multiLevelType w:val="hybridMultilevel"/>
    <w:tmpl w:val="431290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417AD"/>
    <w:multiLevelType w:val="hybridMultilevel"/>
    <w:tmpl w:val="094E48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D741605"/>
    <w:multiLevelType w:val="hybridMultilevel"/>
    <w:tmpl w:val="96D4B9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23397927"/>
    <w:multiLevelType w:val="multilevel"/>
    <w:tmpl w:val="B9E64E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37E157D"/>
    <w:multiLevelType w:val="multilevel"/>
    <w:tmpl w:val="B9E64E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B01652"/>
    <w:multiLevelType w:val="hybridMultilevel"/>
    <w:tmpl w:val="D5D4DF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2A72A3"/>
    <w:multiLevelType w:val="multilevel"/>
    <w:tmpl w:val="8326B91C"/>
    <w:lvl w:ilvl="0">
      <w:start w:val="1"/>
      <w:numFmt w:val="decimal"/>
      <w:lvlText w:val="%1."/>
      <w:lvlJc w:val="left"/>
      <w:pPr>
        <w:tabs>
          <w:tab w:val="num" w:pos="432"/>
        </w:tabs>
        <w:ind w:left="432" w:hanging="432"/>
      </w:pPr>
      <w:rPr>
        <w:rFonts w:asciiTheme="minorHAnsi" w:hAnsiTheme="minorHAnsi" w:hint="default"/>
        <w:b/>
        <w:bCs/>
        <w:i w:val="0"/>
        <w:iCs w:val="0"/>
        <w:caps w:val="0"/>
        <w:smallCaps w:val="0"/>
        <w:strike w:val="0"/>
        <w:dstrike w:val="0"/>
        <w:color w:val="auto"/>
        <w:spacing w:val="0"/>
        <w:w w:val="100"/>
        <w:kern w:val="0"/>
        <w:position w:val="0"/>
        <w:sz w:val="26"/>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0703F9F"/>
    <w:multiLevelType w:val="multilevel"/>
    <w:tmpl w:val="D374C218"/>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71C5691A"/>
    <w:multiLevelType w:val="hybridMultilevel"/>
    <w:tmpl w:val="22F0A9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9003C21"/>
    <w:multiLevelType w:val="multilevel"/>
    <w:tmpl w:val="B9E64E1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DD5345B"/>
    <w:multiLevelType w:val="hybridMultilevel"/>
    <w:tmpl w:val="9D043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9D0D93"/>
    <w:multiLevelType w:val="hybridMultilevel"/>
    <w:tmpl w:val="59DA8A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8"/>
  </w:num>
  <w:num w:numId="4">
    <w:abstractNumId w:val="1"/>
  </w:num>
  <w:num w:numId="5">
    <w:abstractNumId w:val="11"/>
  </w:num>
  <w:num w:numId="6">
    <w:abstractNumId w:val="2"/>
  </w:num>
  <w:num w:numId="7">
    <w:abstractNumId w:val="0"/>
  </w:num>
  <w:num w:numId="8">
    <w:abstractNumId w:val="3"/>
  </w:num>
  <w:num w:numId="9">
    <w:abstractNumId w:val="9"/>
  </w:num>
  <w:num w:numId="10">
    <w:abstractNumId w:val="12"/>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48"/>
    <w:rsid w:val="000002CE"/>
    <w:rsid w:val="00004CF8"/>
    <w:rsid w:val="0000672A"/>
    <w:rsid w:val="00023F38"/>
    <w:rsid w:val="00025948"/>
    <w:rsid w:val="000307B2"/>
    <w:rsid w:val="00044D20"/>
    <w:rsid w:val="000465E0"/>
    <w:rsid w:val="0005132A"/>
    <w:rsid w:val="0006121D"/>
    <w:rsid w:val="0007216A"/>
    <w:rsid w:val="00081C54"/>
    <w:rsid w:val="000848F3"/>
    <w:rsid w:val="000A253C"/>
    <w:rsid w:val="000C1CEE"/>
    <w:rsid w:val="000C4539"/>
    <w:rsid w:val="000D3576"/>
    <w:rsid w:val="000E4A39"/>
    <w:rsid w:val="000F091E"/>
    <w:rsid w:val="000F0944"/>
    <w:rsid w:val="001021B6"/>
    <w:rsid w:val="00103C81"/>
    <w:rsid w:val="001127D4"/>
    <w:rsid w:val="00116F22"/>
    <w:rsid w:val="00161610"/>
    <w:rsid w:val="001642D4"/>
    <w:rsid w:val="001660B7"/>
    <w:rsid w:val="00176E3C"/>
    <w:rsid w:val="00180523"/>
    <w:rsid w:val="001C0D49"/>
    <w:rsid w:val="001C518F"/>
    <w:rsid w:val="001C5874"/>
    <w:rsid w:val="001D5595"/>
    <w:rsid w:val="001E0575"/>
    <w:rsid w:val="001E19B0"/>
    <w:rsid w:val="001F2B62"/>
    <w:rsid w:val="00202ECD"/>
    <w:rsid w:val="00203260"/>
    <w:rsid w:val="00205365"/>
    <w:rsid w:val="0022280E"/>
    <w:rsid w:val="0024536B"/>
    <w:rsid w:val="00256902"/>
    <w:rsid w:val="002632A5"/>
    <w:rsid w:val="00270A0D"/>
    <w:rsid w:val="00272320"/>
    <w:rsid w:val="002776E1"/>
    <w:rsid w:val="00287171"/>
    <w:rsid w:val="002B3BAA"/>
    <w:rsid w:val="002E165F"/>
    <w:rsid w:val="002E2FFA"/>
    <w:rsid w:val="002F1167"/>
    <w:rsid w:val="002F3F2E"/>
    <w:rsid w:val="00305F0F"/>
    <w:rsid w:val="0031161A"/>
    <w:rsid w:val="00322E85"/>
    <w:rsid w:val="00336226"/>
    <w:rsid w:val="00343D8F"/>
    <w:rsid w:val="003461F5"/>
    <w:rsid w:val="00364E3D"/>
    <w:rsid w:val="00371DE3"/>
    <w:rsid w:val="003A3C60"/>
    <w:rsid w:val="003B4749"/>
    <w:rsid w:val="003C16AA"/>
    <w:rsid w:val="003C433B"/>
    <w:rsid w:val="003D66F3"/>
    <w:rsid w:val="003E770D"/>
    <w:rsid w:val="004017B2"/>
    <w:rsid w:val="004041B9"/>
    <w:rsid w:val="00413A8B"/>
    <w:rsid w:val="0043248F"/>
    <w:rsid w:val="00436640"/>
    <w:rsid w:val="00443089"/>
    <w:rsid w:val="0046118F"/>
    <w:rsid w:val="00462EC5"/>
    <w:rsid w:val="0047545F"/>
    <w:rsid w:val="00480958"/>
    <w:rsid w:val="0048144B"/>
    <w:rsid w:val="00484ACC"/>
    <w:rsid w:val="004A6071"/>
    <w:rsid w:val="004A6E12"/>
    <w:rsid w:val="004B07D7"/>
    <w:rsid w:val="004D3018"/>
    <w:rsid w:val="004E31D4"/>
    <w:rsid w:val="004F024C"/>
    <w:rsid w:val="00516C30"/>
    <w:rsid w:val="0052640F"/>
    <w:rsid w:val="00534EB8"/>
    <w:rsid w:val="00555278"/>
    <w:rsid w:val="00565534"/>
    <w:rsid w:val="005910E9"/>
    <w:rsid w:val="00594EDD"/>
    <w:rsid w:val="005A21E0"/>
    <w:rsid w:val="005A6A43"/>
    <w:rsid w:val="005B2307"/>
    <w:rsid w:val="005B5449"/>
    <w:rsid w:val="005C0106"/>
    <w:rsid w:val="005F50CC"/>
    <w:rsid w:val="006006A7"/>
    <w:rsid w:val="00604A00"/>
    <w:rsid w:val="00623D98"/>
    <w:rsid w:val="006344E3"/>
    <w:rsid w:val="00636B36"/>
    <w:rsid w:val="0063732B"/>
    <w:rsid w:val="00663C53"/>
    <w:rsid w:val="00664B51"/>
    <w:rsid w:val="00671EBB"/>
    <w:rsid w:val="006829D5"/>
    <w:rsid w:val="00684659"/>
    <w:rsid w:val="006926E8"/>
    <w:rsid w:val="006933C6"/>
    <w:rsid w:val="006B61E8"/>
    <w:rsid w:val="006C378E"/>
    <w:rsid w:val="006E0462"/>
    <w:rsid w:val="006E2E2C"/>
    <w:rsid w:val="00702946"/>
    <w:rsid w:val="0072362F"/>
    <w:rsid w:val="007329D4"/>
    <w:rsid w:val="00746FEB"/>
    <w:rsid w:val="0076522F"/>
    <w:rsid w:val="00770408"/>
    <w:rsid w:val="0079230A"/>
    <w:rsid w:val="00796C59"/>
    <w:rsid w:val="007A6C24"/>
    <w:rsid w:val="007C3AA7"/>
    <w:rsid w:val="007D1F26"/>
    <w:rsid w:val="007E7F0F"/>
    <w:rsid w:val="00817577"/>
    <w:rsid w:val="00842AFE"/>
    <w:rsid w:val="0084456C"/>
    <w:rsid w:val="00844759"/>
    <w:rsid w:val="008564C5"/>
    <w:rsid w:val="00866FE4"/>
    <w:rsid w:val="008806AD"/>
    <w:rsid w:val="0088473B"/>
    <w:rsid w:val="00890A93"/>
    <w:rsid w:val="00892DEC"/>
    <w:rsid w:val="008A355E"/>
    <w:rsid w:val="008B023E"/>
    <w:rsid w:val="008B11A1"/>
    <w:rsid w:val="008B2BF8"/>
    <w:rsid w:val="008B3DDE"/>
    <w:rsid w:val="008C09FB"/>
    <w:rsid w:val="008E433A"/>
    <w:rsid w:val="00900091"/>
    <w:rsid w:val="009066BC"/>
    <w:rsid w:val="00906CDD"/>
    <w:rsid w:val="00911875"/>
    <w:rsid w:val="009259EC"/>
    <w:rsid w:val="0093578D"/>
    <w:rsid w:val="009378FA"/>
    <w:rsid w:val="00956D9C"/>
    <w:rsid w:val="00965909"/>
    <w:rsid w:val="00966612"/>
    <w:rsid w:val="0098527F"/>
    <w:rsid w:val="009910AD"/>
    <w:rsid w:val="00991529"/>
    <w:rsid w:val="00992BE3"/>
    <w:rsid w:val="009967B3"/>
    <w:rsid w:val="00997638"/>
    <w:rsid w:val="009A46B0"/>
    <w:rsid w:val="009A6F6C"/>
    <w:rsid w:val="009B5CBF"/>
    <w:rsid w:val="009C05C5"/>
    <w:rsid w:val="009C6EC4"/>
    <w:rsid w:val="009E2EE7"/>
    <w:rsid w:val="009F1616"/>
    <w:rsid w:val="00A15365"/>
    <w:rsid w:val="00A21D60"/>
    <w:rsid w:val="00A23247"/>
    <w:rsid w:val="00A3339D"/>
    <w:rsid w:val="00A42F39"/>
    <w:rsid w:val="00A461B3"/>
    <w:rsid w:val="00A51F1D"/>
    <w:rsid w:val="00A6778B"/>
    <w:rsid w:val="00A74C1D"/>
    <w:rsid w:val="00A75BB0"/>
    <w:rsid w:val="00A93616"/>
    <w:rsid w:val="00A97837"/>
    <w:rsid w:val="00AA04C8"/>
    <w:rsid w:val="00AB14F5"/>
    <w:rsid w:val="00AC174D"/>
    <w:rsid w:val="00AD7171"/>
    <w:rsid w:val="00B07A9E"/>
    <w:rsid w:val="00B13D42"/>
    <w:rsid w:val="00B3517B"/>
    <w:rsid w:val="00B36CEE"/>
    <w:rsid w:val="00B52D51"/>
    <w:rsid w:val="00B63062"/>
    <w:rsid w:val="00B72346"/>
    <w:rsid w:val="00B74EF4"/>
    <w:rsid w:val="00B7748B"/>
    <w:rsid w:val="00BA4CAA"/>
    <w:rsid w:val="00BA7EE7"/>
    <w:rsid w:val="00BB70D5"/>
    <w:rsid w:val="00BC18A3"/>
    <w:rsid w:val="00BD5FC6"/>
    <w:rsid w:val="00BD6A94"/>
    <w:rsid w:val="00BE4D10"/>
    <w:rsid w:val="00BF3942"/>
    <w:rsid w:val="00BF3C17"/>
    <w:rsid w:val="00C00C23"/>
    <w:rsid w:val="00C062D4"/>
    <w:rsid w:val="00C17512"/>
    <w:rsid w:val="00C24DB0"/>
    <w:rsid w:val="00C262BF"/>
    <w:rsid w:val="00C32CBF"/>
    <w:rsid w:val="00C3717D"/>
    <w:rsid w:val="00C40FFD"/>
    <w:rsid w:val="00C47F89"/>
    <w:rsid w:val="00C51F2C"/>
    <w:rsid w:val="00C533A2"/>
    <w:rsid w:val="00C54C06"/>
    <w:rsid w:val="00C555C3"/>
    <w:rsid w:val="00C67DD6"/>
    <w:rsid w:val="00CA5BC3"/>
    <w:rsid w:val="00CF000A"/>
    <w:rsid w:val="00CF0514"/>
    <w:rsid w:val="00CF4823"/>
    <w:rsid w:val="00CF5406"/>
    <w:rsid w:val="00CF5DD9"/>
    <w:rsid w:val="00D40284"/>
    <w:rsid w:val="00D45B2D"/>
    <w:rsid w:val="00D511CC"/>
    <w:rsid w:val="00D5262A"/>
    <w:rsid w:val="00D570FC"/>
    <w:rsid w:val="00D70C36"/>
    <w:rsid w:val="00D82CC3"/>
    <w:rsid w:val="00D93C56"/>
    <w:rsid w:val="00DA1189"/>
    <w:rsid w:val="00DC26C9"/>
    <w:rsid w:val="00DC5CAF"/>
    <w:rsid w:val="00DC5E71"/>
    <w:rsid w:val="00DC6AAE"/>
    <w:rsid w:val="00DF7A70"/>
    <w:rsid w:val="00E12DB3"/>
    <w:rsid w:val="00E21C16"/>
    <w:rsid w:val="00E32B85"/>
    <w:rsid w:val="00E465A1"/>
    <w:rsid w:val="00E5667D"/>
    <w:rsid w:val="00E75BE4"/>
    <w:rsid w:val="00E80FFF"/>
    <w:rsid w:val="00E82346"/>
    <w:rsid w:val="00E95E7A"/>
    <w:rsid w:val="00E97503"/>
    <w:rsid w:val="00ED0AB1"/>
    <w:rsid w:val="00EE2C12"/>
    <w:rsid w:val="00EE3D13"/>
    <w:rsid w:val="00EE3D93"/>
    <w:rsid w:val="00EF036D"/>
    <w:rsid w:val="00EF353D"/>
    <w:rsid w:val="00EF63E6"/>
    <w:rsid w:val="00EF7029"/>
    <w:rsid w:val="00F1659B"/>
    <w:rsid w:val="00F16C25"/>
    <w:rsid w:val="00F212E0"/>
    <w:rsid w:val="00F45CF8"/>
    <w:rsid w:val="00F50D8B"/>
    <w:rsid w:val="00F51DEA"/>
    <w:rsid w:val="00F651AE"/>
    <w:rsid w:val="00F6790C"/>
    <w:rsid w:val="00F94845"/>
    <w:rsid w:val="00FE0382"/>
    <w:rsid w:val="00FF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3B2E"/>
  <w15:docId w15:val="{515ABAE5-60B7-49E2-AFD6-FBF5662A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59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9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59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5948"/>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0259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5948"/>
  </w:style>
  <w:style w:type="character" w:customStyle="1" w:styleId="Heading1Char">
    <w:name w:val="Heading 1 Char"/>
    <w:basedOn w:val="DefaultParagraphFont"/>
    <w:link w:val="Heading1"/>
    <w:uiPriority w:val="9"/>
    <w:rsid w:val="00025948"/>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025948"/>
    <w:pPr>
      <w:spacing w:after="0" w:line="240" w:lineRule="auto"/>
    </w:pPr>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02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48"/>
    <w:rPr>
      <w:rFonts w:ascii="Tahoma" w:hAnsi="Tahoma" w:cs="Tahoma"/>
      <w:sz w:val="16"/>
      <w:szCs w:val="16"/>
    </w:rPr>
  </w:style>
  <w:style w:type="character" w:customStyle="1" w:styleId="Heading2Char">
    <w:name w:val="Heading 2 Char"/>
    <w:basedOn w:val="DefaultParagraphFont"/>
    <w:link w:val="Heading2"/>
    <w:uiPriority w:val="9"/>
    <w:rsid w:val="000259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25948"/>
    <w:pPr>
      <w:ind w:left="720"/>
      <w:contextualSpacing/>
    </w:pPr>
  </w:style>
  <w:style w:type="paragraph" w:styleId="TOCHeading">
    <w:name w:val="TOC Heading"/>
    <w:basedOn w:val="Heading1"/>
    <w:next w:val="Normal"/>
    <w:uiPriority w:val="39"/>
    <w:semiHidden/>
    <w:unhideWhenUsed/>
    <w:qFormat/>
    <w:rsid w:val="00025948"/>
    <w:pPr>
      <w:outlineLvl w:val="9"/>
    </w:pPr>
    <w:rPr>
      <w:lang w:val="en-US" w:eastAsia="ja-JP"/>
    </w:rPr>
  </w:style>
  <w:style w:type="paragraph" w:styleId="TOC1">
    <w:name w:val="toc 1"/>
    <w:basedOn w:val="Normal"/>
    <w:next w:val="Normal"/>
    <w:autoRedefine/>
    <w:uiPriority w:val="39"/>
    <w:unhideWhenUsed/>
    <w:rsid w:val="00025948"/>
    <w:pPr>
      <w:spacing w:after="100"/>
    </w:pPr>
  </w:style>
  <w:style w:type="paragraph" w:styleId="TOC2">
    <w:name w:val="toc 2"/>
    <w:basedOn w:val="Normal"/>
    <w:next w:val="Normal"/>
    <w:autoRedefine/>
    <w:uiPriority w:val="39"/>
    <w:unhideWhenUsed/>
    <w:rsid w:val="00025948"/>
    <w:pPr>
      <w:spacing w:after="100"/>
      <w:ind w:left="220"/>
    </w:pPr>
  </w:style>
  <w:style w:type="character" w:styleId="Hyperlink">
    <w:name w:val="Hyperlink"/>
    <w:basedOn w:val="DefaultParagraphFont"/>
    <w:uiPriority w:val="99"/>
    <w:unhideWhenUsed/>
    <w:rsid w:val="00025948"/>
    <w:rPr>
      <w:color w:val="0000FF" w:themeColor="hyperlink"/>
      <w:u w:val="single"/>
    </w:rPr>
  </w:style>
  <w:style w:type="paragraph" w:styleId="FootnoteText">
    <w:name w:val="footnote text"/>
    <w:basedOn w:val="Normal"/>
    <w:link w:val="FootnoteTextChar"/>
    <w:uiPriority w:val="99"/>
    <w:unhideWhenUsed/>
    <w:qFormat/>
    <w:rsid w:val="00436640"/>
    <w:pPr>
      <w:spacing w:after="0" w:line="240" w:lineRule="auto"/>
    </w:pPr>
    <w:rPr>
      <w:sz w:val="20"/>
      <w:szCs w:val="20"/>
    </w:rPr>
  </w:style>
  <w:style w:type="character" w:customStyle="1" w:styleId="FootnoteTextChar">
    <w:name w:val="Footnote Text Char"/>
    <w:basedOn w:val="DefaultParagraphFont"/>
    <w:link w:val="FootnoteText"/>
    <w:uiPriority w:val="99"/>
    <w:qFormat/>
    <w:rsid w:val="00436640"/>
    <w:rPr>
      <w:sz w:val="20"/>
      <w:szCs w:val="20"/>
    </w:rPr>
  </w:style>
  <w:style w:type="character" w:styleId="FootnoteReference">
    <w:name w:val="footnote reference"/>
    <w:basedOn w:val="DefaultParagraphFont"/>
    <w:unhideWhenUsed/>
    <w:qFormat/>
    <w:rsid w:val="00436640"/>
    <w:rPr>
      <w:vertAlign w:val="superscript"/>
    </w:rPr>
  </w:style>
  <w:style w:type="character" w:styleId="CommentReference">
    <w:name w:val="annotation reference"/>
    <w:basedOn w:val="DefaultParagraphFont"/>
    <w:uiPriority w:val="99"/>
    <w:semiHidden/>
    <w:unhideWhenUsed/>
    <w:rsid w:val="00E95E7A"/>
    <w:rPr>
      <w:sz w:val="16"/>
      <w:szCs w:val="16"/>
    </w:rPr>
  </w:style>
  <w:style w:type="paragraph" w:styleId="CommentText">
    <w:name w:val="annotation text"/>
    <w:basedOn w:val="Normal"/>
    <w:link w:val="CommentTextChar"/>
    <w:uiPriority w:val="99"/>
    <w:semiHidden/>
    <w:unhideWhenUsed/>
    <w:rsid w:val="00E95E7A"/>
    <w:pPr>
      <w:spacing w:line="240" w:lineRule="auto"/>
    </w:pPr>
    <w:rPr>
      <w:sz w:val="20"/>
      <w:szCs w:val="20"/>
    </w:rPr>
  </w:style>
  <w:style w:type="character" w:customStyle="1" w:styleId="CommentTextChar">
    <w:name w:val="Comment Text Char"/>
    <w:basedOn w:val="DefaultParagraphFont"/>
    <w:link w:val="CommentText"/>
    <w:uiPriority w:val="99"/>
    <w:semiHidden/>
    <w:rsid w:val="00E95E7A"/>
    <w:rPr>
      <w:sz w:val="20"/>
      <w:szCs w:val="20"/>
    </w:rPr>
  </w:style>
  <w:style w:type="paragraph" w:styleId="BodyText">
    <w:name w:val="Body Text"/>
    <w:basedOn w:val="Normal"/>
    <w:link w:val="BodyTextChar"/>
    <w:rsid w:val="000D3576"/>
    <w:pPr>
      <w:spacing w:after="120" w:line="240" w:lineRule="auto"/>
    </w:pPr>
    <w:rPr>
      <w:rFonts w:ascii="Times New Roman" w:eastAsia="Times New Roman" w:hAnsi="Times New Roman" w:cs="Times New Roman"/>
      <w:sz w:val="24"/>
      <w:szCs w:val="20"/>
      <w:lang w:val="hr-HR"/>
    </w:rPr>
  </w:style>
  <w:style w:type="character" w:customStyle="1" w:styleId="BodyTextChar">
    <w:name w:val="Body Text Char"/>
    <w:basedOn w:val="DefaultParagraphFont"/>
    <w:link w:val="BodyText"/>
    <w:rsid w:val="000D3576"/>
    <w:rPr>
      <w:rFonts w:ascii="Times New Roman" w:eastAsia="Times New Roman" w:hAnsi="Times New Roman" w:cs="Times New Roman"/>
      <w:sz w:val="24"/>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9681">
      <w:bodyDiv w:val="1"/>
      <w:marLeft w:val="0"/>
      <w:marRight w:val="0"/>
      <w:marTop w:val="0"/>
      <w:marBottom w:val="0"/>
      <w:divBdr>
        <w:top w:val="none" w:sz="0" w:space="0" w:color="auto"/>
        <w:left w:val="none" w:sz="0" w:space="0" w:color="auto"/>
        <w:bottom w:val="none" w:sz="0" w:space="0" w:color="auto"/>
        <w:right w:val="none" w:sz="0" w:space="0" w:color="auto"/>
      </w:divBdr>
    </w:div>
    <w:div w:id="1272392692">
      <w:bodyDiv w:val="1"/>
      <w:marLeft w:val="0"/>
      <w:marRight w:val="0"/>
      <w:marTop w:val="0"/>
      <w:marBottom w:val="0"/>
      <w:divBdr>
        <w:top w:val="none" w:sz="0" w:space="0" w:color="auto"/>
        <w:left w:val="none" w:sz="0" w:space="0" w:color="auto"/>
        <w:bottom w:val="none" w:sz="0" w:space="0" w:color="auto"/>
        <w:right w:val="none" w:sz="0" w:space="0" w:color="auto"/>
      </w:divBdr>
    </w:div>
    <w:div w:id="1907647823">
      <w:bodyDiv w:val="1"/>
      <w:marLeft w:val="0"/>
      <w:marRight w:val="0"/>
      <w:marTop w:val="0"/>
      <w:marBottom w:val="0"/>
      <w:divBdr>
        <w:top w:val="none" w:sz="0" w:space="0" w:color="auto"/>
        <w:left w:val="none" w:sz="0" w:space="0" w:color="auto"/>
        <w:bottom w:val="none" w:sz="0" w:space="0" w:color="auto"/>
        <w:right w:val="none" w:sz="0" w:space="0" w:color="auto"/>
      </w:divBdr>
    </w:div>
    <w:div w:id="19221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vlada.gov.hr/UserDocsImages/2016/Sjednice/2020/Travanj/222%20sjednica%20VRH/222%20sjednica%20VRH%20final/222%20-%203.6.docx" TargetMode="External"/><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ada.gov.hr/UserDocsImages/2016/Sjednice/2020/Travanj/222%20sjednica%20VRH/222%20sjednica%20VRH%20final/222%20-%203.5.docx" TargetMode="Externa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B50A-6139-435E-BCC8-E61F10BA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6018</Words>
  <Characters>34303</Characters>
  <Application>Microsoft Office Word</Application>
  <DocSecurity>4</DocSecurity>
  <Lines>285</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Vlatka Šelimber</cp:lastModifiedBy>
  <cp:revision>2</cp:revision>
  <cp:lastPrinted>2020-05-07T08:58:00Z</cp:lastPrinted>
  <dcterms:created xsi:type="dcterms:W3CDTF">2020-05-07T11:16:00Z</dcterms:created>
  <dcterms:modified xsi:type="dcterms:W3CDTF">2020-05-07T11:16:00Z</dcterms:modified>
</cp:coreProperties>
</file>