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8574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566A8B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E62DB01" w14:textId="77777777" w:rsidR="00CD3EFA" w:rsidRDefault="00CD3EFA"/>
    <w:p w14:paraId="1178987F" w14:textId="705B574B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7E43AD">
        <w:t>14</w:t>
      </w:r>
      <w:r w:rsidRPr="003A2F05">
        <w:t xml:space="preserve">. </w:t>
      </w:r>
      <w:r w:rsidR="0089634C">
        <w:t>svib</w:t>
      </w:r>
      <w:r w:rsidR="009820B0">
        <w:t>n</w:t>
      </w:r>
      <w:r w:rsidR="007E43AD">
        <w:t>ja</w:t>
      </w:r>
      <w:r w:rsidRPr="003A2F05">
        <w:t xml:space="preserve"> 20</w:t>
      </w:r>
      <w:r w:rsidR="007A2CAF">
        <w:t>20</w:t>
      </w:r>
      <w:r w:rsidRPr="003A2F05">
        <w:t>.</w:t>
      </w:r>
    </w:p>
    <w:p w14:paraId="5A7EFF8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BC775E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4E604E6" w14:textId="77777777" w:rsidTr="000350D9">
        <w:tc>
          <w:tcPr>
            <w:tcW w:w="1951" w:type="dxa"/>
          </w:tcPr>
          <w:p w14:paraId="2E03209F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907376C" w14:textId="77777777" w:rsidR="000350D9" w:rsidRDefault="001A5064" w:rsidP="001A5064">
            <w:pPr>
              <w:spacing w:line="360" w:lineRule="auto"/>
            </w:pPr>
            <w:r>
              <w:t>Ministarstvo gospodarstva, poduzetništva i obrta</w:t>
            </w:r>
          </w:p>
        </w:tc>
      </w:tr>
    </w:tbl>
    <w:p w14:paraId="7756BD2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5A3539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9A8EB6" w14:textId="77777777" w:rsidTr="000350D9">
        <w:tc>
          <w:tcPr>
            <w:tcW w:w="1951" w:type="dxa"/>
          </w:tcPr>
          <w:p w14:paraId="75CA9A3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88A8844" w14:textId="77777777" w:rsidR="000350D9" w:rsidRDefault="007A2CAF" w:rsidP="00F20170">
            <w:pPr>
              <w:spacing w:line="360" w:lineRule="auto"/>
            </w:pPr>
            <w:r>
              <w:t xml:space="preserve">Prijedlog </w:t>
            </w:r>
            <w:r w:rsidR="00F20170">
              <w:t xml:space="preserve">uredbe </w:t>
            </w:r>
            <w:r>
              <w:t xml:space="preserve">o izmjenama i dopuni </w:t>
            </w:r>
            <w:r w:rsidR="00F20170">
              <w:t xml:space="preserve">Uredbe </w:t>
            </w:r>
            <w:r>
              <w:t>o naknadi za koncesiju za eksploataciju mineralnih sirovina</w:t>
            </w:r>
          </w:p>
        </w:tc>
      </w:tr>
    </w:tbl>
    <w:p w14:paraId="4561DF9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6CC81D8" w14:textId="77777777" w:rsidR="00CE78D1" w:rsidRDefault="00CE78D1" w:rsidP="008F0DD4"/>
    <w:p w14:paraId="7E9E2650" w14:textId="77777777" w:rsidR="00CE78D1" w:rsidRPr="00CE78D1" w:rsidRDefault="00CE78D1" w:rsidP="00CE78D1"/>
    <w:p w14:paraId="1430CC04" w14:textId="77777777" w:rsidR="00CE78D1" w:rsidRPr="00CE78D1" w:rsidRDefault="00CE78D1" w:rsidP="00CE78D1"/>
    <w:p w14:paraId="2F0F8028" w14:textId="77777777" w:rsidR="00CE78D1" w:rsidRPr="00CE78D1" w:rsidRDefault="00CE78D1" w:rsidP="00CE78D1"/>
    <w:p w14:paraId="00B45C0C" w14:textId="77777777" w:rsidR="00CE78D1" w:rsidRPr="00CE78D1" w:rsidRDefault="00CE78D1" w:rsidP="00CE78D1"/>
    <w:p w14:paraId="223BDFD9" w14:textId="77777777" w:rsidR="00CE78D1" w:rsidRPr="00CE78D1" w:rsidRDefault="00CE78D1" w:rsidP="00CE78D1"/>
    <w:p w14:paraId="6E07571B" w14:textId="77777777" w:rsidR="00CE78D1" w:rsidRPr="00CE78D1" w:rsidRDefault="00CE78D1" w:rsidP="00CE78D1"/>
    <w:p w14:paraId="2AA592E5" w14:textId="77777777" w:rsidR="00CE78D1" w:rsidRPr="00CE78D1" w:rsidRDefault="00CE78D1" w:rsidP="00CE78D1"/>
    <w:p w14:paraId="2D012299" w14:textId="77777777" w:rsidR="00CE78D1" w:rsidRPr="00CE78D1" w:rsidRDefault="00CE78D1" w:rsidP="00CE78D1"/>
    <w:p w14:paraId="1F992565" w14:textId="77777777" w:rsidR="00CE78D1" w:rsidRPr="00CE78D1" w:rsidRDefault="00CE78D1" w:rsidP="00CE78D1"/>
    <w:p w14:paraId="513C570D" w14:textId="77777777" w:rsidR="00CE78D1" w:rsidRPr="00CE78D1" w:rsidRDefault="00CE78D1" w:rsidP="00CE78D1"/>
    <w:p w14:paraId="12E472E1" w14:textId="77777777" w:rsidR="00CE78D1" w:rsidRPr="00CE78D1" w:rsidRDefault="00CE78D1" w:rsidP="00CE78D1"/>
    <w:p w14:paraId="6117DD74" w14:textId="77777777" w:rsidR="00CE78D1" w:rsidRPr="00CE78D1" w:rsidRDefault="00CE78D1" w:rsidP="00CE78D1"/>
    <w:p w14:paraId="6B97A26D" w14:textId="77777777" w:rsidR="00CE78D1" w:rsidRDefault="00CE78D1" w:rsidP="00CE78D1"/>
    <w:p w14:paraId="333F1008" w14:textId="77777777" w:rsidR="00CE78D1" w:rsidRDefault="00CE78D1" w:rsidP="00CE78D1"/>
    <w:p w14:paraId="1556D40E" w14:textId="77777777" w:rsidR="001A5064" w:rsidRDefault="001A5064">
      <w:r>
        <w:br w:type="page"/>
      </w:r>
    </w:p>
    <w:p w14:paraId="7C95C573" w14:textId="77777777" w:rsidR="001751FA" w:rsidRDefault="001751FA" w:rsidP="00CD141E">
      <w:pPr>
        <w:spacing w:after="48"/>
        <w:ind w:firstLine="408"/>
        <w:jc w:val="both"/>
        <w:textAlignment w:val="baseline"/>
        <w:rPr>
          <w:color w:val="231F20"/>
        </w:rPr>
      </w:pPr>
    </w:p>
    <w:p w14:paraId="3F11EC10" w14:textId="70D37E00" w:rsidR="00CD141E" w:rsidRDefault="00CD141E" w:rsidP="00CD141E">
      <w:pPr>
        <w:spacing w:after="48"/>
        <w:ind w:firstLine="408"/>
        <w:jc w:val="both"/>
        <w:textAlignment w:val="baseline"/>
        <w:rPr>
          <w:color w:val="231F20"/>
        </w:rPr>
      </w:pPr>
      <w:r w:rsidRPr="004310F1">
        <w:rPr>
          <w:color w:val="231F20"/>
        </w:rPr>
        <w:t xml:space="preserve">Na temelju </w:t>
      </w:r>
      <w:r w:rsidR="007A2CAF" w:rsidRPr="00114D93">
        <w:rPr>
          <w:rFonts w:ascii="Minion Pro" w:hAnsi="Minion Pro"/>
          <w:color w:val="000000"/>
        </w:rPr>
        <w:t xml:space="preserve">članka 77. stavaka 2. i 6. Zakona o rudarstvu </w:t>
      </w:r>
      <w:r w:rsidR="007A2CAF" w:rsidRPr="00845113">
        <w:rPr>
          <w:rFonts w:ascii="Minion Pro" w:hAnsi="Minion Pro"/>
          <w:color w:val="000000"/>
        </w:rPr>
        <w:t>(Narodne novine, br</w:t>
      </w:r>
      <w:r w:rsidR="00F20170">
        <w:rPr>
          <w:rFonts w:ascii="Minion Pro" w:hAnsi="Minion Pro"/>
          <w:color w:val="000000"/>
        </w:rPr>
        <w:t>oj</w:t>
      </w:r>
      <w:r w:rsidR="00F20170" w:rsidRPr="00845113">
        <w:rPr>
          <w:rFonts w:ascii="Minion Pro" w:hAnsi="Minion Pro"/>
          <w:color w:val="000000"/>
        </w:rPr>
        <w:t xml:space="preserve"> </w:t>
      </w:r>
      <w:r w:rsidR="007A2CAF" w:rsidRPr="00845113">
        <w:rPr>
          <w:rFonts w:ascii="Minion Pro" w:hAnsi="Minion Pro"/>
          <w:color w:val="000000"/>
        </w:rPr>
        <w:t>56/13, 14/14, 52/18</w:t>
      </w:r>
      <w:r w:rsidR="007A2CAF">
        <w:rPr>
          <w:rFonts w:ascii="Minion Pro" w:hAnsi="Minion Pro"/>
          <w:color w:val="000000"/>
        </w:rPr>
        <w:t>,</w:t>
      </w:r>
      <w:r w:rsidR="007A2CAF" w:rsidRPr="00845113">
        <w:rPr>
          <w:rFonts w:ascii="Minion Pro" w:hAnsi="Minion Pro"/>
          <w:color w:val="000000"/>
        </w:rPr>
        <w:t xml:space="preserve"> 115/18</w:t>
      </w:r>
      <w:r w:rsidR="007A2CAF">
        <w:rPr>
          <w:rFonts w:ascii="Minion Pro" w:hAnsi="Minion Pro"/>
          <w:color w:val="000000"/>
        </w:rPr>
        <w:t xml:space="preserve"> i 98/19</w:t>
      </w:r>
      <w:r w:rsidR="007A2CAF" w:rsidRPr="00845113">
        <w:rPr>
          <w:rFonts w:ascii="Minion Pro" w:hAnsi="Minion Pro"/>
          <w:color w:val="000000"/>
        </w:rPr>
        <w:t>)</w:t>
      </w:r>
      <w:r w:rsidR="007A2CAF" w:rsidRPr="00114D93">
        <w:rPr>
          <w:rFonts w:ascii="Minion Pro" w:hAnsi="Minion Pro"/>
          <w:color w:val="000000"/>
        </w:rPr>
        <w:t xml:space="preserve">, Vlada Republike Hrvatske je na sjednici održanoj </w:t>
      </w:r>
      <w:r w:rsidR="007A2CAF">
        <w:rPr>
          <w:rFonts w:ascii="Minion Pro" w:hAnsi="Minion Pro"/>
          <w:color w:val="000000"/>
        </w:rPr>
        <w:t>_____</w:t>
      </w:r>
      <w:r w:rsidR="007A2CAF" w:rsidRPr="00114D93">
        <w:rPr>
          <w:rFonts w:ascii="Minion Pro" w:hAnsi="Minion Pro"/>
          <w:color w:val="000000"/>
        </w:rPr>
        <w:t xml:space="preserve"> 20</w:t>
      </w:r>
      <w:r w:rsidR="007A2CAF">
        <w:rPr>
          <w:rFonts w:ascii="Minion Pro" w:hAnsi="Minion Pro"/>
          <w:color w:val="000000"/>
        </w:rPr>
        <w:t>20</w:t>
      </w:r>
      <w:r w:rsidR="007A2CAF" w:rsidRPr="00114D93">
        <w:rPr>
          <w:rFonts w:ascii="Minion Pro" w:hAnsi="Minion Pro"/>
          <w:color w:val="000000"/>
        </w:rPr>
        <w:t>. godine donijela</w:t>
      </w:r>
    </w:p>
    <w:p w14:paraId="2D99E686" w14:textId="77777777" w:rsidR="00CD141E" w:rsidRDefault="00CD141E" w:rsidP="00CD141E"/>
    <w:p w14:paraId="042D6BD0" w14:textId="77777777" w:rsidR="00CD141E" w:rsidRPr="007935F8" w:rsidRDefault="00CD141E" w:rsidP="00CD141E"/>
    <w:p w14:paraId="5D8DC8D4" w14:textId="77777777" w:rsidR="003E0A41" w:rsidRPr="00EA30BD" w:rsidRDefault="003E0A41" w:rsidP="003E0A41">
      <w:pPr>
        <w:jc w:val="center"/>
        <w:rPr>
          <w:b/>
          <w:bCs/>
        </w:rPr>
      </w:pPr>
      <w:r w:rsidRPr="00EA30BD">
        <w:rPr>
          <w:b/>
          <w:bCs/>
        </w:rPr>
        <w:t>U</w:t>
      </w:r>
      <w:r>
        <w:rPr>
          <w:b/>
          <w:bCs/>
        </w:rPr>
        <w:t xml:space="preserve"> </w:t>
      </w:r>
      <w:r w:rsidRPr="00EA30BD">
        <w:rPr>
          <w:b/>
          <w:bCs/>
        </w:rPr>
        <w:t>R</w:t>
      </w:r>
      <w:r>
        <w:rPr>
          <w:b/>
          <w:bCs/>
        </w:rPr>
        <w:t xml:space="preserve"> </w:t>
      </w:r>
      <w:r w:rsidRPr="00EA30BD">
        <w:rPr>
          <w:b/>
          <w:bCs/>
        </w:rPr>
        <w:t>E</w:t>
      </w:r>
      <w:r>
        <w:rPr>
          <w:b/>
          <w:bCs/>
        </w:rPr>
        <w:t xml:space="preserve"> </w:t>
      </w:r>
      <w:r w:rsidRPr="00EA30BD">
        <w:rPr>
          <w:b/>
          <w:bCs/>
        </w:rPr>
        <w:t>D</w:t>
      </w:r>
      <w:r>
        <w:rPr>
          <w:b/>
          <w:bCs/>
        </w:rPr>
        <w:t xml:space="preserve"> </w:t>
      </w:r>
      <w:r w:rsidRPr="00EA30BD">
        <w:rPr>
          <w:b/>
          <w:bCs/>
        </w:rPr>
        <w:t>B</w:t>
      </w:r>
      <w:r>
        <w:rPr>
          <w:b/>
          <w:bCs/>
        </w:rPr>
        <w:t xml:space="preserve"> </w:t>
      </w:r>
      <w:r w:rsidRPr="00EA30BD">
        <w:rPr>
          <w:b/>
          <w:bCs/>
        </w:rPr>
        <w:t>U</w:t>
      </w:r>
    </w:p>
    <w:p w14:paraId="235E44AF" w14:textId="77777777" w:rsidR="003E0A41" w:rsidRDefault="003E0A41" w:rsidP="003E0A41">
      <w:pPr>
        <w:jc w:val="center"/>
      </w:pPr>
    </w:p>
    <w:p w14:paraId="727DB4FA" w14:textId="77777777" w:rsidR="003E0A41" w:rsidRPr="00EA30BD" w:rsidRDefault="003E0A41" w:rsidP="003E0A41">
      <w:pPr>
        <w:jc w:val="center"/>
        <w:rPr>
          <w:b/>
          <w:bCs/>
        </w:rPr>
      </w:pPr>
      <w:bookmarkStart w:id="1" w:name="_Hlk36633636"/>
      <w:r w:rsidRPr="00EA30BD">
        <w:rPr>
          <w:b/>
          <w:bCs/>
        </w:rPr>
        <w:t xml:space="preserve">o izmjenama i dopuni </w:t>
      </w:r>
      <w:r>
        <w:rPr>
          <w:b/>
          <w:bCs/>
        </w:rPr>
        <w:t>U</w:t>
      </w:r>
      <w:r w:rsidRPr="00EA30BD">
        <w:rPr>
          <w:b/>
          <w:bCs/>
        </w:rPr>
        <w:t>redbe</w:t>
      </w:r>
    </w:p>
    <w:p w14:paraId="5B94DEFE" w14:textId="77777777" w:rsidR="003E0A41" w:rsidRPr="00EA30BD" w:rsidRDefault="003E0A41" w:rsidP="003E0A41">
      <w:pPr>
        <w:jc w:val="center"/>
        <w:rPr>
          <w:b/>
          <w:bCs/>
        </w:rPr>
      </w:pPr>
      <w:r w:rsidRPr="00EA30BD">
        <w:rPr>
          <w:b/>
          <w:bCs/>
        </w:rPr>
        <w:t>o naknadi za koncesiju za eksploataciju mineralnih sirovina</w:t>
      </w:r>
    </w:p>
    <w:bookmarkEnd w:id="1"/>
    <w:p w14:paraId="793B9FFE" w14:textId="77777777" w:rsidR="00CD141E" w:rsidRDefault="00CD141E" w:rsidP="00CD141E"/>
    <w:p w14:paraId="7F75DEC9" w14:textId="77777777" w:rsidR="00E36DDA" w:rsidRDefault="00E36DDA" w:rsidP="00CD141E"/>
    <w:p w14:paraId="67F0CD9D" w14:textId="77777777" w:rsidR="00CD141E" w:rsidRDefault="00CD141E" w:rsidP="00CD141E">
      <w:pPr>
        <w:spacing w:after="120"/>
        <w:jc w:val="center"/>
      </w:pPr>
      <w:r w:rsidRPr="00223219">
        <w:t>Članak 1.</w:t>
      </w:r>
    </w:p>
    <w:p w14:paraId="1C0CDEF9" w14:textId="77777777" w:rsidR="007A2CAF" w:rsidRDefault="007A2CAF" w:rsidP="007A2CAF">
      <w:pPr>
        <w:pStyle w:val="box461517"/>
        <w:shd w:val="clear" w:color="auto" w:fill="FFFFFF"/>
        <w:spacing w:before="0" w:beforeAutospacing="0" w:after="12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U </w:t>
      </w:r>
      <w:r w:rsidRPr="00114D93">
        <w:rPr>
          <w:color w:val="231F20"/>
        </w:rPr>
        <w:t>Uredb</w:t>
      </w:r>
      <w:r>
        <w:rPr>
          <w:color w:val="231F20"/>
        </w:rPr>
        <w:t>i</w:t>
      </w:r>
      <w:r w:rsidRPr="00114D93">
        <w:rPr>
          <w:color w:val="231F20"/>
        </w:rPr>
        <w:t xml:space="preserve"> o naknadi za koncesiju za eksploataciju mineralnih sirovina </w:t>
      </w:r>
      <w:r>
        <w:rPr>
          <w:color w:val="231F20"/>
        </w:rPr>
        <w:t>(Narodne novine, br</w:t>
      </w:r>
      <w:r w:rsidR="00F20170">
        <w:rPr>
          <w:color w:val="231F20"/>
        </w:rPr>
        <w:t xml:space="preserve">oj </w:t>
      </w:r>
      <w:r>
        <w:rPr>
          <w:color w:val="231F20"/>
        </w:rPr>
        <w:t>31/14), članak 3. mijenja se i glasi:</w:t>
      </w:r>
    </w:p>
    <w:p w14:paraId="34D2AF41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>
        <w:rPr>
          <w:color w:val="231F20"/>
          <w:shd w:val="clear" w:color="auto" w:fill="FFFFFF"/>
        </w:rPr>
        <w:t>»</w:t>
      </w:r>
      <w:r w:rsidRPr="00114D93">
        <w:rPr>
          <w:rFonts w:ascii="Minion Pro" w:hAnsi="Minion Pro"/>
          <w:color w:val="000000"/>
        </w:rPr>
        <w:t>Visina minimalne godišnje naknade za koncesiju za eksploataciju mineralnih sirovina (u daljnjem tekstu: naknada) iz članka 1. ove Uredbe utvrđuje se za:</w:t>
      </w:r>
    </w:p>
    <w:p w14:paraId="119A1E51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1. fosilne gorive tvari: ugljen (treset, lignit, smeđi ugljen, kameni ugljen), asfalt i uljni škriljavci</w:t>
      </w:r>
      <w:r>
        <w:rPr>
          <w:rFonts w:ascii="Minion Pro" w:hAnsi="Minion Pro"/>
          <w:color w:val="000000"/>
        </w:rPr>
        <w:t>,</w:t>
      </w:r>
      <w:r w:rsidRPr="00114D93">
        <w:rPr>
          <w:rFonts w:ascii="Minion Pro" w:hAnsi="Minion Pro"/>
          <w:color w:val="000000"/>
        </w:rPr>
        <w:t xml:space="preserve"> radioaktivne rude</w:t>
      </w:r>
    </w:p>
    <w:p w14:paraId="6089CAC3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2. mineralne sirovine za industrijsku preradbu: grafit, sumpor, barit, tinjci, gips, kreda, kremen, kremeni pijesak, drago kamenje, bentonitna, porculanska, keramička i vatrostalna glina, feldspati, talk, tuf, mineralne sirovine za proizvodnju cementa, karbonatne mineralne sirovine (vapnenci i dolomiti) za industrijsku preradbu, silikatne mineralne sirovine za industrijsku preradbu, brom, jod, peloidi</w:t>
      </w:r>
    </w:p>
    <w:p w14:paraId="213483AB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3. mineralne sirovine za proizvodnju građevnog materijala: tehničko-građevni kamen (amfibolit, andezit, bazalt, dijabaz, granit, dolomit, vapnenac), građevni pijesak i šljunak iz neobnovljivih ležišta, ciglarska glina</w:t>
      </w:r>
    </w:p>
    <w:p w14:paraId="76ABEF04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4. arhitektonsko-građevni kamen</w:t>
      </w:r>
    </w:p>
    <w:p w14:paraId="3CFD59A0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5. mineralne sirovine kovina</w:t>
      </w:r>
    </w:p>
    <w:p w14:paraId="5E641BA0" w14:textId="77777777" w:rsidR="007A2CAF" w:rsidRDefault="007A2CAF" w:rsidP="007A2CAF">
      <w:pPr>
        <w:jc w:val="both"/>
        <w:textAlignment w:val="baseline"/>
        <w:rPr>
          <w:color w:val="231F20"/>
        </w:rPr>
      </w:pPr>
      <w:r w:rsidRPr="00114D93">
        <w:rPr>
          <w:rFonts w:ascii="Minion Pro" w:hAnsi="Minion Pro"/>
          <w:color w:val="000000"/>
        </w:rPr>
        <w:t>6. građevni pijesak i šljunak iz morskog dna</w:t>
      </w:r>
      <w:r>
        <w:rPr>
          <w:rFonts w:ascii="Minion Pro" w:hAnsi="Minion Pro"/>
          <w:color w:val="000000"/>
        </w:rPr>
        <w:t>,</w:t>
      </w:r>
      <w:r w:rsidRPr="00114D93">
        <w:rPr>
          <w:rFonts w:ascii="Minion Pro" w:hAnsi="Minion Pro"/>
          <w:color w:val="000000"/>
        </w:rPr>
        <w:t xml:space="preserve"> sve vrste </w:t>
      </w:r>
      <w:r>
        <w:rPr>
          <w:rFonts w:ascii="Minion Pro" w:hAnsi="Minion Pro"/>
          <w:color w:val="000000"/>
        </w:rPr>
        <w:t xml:space="preserve">soli (morska sol) i solnih voda, </w:t>
      </w:r>
      <w:r w:rsidRPr="00114D93">
        <w:rPr>
          <w:rFonts w:ascii="Minion Pro" w:hAnsi="Minion Pro"/>
          <w:color w:val="000000"/>
        </w:rPr>
        <w:t>mineralne vode iz kojih se mogu pridobivati mineralne sirovine, osim mineralnih voda koje se koriste u ljekovite, balneološke i rekreativne svrhe ili kao voda za ljudsku potrošnju i druge namjene, na koje se primjenjuju propisi o vodama</w:t>
      </w:r>
      <w:r>
        <w:rPr>
          <w:rFonts w:ascii="Minion Pro" w:hAnsi="Minion Pro"/>
          <w:color w:val="000000"/>
        </w:rPr>
        <w:t>.</w:t>
      </w:r>
      <w:r>
        <w:rPr>
          <w:color w:val="231F20"/>
        </w:rPr>
        <w:t>«</w:t>
      </w:r>
      <w:r w:rsidR="00F20170">
        <w:rPr>
          <w:color w:val="231F20"/>
        </w:rPr>
        <w:t>.</w:t>
      </w:r>
    </w:p>
    <w:p w14:paraId="4184B46C" w14:textId="77777777" w:rsidR="00CD141E" w:rsidRDefault="00CD141E" w:rsidP="00CD141E"/>
    <w:p w14:paraId="1B0A7146" w14:textId="77777777" w:rsidR="00CD141E" w:rsidRDefault="00CD141E" w:rsidP="00CD141E">
      <w:pPr>
        <w:spacing w:after="120"/>
        <w:jc w:val="center"/>
      </w:pPr>
      <w:r w:rsidRPr="00223219">
        <w:t>Članak 2.</w:t>
      </w:r>
    </w:p>
    <w:p w14:paraId="7AA83C54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>
        <w:rPr>
          <w:color w:val="231F20"/>
          <w:shd w:val="clear" w:color="auto" w:fill="FFFFFF"/>
        </w:rPr>
        <w:t>»</w:t>
      </w:r>
      <w:r>
        <w:rPr>
          <w:rFonts w:ascii="Minion Pro" w:hAnsi="Minion Pro"/>
          <w:color w:val="000000"/>
        </w:rPr>
        <w:t>Č</w:t>
      </w:r>
      <w:r w:rsidRPr="00114D93">
        <w:rPr>
          <w:rFonts w:ascii="Minion Pro" w:hAnsi="Minion Pro"/>
          <w:color w:val="000000"/>
        </w:rPr>
        <w:t xml:space="preserve">lanak </w:t>
      </w:r>
      <w:r>
        <w:rPr>
          <w:rFonts w:ascii="Minion Pro" w:hAnsi="Minion Pro"/>
          <w:color w:val="000000"/>
        </w:rPr>
        <w:t>4</w:t>
      </w:r>
      <w:r w:rsidRPr="00114D93">
        <w:rPr>
          <w:rFonts w:ascii="Minion Pro" w:hAnsi="Minion Pro"/>
          <w:color w:val="000000"/>
        </w:rPr>
        <w:t>. mijenja se i glasi</w:t>
      </w:r>
      <w:r>
        <w:rPr>
          <w:rFonts w:ascii="Minion Pro" w:hAnsi="Minion Pro"/>
          <w:color w:val="000000"/>
        </w:rPr>
        <w:t>:</w:t>
      </w:r>
    </w:p>
    <w:p w14:paraId="231F61AC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 xml:space="preserve">(1) Naknada za mineralne sirovine iz članka 3. točaka 1. </w:t>
      </w:r>
      <w:r w:rsidR="00F20170">
        <w:rPr>
          <w:rFonts w:ascii="Minion Pro" w:hAnsi="Minion Pro"/>
          <w:color w:val="000000"/>
        </w:rPr>
        <w:t>do</w:t>
      </w:r>
      <w:r>
        <w:rPr>
          <w:rFonts w:ascii="Minion Pro" w:hAnsi="Minion Pro"/>
          <w:color w:val="000000"/>
        </w:rPr>
        <w:t xml:space="preserve"> </w:t>
      </w:r>
      <w:r w:rsidRPr="00114D93">
        <w:rPr>
          <w:rFonts w:ascii="Minion Pro" w:hAnsi="Minion Pro"/>
          <w:color w:val="000000"/>
        </w:rPr>
        <w:t>5. ove Uredbe, sastoji se od sljedećih elemenata:</w:t>
      </w:r>
    </w:p>
    <w:p w14:paraId="05F2C068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1. fiksnog dijela – novčane naknade za površinu eksploatacijskog polja određenu upisom u registar eksploatacijskih polja mineralnih sirovina</w:t>
      </w:r>
    </w:p>
    <w:p w14:paraId="4CCBFCBE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2. varijabilnog dijela – novčane naknade za otkopanu/pridobivenu količinu mineralne sirovine.</w:t>
      </w:r>
    </w:p>
    <w:p w14:paraId="48ABF03F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114D93">
        <w:rPr>
          <w:rFonts w:ascii="Minion Pro" w:hAnsi="Minion Pro"/>
          <w:color w:val="000000"/>
        </w:rPr>
        <w:t>(2) Ukupna naknada iz stavka 1. ovoga članka jednaka je zbroju elemenata naknade iz stavka 1. točaka 1. i 2. ovoga članka.</w:t>
      </w:r>
    </w:p>
    <w:p w14:paraId="072C77F5" w14:textId="77777777" w:rsidR="007A2CAF" w:rsidRDefault="007A2CAF" w:rsidP="007A2CAF">
      <w:pPr>
        <w:jc w:val="both"/>
        <w:textAlignment w:val="baseline"/>
        <w:rPr>
          <w:color w:val="231F20"/>
        </w:rPr>
      </w:pPr>
      <w:r w:rsidRPr="00114D93">
        <w:rPr>
          <w:rFonts w:ascii="Minion Pro" w:hAnsi="Minion Pro"/>
          <w:color w:val="000000"/>
        </w:rPr>
        <w:t xml:space="preserve">(3) Naknada za mineralne sirovine iz članka 3. točke </w:t>
      </w:r>
      <w:r>
        <w:rPr>
          <w:rFonts w:ascii="Minion Pro" w:hAnsi="Minion Pro"/>
          <w:color w:val="000000"/>
        </w:rPr>
        <w:t>6. ove Uredbe, sastoji se samo od</w:t>
      </w:r>
      <w:r w:rsidRPr="00114D93">
        <w:rPr>
          <w:rFonts w:ascii="Minion Pro" w:hAnsi="Minion Pro"/>
          <w:color w:val="000000"/>
        </w:rPr>
        <w:t xml:space="preserve"> varijabilnog dijela – novčane naknade za </w:t>
      </w:r>
      <w:r>
        <w:rPr>
          <w:rFonts w:ascii="Minion Pro" w:hAnsi="Minion Pro"/>
          <w:color w:val="000000"/>
        </w:rPr>
        <w:t>otkopanu/</w:t>
      </w:r>
      <w:r w:rsidRPr="00114D93">
        <w:rPr>
          <w:rFonts w:ascii="Minion Pro" w:hAnsi="Minion Pro"/>
          <w:color w:val="000000"/>
        </w:rPr>
        <w:t>pridobivenu količinu mineralne sirovine.</w:t>
      </w:r>
      <w:r>
        <w:rPr>
          <w:color w:val="231F20"/>
        </w:rPr>
        <w:t>«</w:t>
      </w:r>
      <w:r w:rsidR="00F20170">
        <w:rPr>
          <w:color w:val="231F20"/>
        </w:rPr>
        <w:t>.</w:t>
      </w:r>
    </w:p>
    <w:p w14:paraId="5002A807" w14:textId="77777777" w:rsidR="00E36DDA" w:rsidRDefault="00E36DDA" w:rsidP="00CD141E"/>
    <w:p w14:paraId="10F4ECF6" w14:textId="77777777" w:rsidR="00CD141E" w:rsidRDefault="00CD141E" w:rsidP="00CD141E">
      <w:pPr>
        <w:spacing w:after="120"/>
        <w:jc w:val="center"/>
      </w:pPr>
      <w:r w:rsidRPr="00223219">
        <w:t>Članak 3.</w:t>
      </w:r>
    </w:p>
    <w:p w14:paraId="1F3359BC" w14:textId="77777777" w:rsidR="007A2CAF" w:rsidRDefault="007A2CAF" w:rsidP="007A2CAF">
      <w:pPr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U članku 5. stavak 2. briše se.</w:t>
      </w:r>
    </w:p>
    <w:p w14:paraId="100635E6" w14:textId="77777777" w:rsidR="00CD141E" w:rsidRDefault="00CD141E" w:rsidP="00CD141E"/>
    <w:p w14:paraId="594E7FA9" w14:textId="77777777" w:rsidR="00CD141E" w:rsidRDefault="00CD141E" w:rsidP="00CD141E">
      <w:pPr>
        <w:spacing w:after="120"/>
        <w:jc w:val="center"/>
      </w:pPr>
      <w:r w:rsidRPr="00223219">
        <w:t xml:space="preserve">Članak </w:t>
      </w:r>
      <w:r>
        <w:t>4</w:t>
      </w:r>
      <w:r w:rsidRPr="00223219">
        <w:t>.</w:t>
      </w:r>
    </w:p>
    <w:p w14:paraId="33845EB2" w14:textId="77777777" w:rsidR="007A2CAF" w:rsidRDefault="007A2CAF" w:rsidP="007A2CAF">
      <w:pPr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U članku 6. stavcima 1. i 2. riječi: </w:t>
      </w:r>
      <w:r>
        <w:rPr>
          <w:color w:val="231F20"/>
          <w:shd w:val="clear" w:color="auto" w:fill="FFFFFF"/>
        </w:rPr>
        <w:t>»</w:t>
      </w:r>
      <w:r w:rsidRPr="00C97A9F">
        <w:rPr>
          <w:rFonts w:ascii="Minion Pro" w:hAnsi="Minion Pro"/>
          <w:color w:val="000000"/>
        </w:rPr>
        <w:t>stavaka 1. i 2.</w:t>
      </w:r>
      <w:r>
        <w:rPr>
          <w:color w:val="231F20"/>
        </w:rPr>
        <w:t>«</w:t>
      </w:r>
      <w:r w:rsidR="00F20170">
        <w:rPr>
          <w:color w:val="231F20"/>
        </w:rPr>
        <w:t xml:space="preserve"> brišu se</w:t>
      </w:r>
      <w:r>
        <w:rPr>
          <w:rFonts w:ascii="Minion Pro" w:hAnsi="Minion Pro"/>
          <w:color w:val="000000"/>
        </w:rPr>
        <w:t>.</w:t>
      </w:r>
    </w:p>
    <w:p w14:paraId="7831A681" w14:textId="77777777" w:rsidR="00CD141E" w:rsidRDefault="00CD141E" w:rsidP="00CD141E"/>
    <w:p w14:paraId="23CDACE2" w14:textId="77777777" w:rsidR="00CD141E" w:rsidRDefault="00CD141E" w:rsidP="00CD141E">
      <w:pPr>
        <w:spacing w:after="120"/>
        <w:jc w:val="center"/>
      </w:pPr>
      <w:r w:rsidRPr="006B5015">
        <w:t>Članak 5.</w:t>
      </w:r>
    </w:p>
    <w:p w14:paraId="246E240F" w14:textId="77777777" w:rsidR="007A2CAF" w:rsidRDefault="007A2CAF" w:rsidP="007A2CAF">
      <w:pPr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U članku 7. stavcima 1. </w:t>
      </w:r>
      <w:r w:rsidR="00F20170">
        <w:rPr>
          <w:rFonts w:ascii="Minion Pro" w:hAnsi="Minion Pro"/>
          <w:color w:val="000000"/>
        </w:rPr>
        <w:t>do</w:t>
      </w:r>
      <w:r>
        <w:rPr>
          <w:rFonts w:ascii="Minion Pro" w:hAnsi="Minion Pro"/>
          <w:color w:val="000000"/>
        </w:rPr>
        <w:t xml:space="preserve"> 4. riječi: </w:t>
      </w:r>
      <w:r>
        <w:rPr>
          <w:color w:val="231F20"/>
          <w:shd w:val="clear" w:color="auto" w:fill="FFFFFF"/>
        </w:rPr>
        <w:t>»</w:t>
      </w:r>
      <w:r w:rsidRPr="00C97A9F">
        <w:rPr>
          <w:rFonts w:ascii="Minion Pro" w:hAnsi="Minion Pro"/>
          <w:color w:val="000000"/>
        </w:rPr>
        <w:t>stavaka 1. i 2.</w:t>
      </w:r>
      <w:r>
        <w:rPr>
          <w:color w:val="231F20"/>
        </w:rPr>
        <w:t>«</w:t>
      </w:r>
      <w:r w:rsidR="00F20170">
        <w:rPr>
          <w:color w:val="231F20"/>
        </w:rPr>
        <w:t xml:space="preserve"> brišu se</w:t>
      </w:r>
      <w:r>
        <w:rPr>
          <w:rFonts w:ascii="Minion Pro" w:hAnsi="Minion Pro"/>
          <w:color w:val="000000"/>
        </w:rPr>
        <w:t>.</w:t>
      </w:r>
    </w:p>
    <w:p w14:paraId="306A11A4" w14:textId="77777777" w:rsidR="00CD141E" w:rsidRPr="001F300D" w:rsidRDefault="00CD141E" w:rsidP="00CD141E"/>
    <w:p w14:paraId="70339146" w14:textId="77777777" w:rsidR="00CD141E" w:rsidRPr="001F300D" w:rsidRDefault="00CD141E" w:rsidP="00CD141E">
      <w:pPr>
        <w:spacing w:after="120"/>
        <w:jc w:val="center"/>
      </w:pPr>
      <w:r w:rsidRPr="001F300D">
        <w:t>Članak 6.</w:t>
      </w:r>
    </w:p>
    <w:p w14:paraId="05591C53" w14:textId="77777777" w:rsidR="007A2CAF" w:rsidRPr="00114D93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U č</w:t>
      </w:r>
      <w:r w:rsidRPr="00114D93">
        <w:rPr>
          <w:rFonts w:ascii="Minion Pro" w:hAnsi="Minion Pro"/>
          <w:color w:val="000000"/>
        </w:rPr>
        <w:t>lank</w:t>
      </w:r>
      <w:r>
        <w:rPr>
          <w:rFonts w:ascii="Minion Pro" w:hAnsi="Minion Pro"/>
          <w:color w:val="000000"/>
        </w:rPr>
        <w:t>u</w:t>
      </w:r>
      <w:r w:rsidRPr="00114D93">
        <w:rPr>
          <w:rFonts w:ascii="Minion Pro" w:hAnsi="Minion Pro"/>
          <w:color w:val="000000"/>
        </w:rPr>
        <w:t xml:space="preserve"> </w:t>
      </w:r>
      <w:r>
        <w:rPr>
          <w:rFonts w:ascii="Minion Pro" w:hAnsi="Minion Pro"/>
          <w:color w:val="000000"/>
        </w:rPr>
        <w:t>8</w:t>
      </w:r>
      <w:r w:rsidRPr="00114D93">
        <w:rPr>
          <w:rFonts w:ascii="Minion Pro" w:hAnsi="Minion Pro"/>
          <w:color w:val="000000"/>
        </w:rPr>
        <w:t xml:space="preserve">. </w:t>
      </w:r>
      <w:r>
        <w:rPr>
          <w:rFonts w:ascii="Minion Pro" w:hAnsi="Minion Pro"/>
          <w:color w:val="000000"/>
        </w:rPr>
        <w:t xml:space="preserve">stavak 2. </w:t>
      </w:r>
      <w:r w:rsidRPr="00114D93">
        <w:rPr>
          <w:rFonts w:ascii="Minion Pro" w:hAnsi="Minion Pro"/>
          <w:color w:val="000000"/>
        </w:rPr>
        <w:t>mijenja se i glasi</w:t>
      </w:r>
      <w:r>
        <w:rPr>
          <w:rFonts w:ascii="Minion Pro" w:hAnsi="Minion Pro"/>
          <w:color w:val="000000"/>
        </w:rPr>
        <w:t>:</w:t>
      </w:r>
    </w:p>
    <w:p w14:paraId="46A05339" w14:textId="77777777" w:rsidR="007A2CAF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>
        <w:rPr>
          <w:color w:val="231F20"/>
          <w:shd w:val="clear" w:color="auto" w:fill="FFFFFF"/>
        </w:rPr>
        <w:t>»</w:t>
      </w:r>
      <w:r w:rsidRPr="00114D93">
        <w:rPr>
          <w:rFonts w:ascii="Minion Pro" w:hAnsi="Minion Pro"/>
          <w:color w:val="000000"/>
        </w:rPr>
        <w:t xml:space="preserve">(2) </w:t>
      </w:r>
      <w:r w:rsidRPr="00B051AD">
        <w:rPr>
          <w:rFonts w:ascii="Minion Pro" w:hAnsi="Minion Pro"/>
          <w:color w:val="000000"/>
        </w:rPr>
        <w:t xml:space="preserve">Ovlaštenik eksploatacijskog polja mineralnih sirovina </w:t>
      </w:r>
      <w:r w:rsidRPr="00114D93">
        <w:rPr>
          <w:rFonts w:ascii="Minion Pro" w:hAnsi="Minion Pro"/>
          <w:color w:val="000000"/>
        </w:rPr>
        <w:t xml:space="preserve">dužan je zatražiti izuzeće od plaćanja fiksnog dijela naknade iz članka 4. stavka 1. točke 1. ove Uredbe najkasnije </w:t>
      </w:r>
      <w:r w:rsidR="00F20170">
        <w:rPr>
          <w:rFonts w:ascii="Minion Pro" w:hAnsi="Minion Pro"/>
          <w:color w:val="000000"/>
        </w:rPr>
        <w:t>30</w:t>
      </w:r>
      <w:r w:rsidR="00F20170" w:rsidRPr="00114D93">
        <w:rPr>
          <w:rFonts w:ascii="Minion Pro" w:hAnsi="Minion Pro"/>
          <w:color w:val="000000"/>
        </w:rPr>
        <w:t xml:space="preserve"> </w:t>
      </w:r>
      <w:r w:rsidRPr="00114D93">
        <w:rPr>
          <w:rFonts w:ascii="Minion Pro" w:hAnsi="Minion Pro"/>
          <w:color w:val="000000"/>
        </w:rPr>
        <w:t>dana prije kraja četvrtog kvartala i dostaviti ministarstvu nadležnom za rudarstvo, dokaznice za površinu odobrenog eksploatacijskog polja mineralnih sirovina koja nije predviđena važećom prostorno-planskom dokumentacijom jedinica područne (regionalne) samouprave i/ili jedinica lokalne samouprave.</w:t>
      </w:r>
      <w:r>
        <w:rPr>
          <w:color w:val="231F20"/>
        </w:rPr>
        <w:t>«</w:t>
      </w:r>
      <w:r w:rsidR="00F20170">
        <w:rPr>
          <w:color w:val="231F20"/>
        </w:rPr>
        <w:t>.</w:t>
      </w:r>
    </w:p>
    <w:p w14:paraId="0FA59EF5" w14:textId="77777777" w:rsidR="007A2CAF" w:rsidRDefault="007A2CAF" w:rsidP="007A2CAF">
      <w:pPr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Stavak 3. briše se.</w:t>
      </w:r>
    </w:p>
    <w:p w14:paraId="5FCFCA09" w14:textId="77777777" w:rsidR="00CD141E" w:rsidRDefault="00CD141E" w:rsidP="00CD141E"/>
    <w:p w14:paraId="41869B7A" w14:textId="77777777" w:rsidR="00CD141E" w:rsidRDefault="00CD141E" w:rsidP="00CD141E">
      <w:pPr>
        <w:spacing w:after="120"/>
        <w:jc w:val="center"/>
      </w:pPr>
      <w:r w:rsidRPr="00461D8B">
        <w:t>Članak 7.</w:t>
      </w:r>
    </w:p>
    <w:p w14:paraId="640779D9" w14:textId="77777777" w:rsidR="007A2CAF" w:rsidRPr="00C05164" w:rsidRDefault="007A2CAF" w:rsidP="007A2CAF">
      <w:pPr>
        <w:spacing w:after="120"/>
        <w:jc w:val="both"/>
        <w:textAlignment w:val="baseline"/>
        <w:rPr>
          <w:rFonts w:ascii="Minion Pro" w:hAnsi="Minion Pro"/>
          <w:color w:val="000000"/>
        </w:rPr>
      </w:pPr>
      <w:r w:rsidRPr="00C05164">
        <w:rPr>
          <w:rFonts w:ascii="Minion Pro" w:hAnsi="Minion Pro"/>
          <w:color w:val="000000"/>
        </w:rPr>
        <w:t xml:space="preserve">U </w:t>
      </w:r>
      <w:r w:rsidR="00F20170">
        <w:rPr>
          <w:rFonts w:ascii="Minion Pro" w:hAnsi="Minion Pro"/>
          <w:color w:val="000000"/>
        </w:rPr>
        <w:t>č</w:t>
      </w:r>
      <w:r w:rsidR="00F20170" w:rsidRPr="00C05164">
        <w:rPr>
          <w:rFonts w:ascii="Minion Pro" w:hAnsi="Minion Pro"/>
          <w:color w:val="000000"/>
        </w:rPr>
        <w:t xml:space="preserve">lanku </w:t>
      </w:r>
      <w:r w:rsidRPr="00C05164">
        <w:rPr>
          <w:rFonts w:ascii="Minion Pro" w:hAnsi="Minion Pro"/>
          <w:color w:val="000000"/>
        </w:rPr>
        <w:t xml:space="preserve">10. </w:t>
      </w:r>
      <w:r w:rsidR="00F20170">
        <w:rPr>
          <w:rFonts w:ascii="Minion Pro" w:hAnsi="Minion Pro"/>
          <w:color w:val="000000"/>
        </w:rPr>
        <w:t xml:space="preserve">iza stavka 4. </w:t>
      </w:r>
      <w:r w:rsidRPr="00C05164">
        <w:rPr>
          <w:rFonts w:ascii="Minion Pro" w:hAnsi="Minion Pro"/>
          <w:color w:val="000000"/>
        </w:rPr>
        <w:t>dodaje se stavak 5. koji glasi:</w:t>
      </w:r>
    </w:p>
    <w:p w14:paraId="0DDA7491" w14:textId="77777777" w:rsidR="007A2CAF" w:rsidRPr="00513C72" w:rsidRDefault="007A2CAF" w:rsidP="007A2CAF">
      <w:pPr>
        <w:spacing w:after="120"/>
        <w:jc w:val="both"/>
        <w:textAlignment w:val="baseline"/>
      </w:pPr>
      <w:r w:rsidRPr="00C05164">
        <w:rPr>
          <w:shd w:val="clear" w:color="auto" w:fill="FFFFFF"/>
        </w:rPr>
        <w:t>»</w:t>
      </w:r>
      <w:r w:rsidRPr="00C05164">
        <w:t xml:space="preserve">(5) Iznimno od </w:t>
      </w:r>
      <w:r w:rsidR="00F20170" w:rsidRPr="00C05164">
        <w:t>odredb</w:t>
      </w:r>
      <w:r w:rsidR="00F20170">
        <w:t>e</w:t>
      </w:r>
      <w:r w:rsidR="00F20170" w:rsidRPr="00C05164">
        <w:t xml:space="preserve"> </w:t>
      </w:r>
      <w:r w:rsidRPr="00C05164">
        <w:t>stavka 4. ovoga članka rudarski gospodarski subjekti se oslobađaju plaćanja varijabilnog dijela naknade za otkopanu/pridobivenu količinu mineralne sirovine za I., II. III. i IV. kvartal 2020. godine.«</w:t>
      </w:r>
      <w:r w:rsidR="00F20170">
        <w:t>.</w:t>
      </w:r>
    </w:p>
    <w:p w14:paraId="10B6A663" w14:textId="77777777" w:rsidR="00CD141E" w:rsidRDefault="00CD141E" w:rsidP="00CD141E"/>
    <w:p w14:paraId="4A19D0EC" w14:textId="77777777" w:rsidR="00CD141E" w:rsidRDefault="00CD141E" w:rsidP="00CD141E">
      <w:pPr>
        <w:spacing w:after="120"/>
        <w:jc w:val="center"/>
      </w:pPr>
      <w:r w:rsidRPr="00461D8B">
        <w:t xml:space="preserve">Članak </w:t>
      </w:r>
      <w:r>
        <w:t>8</w:t>
      </w:r>
      <w:r w:rsidRPr="00461D8B">
        <w:t>.</w:t>
      </w:r>
    </w:p>
    <w:p w14:paraId="5B70C6F9" w14:textId="77777777" w:rsidR="007A2CAF" w:rsidRPr="00011CEA" w:rsidRDefault="007A2CAF" w:rsidP="007A2CAF">
      <w:pPr>
        <w:jc w:val="both"/>
        <w:textAlignment w:val="baseline"/>
        <w:rPr>
          <w:rFonts w:ascii="Minion Pro" w:hAnsi="Minion Pro"/>
          <w:color w:val="000000"/>
        </w:rPr>
      </w:pPr>
      <w:r w:rsidRPr="00C653B6">
        <w:rPr>
          <w:rFonts w:ascii="Minion Pro" w:hAnsi="Minion Pro"/>
          <w:color w:val="000000"/>
        </w:rPr>
        <w:t xml:space="preserve">Ova Uredba stupa na snagu </w:t>
      </w:r>
      <w:r w:rsidR="000F6B76">
        <w:rPr>
          <w:rFonts w:ascii="Minion Pro" w:hAnsi="Minion Pro"/>
          <w:color w:val="000000"/>
        </w:rPr>
        <w:t>prvog dana</w:t>
      </w:r>
      <w:r w:rsidRPr="00C653B6">
        <w:rPr>
          <w:rFonts w:ascii="Minion Pro" w:hAnsi="Minion Pro"/>
          <w:color w:val="000000"/>
        </w:rPr>
        <w:t xml:space="preserve"> od da</w:t>
      </w:r>
      <w:r>
        <w:rPr>
          <w:rFonts w:ascii="Minion Pro" w:hAnsi="Minion Pro"/>
          <w:color w:val="000000"/>
        </w:rPr>
        <w:t>na objave u Narodnim novinama</w:t>
      </w:r>
      <w:r w:rsidRPr="00011CEA">
        <w:rPr>
          <w:rFonts w:ascii="Minion Pro" w:hAnsi="Minion Pro"/>
          <w:color w:val="000000"/>
        </w:rPr>
        <w:t>.</w:t>
      </w:r>
    </w:p>
    <w:p w14:paraId="108E251D" w14:textId="77777777" w:rsidR="00CD141E" w:rsidRDefault="00CD141E" w:rsidP="00CD141E">
      <w:pPr>
        <w:jc w:val="both"/>
      </w:pPr>
    </w:p>
    <w:p w14:paraId="3832772B" w14:textId="77777777" w:rsidR="00CD141E" w:rsidRDefault="00CD141E" w:rsidP="00CD141E"/>
    <w:p w14:paraId="031277DA" w14:textId="77777777" w:rsidR="00CD141E" w:rsidRDefault="00CD141E" w:rsidP="00CD141E"/>
    <w:p w14:paraId="768CA7C1" w14:textId="77777777" w:rsidR="00CD141E" w:rsidRDefault="00CD141E" w:rsidP="00CD141E">
      <w:r>
        <w:t xml:space="preserve">Klasa: </w:t>
      </w:r>
    </w:p>
    <w:p w14:paraId="0D0C94D9" w14:textId="77777777" w:rsidR="00CD141E" w:rsidRDefault="00CD141E" w:rsidP="00CD141E">
      <w:r>
        <w:t xml:space="preserve">Urbroj: </w:t>
      </w:r>
    </w:p>
    <w:p w14:paraId="36B70B72" w14:textId="77777777" w:rsidR="00CD141E" w:rsidRDefault="00CD141E" w:rsidP="00CD141E">
      <w:r>
        <w:t>Zagreb,</w:t>
      </w:r>
    </w:p>
    <w:p w14:paraId="273EDA40" w14:textId="77777777" w:rsidR="00CD141E" w:rsidRDefault="00CD141E" w:rsidP="00CD141E"/>
    <w:p w14:paraId="314787D1" w14:textId="77777777" w:rsidR="00CD141E" w:rsidRDefault="00CD141E" w:rsidP="00CD141E">
      <w:pPr>
        <w:ind w:left="4536"/>
        <w:jc w:val="center"/>
      </w:pPr>
      <w:r>
        <w:t>Predsjednik</w:t>
      </w:r>
    </w:p>
    <w:p w14:paraId="20322A1B" w14:textId="77777777" w:rsidR="00CD141E" w:rsidRDefault="00987EF5" w:rsidP="00CD141E">
      <w:pPr>
        <w:ind w:left="4536"/>
        <w:jc w:val="center"/>
      </w:pPr>
      <w:r>
        <w:t>mr</w:t>
      </w:r>
      <w:r w:rsidR="00CD141E">
        <w:t>.sc. Andrej Plenković</w:t>
      </w:r>
    </w:p>
    <w:p w14:paraId="3F8604BB" w14:textId="77777777" w:rsidR="007A2CAF" w:rsidRDefault="007A2CAF">
      <w:r>
        <w:br w:type="page"/>
      </w:r>
    </w:p>
    <w:p w14:paraId="1370593F" w14:textId="77777777" w:rsidR="001A5064" w:rsidRDefault="001A5064" w:rsidP="001A5064">
      <w:pPr>
        <w:spacing w:before="100" w:beforeAutospacing="1" w:after="225" w:line="336" w:lineRule="atLeas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OBRAZLOŽENJE </w:t>
      </w:r>
    </w:p>
    <w:p w14:paraId="581C7B29" w14:textId="77777777" w:rsidR="007A2CAF" w:rsidRPr="007A2CAF" w:rsidRDefault="001A5064" w:rsidP="00FD015E">
      <w:pPr>
        <w:spacing w:before="100" w:beforeAutospacing="1" w:line="336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PRIJEDLOGA </w:t>
      </w:r>
      <w:r w:rsidR="007A2CAF" w:rsidRPr="007A2CAF">
        <w:rPr>
          <w:b/>
          <w:color w:val="000000"/>
        </w:rPr>
        <w:t>O IZMJENAMA I DOPUNI UREDBE</w:t>
      </w:r>
    </w:p>
    <w:p w14:paraId="57ADB35A" w14:textId="77777777" w:rsidR="001A5064" w:rsidRPr="00257288" w:rsidRDefault="007A2CAF" w:rsidP="007A2CAF">
      <w:pPr>
        <w:spacing w:before="100" w:beforeAutospacing="1" w:after="225" w:line="336" w:lineRule="atLeast"/>
        <w:jc w:val="center"/>
        <w:rPr>
          <w:b/>
          <w:color w:val="000000"/>
        </w:rPr>
      </w:pPr>
      <w:r w:rsidRPr="007A2CAF">
        <w:rPr>
          <w:b/>
          <w:color w:val="000000"/>
        </w:rPr>
        <w:t>O NAKNADI ZA KONCESIJU ZA EKSPLOATACIJU MINERALNIH SIROVINA</w:t>
      </w:r>
    </w:p>
    <w:p w14:paraId="3DC66D45" w14:textId="77777777" w:rsidR="007A2CAF" w:rsidRDefault="007A2CAF" w:rsidP="007A2CAF">
      <w:pPr>
        <w:spacing w:after="120"/>
        <w:ind w:firstLine="567"/>
        <w:jc w:val="both"/>
        <w:rPr>
          <w:color w:val="000000"/>
        </w:rPr>
      </w:pPr>
      <w:r w:rsidRPr="00855E68">
        <w:rPr>
          <w:color w:val="000000"/>
        </w:rPr>
        <w:t>Na temelju članka 77. stavaka 2. i 6. Zakona o rudarstvu (Narodne novine, br. 56/13</w:t>
      </w:r>
      <w:r>
        <w:rPr>
          <w:color w:val="000000"/>
        </w:rPr>
        <w:t>.</w:t>
      </w:r>
      <w:r w:rsidRPr="00855E68">
        <w:rPr>
          <w:color w:val="000000"/>
        </w:rPr>
        <w:t>, 14/14</w:t>
      </w:r>
      <w:r>
        <w:rPr>
          <w:color w:val="000000"/>
        </w:rPr>
        <w:t>.</w:t>
      </w:r>
      <w:r w:rsidRPr="00855E68">
        <w:rPr>
          <w:color w:val="000000"/>
        </w:rPr>
        <w:t>, 52/18</w:t>
      </w:r>
      <w:r>
        <w:rPr>
          <w:color w:val="000000"/>
        </w:rPr>
        <w:t>.</w:t>
      </w:r>
      <w:r w:rsidRPr="00855E68">
        <w:rPr>
          <w:color w:val="000000"/>
        </w:rPr>
        <w:t>, 115/18</w:t>
      </w:r>
      <w:r>
        <w:rPr>
          <w:color w:val="000000"/>
        </w:rPr>
        <w:t>.</w:t>
      </w:r>
      <w:r w:rsidRPr="00855E68">
        <w:rPr>
          <w:color w:val="000000"/>
        </w:rPr>
        <w:t xml:space="preserve"> i 98/19</w:t>
      </w:r>
      <w:r>
        <w:rPr>
          <w:color w:val="000000"/>
        </w:rPr>
        <w:t>.</w:t>
      </w:r>
      <w:r w:rsidRPr="00855E68">
        <w:rPr>
          <w:color w:val="000000"/>
        </w:rPr>
        <w:t>) Vlada Republike Hrvatske donijela je Uredbu o naknadi za koncesiju za eksploataciju mineralnih sirovina (Narodne novine, br. 31/14</w:t>
      </w:r>
      <w:r>
        <w:rPr>
          <w:color w:val="000000"/>
        </w:rPr>
        <w:t>.</w:t>
      </w:r>
      <w:r w:rsidRPr="00855E68">
        <w:rPr>
          <w:color w:val="000000"/>
        </w:rPr>
        <w:t>).</w:t>
      </w:r>
    </w:p>
    <w:p w14:paraId="005AC74A" w14:textId="77777777" w:rsidR="00BF36A5" w:rsidRDefault="00BF36A5" w:rsidP="00BF36A5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Sukladno novo nastaloj situaciji, prijedlogom Uredbe, predviđeno je </w:t>
      </w:r>
      <w:r w:rsidRPr="00AA549C">
        <w:rPr>
          <w:color w:val="000000"/>
        </w:rPr>
        <w:t>oslobađanje od plaćanja varijabilnog dijela – novčane naknade za otkopanu/pridobivenu količinu mineralne sirovine, za razdoblje od 1.1. do 31.12.2020. godine, u cilju pomoći gospodarstvu uslijed epidemije koronavirusa.</w:t>
      </w:r>
    </w:p>
    <w:p w14:paraId="359BFF7B" w14:textId="77777777" w:rsidR="006F5951" w:rsidRDefault="006F5951" w:rsidP="00BF36A5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V</w:t>
      </w:r>
      <w:r w:rsidRPr="00AA549C">
        <w:rPr>
          <w:color w:val="000000"/>
        </w:rPr>
        <w:t>arijabiln</w:t>
      </w:r>
      <w:r>
        <w:rPr>
          <w:color w:val="000000"/>
        </w:rPr>
        <w:t>i</w:t>
      </w:r>
      <w:r w:rsidRPr="00AA549C">
        <w:rPr>
          <w:color w:val="000000"/>
        </w:rPr>
        <w:t xml:space="preserve"> </w:t>
      </w:r>
      <w:r>
        <w:rPr>
          <w:color w:val="000000"/>
        </w:rPr>
        <w:t>dio</w:t>
      </w:r>
      <w:r w:rsidRPr="00AA549C">
        <w:rPr>
          <w:color w:val="000000"/>
        </w:rPr>
        <w:t xml:space="preserve"> – novčane naknade za otkopanu/pridobivenu količinu mineralne sirovine, za razdoblje od 1.1. do 31.12.2020. godine</w:t>
      </w:r>
      <w:r>
        <w:rPr>
          <w:color w:val="000000"/>
        </w:rPr>
        <w:t>, plaća se kvartalno, odnosno obveza plaćanja novčane naknade za I. kvartal 2020. godine proizlazi sa datumom 15. travnja 2020. godine.</w:t>
      </w:r>
    </w:p>
    <w:p w14:paraId="3CA4E1DC" w14:textId="77777777" w:rsidR="00B5602C" w:rsidRDefault="00BF36A5" w:rsidP="00BF36A5">
      <w:pPr>
        <w:spacing w:after="120"/>
        <w:ind w:firstLine="567"/>
        <w:jc w:val="both"/>
        <w:rPr>
          <w:color w:val="000000"/>
        </w:rPr>
      </w:pPr>
      <w:r>
        <w:t xml:space="preserve">Donošenjem predložene Uredbe prihod </w:t>
      </w:r>
      <w:r w:rsidR="00E36DDA">
        <w:t xml:space="preserve">od </w:t>
      </w:r>
      <w:r w:rsidR="00E36DDA" w:rsidRPr="00114D93">
        <w:rPr>
          <w:color w:val="231F20"/>
        </w:rPr>
        <w:t>naknad</w:t>
      </w:r>
      <w:r w:rsidR="00E36DDA">
        <w:rPr>
          <w:color w:val="231F20"/>
        </w:rPr>
        <w:t>e</w:t>
      </w:r>
      <w:r w:rsidR="00E36DDA" w:rsidRPr="00114D93">
        <w:rPr>
          <w:color w:val="231F20"/>
        </w:rPr>
        <w:t xml:space="preserve"> za koncesiju za eksploataciju mineralnih sirovina</w:t>
      </w:r>
      <w:r w:rsidR="00FF6D0F">
        <w:rPr>
          <w:color w:val="231F20"/>
        </w:rPr>
        <w:t xml:space="preserve"> </w:t>
      </w:r>
      <w:r w:rsidR="00E36DDA">
        <w:rPr>
          <w:color w:val="000000"/>
        </w:rPr>
        <w:t xml:space="preserve">s osnova varijabilnog dijela - </w:t>
      </w:r>
      <w:r w:rsidR="00E36DDA" w:rsidRPr="00AA549C">
        <w:rPr>
          <w:color w:val="000000"/>
        </w:rPr>
        <w:t>novčane naknade za otkopanu/pridobivenu količinu mineralne sirovine za razdoblje od 1.1. do 31.12.2020. godine</w:t>
      </w:r>
      <w:r w:rsidR="00E36DDA">
        <w:rPr>
          <w:color w:val="000000"/>
        </w:rPr>
        <w:t xml:space="preserve"> bio bi manji za približno</w:t>
      </w:r>
      <w:r w:rsidR="00FF6D0F">
        <w:rPr>
          <w:color w:val="000000"/>
        </w:rPr>
        <w:t xml:space="preserve"> </w:t>
      </w:r>
      <w:r w:rsidR="00E36DDA">
        <w:rPr>
          <w:color w:val="000000"/>
        </w:rPr>
        <w:t>30 000 000,00 kuna.</w:t>
      </w:r>
    </w:p>
    <w:p w14:paraId="1C79846C" w14:textId="77777777" w:rsidR="0093122C" w:rsidRDefault="0093122C" w:rsidP="00BF36A5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Budući se varijabilni dio - </w:t>
      </w:r>
      <w:r w:rsidRPr="00AA549C">
        <w:rPr>
          <w:color w:val="000000"/>
        </w:rPr>
        <w:t>novčane naknade za otkopanu/pridobivenu količinu mineralne sirovine</w:t>
      </w:r>
      <w:r>
        <w:rPr>
          <w:color w:val="000000"/>
        </w:rPr>
        <w:t xml:space="preserve"> dijeli kako slijedi:</w:t>
      </w:r>
    </w:p>
    <w:p w14:paraId="7CD9F25B" w14:textId="77777777" w:rsidR="0093122C" w:rsidRDefault="0093122C" w:rsidP="00BF36A5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50 % prihod Državnog proračuna Republike Hrvatske</w:t>
      </w:r>
      <w:r w:rsidR="00FF6D0F">
        <w:rPr>
          <w:color w:val="000000"/>
        </w:rPr>
        <w:t>,</w:t>
      </w:r>
    </w:p>
    <w:p w14:paraId="50338611" w14:textId="77777777" w:rsidR="0093122C" w:rsidRDefault="0093122C" w:rsidP="00BF36A5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20 % prihod jedinice područne (regionalne) samouprave na čijem područja se otkopava/pridobiva mineralna sirovina</w:t>
      </w:r>
      <w:r w:rsidR="00FF6D0F">
        <w:rPr>
          <w:color w:val="000000"/>
        </w:rPr>
        <w:t>,</w:t>
      </w:r>
    </w:p>
    <w:p w14:paraId="63AB2180" w14:textId="77777777" w:rsidR="0093122C" w:rsidRDefault="0093122C" w:rsidP="0093122C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30 % prihod jedinice lokalne samouprave na čijem područja se otkopava/pridobiva mineralna sirovina</w:t>
      </w:r>
      <w:r w:rsidR="00FF6D0F">
        <w:rPr>
          <w:color w:val="000000"/>
        </w:rPr>
        <w:t>,</w:t>
      </w:r>
    </w:p>
    <w:p w14:paraId="373117D9" w14:textId="77777777" w:rsidR="0093122C" w:rsidRDefault="0093122C" w:rsidP="0093122C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to znači da bi u 2020. godini Državni proračun Republike Hrvatske uprihodio </w:t>
      </w:r>
      <w:r w:rsidR="00FF6D0F">
        <w:rPr>
          <w:color w:val="000000"/>
        </w:rPr>
        <w:t xml:space="preserve">              </w:t>
      </w:r>
      <w:r>
        <w:rPr>
          <w:color w:val="000000"/>
        </w:rPr>
        <w:t xml:space="preserve">15 000 000,00 kuna manje, jedinice područne (regionalne) samouprave uprihodile bi </w:t>
      </w:r>
      <w:r w:rsidR="00FF6D0F">
        <w:rPr>
          <w:color w:val="000000"/>
        </w:rPr>
        <w:t xml:space="preserve">             </w:t>
      </w:r>
      <w:r>
        <w:rPr>
          <w:color w:val="000000"/>
        </w:rPr>
        <w:t>6 000 000,00 kuna manje, a jedinice lokalne samouprave uprihodile bi 9 000 000,00 kuna manje.</w:t>
      </w:r>
    </w:p>
    <w:p w14:paraId="716CAC55" w14:textId="77777777" w:rsidR="0093122C" w:rsidRDefault="00FF6D0F" w:rsidP="0093122C">
      <w:pPr>
        <w:spacing w:after="120"/>
        <w:ind w:firstLine="567"/>
        <w:jc w:val="both"/>
        <w:rPr>
          <w:color w:val="000000"/>
        </w:rPr>
      </w:pPr>
      <w:r>
        <w:t xml:space="preserve">Donošenjem predložene Uredbe prihod od </w:t>
      </w:r>
      <w:r w:rsidRPr="00114D93">
        <w:rPr>
          <w:color w:val="231F20"/>
        </w:rPr>
        <w:t>naknad</w:t>
      </w:r>
      <w:r>
        <w:rPr>
          <w:color w:val="231F20"/>
        </w:rPr>
        <w:t>e</w:t>
      </w:r>
      <w:r w:rsidRPr="00114D93">
        <w:rPr>
          <w:color w:val="231F20"/>
        </w:rPr>
        <w:t xml:space="preserve"> za koncesiju za eksploataciju mineralnih sirovina</w:t>
      </w:r>
      <w:r>
        <w:rPr>
          <w:color w:val="231F20"/>
        </w:rPr>
        <w:t xml:space="preserve"> </w:t>
      </w:r>
      <w:r>
        <w:rPr>
          <w:color w:val="000000"/>
        </w:rPr>
        <w:t xml:space="preserve">s </w:t>
      </w:r>
      <w:r w:rsidR="0093122C">
        <w:t>s osnova f</w:t>
      </w:r>
      <w:r w:rsidR="0093122C" w:rsidRPr="0093122C">
        <w:t>iksnog dijela – novčane naknade za površinu eksploatacijskog polja mineralnih sirovina – samo za građevni pijesak i šljunak iz morskog dna, sve vrste soli (morska sol) i solnih voda, mineralne vode iz kojih se mogu pridobivati mineralne sirovine, osim mineralnih voda koje se koriste u ljekovite, balneološke i rekreativne svrhe ili kao voda za ljudsku potrošnju i druge namjene, na koje se primjenjuju propisi o vodama</w:t>
      </w:r>
      <w:r w:rsidR="0093122C">
        <w:t xml:space="preserve"> </w:t>
      </w:r>
      <w:r>
        <w:rPr>
          <w:color w:val="000000"/>
        </w:rPr>
        <w:t>na godišnjoj razini</w:t>
      </w:r>
      <w:r w:rsidR="0093122C">
        <w:rPr>
          <w:color w:val="000000"/>
        </w:rPr>
        <w:t xml:space="preserve"> bio bi manji za približno 580 000,00 kuna. Napominjemo da ni do sada taj dio novčane naknade nije plaćan budući tri eksploatacijska polja morske soli i jedno eksploatacijsko polje </w:t>
      </w:r>
      <w:r w:rsidR="0093122C" w:rsidRPr="0093122C">
        <w:t>građevn</w:t>
      </w:r>
      <w:r w:rsidR="0093122C">
        <w:t>og</w:t>
      </w:r>
      <w:r w:rsidR="0093122C" w:rsidRPr="0093122C">
        <w:t xml:space="preserve"> pijesk</w:t>
      </w:r>
      <w:r w:rsidR="0093122C">
        <w:t>a i šljun</w:t>
      </w:r>
      <w:r w:rsidR="0093122C" w:rsidRPr="0093122C">
        <w:t>k</w:t>
      </w:r>
      <w:r w:rsidR="0093122C">
        <w:t>a</w:t>
      </w:r>
      <w:r w:rsidR="0093122C" w:rsidRPr="0093122C">
        <w:t xml:space="preserve"> iz morskog dna</w:t>
      </w:r>
      <w:r w:rsidR="0093122C">
        <w:t xml:space="preserve"> nisu </w:t>
      </w:r>
      <w:r>
        <w:t xml:space="preserve">bila </w:t>
      </w:r>
      <w:r w:rsidR="0093122C">
        <w:t xml:space="preserve">utvrđena u Registru eksploatacijskih polja mineralnih sirovina </w:t>
      </w:r>
      <w:r w:rsidR="002A42F3">
        <w:t>iz razloga što se na predmetnim eksploatacijskim poljima n</w:t>
      </w:r>
      <w:r>
        <w:t>e</w:t>
      </w:r>
      <w:r w:rsidR="002A42F3">
        <w:t xml:space="preserve"> utvrđuje </w:t>
      </w:r>
      <w:r>
        <w:t xml:space="preserve">istražnim rudarskim radovima </w:t>
      </w:r>
      <w:r w:rsidR="002A42F3">
        <w:t xml:space="preserve">količina i kakvoća rezervi mineralnih sirovina. Također ovaj prijedlog ide u cilju pomoći solanama u Republici Hrvatskoj koje posluju jako teško poradi uvoza jeftine i manje kvalitetne morske soli sa Mediterana, </w:t>
      </w:r>
      <w:r w:rsidR="002A42F3" w:rsidRPr="002A42F3">
        <w:t xml:space="preserve">a </w:t>
      </w:r>
      <w:r>
        <w:t xml:space="preserve">građevni šljunak i </w:t>
      </w:r>
      <w:r w:rsidR="002A42F3" w:rsidRPr="002A42F3">
        <w:t xml:space="preserve">pijesak </w:t>
      </w:r>
      <w:r w:rsidR="002A42F3">
        <w:t xml:space="preserve">iz morskog dna sa jedinog eksploatacijskog polja </w:t>
      </w:r>
      <w:r w:rsidR="002A42F3" w:rsidRPr="002A42F3">
        <w:t xml:space="preserve">isključivo </w:t>
      </w:r>
      <w:r>
        <w:t xml:space="preserve">se </w:t>
      </w:r>
      <w:r w:rsidR="002A42F3" w:rsidRPr="002A42F3">
        <w:t>koristi u pripremi za obnovu plaža.</w:t>
      </w:r>
    </w:p>
    <w:p w14:paraId="711C242C" w14:textId="77777777" w:rsidR="00E36DDA" w:rsidRDefault="00B5602C" w:rsidP="00BF36A5">
      <w:pPr>
        <w:spacing w:after="120"/>
        <w:ind w:firstLine="567"/>
        <w:jc w:val="both"/>
      </w:pPr>
      <w:r>
        <w:t xml:space="preserve">Donošenjem predložene Uredbe prihod od fiksnog dijela - </w:t>
      </w:r>
      <w:r w:rsidRPr="00114D93">
        <w:rPr>
          <w:rFonts w:ascii="Minion Pro" w:hAnsi="Minion Pro"/>
          <w:color w:val="000000"/>
        </w:rPr>
        <w:t xml:space="preserve">novčane naknade za površinu eksploatacijskog polja </w:t>
      </w:r>
      <w:r w:rsidR="002A42F3">
        <w:rPr>
          <w:rFonts w:ascii="Minion Pro" w:hAnsi="Minion Pro"/>
          <w:color w:val="000000"/>
        </w:rPr>
        <w:t xml:space="preserve">za sve ostale mineralne sirovine </w:t>
      </w:r>
      <w:r w:rsidRPr="00114D93">
        <w:rPr>
          <w:rFonts w:ascii="Minion Pro" w:hAnsi="Minion Pro"/>
          <w:color w:val="000000"/>
        </w:rPr>
        <w:t>određenu upisom u registar eksploatacijskih polja mineralnih sirovina</w:t>
      </w:r>
      <w:r>
        <w:t xml:space="preserve"> ostaje nepromijenjen.</w:t>
      </w:r>
    </w:p>
    <w:p w14:paraId="5FA4B062" w14:textId="77777777" w:rsidR="00B5602C" w:rsidRDefault="00BF36A5" w:rsidP="007A2CAF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Također p</w:t>
      </w:r>
      <w:r w:rsidR="007A2CAF" w:rsidRPr="00855E68">
        <w:rPr>
          <w:color w:val="000000"/>
        </w:rPr>
        <w:t>romjena u odnosu na važeću Uredbu, je činjenica</w:t>
      </w:r>
      <w:r w:rsidR="00B5602C">
        <w:rPr>
          <w:color w:val="000000"/>
        </w:rPr>
        <w:t>:</w:t>
      </w:r>
    </w:p>
    <w:p w14:paraId="4C0F77F1" w14:textId="77777777" w:rsidR="00B5602C" w:rsidRDefault="00B5602C" w:rsidP="007A2CAF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7A2CAF" w:rsidRPr="00855E68">
        <w:rPr>
          <w:color w:val="000000"/>
        </w:rPr>
        <w:t xml:space="preserve"> da Ministarstvo gospodarstva, poduzetništva i obrta sukladno odredbama Zakona o ustrojstvu i djelokrugu ministarstava i drugih središnjih tijela državne uprave (Narodne novine, broj 93/16</w:t>
      </w:r>
      <w:r w:rsidR="007A2CAF">
        <w:rPr>
          <w:color w:val="000000"/>
        </w:rPr>
        <w:t>.</w:t>
      </w:r>
      <w:r w:rsidR="007A2CAF" w:rsidRPr="00855E68">
        <w:rPr>
          <w:color w:val="000000"/>
        </w:rPr>
        <w:t xml:space="preserve"> i 104/16</w:t>
      </w:r>
      <w:r w:rsidR="007A2CAF">
        <w:rPr>
          <w:color w:val="000000"/>
        </w:rPr>
        <w:t>.</w:t>
      </w:r>
      <w:r w:rsidR="007A2CAF" w:rsidRPr="00855E68">
        <w:rPr>
          <w:color w:val="000000"/>
        </w:rPr>
        <w:t>) nije više nadležno za mineralnu sirovinu - geotermalne vode iz kojih se može koristiti akumulirana toplina u energetske svrhe,</w:t>
      </w:r>
    </w:p>
    <w:p w14:paraId="08793850" w14:textId="77777777" w:rsidR="007A2CAF" w:rsidRDefault="00B5602C" w:rsidP="007A2CAF">
      <w:pPr>
        <w:spacing w:after="12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7A2CAF" w:rsidRPr="00855E68">
        <w:rPr>
          <w:color w:val="000000"/>
        </w:rPr>
        <w:t xml:space="preserve"> da je Ministarstvo gospodarstva, poduzetništva i obrta sukladno odredbama članka 169. Zakona o rudarstvu preuzelo nadležnost od ureda državne uprave u jedinici područne (regionalne) samouprave</w:t>
      </w:r>
      <w:r>
        <w:rPr>
          <w:color w:val="000000"/>
        </w:rPr>
        <w:t xml:space="preserve"> za mineralne sirovine za proizvodnju građevnih materijala</w:t>
      </w:r>
      <w:r w:rsidR="007A2CAF" w:rsidRPr="00855E68">
        <w:rPr>
          <w:color w:val="000000"/>
        </w:rPr>
        <w:t>, a sukladno odredbama Zakona o sustavu državne uprave (Narodne novine, broj 66/19</w:t>
      </w:r>
      <w:r w:rsidR="007A2CAF">
        <w:rPr>
          <w:color w:val="000000"/>
        </w:rPr>
        <w:t>.</w:t>
      </w:r>
      <w:r w:rsidR="007A2CAF" w:rsidRPr="00855E68">
        <w:rPr>
          <w:color w:val="000000"/>
        </w:rPr>
        <w:t>) 1. siječnj</w:t>
      </w:r>
      <w:r>
        <w:rPr>
          <w:color w:val="000000"/>
        </w:rPr>
        <w:t>a</w:t>
      </w:r>
      <w:r w:rsidR="007A2CAF" w:rsidRPr="00855E68">
        <w:rPr>
          <w:color w:val="000000"/>
        </w:rPr>
        <w:t xml:space="preserve"> 2020. godine utvrđen je prestanak </w:t>
      </w:r>
      <w:r w:rsidR="007A2CAF">
        <w:rPr>
          <w:color w:val="000000"/>
        </w:rPr>
        <w:t xml:space="preserve">rada </w:t>
      </w:r>
      <w:r w:rsidR="007A2CAF" w:rsidRPr="00855E68">
        <w:rPr>
          <w:color w:val="000000"/>
        </w:rPr>
        <w:t>ureda državne uprave u jedinici područne (regionalne) samouprave.</w:t>
      </w:r>
    </w:p>
    <w:sectPr w:rsidR="007A2CAF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1792" w14:textId="77777777" w:rsidR="000E497C" w:rsidRDefault="000E497C" w:rsidP="0011560A">
      <w:r>
        <w:separator/>
      </w:r>
    </w:p>
  </w:endnote>
  <w:endnote w:type="continuationSeparator" w:id="0">
    <w:p w14:paraId="38AF247D" w14:textId="77777777" w:rsidR="000E497C" w:rsidRDefault="000E497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B80C2" w14:textId="5E211651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D4416B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0DC9" w14:textId="77777777" w:rsidR="000E497C" w:rsidRDefault="000E497C" w:rsidP="0011560A">
      <w:r>
        <w:separator/>
      </w:r>
    </w:p>
  </w:footnote>
  <w:footnote w:type="continuationSeparator" w:id="0">
    <w:p w14:paraId="0B879EC1" w14:textId="77777777" w:rsidR="000E497C" w:rsidRDefault="000E497C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941"/>
    <w:multiLevelType w:val="hybridMultilevel"/>
    <w:tmpl w:val="24D6803C"/>
    <w:lvl w:ilvl="0" w:tplc="C3C056A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0E497C"/>
    <w:rsid w:val="000F6B76"/>
    <w:rsid w:val="001015C6"/>
    <w:rsid w:val="00110E6C"/>
    <w:rsid w:val="0011560A"/>
    <w:rsid w:val="00135F1A"/>
    <w:rsid w:val="00146B79"/>
    <w:rsid w:val="00147DE9"/>
    <w:rsid w:val="001679C3"/>
    <w:rsid w:val="00170226"/>
    <w:rsid w:val="001741AA"/>
    <w:rsid w:val="001751FA"/>
    <w:rsid w:val="00186C27"/>
    <w:rsid w:val="001917B2"/>
    <w:rsid w:val="001A13E7"/>
    <w:rsid w:val="001A1511"/>
    <w:rsid w:val="001A5064"/>
    <w:rsid w:val="001B7A97"/>
    <w:rsid w:val="001E7218"/>
    <w:rsid w:val="002179F8"/>
    <w:rsid w:val="00220956"/>
    <w:rsid w:val="0023763F"/>
    <w:rsid w:val="0028608D"/>
    <w:rsid w:val="0029163B"/>
    <w:rsid w:val="002A1D77"/>
    <w:rsid w:val="002A42F3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5377"/>
    <w:rsid w:val="00381F04"/>
    <w:rsid w:val="0038426B"/>
    <w:rsid w:val="003929F5"/>
    <w:rsid w:val="00396ECC"/>
    <w:rsid w:val="003A0806"/>
    <w:rsid w:val="003A2F05"/>
    <w:rsid w:val="003C09D8"/>
    <w:rsid w:val="003D47D1"/>
    <w:rsid w:val="003E0A4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00D5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32A2"/>
    <w:rsid w:val="006E611E"/>
    <w:rsid w:val="006F4F16"/>
    <w:rsid w:val="006F5951"/>
    <w:rsid w:val="007010C7"/>
    <w:rsid w:val="00726165"/>
    <w:rsid w:val="00731AC4"/>
    <w:rsid w:val="007638D8"/>
    <w:rsid w:val="00777CAA"/>
    <w:rsid w:val="0078648A"/>
    <w:rsid w:val="007A1768"/>
    <w:rsid w:val="007A1881"/>
    <w:rsid w:val="007A2CAF"/>
    <w:rsid w:val="007C1F08"/>
    <w:rsid w:val="007E3965"/>
    <w:rsid w:val="007E43AD"/>
    <w:rsid w:val="008137B5"/>
    <w:rsid w:val="00833808"/>
    <w:rsid w:val="008353A1"/>
    <w:rsid w:val="008365FD"/>
    <w:rsid w:val="00871EEE"/>
    <w:rsid w:val="00881BBB"/>
    <w:rsid w:val="0089283D"/>
    <w:rsid w:val="0089634C"/>
    <w:rsid w:val="008C0768"/>
    <w:rsid w:val="008C1D0A"/>
    <w:rsid w:val="008D1E25"/>
    <w:rsid w:val="008E29C4"/>
    <w:rsid w:val="008F0DD4"/>
    <w:rsid w:val="009000D1"/>
    <w:rsid w:val="0090200F"/>
    <w:rsid w:val="009047E4"/>
    <w:rsid w:val="009126B3"/>
    <w:rsid w:val="009152C4"/>
    <w:rsid w:val="0093122C"/>
    <w:rsid w:val="009325F2"/>
    <w:rsid w:val="0095079B"/>
    <w:rsid w:val="00953BA1"/>
    <w:rsid w:val="00954D08"/>
    <w:rsid w:val="009820B0"/>
    <w:rsid w:val="00987EF5"/>
    <w:rsid w:val="009930CA"/>
    <w:rsid w:val="009C33E1"/>
    <w:rsid w:val="009C7815"/>
    <w:rsid w:val="00A15F08"/>
    <w:rsid w:val="00A175E9"/>
    <w:rsid w:val="00A21819"/>
    <w:rsid w:val="00A30F3C"/>
    <w:rsid w:val="00A45CF4"/>
    <w:rsid w:val="00A52A71"/>
    <w:rsid w:val="00A573DC"/>
    <w:rsid w:val="00A6339A"/>
    <w:rsid w:val="00A725A4"/>
    <w:rsid w:val="00A83290"/>
    <w:rsid w:val="00AA4DFB"/>
    <w:rsid w:val="00AD2F06"/>
    <w:rsid w:val="00AD4D7C"/>
    <w:rsid w:val="00AE59DF"/>
    <w:rsid w:val="00B379B3"/>
    <w:rsid w:val="00B42E00"/>
    <w:rsid w:val="00B462AB"/>
    <w:rsid w:val="00B5602C"/>
    <w:rsid w:val="00B57187"/>
    <w:rsid w:val="00B706F8"/>
    <w:rsid w:val="00B77017"/>
    <w:rsid w:val="00B908C2"/>
    <w:rsid w:val="00BA28CD"/>
    <w:rsid w:val="00BA72BF"/>
    <w:rsid w:val="00BF36A5"/>
    <w:rsid w:val="00C337A4"/>
    <w:rsid w:val="00C44327"/>
    <w:rsid w:val="00C969CC"/>
    <w:rsid w:val="00CA4F84"/>
    <w:rsid w:val="00CD141E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416B"/>
    <w:rsid w:val="00D62C4D"/>
    <w:rsid w:val="00D8016C"/>
    <w:rsid w:val="00D92A3D"/>
    <w:rsid w:val="00DA48C6"/>
    <w:rsid w:val="00DB0A6B"/>
    <w:rsid w:val="00DB28EB"/>
    <w:rsid w:val="00DB6366"/>
    <w:rsid w:val="00DE79A9"/>
    <w:rsid w:val="00E029B2"/>
    <w:rsid w:val="00E25569"/>
    <w:rsid w:val="00E36DDA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20170"/>
    <w:rsid w:val="00F3220D"/>
    <w:rsid w:val="00F764AD"/>
    <w:rsid w:val="00F95A2D"/>
    <w:rsid w:val="00F978E2"/>
    <w:rsid w:val="00F97BA9"/>
    <w:rsid w:val="00FA4E25"/>
    <w:rsid w:val="00FD015E"/>
    <w:rsid w:val="00FE2B63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1D8F4D"/>
  <w15:docId w15:val="{0248D939-BDF5-4E18-8532-09E1544D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1517">
    <w:name w:val="box_461517"/>
    <w:basedOn w:val="Normal"/>
    <w:rsid w:val="007A2CA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C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CE33-A57B-45CE-AED3-C3F4D117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1252</Words>
  <Characters>7142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2019-05-20T08:48:00Z</cp:lastPrinted>
  <dcterms:created xsi:type="dcterms:W3CDTF">2020-05-14T09:49:00Z</dcterms:created>
  <dcterms:modified xsi:type="dcterms:W3CDTF">2020-05-14T09:49:00Z</dcterms:modified>
</cp:coreProperties>
</file>