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06331" w14:textId="77777777" w:rsidR="000C3EEE" w:rsidRPr="00800462" w:rsidRDefault="000C3EEE" w:rsidP="000C3EEE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43E3B1B5" wp14:editId="1125348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4EBA22DF" w14:textId="77777777"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55D89735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2DB00E" w14:textId="7633F324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 xml:space="preserve">Zagreb, </w:t>
      </w:r>
      <w:r w:rsidR="001212DB">
        <w:rPr>
          <w:rFonts w:ascii="Times New Roman" w:hAnsi="Times New Roman" w:cs="Times New Roman"/>
          <w:sz w:val="24"/>
          <w:szCs w:val="24"/>
        </w:rPr>
        <w:t>16</w:t>
      </w:r>
      <w:r w:rsidRPr="00800462">
        <w:rPr>
          <w:rFonts w:ascii="Times New Roman" w:hAnsi="Times New Roman" w:cs="Times New Roman"/>
          <w:sz w:val="24"/>
          <w:szCs w:val="24"/>
        </w:rPr>
        <w:t xml:space="preserve">. </w:t>
      </w:r>
      <w:r w:rsidR="00AF7F39">
        <w:rPr>
          <w:rFonts w:ascii="Times New Roman" w:hAnsi="Times New Roman" w:cs="Times New Roman"/>
          <w:sz w:val="24"/>
          <w:szCs w:val="24"/>
        </w:rPr>
        <w:t>travnja</w:t>
      </w:r>
      <w:r w:rsidR="00AF7F39" w:rsidRPr="00800462">
        <w:rPr>
          <w:rFonts w:ascii="Times New Roman" w:hAnsi="Times New Roman" w:cs="Times New Roman"/>
          <w:sz w:val="24"/>
          <w:szCs w:val="24"/>
        </w:rPr>
        <w:t xml:space="preserve"> </w:t>
      </w:r>
      <w:r w:rsidRPr="00800462">
        <w:rPr>
          <w:rFonts w:ascii="Times New Roman" w:hAnsi="Times New Roman" w:cs="Times New Roman"/>
          <w:sz w:val="24"/>
          <w:szCs w:val="24"/>
        </w:rPr>
        <w:t>20</w:t>
      </w:r>
      <w:r w:rsidR="001A414B">
        <w:rPr>
          <w:rFonts w:ascii="Times New Roman" w:hAnsi="Times New Roman" w:cs="Times New Roman"/>
          <w:sz w:val="24"/>
          <w:szCs w:val="24"/>
        </w:rPr>
        <w:t>20</w:t>
      </w:r>
      <w:r w:rsidRPr="00800462">
        <w:rPr>
          <w:rFonts w:ascii="Times New Roman" w:hAnsi="Times New Roman" w:cs="Times New Roman"/>
          <w:sz w:val="24"/>
          <w:szCs w:val="24"/>
        </w:rPr>
        <w:t>.</w:t>
      </w:r>
    </w:p>
    <w:p w14:paraId="00C80732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C8B141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44C4E8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42E9C2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800462" w14:paraId="44270504" w14:textId="77777777" w:rsidTr="00427D0F">
        <w:tc>
          <w:tcPr>
            <w:tcW w:w="1951" w:type="dxa"/>
          </w:tcPr>
          <w:p w14:paraId="490EA83E" w14:textId="11E15F0B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2593A86" w14:textId="77777777" w:rsidR="000C3EEE" w:rsidRPr="00800462" w:rsidRDefault="000C3EEE" w:rsidP="000C3EEE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zaštite okoliša i energetike</w:t>
            </w:r>
          </w:p>
        </w:tc>
      </w:tr>
    </w:tbl>
    <w:p w14:paraId="27F8383B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C3EEE" w:rsidRPr="00800462" w14:paraId="4E33B86B" w14:textId="77777777" w:rsidTr="00427D0F">
        <w:tc>
          <w:tcPr>
            <w:tcW w:w="1951" w:type="dxa"/>
          </w:tcPr>
          <w:p w14:paraId="7891F7BC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2D9F25E" w14:textId="04469941" w:rsidR="000C3EEE" w:rsidRPr="00800462" w:rsidRDefault="006F7233" w:rsidP="006F723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Nacrt p</w:t>
            </w:r>
            <w:r w:rsidRPr="00640276">
              <w:rPr>
                <w:sz w:val="24"/>
                <w:szCs w:val="24"/>
              </w:rPr>
              <w:t>rijedlog</w:t>
            </w:r>
            <w:r>
              <w:rPr>
                <w:sz w:val="24"/>
                <w:szCs w:val="24"/>
              </w:rPr>
              <w:t>a</w:t>
            </w:r>
            <w:r w:rsidRPr="006402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zakona </w:t>
            </w:r>
            <w:r w:rsidR="001A414B">
              <w:rPr>
                <w:sz w:val="24"/>
                <w:szCs w:val="24"/>
              </w:rPr>
              <w:t>o provedbi Uredbe (EU) 2019/1021 o postojanim organskim onečišćujućim tvarima</w:t>
            </w:r>
            <w:r w:rsidR="001F5FC4">
              <w:rPr>
                <w:sz w:val="24"/>
                <w:szCs w:val="24"/>
              </w:rPr>
              <w:t xml:space="preserve">, s </w:t>
            </w:r>
            <w:r>
              <w:rPr>
                <w:sz w:val="24"/>
                <w:szCs w:val="24"/>
              </w:rPr>
              <w:t>Nacrtom konačnog prijedloga</w:t>
            </w:r>
            <w:r w:rsidR="00746A54">
              <w:rPr>
                <w:sz w:val="24"/>
                <w:szCs w:val="24"/>
              </w:rPr>
              <w:t xml:space="preserve"> zakona</w:t>
            </w:r>
          </w:p>
        </w:tc>
      </w:tr>
    </w:tbl>
    <w:p w14:paraId="3136CA85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E042E8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78CAB4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052BF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737A25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19CC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87849B" w14:textId="77777777" w:rsidR="005222AE" w:rsidRDefault="005222AE" w:rsidP="005222AE">
      <w:pPr>
        <w:pStyle w:val="Header"/>
      </w:pPr>
    </w:p>
    <w:p w14:paraId="25F72F1D" w14:textId="77777777" w:rsidR="005222AE" w:rsidRDefault="005222AE" w:rsidP="005222AE"/>
    <w:p w14:paraId="16D7284E" w14:textId="77777777" w:rsidR="005222AE" w:rsidRDefault="005222AE" w:rsidP="005222AE">
      <w:pPr>
        <w:pStyle w:val="Footer"/>
      </w:pPr>
    </w:p>
    <w:p w14:paraId="5731F7B9" w14:textId="77777777" w:rsidR="005222AE" w:rsidRDefault="005222AE" w:rsidP="005222AE"/>
    <w:p w14:paraId="32F967AC" w14:textId="1D40F1B3" w:rsidR="005222AE" w:rsidRPr="005222AE" w:rsidRDefault="006F7233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</w:t>
      </w:r>
      <w:r w:rsidR="005222AE"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 xml:space="preserve"> | 10000 Zagreb | tel. 01 4569 222 | vlada.gov.hr</w:t>
      </w:r>
    </w:p>
    <w:p w14:paraId="333726E7" w14:textId="0AF86CC8" w:rsidR="000C3EEE" w:rsidRPr="003913E1" w:rsidRDefault="000C3EEE" w:rsidP="00391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897D3B" w14:textId="23828171" w:rsidR="003913E1" w:rsidRDefault="003913E1" w:rsidP="003913E1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MINISTARSTVO ZAŠTITE OKOLIŠA I ENERGETIKE</w:t>
      </w:r>
    </w:p>
    <w:p w14:paraId="7DD044B1" w14:textId="77777777" w:rsidR="003913E1" w:rsidRPr="008A519C" w:rsidRDefault="003913E1" w:rsidP="003913E1">
      <w:pPr>
        <w:pStyle w:val="BodyText"/>
        <w:tabs>
          <w:tab w:val="left" w:pos="0"/>
          <w:tab w:val="left" w:pos="142"/>
        </w:tabs>
        <w:ind w:left="113"/>
        <w:jc w:val="left"/>
        <w:rPr>
          <w:sz w:val="2"/>
          <w:lang w:val="hr-HR"/>
        </w:rPr>
      </w:pPr>
      <w:r w:rsidRPr="008A519C">
        <w:rPr>
          <w:noProof/>
          <w:sz w:val="2"/>
          <w:lang w:val="hr-HR" w:eastAsia="hr-HR"/>
        </w:rPr>
        <mc:AlternateContent>
          <mc:Choice Requires="wpg">
            <w:drawing>
              <wp:inline distT="0" distB="0" distL="0" distR="0" wp14:anchorId="1CEB3AAF" wp14:editId="0736FAC8">
                <wp:extent cx="5816600" cy="18415"/>
                <wp:effectExtent l="2540" t="6985" r="635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6600" cy="18415"/>
                          <a:chOff x="0" y="0"/>
                          <a:chExt cx="9160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DD5EEC" id="Group 3" o:spid="_x0000_s1026" style="width:458pt;height:1.45pt;mso-position-horizontal-relative:char;mso-position-vertical-relative:line" coordsize="916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">
                <v:line id="Line 4" o:spid="_x0000_s1027" style="position:absolute;visibility:visible;mso-wrap-style:square" from="15,15" to="9146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" strokeweight="1.44pt"/>
                <w10:anchorlock/>
              </v:group>
            </w:pict>
          </mc:Fallback>
        </mc:AlternateContent>
      </w:r>
    </w:p>
    <w:p w14:paraId="39E8394E" w14:textId="77777777" w:rsidR="003913E1" w:rsidRDefault="003913E1" w:rsidP="003913E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1A2BD58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6B96114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9C8C2BB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86076CF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250A937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92220E2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9664912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C79AAC6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6B333B1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BE0EFC7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4C82374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3C6BD8D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F1DFA53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93B0E64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D5D6F1D" w14:textId="5DA9D333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718261D" w14:textId="652D5AD0" w:rsidR="00B10F3B" w:rsidRDefault="00B10F3B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801BA8D" w14:textId="658B269E" w:rsidR="00B10F3B" w:rsidRDefault="00B10F3B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65577B5" w14:textId="368CACEA" w:rsidR="00B10F3B" w:rsidRDefault="00B10F3B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DD25AB5" w14:textId="5ABFD229" w:rsidR="00B10F3B" w:rsidRDefault="00B10F3B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BEE6296" w14:textId="0A92B096" w:rsidR="00B10F3B" w:rsidRDefault="00B10F3B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88D2144" w14:textId="77777777" w:rsidR="00B10F3B" w:rsidRDefault="00B10F3B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0A3F911" w14:textId="5B7AFAF9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D8537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PRIJEDLOG ZAKONA O PROVEDBI UREDBE (EU) 2019/1021 O POSTOJANIM ORGANSKIM ONEČIŠĆUJUĆIM TVARIMA, S KONAČNIM PRIJEDLOGOM</w:t>
      </w:r>
      <w:r w:rsidR="00746A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ZAKONA</w:t>
      </w:r>
    </w:p>
    <w:p w14:paraId="49BEE5E7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52F5B12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E930CA5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5500DF2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0ABE825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38A58D3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E91F29A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5311775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053B949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173E70D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7A37562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11A9AC4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53FC6F9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2F82CCF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0B16201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F8389D6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84FA736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F8AFAF5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CBF6581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7DC97BA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7B92FB1" w14:textId="77777777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850A978" w14:textId="0A1382A6" w:rsidR="00D8537A" w:rsidRDefault="00D8537A" w:rsidP="008C24B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9629506" w14:textId="77777777" w:rsidR="00B10F3B" w:rsidRPr="000471D3" w:rsidRDefault="00B10F3B" w:rsidP="00B10F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516E579" w14:textId="4AC7ED64" w:rsidR="00B10F3B" w:rsidRDefault="00B10F3B" w:rsidP="00B10F3B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0471D3"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r>
        <w:rPr>
          <w:rFonts w:ascii="Times New Roman" w:hAnsi="Times New Roman"/>
          <w:b/>
          <w:sz w:val="24"/>
          <w:szCs w:val="24"/>
          <w:lang w:eastAsia="hr-HR"/>
        </w:rPr>
        <w:t>travanj 2020</w:t>
      </w:r>
      <w:r w:rsidRPr="000471D3">
        <w:rPr>
          <w:rFonts w:ascii="Times New Roman" w:hAnsi="Times New Roman"/>
          <w:b/>
          <w:sz w:val="24"/>
          <w:szCs w:val="24"/>
          <w:lang w:eastAsia="hr-HR"/>
        </w:rPr>
        <w:t>.</w:t>
      </w:r>
    </w:p>
    <w:p w14:paraId="4EA392B1" w14:textId="0DFB8BC4" w:rsidR="008C24B9" w:rsidRDefault="008C24B9" w:rsidP="00746A5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0342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PRIJEDLOG ZAKONA O </w:t>
      </w:r>
      <w:r w:rsidRPr="0051590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PROVEDBI UREDBE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EU) </w:t>
      </w:r>
      <w:r w:rsidRPr="0051590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2019/1021 O POS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TOJANIM ORGANSKIM ONEČIŠĆUJUĆIM </w:t>
      </w:r>
      <w:r w:rsidRPr="0051590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TVARIMA</w:t>
      </w:r>
    </w:p>
    <w:p w14:paraId="743F681D" w14:textId="2088E36A" w:rsidR="008C24B9" w:rsidRDefault="001F5FC4" w:rsidP="00746A54">
      <w:pPr>
        <w:tabs>
          <w:tab w:val="left" w:pos="240"/>
          <w:tab w:val="left" w:pos="264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Cs w:val="23"/>
          <w:lang w:eastAsia="hr-HR" w:bidi="hr-HR"/>
        </w:rPr>
      </w:pPr>
      <w:r>
        <w:rPr>
          <w:rFonts w:ascii="Times New Roman" w:eastAsia="Times New Roman" w:hAnsi="Times New Roman" w:cs="Times New Roman"/>
          <w:szCs w:val="23"/>
          <w:lang w:eastAsia="hr-HR" w:bidi="hr-HR"/>
        </w:rPr>
        <w:tab/>
      </w:r>
      <w:r>
        <w:rPr>
          <w:rFonts w:ascii="Times New Roman" w:eastAsia="Times New Roman" w:hAnsi="Times New Roman" w:cs="Times New Roman"/>
          <w:szCs w:val="23"/>
          <w:lang w:eastAsia="hr-HR" w:bidi="hr-HR"/>
        </w:rPr>
        <w:tab/>
      </w:r>
    </w:p>
    <w:p w14:paraId="3E8919F2" w14:textId="77777777" w:rsidR="00746A54" w:rsidRDefault="00746A54" w:rsidP="00746A54">
      <w:pPr>
        <w:tabs>
          <w:tab w:val="left" w:pos="240"/>
          <w:tab w:val="left" w:pos="264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Cs w:val="23"/>
          <w:lang w:eastAsia="hr-HR" w:bidi="hr-HR"/>
        </w:rPr>
      </w:pPr>
    </w:p>
    <w:p w14:paraId="306A4C2B" w14:textId="12EA3940" w:rsidR="001F5FC4" w:rsidRPr="00592968" w:rsidRDefault="00746A54" w:rsidP="00746A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  <w:t>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  <w:tab/>
      </w:r>
      <w:r w:rsidR="001F5FC4" w:rsidRPr="00592968"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  <w:t>USTAVNA OSNOVA ZA DONOŠENJE ZAKONA</w:t>
      </w:r>
    </w:p>
    <w:p w14:paraId="12B1EB70" w14:textId="77777777" w:rsidR="00746A54" w:rsidRDefault="00746A54" w:rsidP="00746A54">
      <w:pPr>
        <w:tabs>
          <w:tab w:val="left" w:pos="240"/>
          <w:tab w:val="left" w:pos="264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78F8D8B2" w14:textId="5AF2FEA1" w:rsidR="001F5FC4" w:rsidRPr="00592968" w:rsidRDefault="00746A54" w:rsidP="00746A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 w:rsidR="001F5FC4" w:rsidRPr="0059296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Ustavna osnova za donošenje ovoga Zakona sadržana je u odredbi članka 2. stavka 4. podstavka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1. Ustava Republike Hrvatske (Narodne novine</w:t>
      </w:r>
      <w:r w:rsidR="001F5FC4" w:rsidRPr="0059296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, br. 85/10 – pročišćeni tekst i 5/14 – Odluka Ustavnog suda Republike Hrvatske).</w:t>
      </w:r>
    </w:p>
    <w:p w14:paraId="1E957626" w14:textId="77777777" w:rsidR="00746A54" w:rsidRDefault="00746A54" w:rsidP="00746A54">
      <w:pPr>
        <w:tabs>
          <w:tab w:val="left" w:pos="240"/>
          <w:tab w:val="left" w:pos="264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0C801BE5" w14:textId="77777777" w:rsidR="00FB4358" w:rsidRDefault="00FB4358" w:rsidP="00746A54">
      <w:pPr>
        <w:tabs>
          <w:tab w:val="left" w:pos="240"/>
          <w:tab w:val="left" w:pos="264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7D9E2503" w14:textId="6A544788" w:rsidR="001F5FC4" w:rsidRDefault="00FB4358" w:rsidP="00FB4358">
      <w:pPr>
        <w:spacing w:after="0" w:line="240" w:lineRule="auto"/>
        <w:ind w:left="705" w:hanging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ab/>
      </w:r>
      <w:r w:rsidR="001F5FC4" w:rsidRPr="00592968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OCJENA STANJA I OSNOVNA PITANJA KOJA SE TREBAJU UREDITI ZAKONOM TE POSLJEDICE KOJE ĆE DONOŠENJEM ZAKONA PROISTEĆI</w:t>
      </w:r>
    </w:p>
    <w:p w14:paraId="3E492EA2" w14:textId="77777777" w:rsidR="007A5B44" w:rsidRPr="00592968" w:rsidRDefault="007A5B44" w:rsidP="00FB4358">
      <w:pPr>
        <w:spacing w:after="0" w:line="240" w:lineRule="auto"/>
        <w:ind w:left="705" w:hanging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36FEEA23" w14:textId="5BDD73A5" w:rsidR="001F5FC4" w:rsidRPr="00592968" w:rsidRDefault="007A5B44" w:rsidP="007A5B4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  <w:tab/>
        <w:t xml:space="preserve">1. </w:t>
      </w:r>
      <w:r w:rsidR="001F5FC4" w:rsidRPr="00592968"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  <w:t>Ocjena stanja</w:t>
      </w:r>
    </w:p>
    <w:p w14:paraId="5B146DE0" w14:textId="77777777" w:rsidR="007A5B44" w:rsidRDefault="007A5B44" w:rsidP="00746A54">
      <w:pPr>
        <w:tabs>
          <w:tab w:val="left" w:pos="240"/>
          <w:tab w:val="left" w:pos="264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6C6918E7" w14:textId="6DCA341C" w:rsidR="001F5FC4" w:rsidRPr="00592968" w:rsidRDefault="007A5B44" w:rsidP="007A5B4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 w:rsidR="001F5FC4" w:rsidRPr="0059296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Zakon o provedbi Uredbe (EZ) br. 850/2004 o postojanim organskim onečišćujućim tvarima</w:t>
      </w:r>
      <w:r w:rsidR="0059296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r w:rsidR="001F5FC4" w:rsidRPr="0059296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donesen je 2013. godine, a stupio je na snagu 7. prosinca 2013. </w:t>
      </w:r>
      <w:r w:rsidR="001F5FC4" w:rsidRPr="00EB3F84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godine. Zakon je jednom izmijenjen i dopunjen te su izmjene i dopune stupile na snagu 30. svibnja 2019. godine.</w:t>
      </w:r>
    </w:p>
    <w:p w14:paraId="00B4B61A" w14:textId="77777777" w:rsidR="007A5B44" w:rsidRDefault="007A5B44" w:rsidP="00746A54">
      <w:pPr>
        <w:tabs>
          <w:tab w:val="left" w:pos="240"/>
          <w:tab w:val="left" w:pos="264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16ED4E1B" w14:textId="65C2B36F" w:rsidR="001F5FC4" w:rsidRPr="00592968" w:rsidRDefault="007A5B44" w:rsidP="007A5B4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 w:rsidR="001F5FC4" w:rsidRPr="0059296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U međuvremenu je na razini Europske unije donesena </w:t>
      </w:r>
      <w:r w:rsidR="001F5FC4" w:rsidRPr="00C61061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Uredba (EU) 2019/1021 Europskog </w:t>
      </w:r>
      <w:r w:rsidRPr="00C61061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parlamenta </w:t>
      </w:r>
      <w:r w:rsidR="001F5FC4" w:rsidRPr="00C61061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 Vijeća od 20. lipnja 2019.</w:t>
      </w:r>
      <w:r w:rsidR="003E17A0" w:rsidRPr="00C61061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godine</w:t>
      </w:r>
      <w:r w:rsidR="001F5FC4" w:rsidRPr="00C61061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o postojanim organskim onečišćujućim tvarima (preinaka) </w:t>
      </w:r>
      <w:r w:rsidRPr="00C610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(SL L 169, 25. 6. 2019.) </w:t>
      </w:r>
      <w:r w:rsidR="009059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(u daljnjem tekstu: </w:t>
      </w:r>
      <w:r w:rsidR="00905901" w:rsidRPr="00C61061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Uredba (EU) 2019/1021</w:t>
      </w:r>
      <w:r w:rsidR="00905901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)</w:t>
      </w:r>
      <w:r w:rsidR="00905901" w:rsidRPr="00C61061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r w:rsidR="001F5FC4" w:rsidRPr="00C61061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kojom je Uredba (EZ) br. 850/2004</w:t>
      </w:r>
      <w:r w:rsidR="001F5FC4" w:rsidRPr="0059296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o postojanim organskim onečišćujućim tvarima stavljena izvan snage. Ova je Uredba u cijelosti obvezujuća i izravno se primjenjuje u svim državama članicama. Stupila je na snagu 15. srpnja 2019. godine. Za provedbu Uredbe </w:t>
      </w:r>
      <w:r w:rsidR="00C61061" w:rsidRPr="00C61061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(EU) 2019/1021 </w:t>
      </w:r>
      <w:r w:rsidR="001F5FC4" w:rsidRPr="0059296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potrebno je donijeti </w:t>
      </w:r>
      <w:r w:rsidR="00C61061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predloženi </w:t>
      </w:r>
      <w:r w:rsidR="001F5FC4" w:rsidRPr="0059296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Zakon o provedbi Uredbe</w:t>
      </w:r>
      <w:r w:rsidR="00C61061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r w:rsidR="00C61061" w:rsidRPr="00C61061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(EU) 2019/1021</w:t>
      </w:r>
      <w:r w:rsidR="001F5FC4" w:rsidRPr="0059296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.</w:t>
      </w:r>
    </w:p>
    <w:p w14:paraId="2F8A0797" w14:textId="77777777" w:rsidR="00C61061" w:rsidRDefault="00C61061" w:rsidP="00746A54">
      <w:pPr>
        <w:tabs>
          <w:tab w:val="left" w:pos="240"/>
          <w:tab w:val="left" w:pos="264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28DA22C6" w14:textId="216822DC" w:rsidR="001F5FC4" w:rsidRPr="00592968" w:rsidRDefault="00C61061" w:rsidP="00C610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 w:rsidR="001F5FC4" w:rsidRPr="00905901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Preinakom Uredbe uvode se samo tehničke </w:t>
      </w:r>
      <w:r w:rsidR="00905901" w:rsidRPr="00905901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izmjene </w:t>
      </w:r>
      <w:r w:rsidR="001F5FC4" w:rsidRPr="00905901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s</w:t>
      </w:r>
      <w:r w:rsidRPr="00905901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ciljem otklanjanja postojećih </w:t>
      </w:r>
      <w:r w:rsidR="001F5FC4" w:rsidRPr="00905901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nejasnoća i provedivosti operativnih odredaba</w:t>
      </w:r>
      <w:r w:rsidR="001F5FC4" w:rsidRPr="0059296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. Naime,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mijenjaju</w:t>
      </w:r>
      <w:r w:rsidRPr="0059296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r w:rsidR="001F5FC4" w:rsidRPr="0059296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se definicije „stavljanje na tržište“, „proizvoda“, „tvari“, „otpada“, „odlaganja“ i „oporabe“. Termin </w:t>
      </w:r>
      <w:r w:rsidR="00E77AFB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„</w:t>
      </w:r>
      <w:r w:rsidR="001F5FC4" w:rsidRPr="0059296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pripravak</w:t>
      </w:r>
      <w:r w:rsidR="00E77AFB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“</w:t>
      </w:r>
      <w:r w:rsidR="001F5FC4" w:rsidRPr="0059296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zamijenjen je terminom „smjesa“</w:t>
      </w:r>
      <w:r w:rsidR="00296383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sukladno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terminologiji </w:t>
      </w:r>
      <w:r w:rsidR="00296383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prema </w:t>
      </w:r>
      <w:r w:rsidR="001F5FC4" w:rsidRPr="0059296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lastRenderedPageBreak/>
        <w:t xml:space="preserve">općem zakonodavstvu vezano uz kemikalije, stoga se dodaju i nove definicije „proizvodnje“, „uporabe“ i „intermedijera u zatvorenom, prostorno ograničenom sustavu“. </w:t>
      </w:r>
    </w:p>
    <w:p w14:paraId="1CF34288" w14:textId="77777777" w:rsidR="00C61061" w:rsidRDefault="00C61061" w:rsidP="00746A54">
      <w:pPr>
        <w:tabs>
          <w:tab w:val="left" w:pos="240"/>
          <w:tab w:val="left" w:pos="264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42BF9C82" w14:textId="28C5697E" w:rsidR="001F5FC4" w:rsidRPr="00592968" w:rsidRDefault="00C61061" w:rsidP="00C610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 w:rsidR="001F5FC4" w:rsidRPr="0059296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Uvodi </w:t>
      </w:r>
      <w:r w:rsidR="001F5FC4" w:rsidRPr="0049207B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se Europska agencija za kemikalije (ECHA)</w:t>
      </w:r>
      <w:r w:rsidR="00AC618B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,</w:t>
      </w:r>
      <w:r w:rsidR="001F5FC4" w:rsidRPr="0049207B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u samu provedbu Uredbe</w:t>
      </w:r>
      <w:r w:rsidRPr="0049207B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(EU) 2019/1021</w:t>
      </w:r>
      <w:r w:rsidR="001F5FC4" w:rsidRPr="0049207B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, </w:t>
      </w:r>
      <w:r w:rsidRPr="0049207B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te se </w:t>
      </w:r>
      <w:r w:rsidR="001F5FC4" w:rsidRPr="0049207B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neke zadaće </w:t>
      </w:r>
      <w:r w:rsidR="00083D2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s </w:t>
      </w:r>
      <w:r w:rsidRPr="0049207B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Europske komisij</w:t>
      </w:r>
      <w:r w:rsidR="0049207B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e</w:t>
      </w:r>
      <w:r w:rsidR="001F5FC4" w:rsidRPr="0049207B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prenose ECHA</w:t>
      </w:r>
      <w:r w:rsidR="001F5FC4" w:rsidRPr="0059296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-i zbog njezinog stručnog znanja i iskustva u provedbi općeg zakonodavstva o kemikalijama i međunarodnim sporazumima o kemikalijama. Uvodi se uloga Foruma za razmjenu informacija o provedbi</w:t>
      </w:r>
      <w:r w:rsidR="00D35467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,</w:t>
      </w:r>
      <w:r w:rsidR="001F5FC4" w:rsidRPr="0059296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r w:rsidR="00D35467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uspostavljenog Uredbom (EZ) br. </w:t>
      </w:r>
      <w:r w:rsidR="001F5FC4" w:rsidRPr="0059296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1907/2006 Europskog parlamenta i Vijeća /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r w:rsidR="001F5FC4" w:rsidRPr="0059296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REACH Uredba i Uredbom (EU) 649/</w:t>
      </w:r>
      <w:r w:rsidR="001F5FC4" w:rsidRPr="00905901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2012.</w:t>
      </w:r>
      <w:r w:rsidRPr="00905901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r w:rsidR="001F5FC4" w:rsidRPr="00905901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Preinakom Uredbe ažurirane su ovlasti </w:t>
      </w:r>
      <w:r w:rsidRPr="00905901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Europske komisije </w:t>
      </w:r>
      <w:r w:rsidR="001F5FC4" w:rsidRPr="00905901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te su prilagođene odredbe o izvješćivanju i praćenju.</w:t>
      </w:r>
    </w:p>
    <w:p w14:paraId="4C5C6BE7" w14:textId="77777777" w:rsidR="00C61061" w:rsidRDefault="00C61061" w:rsidP="00C61061">
      <w:pPr>
        <w:tabs>
          <w:tab w:val="left" w:pos="240"/>
          <w:tab w:val="left" w:pos="264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07A77CB8" w14:textId="6A838C33" w:rsidR="001F5FC4" w:rsidRPr="00592968" w:rsidRDefault="00F67CCF" w:rsidP="00F67C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ab/>
      </w:r>
      <w:r w:rsidR="00C61061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.</w:t>
      </w:r>
      <w:r w:rsidR="00C61061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 </w:t>
      </w:r>
      <w:r w:rsidR="001F5FC4" w:rsidRPr="00592968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Osnovna pitanja koja se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trebaju urediti</w:t>
      </w:r>
      <w:r w:rsidR="001F5FC4" w:rsidRPr="00592968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 Zakonom</w:t>
      </w:r>
    </w:p>
    <w:p w14:paraId="3330EB46" w14:textId="77777777" w:rsidR="00F67CCF" w:rsidRDefault="00F67CCF" w:rsidP="00746A54">
      <w:pPr>
        <w:tabs>
          <w:tab w:val="left" w:pos="240"/>
          <w:tab w:val="left" w:pos="264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3F6850BF" w14:textId="424D8107" w:rsidR="001F5FC4" w:rsidRPr="00592968" w:rsidRDefault="00F67CCF" w:rsidP="00F67C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 w:rsidR="001F5FC4" w:rsidRPr="0059296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Ovim Zakonom definiraju se nadležna tijela i zadaće istih za provedbu Uredbe (EU) 2019/1021. Nadalje, definiraju se obveze izvješćivanja, tko provodi upravni, a tko inspekcijski nadzor nad provedbom Uredbe (EU) 2019/1021 te se propisuju novčane kazne za nepoštivanje pojedinih odredbi ovoga Zakona. Zaključno, u završnim odredbama stavlja se izvan snage do tada važeći Zakon i stupanje na snagu ovoga Zakona.</w:t>
      </w:r>
    </w:p>
    <w:p w14:paraId="6AE2F2A1" w14:textId="77777777" w:rsidR="000D5901" w:rsidRDefault="000D5901" w:rsidP="00746A54">
      <w:pPr>
        <w:tabs>
          <w:tab w:val="left" w:pos="240"/>
          <w:tab w:val="left" w:pos="264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1FEE882E" w14:textId="3FA6914B" w:rsidR="001F5FC4" w:rsidRPr="00905901" w:rsidRDefault="00905901" w:rsidP="00905901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3. </w:t>
      </w:r>
      <w:r w:rsidR="001F5FC4" w:rsidRPr="00905901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Posljedice koje će donošenjem Zakona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 </w:t>
      </w:r>
      <w:r w:rsidRPr="00905901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proisteći</w:t>
      </w:r>
    </w:p>
    <w:p w14:paraId="780E77D0" w14:textId="77777777" w:rsidR="00905901" w:rsidRDefault="00905901" w:rsidP="00746A54">
      <w:pPr>
        <w:tabs>
          <w:tab w:val="left" w:pos="240"/>
          <w:tab w:val="left" w:pos="264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7FDA52F1" w14:textId="70A654C1" w:rsidR="001F5FC4" w:rsidRPr="006C114F" w:rsidRDefault="00905901" w:rsidP="009059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 w:rsidR="001F5FC4" w:rsidRPr="006C114F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Donošenjem ovoga Zakona omogućit će se potpuna provedba Uredbe (EU) 2019/1021.</w:t>
      </w:r>
    </w:p>
    <w:p w14:paraId="76FF6941" w14:textId="77777777" w:rsidR="00FF2575" w:rsidRDefault="00FF2575" w:rsidP="00FF2575">
      <w:pPr>
        <w:tabs>
          <w:tab w:val="left" w:pos="240"/>
          <w:tab w:val="left" w:pos="264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02F73F7A" w14:textId="77777777" w:rsidR="00FF2575" w:rsidRDefault="00FF2575" w:rsidP="00FF2575">
      <w:pPr>
        <w:tabs>
          <w:tab w:val="left" w:pos="240"/>
          <w:tab w:val="left" w:pos="264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02BCE60A" w14:textId="26185F3D" w:rsidR="001F5FC4" w:rsidRPr="006C114F" w:rsidRDefault="00FF2575" w:rsidP="00FF25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III.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ab/>
      </w:r>
      <w:r w:rsidR="001F5FC4" w:rsidRPr="006C114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OCJENA POTREBNIH SREDSTAVA ZA PROVEDBU ZAKONA</w:t>
      </w:r>
    </w:p>
    <w:p w14:paraId="2BDF3E54" w14:textId="77777777" w:rsidR="00FF2575" w:rsidRDefault="00FF2575" w:rsidP="00746A54">
      <w:pPr>
        <w:tabs>
          <w:tab w:val="left" w:pos="240"/>
          <w:tab w:val="left" w:pos="264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23D1AED4" w14:textId="14373AE0" w:rsidR="001F5FC4" w:rsidRDefault="00FF2575" w:rsidP="00FF257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 w:rsidR="001F5FC4" w:rsidRPr="006C114F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Za provedbu ovoga </w:t>
      </w:r>
      <w:r w:rsidR="00A65EB4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Z</w:t>
      </w:r>
      <w:r w:rsidR="001F5FC4" w:rsidRPr="006C114F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akona nije potrebno osigurati dodatna financijska sredstva u državnom proračunu Republike Hrvatske.</w:t>
      </w:r>
    </w:p>
    <w:p w14:paraId="25DA5E0C" w14:textId="09B56118" w:rsidR="00FF2575" w:rsidRDefault="00FF2575" w:rsidP="00FF257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0E5A7963" w14:textId="77777777" w:rsidR="00FF2575" w:rsidRPr="006C114F" w:rsidRDefault="00FF2575" w:rsidP="00FF257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3E2CC067" w14:textId="2DC85369" w:rsidR="001F5FC4" w:rsidRPr="00FF2575" w:rsidRDefault="00FF2575" w:rsidP="00FF25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  <w:t>IV.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  <w:tab/>
      </w:r>
      <w:r w:rsidR="001F5FC4" w:rsidRPr="00FF2575"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  <w:t>PRIJEDLOG ZA DONOŠENJE ZAKONA PO HITNOM POSTUPKU</w:t>
      </w:r>
    </w:p>
    <w:p w14:paraId="6707B95B" w14:textId="77777777" w:rsidR="00FF2575" w:rsidRDefault="00FF2575" w:rsidP="00746A54">
      <w:pPr>
        <w:tabs>
          <w:tab w:val="left" w:pos="240"/>
          <w:tab w:val="left" w:pos="264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55DE018A" w14:textId="1750440D" w:rsidR="001F5FC4" w:rsidRDefault="00FF2575" w:rsidP="00FF257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ab/>
      </w:r>
      <w:r w:rsidR="001F5FC4" w:rsidRPr="00A65EB4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Sukladno članku 206. </w:t>
      </w:r>
      <w:r w:rsidR="001F5FC4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Poslovnika Hrvatskog sabora (Narodne novine, </w:t>
      </w:r>
      <w:r w:rsidR="00A65EB4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br. </w:t>
      </w:r>
      <w:r w:rsidR="001F5FC4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81/13, 113/16, 69/17 i 29/18) predlaže se donošenje ovog</w:t>
      </w:r>
      <w:r w:rsidR="00A65EB4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a</w:t>
      </w:r>
      <w:r w:rsidR="001F5FC4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Zakona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po hitnom postupku s </w:t>
      </w:r>
      <w:r w:rsidR="001F5FC4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obzirom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da </w:t>
      </w:r>
      <w:r w:rsidR="001F5FC4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se radi o zakonu koji se usklađuje s dokumentima Europske unije</w:t>
      </w:r>
      <w:r w:rsidR="00A22DE4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, odnosno </w:t>
      </w:r>
      <w:r w:rsidR="00A22DE4" w:rsidRPr="00327454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Uredbom</w:t>
      </w:r>
      <w:r w:rsidR="00652F81" w:rsidRPr="00327454">
        <w:t xml:space="preserve"> </w:t>
      </w:r>
      <w:r w:rsidR="00652F81" w:rsidRPr="00327454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(EU) 2019/1021 kojom je Uredba (EZ) br. 850/2004 o postojanim organskim onečišćujućim tvarima stavljena izvan snage. Ova je Uredba u cijelosti obvezujuća i izravno se primjenjuje u svim državama članicama. Stupila je na snagu 15. srpnja 2019. godine. Za provedbu Uredbe potrebno je donijeti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predloženi </w:t>
      </w:r>
      <w:r w:rsidR="00652F81" w:rsidRPr="00327454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Zakon o provedbi Uredbe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r w:rsidRPr="00327454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(EU) 2019/1021</w:t>
      </w:r>
      <w:r w:rsidR="00652F81" w:rsidRPr="00327454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.</w:t>
      </w:r>
    </w:p>
    <w:p w14:paraId="547E8503" w14:textId="321B69E8" w:rsidR="00F045E8" w:rsidRDefault="00F045E8" w:rsidP="00746A54">
      <w:pPr>
        <w:tabs>
          <w:tab w:val="left" w:pos="240"/>
          <w:tab w:val="left" w:pos="264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4A52992D" w14:textId="77777777" w:rsidR="000D5901" w:rsidRDefault="000D5901" w:rsidP="00746A54">
      <w:pPr>
        <w:tabs>
          <w:tab w:val="left" w:pos="240"/>
          <w:tab w:val="left" w:pos="264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37472392" w14:textId="77777777" w:rsidR="000D5901" w:rsidRDefault="000D5901" w:rsidP="00746A54">
      <w:pPr>
        <w:tabs>
          <w:tab w:val="left" w:pos="240"/>
          <w:tab w:val="left" w:pos="264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7E48181C" w14:textId="77777777" w:rsidR="000D5901" w:rsidRDefault="000D5901" w:rsidP="00746A54">
      <w:pPr>
        <w:tabs>
          <w:tab w:val="left" w:pos="240"/>
          <w:tab w:val="left" w:pos="264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0793EB73" w14:textId="77777777" w:rsidR="000D5901" w:rsidRDefault="000D5901" w:rsidP="00746A54">
      <w:pPr>
        <w:tabs>
          <w:tab w:val="left" w:pos="240"/>
          <w:tab w:val="left" w:pos="264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5872DF3D" w14:textId="77777777" w:rsidR="000D5901" w:rsidRDefault="000D5901" w:rsidP="00746A54">
      <w:pPr>
        <w:tabs>
          <w:tab w:val="left" w:pos="240"/>
          <w:tab w:val="left" w:pos="264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00FCCD83" w14:textId="77777777" w:rsidR="000D5901" w:rsidRDefault="000D5901" w:rsidP="00746A54">
      <w:pPr>
        <w:tabs>
          <w:tab w:val="left" w:pos="240"/>
          <w:tab w:val="left" w:pos="264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6CF2034C" w14:textId="77777777" w:rsidR="000D5901" w:rsidRDefault="000D5901" w:rsidP="00746A54">
      <w:pPr>
        <w:tabs>
          <w:tab w:val="left" w:pos="240"/>
          <w:tab w:val="left" w:pos="264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42C7F1D4" w14:textId="77777777" w:rsidR="000D5901" w:rsidRDefault="000D5901" w:rsidP="00746A54">
      <w:pPr>
        <w:tabs>
          <w:tab w:val="left" w:pos="240"/>
          <w:tab w:val="left" w:pos="264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6259CA02" w14:textId="77777777" w:rsidR="000D5901" w:rsidRDefault="000D5901" w:rsidP="00746A54">
      <w:pPr>
        <w:tabs>
          <w:tab w:val="left" w:pos="240"/>
          <w:tab w:val="left" w:pos="264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3DF64103" w14:textId="77777777" w:rsidR="000D5901" w:rsidRDefault="000D5901" w:rsidP="00746A54">
      <w:pPr>
        <w:tabs>
          <w:tab w:val="left" w:pos="240"/>
          <w:tab w:val="left" w:pos="264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513D479A" w14:textId="77777777" w:rsidR="000D5901" w:rsidRDefault="000D5901" w:rsidP="00746A54">
      <w:pPr>
        <w:tabs>
          <w:tab w:val="left" w:pos="240"/>
          <w:tab w:val="left" w:pos="264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13702276" w14:textId="77777777" w:rsidR="000D5901" w:rsidRDefault="000D5901" w:rsidP="00746A54">
      <w:pPr>
        <w:tabs>
          <w:tab w:val="left" w:pos="240"/>
          <w:tab w:val="left" w:pos="264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35ECFA56" w14:textId="77777777" w:rsidR="000D5901" w:rsidRDefault="000D5901" w:rsidP="00746A54">
      <w:pPr>
        <w:tabs>
          <w:tab w:val="left" w:pos="240"/>
          <w:tab w:val="left" w:pos="264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3F07E2BF" w14:textId="77777777" w:rsidR="000D5901" w:rsidRDefault="000D5901" w:rsidP="00746A54">
      <w:pPr>
        <w:tabs>
          <w:tab w:val="left" w:pos="240"/>
          <w:tab w:val="left" w:pos="264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53E31AC6" w14:textId="5E904C7E" w:rsidR="000D5901" w:rsidRDefault="000D5901" w:rsidP="00746A54">
      <w:pPr>
        <w:tabs>
          <w:tab w:val="left" w:pos="240"/>
          <w:tab w:val="left" w:pos="264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22D99EC2" w14:textId="6BC62487" w:rsidR="000D5901" w:rsidRDefault="000D5901" w:rsidP="00746A54">
      <w:pPr>
        <w:tabs>
          <w:tab w:val="left" w:pos="240"/>
          <w:tab w:val="left" w:pos="264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2B743E17" w14:textId="539E4222" w:rsidR="00746A54" w:rsidRDefault="00746A54" w:rsidP="00746A54">
      <w:pPr>
        <w:tabs>
          <w:tab w:val="left" w:pos="240"/>
          <w:tab w:val="left" w:pos="264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795C006B" w14:textId="3D4517F6" w:rsidR="00746A54" w:rsidRDefault="00746A54" w:rsidP="00746A54">
      <w:pPr>
        <w:tabs>
          <w:tab w:val="left" w:pos="240"/>
          <w:tab w:val="left" w:pos="264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1EB50399" w14:textId="2E30AD4E" w:rsidR="00746A54" w:rsidRDefault="00746A54" w:rsidP="00746A54">
      <w:pPr>
        <w:tabs>
          <w:tab w:val="left" w:pos="240"/>
          <w:tab w:val="left" w:pos="264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1C755910" w14:textId="1F68027B" w:rsidR="00746A54" w:rsidRDefault="00746A54" w:rsidP="00746A54">
      <w:pPr>
        <w:tabs>
          <w:tab w:val="left" w:pos="240"/>
          <w:tab w:val="left" w:pos="264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7433ED04" w14:textId="2D489535" w:rsidR="00746A54" w:rsidRDefault="00746A54" w:rsidP="00746A54">
      <w:pPr>
        <w:tabs>
          <w:tab w:val="left" w:pos="240"/>
          <w:tab w:val="left" w:pos="264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5490D7B6" w14:textId="144DA22F" w:rsidR="00746A54" w:rsidRDefault="00746A54" w:rsidP="00746A54">
      <w:pPr>
        <w:tabs>
          <w:tab w:val="left" w:pos="240"/>
          <w:tab w:val="left" w:pos="264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0153A6B7" w14:textId="3153180B" w:rsidR="00746A54" w:rsidRDefault="00746A54" w:rsidP="00746A54">
      <w:pPr>
        <w:tabs>
          <w:tab w:val="left" w:pos="240"/>
          <w:tab w:val="left" w:pos="264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32CE6AC2" w14:textId="03630199" w:rsidR="00746A54" w:rsidRDefault="00746A54" w:rsidP="00EB3F84">
      <w:pPr>
        <w:tabs>
          <w:tab w:val="left" w:pos="240"/>
          <w:tab w:val="left" w:pos="264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08410DA6" w14:textId="77777777" w:rsidR="00083D29" w:rsidRDefault="00083D29" w:rsidP="00EB3F84">
      <w:pPr>
        <w:tabs>
          <w:tab w:val="left" w:pos="240"/>
          <w:tab w:val="left" w:pos="264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651EDEAB" w14:textId="56A8BFF9" w:rsidR="00F045E8" w:rsidRPr="00F045E8" w:rsidRDefault="00F045E8" w:rsidP="00EB3F84">
      <w:pPr>
        <w:tabs>
          <w:tab w:val="left" w:pos="240"/>
          <w:tab w:val="left" w:pos="264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  <w:r w:rsidRPr="00652F81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KONAČNI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 </w:t>
      </w:r>
      <w:r w:rsidRPr="00F04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PRIJEDLOG ZAKONA O PROVEDBI UREDBE (EU) 2019/1021 O POSTOJANIM ORGANSKIM ONEČIŠĆUJUĆIM TVARIMA</w:t>
      </w:r>
    </w:p>
    <w:p w14:paraId="60BAB422" w14:textId="5A9A0DD9" w:rsidR="00F045E8" w:rsidRDefault="00F045E8" w:rsidP="00EB3F84">
      <w:pPr>
        <w:tabs>
          <w:tab w:val="left" w:pos="240"/>
          <w:tab w:val="left" w:pos="264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6312217C" w14:textId="77777777" w:rsidR="00EB3F84" w:rsidRPr="002E0E0E" w:rsidRDefault="00EB3F84" w:rsidP="00EB3F84">
      <w:pPr>
        <w:tabs>
          <w:tab w:val="left" w:pos="240"/>
          <w:tab w:val="left" w:pos="264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40EDE7F8" w14:textId="77777777" w:rsidR="008C24B9" w:rsidRPr="0069781B" w:rsidRDefault="008C24B9" w:rsidP="00EB3F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I. OPĆE ODREDBE</w:t>
      </w:r>
    </w:p>
    <w:p w14:paraId="79E89B02" w14:textId="77777777" w:rsidR="00EB3F84" w:rsidRDefault="00EB3F84" w:rsidP="00EB3F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</w:pPr>
    </w:p>
    <w:p w14:paraId="01E8F0F6" w14:textId="2184ACDF" w:rsidR="008C24B9" w:rsidRPr="0069781B" w:rsidRDefault="008C24B9" w:rsidP="00EB3F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  <w:t>Svrha Zakona</w:t>
      </w:r>
    </w:p>
    <w:p w14:paraId="72FF5F36" w14:textId="77777777" w:rsidR="00EB3F84" w:rsidRDefault="00EB3F84" w:rsidP="00EB3F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070B501" w14:textId="68F0A539" w:rsidR="008C24B9" w:rsidRPr="0069781B" w:rsidRDefault="008C24B9" w:rsidP="00EB3F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9955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1.</w:t>
      </w:r>
    </w:p>
    <w:p w14:paraId="36EE911B" w14:textId="77777777" w:rsidR="00EB3F84" w:rsidRDefault="00EB3F84" w:rsidP="00EB3F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EDCC493" w14:textId="644B46F8" w:rsidR="008C24B9" w:rsidRPr="0069781B" w:rsidRDefault="008C24B9" w:rsidP="00EB3F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Ovim se Zakonom utvrđuju nadležna tijela i zadaće nadležnih tijela za provedbu sljedeć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eg ak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 Europske unije:</w:t>
      </w:r>
    </w:p>
    <w:p w14:paraId="566E2ABF" w14:textId="3E5CE40C" w:rsidR="008C24B9" w:rsidRDefault="008C24B9" w:rsidP="00EB3F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</w:t>
      </w:r>
      <w:r w:rsidRPr="00C216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Uredbe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</w:t>
      </w:r>
      <w:r w:rsidRPr="00C216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2019/1021 Europskoga parlamenta i Vijeća od 20. lipnja 2019. o postojanim organskim onečišćujućim tvarima (preinaka) (SL L 169, 25. 6. 2019.) (u daljnjem tekstu: Uredba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EU)</w:t>
      </w:r>
      <w:r w:rsidRPr="00C216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CA57CD3" w14:textId="77777777" w:rsidR="00EB3F84" w:rsidRPr="0069781B" w:rsidRDefault="00EB3F84" w:rsidP="00EB3F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B6AB814" w14:textId="77777777" w:rsidR="008C24B9" w:rsidRPr="0069781B" w:rsidRDefault="008C24B9" w:rsidP="004920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  <w:t>Pojmovi</w:t>
      </w:r>
    </w:p>
    <w:p w14:paraId="77C440DD" w14:textId="77777777" w:rsidR="00EB3F84" w:rsidRDefault="00EB3F84" w:rsidP="00EB3F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824B72D" w14:textId="6B495810" w:rsidR="008C24B9" w:rsidRPr="0069781B" w:rsidRDefault="008C24B9" w:rsidP="00EB3F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2.</w:t>
      </w:r>
    </w:p>
    <w:p w14:paraId="3F6EDEB9" w14:textId="77777777" w:rsidR="00EB3F84" w:rsidRDefault="00EB3F84" w:rsidP="00EB3F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3940002" w14:textId="0D382EFA" w:rsidR="008C24B9" w:rsidRPr="0069781B" w:rsidRDefault="008C24B9" w:rsidP="00EB3F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Pojmovi u smislu ovoga Zakona imaju jednako značenje kao pojmovi uporabljeni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Uredbi</w:t>
      </w:r>
      <w:r w:rsidRPr="00C216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EU)</w:t>
      </w:r>
      <w:r w:rsidRPr="00C216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CFECF65" w14:textId="77777777" w:rsidR="00EB3F84" w:rsidRDefault="00EB3F84" w:rsidP="00EB3F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1ACDFC9" w14:textId="77777777" w:rsidR="00EB3F84" w:rsidRDefault="00EB3F84" w:rsidP="00EB3F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FD10B37" w14:textId="5A85FFA2" w:rsidR="008C24B9" w:rsidRPr="0069781B" w:rsidRDefault="008C24B9" w:rsidP="00EB3F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II. NADLEŽNA TIJELA </w:t>
      </w:r>
    </w:p>
    <w:p w14:paraId="79D1500E" w14:textId="77777777" w:rsidR="00EB3F84" w:rsidRDefault="00EB3F84" w:rsidP="00EB3F8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p w14:paraId="11A8298E" w14:textId="270B5BE6" w:rsidR="008C24B9" w:rsidRPr="00F27B53" w:rsidRDefault="008C24B9" w:rsidP="00EB3F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</w:pPr>
      <w:r w:rsidRPr="00F27B53">
        <w:rPr>
          <w:rFonts w:ascii="Times New Roman" w:hAnsi="Times New Roman" w:cs="Times New Roman"/>
          <w:b/>
          <w:i/>
          <w:sz w:val="24"/>
          <w:szCs w:val="24"/>
        </w:rPr>
        <w:t>Nadležna tijela i stručna ustanova koja obavlja stručne poslove za nadležna tijela</w:t>
      </w:r>
      <w:r w:rsidRPr="00F27B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  <w:t xml:space="preserve"> </w:t>
      </w:r>
    </w:p>
    <w:p w14:paraId="38E0C670" w14:textId="77777777" w:rsidR="00EB3F84" w:rsidRDefault="00EB3F84" w:rsidP="00EB3F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B4EE7B3" w14:textId="75D9A01F" w:rsidR="008C24B9" w:rsidRPr="0069781B" w:rsidRDefault="008C24B9" w:rsidP="00EB3F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3.</w:t>
      </w:r>
    </w:p>
    <w:p w14:paraId="6445E7DF" w14:textId="77777777" w:rsidR="00EB3F84" w:rsidRDefault="00EB3F84" w:rsidP="00EB3F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D1BCA4C" w14:textId="067226C4" w:rsidR="008C24B9" w:rsidRPr="0069781B" w:rsidRDefault="008C24B9" w:rsidP="00EB3F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Nadležna tijela za provedbu 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Europske unije iz članka 1. ovoga Zakona i ovoga Zakona su tijela državne uprave nadležna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zdravstvo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poljoprivredu, gospodarstvo,</w:t>
      </w:r>
      <w:r w:rsidRPr="00CF5CC3">
        <w:t xml:space="preserve"> </w:t>
      </w:r>
      <w:r w:rsidRPr="00CF5C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zaštitu okoliša,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vodno gospodarstvo, šumarstvo, veterinarstvo te inspekcijski nadzor.</w:t>
      </w:r>
    </w:p>
    <w:p w14:paraId="47C396F9" w14:textId="77777777" w:rsidR="00EB3F84" w:rsidRDefault="00EB3F84" w:rsidP="00EB3F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E2C7A49" w14:textId="48B44B8F" w:rsidR="008C24B9" w:rsidRDefault="008C24B9" w:rsidP="00EB3F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Nadležna tijela iz stavka 1. ovoga članka u provedbi Uredbe 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 i ovoga Zakona surađuju s Hrvatskim zavodom za javno zdravstvo, Hrvatskim vodama, Hrvatskim šumama d.o.o., Hrvatskim šumarskim institutom i Hrvatskom agencijom za poljoprivredu i hranu.</w:t>
      </w:r>
    </w:p>
    <w:p w14:paraId="5E518DC9" w14:textId="77777777" w:rsidR="00EB3F84" w:rsidRDefault="00EB3F84" w:rsidP="00EB3F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B5C1099" w14:textId="43D85C16" w:rsidR="008C24B9" w:rsidRPr="00D55094" w:rsidRDefault="008C24B9" w:rsidP="00EB3F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</w:t>
      </w:r>
      <w:r w:rsidRPr="00D55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svrhu provedbe ovoga Zakona Hrvatski zavod za javno zdravstvo obavlja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sljedeće </w:t>
      </w:r>
      <w:r w:rsidRPr="00D55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stručne poslove:</w:t>
      </w:r>
    </w:p>
    <w:p w14:paraId="3D3B2493" w14:textId="77777777" w:rsidR="00EB3F84" w:rsidRDefault="00EB3F84" w:rsidP="00EB3F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5F57B66" w14:textId="0A322A4E" w:rsidR="008C24B9" w:rsidRPr="00D55094" w:rsidRDefault="008C24B9" w:rsidP="00EB3F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prikuplja</w:t>
      </w:r>
      <w:r w:rsidRPr="00D55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informacije u skladu s članko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 5. stavkom 2. Uredbe (EU) 2019/1021</w:t>
      </w:r>
      <w:r w:rsidRPr="00D55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prirodi i veličini zaliha od strane posjednika zaliha koje premašuju 50 kg, koja se sastoji od ili sadržava bilo koju od tvari navedenih u Prilogu I.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ili Prilogu II. Uredbe (EU) </w:t>
      </w:r>
      <w:r w:rsidRPr="00D55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2019/1021, a čija je uporaba dozvoljena te dostavlja tijelu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državne uprave </w:t>
      </w:r>
      <w:r w:rsidRPr="00D55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nadležnom za zaštitu okoliša za potrebe praćenja provedbe odnosno izvješćivanja sukladno članku </w:t>
      </w:r>
      <w:r w:rsidRPr="00EB3F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l3. stavku 1. </w:t>
      </w:r>
      <w:r w:rsidR="00FC5C23" w:rsidRPr="00EB3F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točki </w:t>
      </w:r>
      <w:r w:rsidR="00EB3F84" w:rsidRPr="00EB3F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Pr="00EB3F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</w:t>
      </w:r>
      <w:r w:rsidR="00EB3F84" w:rsidRPr="00EB3F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Uredbe (EU) 2019/1021</w:t>
      </w:r>
      <w:r w:rsidRPr="00D55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</w:t>
      </w:r>
      <w:r w:rsidRPr="00D55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tijelu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državne uprave </w:t>
      </w:r>
      <w:r w:rsidRPr="00D55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nadležnom za zdravstvo i tijelu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državne uprave</w:t>
      </w:r>
      <w:r w:rsidRPr="00D55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nadležnom za inspekcijski nadzor</w:t>
      </w:r>
    </w:p>
    <w:p w14:paraId="258BCC47" w14:textId="1AE82A6D" w:rsidR="008C24B9" w:rsidRPr="00D55094" w:rsidRDefault="008C24B9" w:rsidP="00EB3F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prikuplja podatke i informacije</w:t>
      </w:r>
      <w:r w:rsidRPr="00D55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godišnjoj osnovi sukladno članku 13.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stavku</w:t>
      </w:r>
      <w:r w:rsidRPr="00D55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</w:t>
      </w:r>
      <w:r w:rsidR="00FC5C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točki </w:t>
      </w:r>
      <w:r w:rsidR="00EB3F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FC5C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</w:t>
      </w:r>
      <w:r w:rsidR="00EB3F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D55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Uredbe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(EU) 2019/1021</w:t>
      </w:r>
      <w:r w:rsidRPr="00D55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potrebe 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aćenja provedbe i izvješćivanja</w:t>
      </w:r>
      <w:r w:rsidRPr="00D55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dostavlja tijelu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državne uprave</w:t>
      </w:r>
      <w:r w:rsidRPr="00D55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nadležnom za zaštitu okoliša, </w:t>
      </w:r>
      <w:r w:rsidRPr="00D55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tijelu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državne uprave</w:t>
      </w:r>
      <w:r w:rsidRPr="00D55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nadležnom za zdravstvo i tijelu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državne uprave</w:t>
      </w:r>
      <w:r w:rsidRPr="00D55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nadležnom za inspekcijski nadzor</w:t>
      </w:r>
    </w:p>
    <w:p w14:paraId="7E95CB98" w14:textId="77777777" w:rsidR="00EB3F84" w:rsidRDefault="00EB3F84" w:rsidP="00EB3F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F28798F" w14:textId="13A0477E" w:rsidR="008C24B9" w:rsidRDefault="008C24B9" w:rsidP="00EB3F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</w:t>
      </w:r>
      <w:r w:rsidRPr="00D55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potrebe izvješćivanja na svojim službenim mrežnim stranicama objavljuje upute i obrasce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provedbu Uredbe (EU) </w:t>
      </w:r>
      <w:r w:rsidRPr="00D55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2019/1021.</w:t>
      </w:r>
    </w:p>
    <w:p w14:paraId="06E35A69" w14:textId="77777777" w:rsidR="00903440" w:rsidRPr="0069781B" w:rsidRDefault="00903440" w:rsidP="00EB3F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2711FA2" w14:textId="77777777" w:rsidR="00B82EDC" w:rsidRPr="00296948" w:rsidRDefault="00B82EDC" w:rsidP="00B82E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</w:pPr>
      <w:r w:rsidRPr="002969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  <w:t>Poslovi tijela državne uprave nadležnog za zdravstvo</w:t>
      </w:r>
    </w:p>
    <w:p w14:paraId="1ED6C264" w14:textId="77777777" w:rsidR="00903440" w:rsidRDefault="00903440" w:rsidP="009034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246BE05" w14:textId="0366EE75" w:rsidR="008C24B9" w:rsidRPr="0069781B" w:rsidRDefault="008C24B9" w:rsidP="009034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C86E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4.</w:t>
      </w:r>
    </w:p>
    <w:p w14:paraId="415C1EA7" w14:textId="77777777" w:rsidR="00903440" w:rsidRDefault="00903440" w:rsidP="009034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EF474B9" w14:textId="739F4D0F" w:rsidR="008C24B9" w:rsidRPr="00A44056" w:rsidRDefault="008C24B9" w:rsidP="009034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Pr="00A440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Tijelo državne uprave nadležno za zdravstvo 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svrhu provedbe Uredbe (EU) 2019/1021 obavlja sl</w:t>
      </w:r>
      <w:r w:rsidRPr="00A440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jedeće poslove:</w:t>
      </w:r>
    </w:p>
    <w:p w14:paraId="059F8B00" w14:textId="77777777" w:rsidR="00903440" w:rsidRDefault="00903440" w:rsidP="009034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32EABCF" w14:textId="60408370" w:rsidR="008C24B9" w:rsidRPr="00A44056" w:rsidRDefault="008C24B9" w:rsidP="009034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40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l. sudjeluje s Europskom komisijom, Europskom agencijom za kemikalije i drugim državama članicama u provedbi aktivnosti sukladno članku 3. stavcima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3., 4. i 5. Uredbe (EU) </w:t>
      </w:r>
      <w:r w:rsidRPr="00A440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2019/1021.</w:t>
      </w:r>
    </w:p>
    <w:p w14:paraId="5B2EF954" w14:textId="77777777" w:rsidR="00903440" w:rsidRDefault="00903440" w:rsidP="009034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081EC6D" w14:textId="25FF4046" w:rsidR="008C24B9" w:rsidRPr="00A44056" w:rsidRDefault="008C24B9" w:rsidP="009034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40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razmatra dozvoljavanje proizvodnje i uporabu tvari u skladu s člankom 4. stavkom 3. Uredbe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(EU) </w:t>
      </w:r>
      <w:r w:rsidRPr="00A440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2019/1021 te u slučaju dozvoljavanja obavještava tijelo nadležno za zaštitu okoliša, koje to prijavljuje Tajništvu Konvencije te za potrebe praćenja provedbe, odnosno izvješćivanja sukladno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članku 13. stavku 1</w:t>
      </w:r>
      <w:r w:rsidRPr="00A440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točki </w:t>
      </w:r>
      <w:r w:rsidR="009034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Pr="00A440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</w:t>
      </w:r>
      <w:r w:rsidR="009034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903440" w:rsidRPr="009034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034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Uredbe (EU) </w:t>
      </w:r>
      <w:r w:rsidR="00903440" w:rsidRPr="00A440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</w:p>
    <w:p w14:paraId="35E1CF1E" w14:textId="77777777" w:rsidR="00903440" w:rsidRDefault="00903440" w:rsidP="009034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35815B2" w14:textId="46999BCD" w:rsidR="008C24B9" w:rsidRPr="00A44056" w:rsidRDefault="008C24B9" w:rsidP="009034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40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razmjenjuje informacije s Europskom komisijom, Europskom agencijom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kemikalije i državama članicama</w:t>
      </w:r>
      <w:r w:rsidRPr="00A440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trećim državama sukladno članku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11. Uredbe (EU) </w:t>
      </w:r>
      <w:r w:rsidRPr="00A440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</w:p>
    <w:p w14:paraId="06A9ED97" w14:textId="77777777" w:rsidR="00B32F8C" w:rsidRDefault="00B32F8C" w:rsidP="009034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545307F" w14:textId="3AA27D33" w:rsidR="008C24B9" w:rsidRDefault="008C24B9" w:rsidP="009034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40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 surađuje u davanju tehničke pomoći sukl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adno članku 12. Uredbe (EU) </w:t>
      </w:r>
      <w:r w:rsidRPr="00A440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2019/1021. </w:t>
      </w:r>
    </w:p>
    <w:p w14:paraId="262FC12F" w14:textId="77777777" w:rsidR="00A7232C" w:rsidRDefault="00A7232C" w:rsidP="009034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A624204" w14:textId="53635E91" w:rsidR="008C24B9" w:rsidRPr="0069781B" w:rsidRDefault="008C24B9" w:rsidP="009034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 w:rsidRPr="00A440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Tijelo državne uprave iz stavka l. ovoga članka surađuje s Hrvatskim zavodom za javno zdravstvo i tijelom državne uprave nadležnim za zaštitu okoliša u provedbi Uredb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 (EU)</w:t>
      </w:r>
      <w:r w:rsidRPr="00A440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 te ostalim tijelima nadležnim za pro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vedbu Uredbe (EU) 2019/1021</w:t>
      </w: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8A978B2" w14:textId="77777777" w:rsidR="00B82EDC" w:rsidRDefault="00B82EDC" w:rsidP="00B82E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</w:pPr>
    </w:p>
    <w:p w14:paraId="718F329E" w14:textId="47FA4EAF" w:rsidR="00B82EDC" w:rsidRPr="00296948" w:rsidRDefault="00B82EDC" w:rsidP="00B82E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</w:pPr>
      <w:r w:rsidRPr="002969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  <w:t>Poslovi tijela državne uprave nadležnog za poljoprivredu</w:t>
      </w:r>
    </w:p>
    <w:p w14:paraId="41CEB08D" w14:textId="36844C47" w:rsidR="00A7232C" w:rsidRDefault="00A7232C" w:rsidP="00B82E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568B710A" w14:textId="4D549B17" w:rsidR="008C24B9" w:rsidRPr="0069781B" w:rsidRDefault="008C24B9" w:rsidP="009034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5.</w:t>
      </w:r>
    </w:p>
    <w:p w14:paraId="1B15DD0D" w14:textId="77777777" w:rsidR="00A7232C" w:rsidRDefault="00A7232C" w:rsidP="009034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E7C6174" w14:textId="0E9F94A3" w:rsidR="008C24B9" w:rsidRPr="0069781B" w:rsidRDefault="008C24B9" w:rsidP="009034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ijelo državne uprave nadležno za poljoprivredu u svrhu provedbe Uredbe </w:t>
      </w:r>
      <w:r w:rsidRP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(EU) 2019/1021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obavlja sljedeće poslove:</w:t>
      </w:r>
    </w:p>
    <w:p w14:paraId="33512E5A" w14:textId="77777777" w:rsidR="00A7232C" w:rsidRDefault="00A7232C" w:rsidP="009034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4B36A4B" w14:textId="462F37A0" w:rsidR="008C24B9" w:rsidRPr="005B3CC4" w:rsidRDefault="008C24B9" w:rsidP="009034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sudjeluje s Europskom komisijom, </w:t>
      </w: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Europskom agencijom za kemikalije i drugim državama članicama u uspostavi programa praćenja onečišćenja tla sukladno članku 10. Uredbe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</w:p>
    <w:p w14:paraId="3C705C2A" w14:textId="77777777" w:rsidR="00A7232C" w:rsidRDefault="00A7232C" w:rsidP="009034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01A034" w14:textId="4E8CD639" w:rsidR="008C24B9" w:rsidRPr="005B3CC4" w:rsidRDefault="008C24B9" w:rsidP="009034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razmjenjuje informacije s Europskom komisijom, Europskom agencijom za kemikalije i državama članicama te trećim državama sukladno članku 11. Uredbe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</w:p>
    <w:p w14:paraId="1021D30D" w14:textId="77777777" w:rsidR="00A7232C" w:rsidRDefault="00A7232C" w:rsidP="009034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36BC662" w14:textId="1C875DAF" w:rsidR="008C24B9" w:rsidRPr="0069781B" w:rsidRDefault="008C24B9" w:rsidP="009034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surađuje u davanju tehničke pomoći sukladno članku 12. Uredbe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7AB09B0" w14:textId="77777777" w:rsidR="00B82EDC" w:rsidRDefault="00B82EDC" w:rsidP="00B82E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</w:pPr>
    </w:p>
    <w:p w14:paraId="6533023B" w14:textId="4CC75F97" w:rsidR="00B82EDC" w:rsidRDefault="00B82EDC" w:rsidP="00B82E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  <w:t>Poslovi tijela državne uprave nadležnog za gospodarstvo</w:t>
      </w:r>
    </w:p>
    <w:p w14:paraId="70B7995C" w14:textId="77777777" w:rsidR="00BB5D04" w:rsidRDefault="00BB5D04" w:rsidP="00BB5D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58A648C2" w14:textId="5EC618F0" w:rsidR="008C24B9" w:rsidRPr="0069781B" w:rsidRDefault="008C24B9" w:rsidP="00BB5D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6.</w:t>
      </w:r>
    </w:p>
    <w:p w14:paraId="0BBC9031" w14:textId="77777777" w:rsidR="00BB5D04" w:rsidRDefault="00BB5D04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E422C4A" w14:textId="19B339C9" w:rsidR="008C24B9" w:rsidRPr="0069781B" w:rsidRDefault="008C24B9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ijelo državne uprave nadležno za gospodarstvo u svrhu provedbe Uredbe 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 obavlja sljedeće poslove:</w:t>
      </w:r>
    </w:p>
    <w:p w14:paraId="50BD89A6" w14:textId="77777777" w:rsidR="00BB5D04" w:rsidRDefault="00BB5D04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BAA0FB7" w14:textId="0994D00C" w:rsidR="008C24B9" w:rsidRPr="0069781B" w:rsidRDefault="008C24B9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razmjenjuje informacije s Europskom komisijom, </w:t>
      </w: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Europskom agencijom za kemikalije,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državama članicama te</w:t>
      </w: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trećim državama sukladno članku 11.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Uredbe 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</w:p>
    <w:p w14:paraId="25A6F4AE" w14:textId="77777777" w:rsidR="00BB5D04" w:rsidRDefault="00BB5D04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629AAA2" w14:textId="0A1368C5" w:rsidR="008C24B9" w:rsidRPr="0069781B" w:rsidRDefault="008C24B9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2. surađuje u davanju tehničke pomoći </w:t>
      </w: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članku 12.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Uredbe 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2019/1021.</w:t>
      </w:r>
    </w:p>
    <w:p w14:paraId="416A9122" w14:textId="77777777" w:rsidR="00B82EDC" w:rsidRDefault="00B82EDC" w:rsidP="00B82E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</w:pPr>
    </w:p>
    <w:p w14:paraId="0A4FD2CB" w14:textId="3E4392FC" w:rsidR="00B82EDC" w:rsidRPr="00296948" w:rsidRDefault="00B82EDC" w:rsidP="00B82E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</w:pPr>
      <w:r w:rsidRPr="002969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  <w:t>Poslovi tijela državne uprave nadležnog za zaštitu okoliša</w:t>
      </w:r>
    </w:p>
    <w:p w14:paraId="7ECED94E" w14:textId="77777777" w:rsidR="00BB5D04" w:rsidRDefault="00BB5D04" w:rsidP="00BB5D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783E9D0" w14:textId="25EC8C4B" w:rsidR="008C24B9" w:rsidRPr="0069781B" w:rsidRDefault="008C24B9" w:rsidP="00BB5D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7.</w:t>
      </w:r>
    </w:p>
    <w:p w14:paraId="71AF6D81" w14:textId="77777777" w:rsidR="00BB5D04" w:rsidRDefault="00BB5D04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AAD85B0" w14:textId="6B1A7961" w:rsidR="008C24B9" w:rsidRPr="005614F3" w:rsidRDefault="008C24B9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ijelo državne uprave nadležno za zaštitu okoliša u svrhu provedbe Uredbe 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 obavlja sljedeće poslove:</w:t>
      </w:r>
    </w:p>
    <w:p w14:paraId="0D0F01A3" w14:textId="77777777" w:rsidR="00BB5D04" w:rsidRDefault="00BB5D04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DEE8276" w14:textId="47D04EB5" w:rsidR="008C24B9" w:rsidRPr="005614F3" w:rsidRDefault="008C24B9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izrađuje i dostavlja akcijski plan za smanjenje ispuštanja u sastavnice okoliša Europskoj komisiji, Europskoj agenciji za kemikalije i drugim državama članicama sukladno članku 6. stavku 2. Uredbe 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</w:p>
    <w:p w14:paraId="3E60B1C7" w14:textId="77777777" w:rsidR="00BB5D04" w:rsidRDefault="00BB5D04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0FB452" w14:textId="1D684B8D" w:rsidR="008C24B9" w:rsidRPr="005614F3" w:rsidRDefault="008C24B9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izdaje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rješenja u okviru postupaka procjene odnosno ocjene o potrebi procjene utjecaja zahvata na okoliš 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prema propisu kojim se uređuje zaštita okoliša uzimajući u obzir odredbu članka 6. stavka 3. Uredbe 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</w:p>
    <w:p w14:paraId="675A68A8" w14:textId="77777777" w:rsidR="00BB5D04" w:rsidRDefault="00BB5D04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F858442" w14:textId="452712E0" w:rsidR="008C24B9" w:rsidRPr="005614F3" w:rsidRDefault="008C24B9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izdaje dozvole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gospodarenje otpadom prema propisu kojim </w:t>
      </w:r>
      <w:r w:rsidR="00524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 uređuje gospodarenje otpadom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uzimajući u obzir odredbe članka 7. Uredbe 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</w:p>
    <w:p w14:paraId="65B05081" w14:textId="77777777" w:rsidR="00BB5D04" w:rsidRDefault="00BB5D04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02FA2FA" w14:textId="070BED20" w:rsidR="008C24B9" w:rsidRPr="005614F3" w:rsidRDefault="008C24B9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razmjenjuje informacije o sadržaju provedbenih planova i izrađene planove dostavlja Europskoj komisiji, Europskoj agenciji za kemikalije i drugim državama članicama sukladno članku 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Uredbe (EU)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</w:p>
    <w:p w14:paraId="35916D68" w14:textId="77777777" w:rsidR="00BB5D04" w:rsidRDefault="00BB5D04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E8C4A35" w14:textId="6F949E9E" w:rsidR="008C24B9" w:rsidRPr="005614F3" w:rsidRDefault="008C24B9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sudjeluje s Europskom komisijom, Europskom agencijom za kemikalije i drugim državama članicama u uspostavi programa praćenja okoliša sukladno članku 10. Uredbe 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</w:p>
    <w:p w14:paraId="5F7C521A" w14:textId="77777777" w:rsidR="00BB5D04" w:rsidRDefault="00BB5D04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70790A0" w14:textId="339603DE" w:rsidR="008C24B9" w:rsidRPr="005614F3" w:rsidRDefault="008C24B9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razmjenjuje informacije s Europskom komisijom, Europskom agencijom za kemikalije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državama članicama te trećim državama sukladno članku 11. Uredbe 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</w:p>
    <w:p w14:paraId="26EC94C3" w14:textId="77777777" w:rsidR="00BB5D04" w:rsidRDefault="00BB5D04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843F489" w14:textId="1D1F27DA" w:rsidR="008C24B9" w:rsidRDefault="008C24B9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surađuje u davanju tehničke pomoći sukladno članku 12. Uredbe 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</w:p>
    <w:p w14:paraId="36709B2C" w14:textId="77777777" w:rsidR="00BB5D04" w:rsidRDefault="00BB5D04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208FE43" w14:textId="455C33A8" w:rsidR="008C24B9" w:rsidRDefault="008C24B9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8. prikuplja podatke iz nadležnosti tijela državne uprave </w:t>
      </w:r>
      <w:r w:rsidRPr="00B677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članka 3. stavka 1. ovoga Zakona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677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koji su potrebni za ispunjavanje obveza iz članka 13. stavka 1. </w:t>
      </w:r>
      <w:r w:rsidR="00BB5D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točaka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BB5D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BB5D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</w:t>
      </w:r>
      <w:r w:rsidR="00BB5D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BB5D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</w:t>
      </w:r>
      <w:r w:rsidR="00BB5D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BB5D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</w:t>
      </w:r>
      <w:r w:rsidR="00BB5D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BB5D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BB5D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BB5D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</w:t>
      </w:r>
      <w:r w:rsidR="00BB5D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B677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Uredbe (EU) 2019/1021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CD9A238" w14:textId="77777777" w:rsidR="00BB5D04" w:rsidRPr="005614F3" w:rsidRDefault="00BB5D04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E0F5004" w14:textId="449EF6F2" w:rsidR="008C24B9" w:rsidRDefault="008C24B9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F964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ijelo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državne uprave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stavka 1. ovoga članka surađuje sa svim tijelima državne uprave iz članka 3. stavka 1. ovoga Zakona u provedbi Uredbe 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2019/1021.</w:t>
      </w:r>
    </w:p>
    <w:p w14:paraId="21748CEA" w14:textId="77777777" w:rsidR="00BB5D04" w:rsidRDefault="00BB5D04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C7D9714" w14:textId="02FC5A4B" w:rsidR="008C24B9" w:rsidRPr="005614F3" w:rsidRDefault="008C24B9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F964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</w:t>
      </w:r>
      <w:r w:rsidR="00F964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ijelo 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državne uprave nadležno za vodno gospodarstvo za provedbu Uredbe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obavlja sljedeće poslove:</w:t>
      </w:r>
    </w:p>
    <w:p w14:paraId="13547421" w14:textId="77777777" w:rsidR="00BB5D04" w:rsidRDefault="00BB5D04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91983C7" w14:textId="74DA8823" w:rsidR="008C24B9" w:rsidRPr="005614F3" w:rsidRDefault="008C24B9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sudjeluje s Europskom komisijom, Europskom agencijom za kemikalije i drugim državama članicama u uspostavi programa praćenja stanja voda sukladno članku 10. Uredbe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</w:p>
    <w:p w14:paraId="7AB4B0CC" w14:textId="77777777" w:rsidR="00BB5D04" w:rsidRDefault="00BB5D04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2E134E5" w14:textId="55E7AFDB" w:rsidR="008C24B9" w:rsidRPr="005614F3" w:rsidRDefault="008C24B9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razmjenjuje informacije s Europskom komisijom, Europskom agencijom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kemikalije,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državama članicama te trećim državama sukladno članku 11. Uredbe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</w:p>
    <w:p w14:paraId="7A2BCBBD" w14:textId="77777777" w:rsidR="00BB5D04" w:rsidRDefault="00BB5D04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4B71998" w14:textId="703346B0" w:rsidR="008C24B9" w:rsidRPr="0069781B" w:rsidRDefault="008C24B9" w:rsidP="00BB5D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surađuje u davanju tehničke pomoći sukladno članku 12. Uredbe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481D361" w14:textId="77777777" w:rsidR="00B82EDC" w:rsidRDefault="00B82EDC" w:rsidP="00B82E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</w:pPr>
    </w:p>
    <w:p w14:paraId="37640961" w14:textId="17A9B497" w:rsidR="00B82EDC" w:rsidRPr="00296948" w:rsidRDefault="00B82EDC" w:rsidP="00B82E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</w:pPr>
      <w:r w:rsidRPr="002969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  <w:t>Poslovi tijela državne uprave nadležnog za inspekcijski nadzor</w:t>
      </w:r>
    </w:p>
    <w:p w14:paraId="62B83A53" w14:textId="77777777" w:rsidR="001F7D26" w:rsidRDefault="001F7D26" w:rsidP="001F7D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F5DC558" w14:textId="48077FA2" w:rsidR="008C24B9" w:rsidRPr="00C340B9" w:rsidRDefault="008C24B9" w:rsidP="001F7D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8.</w:t>
      </w:r>
    </w:p>
    <w:p w14:paraId="77FA36AF" w14:textId="77777777" w:rsidR="001F7D26" w:rsidRDefault="001F7D26" w:rsidP="001F7D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B6894BE" w14:textId="5813503E" w:rsidR="008C24B9" w:rsidRPr="00C340B9" w:rsidRDefault="008C24B9" w:rsidP="001F7D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34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Tijelo državne uprave nadležno za inspekcijski nadzor u svrhu provedbe 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redbe (EU) 2019/1021 obavlja sl</w:t>
      </w:r>
      <w:r w:rsidRPr="00C34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jedeće poslove:</w:t>
      </w:r>
    </w:p>
    <w:p w14:paraId="0B5F0D8D" w14:textId="77777777" w:rsidR="001F7D26" w:rsidRDefault="001F7D26" w:rsidP="001F7D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61EF359" w14:textId="76274294" w:rsidR="008C24B9" w:rsidRPr="00C340B9" w:rsidRDefault="008C24B9" w:rsidP="001F7D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l. n</w:t>
      </w:r>
      <w:r w:rsidRPr="00C34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adzire uporabu tvari i proizvodnju proizvoda sukladno članku 4. stavku 2. Uredbe (EU) 2019/1021 i obavještava tijelo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državne uprave </w:t>
      </w:r>
      <w:r w:rsidRPr="00C34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nadležno za zaštitu okoliša koje o tome obavješ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tava</w:t>
      </w:r>
      <w:r w:rsidRPr="00C34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Europsku k</w:t>
      </w:r>
      <w:r w:rsidRPr="00C34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omisiju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Europsku a</w:t>
      </w:r>
      <w:r w:rsidRPr="00C34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genciju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kemikalije</w:t>
      </w:r>
      <w:r w:rsidRPr="00C34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za 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trebe praćenja provedbe odnosno </w:t>
      </w:r>
      <w:r w:rsidRPr="00C34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izvješćivanja sukladno članku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stavku l. točki </w:t>
      </w:r>
      <w:r w:rsidR="001F7D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</w:t>
      </w:r>
      <w:r w:rsidR="001F7D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Uredbe (EU) </w:t>
      </w:r>
      <w:r w:rsidRPr="00C34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</w:p>
    <w:p w14:paraId="6A0AE3B8" w14:textId="77777777" w:rsidR="001F7D26" w:rsidRDefault="001F7D26" w:rsidP="001F7D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C6A6B42" w14:textId="5C743CF6" w:rsidR="008C24B9" w:rsidRDefault="008C24B9" w:rsidP="001F7D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n</w:t>
      </w:r>
      <w:r w:rsidRPr="00C34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adzire uporabu i upravljanje prijavljenim zalihama za tvari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Priloga I. i II.</w:t>
      </w:r>
      <w:r w:rsidRPr="00C34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sukladno član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ku 5. stavcima 1. i 3. Uredbe (EU) 2019/1021</w:t>
      </w:r>
    </w:p>
    <w:p w14:paraId="359D1A9C" w14:textId="77777777" w:rsidR="00180B64" w:rsidRDefault="00180B64" w:rsidP="001F7D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9A19939" w14:textId="3642A412" w:rsidR="008C24B9" w:rsidRPr="00C340B9" w:rsidRDefault="008C24B9" w:rsidP="001F7D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prati provođenje mjera gospodarenja otpadom sukladno članku 7. Uredbe 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3D606DE" w14:textId="77777777" w:rsidR="00180B64" w:rsidRDefault="00180B64" w:rsidP="001F7D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77FD5CF" w14:textId="1BA9CF7E" w:rsidR="008C24B9" w:rsidRDefault="008C24B9" w:rsidP="001F7D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34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Tijelo državne uprave iz stavka l. ovoga članka surađuje s Hrvatskim zavodom za javno zdravstvo, tijelom državne uprave nadležnim za zaštitu okoliša i tijelom državne uprave nadležnim za zdravstvo u provedbi Uredbe (EU) 2019/1021 te ostalim tijelima nadležnim za provedbu Uredbe (EU)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2019/1021.</w:t>
      </w:r>
    </w:p>
    <w:p w14:paraId="5C89DB48" w14:textId="77777777" w:rsidR="00083D13" w:rsidRPr="0069781B" w:rsidRDefault="00083D13" w:rsidP="001F7D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E3A1F39" w14:textId="17E15B55" w:rsidR="008C24B9" w:rsidRPr="0072378D" w:rsidRDefault="008C24B9" w:rsidP="001F7D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</w:pPr>
      <w:r w:rsidRPr="0072378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  <w:t>Kontrola proiz</w:t>
      </w:r>
      <w:r w:rsidR="00083D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  <w:t xml:space="preserve">vodnje, stavljanja na tržište i </w:t>
      </w:r>
      <w:r w:rsidRPr="0072378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  <w:t>uporabe, zalihe i gospodarenje otpadom</w:t>
      </w:r>
    </w:p>
    <w:p w14:paraId="64A116A2" w14:textId="77777777" w:rsidR="00083D13" w:rsidRDefault="00083D13" w:rsidP="001F7D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6CC89F3" w14:textId="73C195EA" w:rsidR="008C24B9" w:rsidRPr="0069781B" w:rsidRDefault="008C24B9" w:rsidP="001F7D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Pr="006D26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9.</w:t>
      </w:r>
    </w:p>
    <w:p w14:paraId="51A31394" w14:textId="77777777" w:rsidR="00083D13" w:rsidRDefault="00083D13" w:rsidP="001F7D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FD50A9D" w14:textId="001C1D77" w:rsidR="008C24B9" w:rsidRDefault="008C24B9" w:rsidP="00083D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Pr="004F2A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Zabranjuje se proizvodnja, stavljanje na tržište i uporaba tvari navedenih u Prilogu 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4F2A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Uredbe (EU) 2019/1021, zasebno, u smjesama ili u proizvodima, </w:t>
      </w:r>
      <w:r w:rsidRPr="003768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izuzev primjene sukladno članku 4. Uredbe (EU) 2019/1021 (članak 3. stavak 1. Uredbe (EU) 2019/1021)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433F5B2" w14:textId="77777777" w:rsidR="00083D13" w:rsidRDefault="00083D13" w:rsidP="001F7D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B0512FD" w14:textId="1C9FA970" w:rsidR="008C24B9" w:rsidRDefault="008C24B9" w:rsidP="001F7D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 w:rsidRPr="003768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Posjednik zalihe koja se sastoji od ili sadržava bilo koju od tvari navedenih u Prilogu I. ili Prilogu II.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F73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Uredbe (EU) 2019/1021</w:t>
      </w:r>
      <w:r w:rsidRPr="003768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čija uporaba nije dozvoljena, mora tom zalihom upravljati kao da se radi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otpadu, </w:t>
      </w:r>
      <w:r w:rsidRPr="003768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članku 7. Uredbe (EU) 2019/1021 (članak 5. stavak 1. Uredbe (EU) 2019/1021)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93623D8" w14:textId="77777777" w:rsidR="00083D13" w:rsidRDefault="00083D13" w:rsidP="001F7D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CB6213E" w14:textId="70312A71" w:rsidR="008C24B9" w:rsidRDefault="008C24B9" w:rsidP="001F7D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(3) </w:t>
      </w:r>
      <w:r w:rsidRPr="00DD54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Posjednik zalihe koja premašuje 50 kg, koja se sastoji od ili sadržava bilo koju od tvari navedenih u Prilogu I. ili Prilogu II.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DD54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Uredbe (EU) 2019/1021, a čija je uporaba dozvoljena, dostavlja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Hrvatskom zavodu</w:t>
      </w:r>
      <w:r w:rsidRPr="005648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javno zdravstvo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informacije </w:t>
      </w:r>
      <w:r w:rsidRPr="00DD54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prirodi i veličini te zalihe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I</w:t>
      </w:r>
      <w:r w:rsidRPr="005D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nformacije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</w:t>
      </w:r>
      <w:r w:rsidRPr="005D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dostavljaju u roku od 12 mjeseci od datuma kada se Uredba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5D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(EU) 2019/1021</w:t>
      </w:r>
      <w:r w:rsidR="002E05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počne primjenjivati na tu tvar</w:t>
      </w:r>
      <w:r w:rsidRPr="005D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nakon relevantnih izmjena Priloga I. ili Priloga II., a zatim svake godine do isteka krajnjeg roka za ograničenu uporabu koji je naveden u Prilogu I. ili Prilogu II.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5D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5D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(EU) 2019/1021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5D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(članak 5. stavak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5D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Uredbe (EU) 2019/1021)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801DB93" w14:textId="77777777" w:rsidR="00083D13" w:rsidRDefault="00083D13" w:rsidP="001F7D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2261D3E" w14:textId="12AAA829" w:rsidR="008C24B9" w:rsidRDefault="008C24B9" w:rsidP="001F7D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(4) </w:t>
      </w:r>
      <w:r w:rsidRPr="005D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Proizvođači i posjednici otpada moraju učiniti sve što je u njihovoj moći da izbjegnu, </w:t>
      </w:r>
      <w:r w:rsidR="00BB3F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ako je to izvedivo,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onečišćenje </w:t>
      </w:r>
      <w:r w:rsidRPr="005D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tog otpada tvarima navedenima u Prilogu IV.</w:t>
      </w:r>
      <w:r w:rsidRPr="005D6898">
        <w:t xml:space="preserve"> </w:t>
      </w:r>
      <w:r w:rsidRPr="005D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redbe (EU) 2019/1021 </w:t>
      </w:r>
      <w:r w:rsidRPr="005D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(članak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5D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Uredbe (EU) 2019/1021)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ABEFEAC" w14:textId="77777777" w:rsidR="00083D13" w:rsidRDefault="00083D13" w:rsidP="001F7D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B3CA593" w14:textId="7F695CC2" w:rsidR="008C24B9" w:rsidRDefault="008C24B9" w:rsidP="001F7D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(5) O</w:t>
      </w:r>
      <w:r w:rsidRPr="004A13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tpad koji se sastoji, sadrž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4A13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je onečišćen bilo kojom od tvari navedenih u Prilogu IV. Uredb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 </w:t>
      </w:r>
      <w:r w:rsidR="00BB3F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(EU) 2019/1021) </w:t>
      </w:r>
      <w:r w:rsidRPr="004A13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mora se zbrinuti ili oporabiti bez odgode u skladu s </w:t>
      </w:r>
      <w:r w:rsidRPr="00083D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Prilogom V. </w:t>
      </w:r>
      <w:r w:rsidR="00083D13" w:rsidRPr="00083D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dijelom </w:t>
      </w:r>
      <w:r w:rsidRPr="00083D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Uredbe </w:t>
      </w:r>
      <w:r w:rsidR="00BB3FF0" w:rsidRPr="00083D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(EU) 2019/1021, </w:t>
      </w:r>
      <w:r w:rsidRPr="00083D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način kojim se osigurava da</w:t>
      </w:r>
      <w:r w:rsidRPr="004A13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sadržaj postojanih organskih onečišćujućih tvari uništi ili nepovratno transformira, tako da preostali otpad i ispuštanja ne pokazuju svojstva postojanih organskih onečišćujućih tvari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4A13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propisanim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odredbama članka 7. stavka 4. točkama </w:t>
      </w:r>
      <w:r w:rsidR="005A0C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Pr="004A13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5A0C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4A13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5A0C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Pr="004A13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</w:t>
      </w:r>
      <w:r w:rsidR="005A0C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4A13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Uredbe (EU) 2019/1021 (članak 7. stavak 2. Uredbe (EU) 2019/1021)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CAEE00B" w14:textId="77777777" w:rsidR="005A0C29" w:rsidRDefault="005A0C29" w:rsidP="001F7D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0A8A7E9" w14:textId="609A33C8" w:rsidR="008C24B9" w:rsidRDefault="008C24B9" w:rsidP="001910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(6) </w:t>
      </w:r>
      <w:r w:rsidRPr="00E80B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Zabranjuju se postupci zbrinjavanja ili oporabe koji mogu dovesti do oporabe, recikliranja, regeneracije ili ponovne uporabe tvari navedenih u Prilogu IV</w:t>
      </w:r>
      <w:r w:rsidR="00D812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E80B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Uredbe (EU) 2019/1021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samostalnom obliku.</w:t>
      </w:r>
    </w:p>
    <w:p w14:paraId="58324CB4" w14:textId="77777777" w:rsidR="001910CE" w:rsidRDefault="001910CE" w:rsidP="001910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</w:pPr>
    </w:p>
    <w:p w14:paraId="613E4F43" w14:textId="77777777" w:rsidR="008C24B9" w:rsidRPr="0069781B" w:rsidRDefault="008C24B9" w:rsidP="001910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  <w:t>Izvješćivanje</w:t>
      </w:r>
    </w:p>
    <w:p w14:paraId="70A52C4C" w14:textId="77777777" w:rsidR="001910CE" w:rsidRDefault="001910CE" w:rsidP="001910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E73B155" w14:textId="1D8ACB47" w:rsidR="008C24B9" w:rsidRPr="0069781B" w:rsidRDefault="008C24B9" w:rsidP="001910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10</w:t>
      </w: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15F1F8F9" w14:textId="77777777" w:rsidR="001910CE" w:rsidRDefault="001910CE" w:rsidP="001910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766CFB7" w14:textId="66735AD0" w:rsidR="008C24B9" w:rsidRPr="0069781B" w:rsidRDefault="008C24B9" w:rsidP="001910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ijelo državne uprave nadležno za zaštitu okoliša vodi Informacijski sustav zaštite okoliša koji između ostalog sadrži i podatke za ispunjavanje obveza propisanih člankom 6. stavkom 1. i </w:t>
      </w:r>
      <w:r w:rsidRPr="00C86E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člankom 10.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Uredbe 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2019/1021, a vezano uz praćenje onečišćujućih tvari u okolišu iz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Priloga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III. </w:t>
      </w:r>
      <w:r w:rsidR="001910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dijela A</w:t>
      </w:r>
      <w:r w:rsidR="001910CE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Uredbe 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2019/1021.</w:t>
      </w:r>
    </w:p>
    <w:p w14:paraId="6FBBB682" w14:textId="77777777" w:rsidR="00E32388" w:rsidRDefault="00E32388" w:rsidP="001910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E3B5E0C" w14:textId="0BF29AEC" w:rsidR="008C24B9" w:rsidRPr="0069781B" w:rsidRDefault="008C24B9" w:rsidP="001910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ijelo državne uprave nadležno za zaštitu okoliša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izrađuje i objavljuje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informacije sukladno </w:t>
      </w:r>
      <w:r w:rsidRPr="00C86E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članku 13. stavku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točkama </w:t>
      </w:r>
      <w:r w:rsidR="00E323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Pr="00C86E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E323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C86E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E323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Pr="00C86E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</w:t>
      </w:r>
      <w:r w:rsidR="00E323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C86E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E323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Pr="00C86E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</w:t>
      </w:r>
      <w:r w:rsidR="00E323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C86E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E323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Pr="00C86E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</w:t>
      </w:r>
      <w:r w:rsidR="00E323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C86E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E323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Pr="00C86E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E323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E323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</w:t>
      </w:r>
      <w:r w:rsidR="00E323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Uredbe 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godišnjoj osnovi ako su dostupni novi podatci te ih ažurira najmanje svake tri godine.</w:t>
      </w:r>
    </w:p>
    <w:p w14:paraId="5023BB8E" w14:textId="103151F8" w:rsidR="00E32388" w:rsidRDefault="00E32388" w:rsidP="00E323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F22628C" w14:textId="77777777" w:rsidR="00E32388" w:rsidRDefault="00E32388" w:rsidP="00E323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693BF89" w14:textId="16518338" w:rsidR="008C24B9" w:rsidRPr="0069781B" w:rsidRDefault="008C24B9" w:rsidP="00E323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III. NADZOR</w:t>
      </w:r>
    </w:p>
    <w:p w14:paraId="66DF95BB" w14:textId="77777777" w:rsidR="00E32388" w:rsidRDefault="00E32388" w:rsidP="00E323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</w:pPr>
    </w:p>
    <w:p w14:paraId="5D27C80E" w14:textId="3CE6372D" w:rsidR="008C24B9" w:rsidRPr="0069781B" w:rsidRDefault="008C24B9" w:rsidP="00E323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  <w:t>Upravni nadzor</w:t>
      </w:r>
    </w:p>
    <w:p w14:paraId="08F7DAC6" w14:textId="77777777" w:rsidR="00E32388" w:rsidRDefault="00E32388" w:rsidP="00E323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5A32A065" w14:textId="3B5A0ED5" w:rsidR="008C24B9" w:rsidRPr="0069781B" w:rsidRDefault="008C24B9" w:rsidP="00E323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11</w:t>
      </w: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61171D80" w14:textId="77777777" w:rsidR="00E32388" w:rsidRDefault="00E32388" w:rsidP="00E323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3401E54" w14:textId="02932D86" w:rsidR="008C24B9" w:rsidRDefault="008C24B9" w:rsidP="00E323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nadzor nad primjenom Uredbe 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ovoga Zakona obavlja tijelo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državne uprave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nadležno za zaštitu okoliša.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63461949" w14:textId="77777777" w:rsidR="00E32388" w:rsidRDefault="00E32388" w:rsidP="00E323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</w:pPr>
    </w:p>
    <w:p w14:paraId="2DD85BFA" w14:textId="77777777" w:rsidR="008C24B9" w:rsidRPr="0069781B" w:rsidRDefault="008C24B9" w:rsidP="00E323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  <w:t>Inspekcijski nadzor</w:t>
      </w:r>
    </w:p>
    <w:p w14:paraId="6756B7A7" w14:textId="77777777" w:rsidR="00E32388" w:rsidRDefault="00E32388" w:rsidP="00E323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04D4908" w14:textId="24D70139" w:rsidR="008C24B9" w:rsidRPr="0069781B" w:rsidRDefault="008C24B9" w:rsidP="00E323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12</w:t>
      </w: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1B011E77" w14:textId="77777777" w:rsidR="00E32388" w:rsidRDefault="00E32388" w:rsidP="00E323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FF78F20" w14:textId="0205C777" w:rsidR="008C24B9" w:rsidRDefault="008C24B9" w:rsidP="00E323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19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Inspekcijski nadzor na</w:t>
      </w:r>
      <w:r w:rsidR="009128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</w:t>
      </w:r>
      <w:r w:rsidRPr="00DB19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provedbom Uredbe (EU) 2019/1021 i ovog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DB19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Zakona obavljaju sanitarni inspektori, veterinarski inspektori, vodopravni inspektori, poljoprivredni inspektori i inspektori zaštite okoliša Državnog inspektorata, sukladno propisima kojima su uređeni djelokrug i ovlasti pojedine inspekcije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2C1BF54" w14:textId="02ECB491" w:rsidR="00E618B9" w:rsidRDefault="00E618B9" w:rsidP="00E323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DD7DF30" w14:textId="77777777" w:rsidR="00E618B9" w:rsidRPr="00DB1933" w:rsidRDefault="00E618B9" w:rsidP="00E323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73A8296" w14:textId="77777777" w:rsidR="008C24B9" w:rsidRPr="0069781B" w:rsidRDefault="008C24B9" w:rsidP="00E618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IV. PREKRŠAJNE ODREDBE</w:t>
      </w:r>
    </w:p>
    <w:p w14:paraId="35E81078" w14:textId="77777777" w:rsidR="00E618B9" w:rsidRDefault="00E618B9" w:rsidP="00E618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AB084AB" w14:textId="744C806F" w:rsidR="008C24B9" w:rsidRPr="0069781B" w:rsidRDefault="008C24B9" w:rsidP="00E618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3</w:t>
      </w: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2661E4A7" w14:textId="77777777" w:rsidR="00E618B9" w:rsidRDefault="00E618B9" w:rsidP="00E618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0DE553C" w14:textId="179ABD6E" w:rsidR="008C24B9" w:rsidRPr="0069781B" w:rsidRDefault="008C24B9" w:rsidP="00E618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Novčanom kaznom od 50.000,00 do 100.000,00 kuna kaznit će se za prekršaj pravna osoba ako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352B70F5" w14:textId="77777777" w:rsidR="00E618B9" w:rsidRDefault="00E618B9" w:rsidP="00E618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C78B2B7" w14:textId="62781E33" w:rsidR="008C24B9" w:rsidRPr="0069781B" w:rsidRDefault="008C24B9" w:rsidP="00E618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nehaja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proizvodi, stavlja na tržište i upotrebljava tvari navedene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Prilogu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I. Uredbe 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2019/1021, zasebno,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smjesama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proizvodima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izuzev primjene sukladno članku 4. Uredbe 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2019/1021 (članak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9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stavak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Zakona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4AD19447" w14:textId="77777777" w:rsidR="00E618B9" w:rsidRDefault="00E618B9" w:rsidP="00E618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D6D011B" w14:textId="6156679B" w:rsidR="008C24B9" w:rsidRPr="0069781B" w:rsidRDefault="008C24B9" w:rsidP="00E618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ne upravlja sa zalihama koje sadrže bilo koju od tvari iz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Priloga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I. ili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Priloga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II. Uredbe 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2019/1021, zasebno ili u proizvodima kao da se radi o otpadu sukladno članku 7. Uredbe 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 (članak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9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stavak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Zakona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328617A9" w14:textId="77777777" w:rsidR="00E618B9" w:rsidRDefault="00E618B9" w:rsidP="00E618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9D02E7D" w14:textId="23A95748" w:rsidR="008C24B9" w:rsidRPr="0069781B" w:rsidRDefault="008C24B9" w:rsidP="00E618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proizvođač i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posjednik otpada, a ne poduzme sve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što je u njegovoj moći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da, kada je to moguće, izbjegne onečišćenje toga otpada tvarima iz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Priloga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IV. Uredbe 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="008818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(članak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9</w:t>
      </w:r>
      <w:r w:rsidRP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stavak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Zakona)</w:t>
      </w:r>
    </w:p>
    <w:p w14:paraId="7C3A5D0B" w14:textId="77777777" w:rsidR="00E618B9" w:rsidRDefault="00E618B9" w:rsidP="00E618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2946EC4" w14:textId="35DC0EA6" w:rsidR="008C24B9" w:rsidRPr="0069781B" w:rsidRDefault="008C24B9" w:rsidP="00E618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je posjednik otpada, koji se sastoji, sadrži ili je onečišćen bilo kojom tvari iz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Priloga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IV. Uredbe 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2019/1021, a ne zbrine ili oporabi ga </w:t>
      </w:r>
      <w:r w:rsidRPr="0067096E">
        <w:rPr>
          <w:rFonts w:ascii="Times New Roman" w:eastAsia="Times New Roman" w:hAnsi="Times New Roman" w:cs="Times New Roman"/>
          <w:sz w:val="24"/>
          <w:szCs w:val="24"/>
          <w:lang w:eastAsia="hr-HR"/>
        </w:rPr>
        <w:t>bez odlaganja</w:t>
      </w:r>
      <w:r w:rsidRPr="0067096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skladu </w:t>
      </w:r>
      <w:r w:rsidRPr="00083D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 Prilogom</w:t>
      </w:r>
      <w:r w:rsidR="0088180C" w:rsidRPr="00083D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V. </w:t>
      </w:r>
      <w:r w:rsidR="00E618B9" w:rsidRPr="00083D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dijelom </w:t>
      </w:r>
      <w:r w:rsidRPr="00083D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Uredbe (EU) 2019/1021, na način koji osigurava da se sadržaj postojanih organskih onečišćujućih tvari uništi, odnosno nepovratno transformira, tako da preostali otpad i ispuštene tvari ne pokazuju svojstva postojanih organskih onečišćujućih tvari, osim u slučajevima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propisanim odredbama članka 7. stavka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točkama </w:t>
      </w:r>
      <w:r w:rsidR="00E618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E618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E618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</w:t>
      </w:r>
      <w:r w:rsidR="00E618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Uredbe 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2019/1021 </w:t>
      </w:r>
      <w:r w:rsidRP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(članak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9</w:t>
      </w:r>
      <w:r w:rsidRP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stavak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Zakona)</w:t>
      </w:r>
    </w:p>
    <w:p w14:paraId="562AFD83" w14:textId="77777777" w:rsidR="0049207B" w:rsidRDefault="0049207B" w:rsidP="00E618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36A2AB2" w14:textId="06CF34D8" w:rsidR="008C24B9" w:rsidRPr="0069781B" w:rsidRDefault="008C24B9" w:rsidP="00E618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provodi postupke kojima zbrinjava ili oporabljuje, odnosno provodi postupke koji mogu dovesti do oporabe, recikliranja, regeneracije ili ponovne uporabe tvari iz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Priloga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IV. Uredbe 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samostalnom obliku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(članak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9</w:t>
      </w:r>
      <w:r w:rsidRP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stavak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Zakona)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AF9AA92" w14:textId="77777777" w:rsidR="00E618B9" w:rsidRDefault="00E618B9" w:rsidP="00E618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AF4D22C" w14:textId="793E02AD" w:rsidR="008C24B9" w:rsidRDefault="008C24B9" w:rsidP="00E618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(2) Novčanom kaznom u iznosu od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000,00 do 30.000,00 kuna kaznit će se za prekršaj iz stavka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ovoga članka i odgovorna osoba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pravnoj osobi.</w:t>
      </w:r>
    </w:p>
    <w:p w14:paraId="11F14515" w14:textId="77777777" w:rsidR="00E618B9" w:rsidRDefault="00E618B9" w:rsidP="00E618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D2F9DDB" w14:textId="7EFB8383" w:rsidR="008C24B9" w:rsidRPr="0069781B" w:rsidRDefault="008C24B9" w:rsidP="00E618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Novčanom kaznom u iznosu od 7.000,00 do 30.000,00 kuna kaznit</w:t>
      </w:r>
      <w:r w:rsidR="009A71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će se za prekršaj iz stavka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ovoga članka fizička osoba.</w:t>
      </w:r>
    </w:p>
    <w:p w14:paraId="392C4597" w14:textId="77777777" w:rsidR="00E618B9" w:rsidRDefault="00E618B9" w:rsidP="00E618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6C7930D" w14:textId="30C964C9" w:rsidR="008C24B9" w:rsidRPr="0069781B" w:rsidRDefault="008C24B9" w:rsidP="00E618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Novčanom kaznom od 10.000,00 do 50.000,00 kuna kaznit će se i fizička osoba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obrtnik i osoba koja obavlja drugu samostalnu djelatno</w:t>
      </w:r>
      <w:r w:rsidR="009A71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 ako je prekršaj iz stavka 1.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ovoga članka počinila u vezi s obavljanjem njezina obrta ili druge samostalne djelatnosti.</w:t>
      </w:r>
    </w:p>
    <w:p w14:paraId="2BB2E9EF" w14:textId="77777777" w:rsidR="00106091" w:rsidRDefault="00106091" w:rsidP="001060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1615846" w14:textId="3AE62F57" w:rsidR="008C24B9" w:rsidRPr="0069781B" w:rsidRDefault="008C24B9" w:rsidP="001060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14</w:t>
      </w: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484B71B4" w14:textId="77777777" w:rsidR="00106091" w:rsidRDefault="00106091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E846DB0" w14:textId="205DC496" w:rsidR="008C24B9" w:rsidRPr="0069781B" w:rsidRDefault="008C24B9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Novčanom kaznom od 50.000,00 do 100.000,00 kuna kaznit će se za prekršaj pravna osoba ako ne dostavi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Hrvatskom</w:t>
      </w:r>
      <w:r w:rsidRPr="004342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zavod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4342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javno zdravstvo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informacije o prirodi i veličini zalihe, mase veće od 50 kilograma, koja se sastoji ili sadrži bilo koju tvar iz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Priloga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I. ili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Priloga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II. Uredbe 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 čija je uporaba dozvoljena, sukladno članku 5. stavku 2. Uredbe 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(članak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9.</w:t>
      </w:r>
      <w:r w:rsidRP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stavak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Zakona).</w:t>
      </w:r>
    </w:p>
    <w:p w14:paraId="766F3877" w14:textId="77777777" w:rsidR="00106091" w:rsidRDefault="00106091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970E73B" w14:textId="70548B41" w:rsidR="008C24B9" w:rsidRDefault="008C24B9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Novčanom kaznom u iznosu od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000,00 do 30.000,00 kuna kaznit će se za prekršaj iz stavka 1. ovoga članka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odgovorna osoba u pravnoj osobi.</w:t>
      </w:r>
    </w:p>
    <w:p w14:paraId="32FB4985" w14:textId="77777777" w:rsidR="00106091" w:rsidRDefault="00106091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B63AAA9" w14:textId="19ECF838" w:rsidR="008C24B9" w:rsidRPr="0069781B" w:rsidRDefault="008C24B9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Novčanom kaznom u iznosu od 7.000,00 do 30.000,00 kuna kaznit će se za prekršaj iz stavka 1. ovoga članka fizička osoba.</w:t>
      </w:r>
    </w:p>
    <w:p w14:paraId="42F2DDDA" w14:textId="77777777" w:rsidR="00106091" w:rsidRDefault="00106091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996E246" w14:textId="4FDF41F9" w:rsidR="008C24B9" w:rsidRPr="0069781B" w:rsidRDefault="008C24B9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Novčanom kaznom od 10.000,00 do 50.000,00 kuna kaznit će se i fizička osoba </w:t>
      </w:r>
      <w:r w:rsidRP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obrtnik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osoba koja obavlja drugu samostalnu djelatnost ako je prekršaj iz stavka 1. ovoga članka počinila u vezi s obavljanjem njezina obrta ili druge samostalne djelatnosti.</w:t>
      </w:r>
    </w:p>
    <w:p w14:paraId="1DA09EE3" w14:textId="77777777" w:rsidR="00106091" w:rsidRDefault="00106091" w:rsidP="001060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F943BC3" w14:textId="77777777" w:rsidR="00106091" w:rsidRDefault="00106091" w:rsidP="001060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C7358D8" w14:textId="6F9483E1" w:rsidR="008C24B9" w:rsidRPr="0069781B" w:rsidRDefault="008C24B9" w:rsidP="001060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V.</w:t>
      </w: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ZAVRŠNE ODREDBE</w:t>
      </w:r>
    </w:p>
    <w:p w14:paraId="1D6B5B85" w14:textId="77777777" w:rsidR="00106091" w:rsidRDefault="00106091" w:rsidP="001060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0241FE7" w14:textId="72AACC45" w:rsidR="008C24B9" w:rsidRPr="0069781B" w:rsidRDefault="008C24B9" w:rsidP="001060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252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5</w:t>
      </w:r>
      <w:r w:rsidRPr="00252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62E7E103" w14:textId="77777777" w:rsidR="00106091" w:rsidRDefault="00106091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4E894B1" w14:textId="6954ABFD" w:rsidR="008C24B9" w:rsidRPr="00A33587" w:rsidRDefault="008C24B9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Danom stupanja na snagu ovoga Zakona prestaje važiti </w:t>
      </w:r>
      <w:r w:rsidRPr="00A335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provedbi Uredbe (EZ) br. 850/2004 o postojanim organskim onečišćujućim tvarima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novin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e, br. 148/13 i 52/19)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0B33734" w14:textId="77777777" w:rsidR="00106091" w:rsidRDefault="00106091" w:rsidP="001060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99D37D8" w14:textId="587CA42D" w:rsidR="008C24B9" w:rsidRPr="0069781B" w:rsidRDefault="008C24B9" w:rsidP="001060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16</w:t>
      </w: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0348B615" w14:textId="77777777" w:rsidR="00106091" w:rsidRDefault="00106091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F7448BD" w14:textId="5957D8E3" w:rsidR="008C24B9" w:rsidRDefault="008C24B9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Zakon stupa na snagu osmoga dana</w:t>
      </w:r>
      <w:r w:rsidR="001060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dana objave u Narodnim novinama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B174A75" w14:textId="77777777" w:rsidR="008C24B9" w:rsidRDefault="008C24B9" w:rsidP="00106091">
      <w:pPr>
        <w:pStyle w:val="Default"/>
      </w:pPr>
    </w:p>
    <w:p w14:paraId="57905580" w14:textId="77777777" w:rsidR="008C24B9" w:rsidRDefault="008C24B9" w:rsidP="00106091">
      <w:pPr>
        <w:pStyle w:val="Default"/>
      </w:pPr>
    </w:p>
    <w:p w14:paraId="572CF806" w14:textId="77777777" w:rsidR="008C24B9" w:rsidRDefault="008C24B9" w:rsidP="00106091">
      <w:pPr>
        <w:pStyle w:val="Default"/>
      </w:pPr>
    </w:p>
    <w:p w14:paraId="64A88F6F" w14:textId="5CAC69E8" w:rsidR="008C24B9" w:rsidRDefault="008C24B9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D67DCF8" w14:textId="21FD9521" w:rsidR="00BF49EF" w:rsidRDefault="00BF49EF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84ECA37" w14:textId="1B34F466" w:rsidR="00BF49EF" w:rsidRDefault="00BF49EF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990BF06" w14:textId="5C4DB7C9" w:rsidR="00BF49EF" w:rsidRDefault="00BF49EF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C908F49" w14:textId="141A05EF" w:rsidR="00BF49EF" w:rsidRDefault="00BF49EF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5624E1B" w14:textId="38F3171B" w:rsidR="00BF49EF" w:rsidRDefault="00BF49EF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0CA3542" w14:textId="4F55D531" w:rsidR="00BF49EF" w:rsidRDefault="00BF49EF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AE0A24D" w14:textId="0CB54DFE" w:rsidR="00BF49EF" w:rsidRDefault="00BF49EF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27DD0AF" w14:textId="19C996B4" w:rsidR="00BF49EF" w:rsidRDefault="00BF49EF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5A73F65" w14:textId="1AA8488D" w:rsidR="00BF49EF" w:rsidRDefault="00BF49EF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4F3FEA6" w14:textId="7106B52A" w:rsidR="00BF49EF" w:rsidRDefault="00BF49EF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960EF9D" w14:textId="66550DFF" w:rsidR="00BF49EF" w:rsidRDefault="00BF49EF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806EC51" w14:textId="02F2F654" w:rsidR="00BF49EF" w:rsidRDefault="00BF49EF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DE0B81A" w14:textId="51A2A55B" w:rsidR="00BF49EF" w:rsidRDefault="00BF49EF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7AE6C06" w14:textId="23A14833" w:rsidR="00BF49EF" w:rsidRDefault="00BF49EF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D5B8120" w14:textId="3A35D98A" w:rsidR="00BF49EF" w:rsidRDefault="00BF49EF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EE7509C" w14:textId="418E044D" w:rsidR="00BF49EF" w:rsidRDefault="00BF49EF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047D8CA" w14:textId="0BDE4031" w:rsidR="00BF49EF" w:rsidRDefault="00BF49EF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8514189" w14:textId="6360733A" w:rsidR="00BF49EF" w:rsidRDefault="00BF49EF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631525D" w14:textId="0A6743F4" w:rsidR="00BF49EF" w:rsidRDefault="00BF49EF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6A69306" w14:textId="60229F10" w:rsidR="00BF49EF" w:rsidRDefault="00BF49EF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B3D0068" w14:textId="6EB32B61" w:rsidR="00BF49EF" w:rsidRDefault="00BF49EF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A9411F6" w14:textId="26C878E7" w:rsidR="00BF49EF" w:rsidRDefault="00BF49EF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3D2ED10" w14:textId="7CCAB132" w:rsidR="00BF49EF" w:rsidRDefault="00BF49EF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1FB1F6D" w14:textId="2E4A965B" w:rsidR="00BF49EF" w:rsidRDefault="00BF49EF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</w:p>
    <w:p w14:paraId="76D0E44B" w14:textId="62D6C068" w:rsidR="00083D29" w:rsidRDefault="00083D29" w:rsidP="00106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937EE6" w14:textId="2F87A5A6" w:rsidR="008C24B9" w:rsidRPr="00BF49EF" w:rsidRDefault="00892CC0" w:rsidP="00BF49E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  <w:r w:rsidRPr="00BF49E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O</w:t>
      </w:r>
      <w:r w:rsidR="00BF49E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 </w:t>
      </w:r>
      <w:r w:rsidRPr="00BF49E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B</w:t>
      </w:r>
      <w:r w:rsidR="00BF49E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 </w:t>
      </w:r>
      <w:r w:rsidRPr="00BF49E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R</w:t>
      </w:r>
      <w:r w:rsidR="00BF49E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 </w:t>
      </w:r>
      <w:r w:rsidRPr="00BF49E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A</w:t>
      </w:r>
      <w:r w:rsidR="00BF49E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 </w:t>
      </w:r>
      <w:r w:rsidRPr="00BF49E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Z</w:t>
      </w:r>
      <w:r w:rsidR="00BF49E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 </w:t>
      </w:r>
      <w:r w:rsidRPr="00BF49E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L</w:t>
      </w:r>
      <w:r w:rsidR="00BF49E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 </w:t>
      </w:r>
      <w:r w:rsidRPr="00BF49E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O</w:t>
      </w:r>
      <w:r w:rsidR="00BF49E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 </w:t>
      </w:r>
      <w:r w:rsidRPr="00BF49E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Ž</w:t>
      </w:r>
      <w:r w:rsidR="00BF49E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 </w:t>
      </w:r>
      <w:r w:rsidRPr="00BF49E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E</w:t>
      </w:r>
      <w:r w:rsidR="00BF49E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 </w:t>
      </w:r>
      <w:r w:rsidRPr="00BF49E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N</w:t>
      </w:r>
      <w:r w:rsidR="00BF49E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 </w:t>
      </w:r>
      <w:r w:rsidRPr="00BF49E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J</w:t>
      </w:r>
      <w:r w:rsidR="00BF49E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 </w:t>
      </w:r>
      <w:r w:rsidRPr="00BF49E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E</w:t>
      </w:r>
    </w:p>
    <w:p w14:paraId="027814C6" w14:textId="77777777" w:rsidR="008C24B9" w:rsidRDefault="008C24B9" w:rsidP="008C24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53C1B3E4" w14:textId="77777777" w:rsidR="008C24B9" w:rsidRPr="00132601" w:rsidRDefault="008C24B9" w:rsidP="008C24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Uz članak 1.</w:t>
      </w:r>
    </w:p>
    <w:p w14:paraId="491F0201" w14:textId="77777777" w:rsidR="008C24B9" w:rsidRDefault="008C24B9" w:rsidP="008C24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Ovom odredbom definirana je svrha Zakona, odnosno, </w:t>
      </w:r>
      <w:r w:rsidRPr="00AB6C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utvrđuju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</w:t>
      </w:r>
      <w:r w:rsidRPr="00AB6C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nadležna tijela i zadaće nadležnih tijela za provedbu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odgovarajućeg akta Europske unije koji je predmet Zakona.</w:t>
      </w:r>
    </w:p>
    <w:p w14:paraId="459CB87B" w14:textId="77777777" w:rsidR="008C24B9" w:rsidRDefault="008C24B9" w:rsidP="008C24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85E118A" w14:textId="77777777" w:rsidR="008C24B9" w:rsidRDefault="008C24B9" w:rsidP="008C24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Uz članak 2.</w:t>
      </w:r>
    </w:p>
    <w:p w14:paraId="3BD3A038" w14:textId="77777777" w:rsidR="008C24B9" w:rsidRDefault="008C24B9" w:rsidP="008C24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Ovom odredbom definiraju se pojmovi odnosno njihovo značenje </w:t>
      </w:r>
      <w:r w:rsidRPr="006E11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smislu</w:t>
      </w:r>
      <w:r w:rsidRPr="006E11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provedb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6E11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Uredbe (EU) 2019/1021 i ovoga Zakona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0B649F4" w14:textId="77777777" w:rsidR="008C24B9" w:rsidRDefault="008C24B9" w:rsidP="008C24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C3FE5AA" w14:textId="77777777" w:rsidR="008C24B9" w:rsidRDefault="008C24B9" w:rsidP="008C24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Uz članak 3.</w:t>
      </w:r>
    </w:p>
    <w:p w14:paraId="2A5A844C" w14:textId="77777777" w:rsidR="008C24B9" w:rsidRDefault="008C24B9" w:rsidP="008C24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Ovim odredbama definiraju se nadležna tijela i stručna ustanova za</w:t>
      </w:r>
      <w:r w:rsidRPr="006E11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provedb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6E11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Zakona o provedbi Uredbe (EU) 2019/1021.</w:t>
      </w:r>
    </w:p>
    <w:p w14:paraId="6D9233C5" w14:textId="77777777" w:rsidR="008C24B9" w:rsidRDefault="008C24B9" w:rsidP="008C24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D8F671" w14:textId="70A329F2" w:rsidR="008C24B9" w:rsidRDefault="008C24B9" w:rsidP="008C24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Uz članke 4. </w:t>
      </w:r>
      <w:r w:rsidR="00F229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8.</w:t>
      </w:r>
    </w:p>
    <w:p w14:paraId="4A7319DA" w14:textId="77777777" w:rsidR="008C24B9" w:rsidRDefault="008C24B9" w:rsidP="008C24B9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Ovim odredbama definiraju se zadaće nadležnih tijela u svrhu provedbe Uredbe </w:t>
      </w:r>
      <w:r w:rsidRPr="006E11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(EU) 2019/1021.</w:t>
      </w:r>
    </w:p>
    <w:p w14:paraId="3CB3A101" w14:textId="77777777" w:rsidR="008C24B9" w:rsidRDefault="008C24B9" w:rsidP="008C24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Uz članak 9. </w:t>
      </w:r>
    </w:p>
    <w:p w14:paraId="523470EA" w14:textId="537461D5" w:rsidR="008C24B9" w:rsidRPr="001437B6" w:rsidRDefault="008C24B9" w:rsidP="008C24B9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437B6">
        <w:rPr>
          <w:rFonts w:ascii="Times New Roman" w:eastAsia="Calibri" w:hAnsi="Times New Roman" w:cs="Times New Roman"/>
          <w:sz w:val="24"/>
          <w:szCs w:val="24"/>
        </w:rPr>
        <w:t xml:space="preserve">Odredbama se propisuje </w:t>
      </w:r>
      <w:r w:rsidRPr="00897004">
        <w:rPr>
          <w:rFonts w:ascii="Times New Roman" w:hAnsi="Times New Roman" w:cs="Times New Roman"/>
          <w:color w:val="444444"/>
          <w:sz w:val="24"/>
          <w:szCs w:val="24"/>
        </w:rPr>
        <w:t>kontrola proiz</w:t>
      </w:r>
      <w:r w:rsidR="00F229E9">
        <w:rPr>
          <w:rFonts w:ascii="Times New Roman" w:hAnsi="Times New Roman" w:cs="Times New Roman"/>
          <w:color w:val="444444"/>
          <w:sz w:val="24"/>
          <w:szCs w:val="24"/>
        </w:rPr>
        <w:t xml:space="preserve">vodnje, stavljanja na tržište i </w:t>
      </w:r>
      <w:r w:rsidRPr="00897004">
        <w:rPr>
          <w:rFonts w:ascii="Times New Roman" w:hAnsi="Times New Roman" w:cs="Times New Roman"/>
          <w:color w:val="444444"/>
          <w:sz w:val="24"/>
          <w:szCs w:val="24"/>
        </w:rPr>
        <w:t>uporabe, zalihe i gospodarenje otpadom</w:t>
      </w:r>
      <w:r w:rsidRPr="00143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sukladno Uredbi (EU) 2019/1021 i ovoga Zakona.</w:t>
      </w:r>
    </w:p>
    <w:p w14:paraId="40DC9AC6" w14:textId="77777777" w:rsidR="008C24B9" w:rsidRDefault="008C24B9" w:rsidP="008C24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Uz članak 10.</w:t>
      </w:r>
    </w:p>
    <w:p w14:paraId="6A2A68A2" w14:textId="77777777" w:rsidR="008C24B9" w:rsidRDefault="008C24B9" w:rsidP="008C24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Ovim člankom definiraju se obveze izvješćivanja sukladno </w:t>
      </w:r>
      <w:r w:rsidRPr="0013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13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(EU) 2019/1021.</w:t>
      </w:r>
    </w:p>
    <w:p w14:paraId="77FCEC5C" w14:textId="77777777" w:rsidR="008C24B9" w:rsidRDefault="008C24B9" w:rsidP="008C24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D0479A3" w14:textId="77777777" w:rsidR="008C24B9" w:rsidRPr="00132601" w:rsidRDefault="008C24B9" w:rsidP="008C24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1326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Uz članak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11</w:t>
      </w:r>
      <w:r w:rsidRPr="001326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6FBB3190" w14:textId="77777777" w:rsidR="008C24B9" w:rsidRPr="00132601" w:rsidRDefault="008C24B9" w:rsidP="008C24B9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Odredbom se propisuje tko provodi u</w:t>
      </w:r>
      <w:r w:rsidRPr="0013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pravni nadzor</w:t>
      </w:r>
      <w:r w:rsidRPr="00132601">
        <w:t xml:space="preserve"> </w:t>
      </w:r>
      <w:r w:rsidRPr="0013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 primjenom Uredbe (EU) 2019/1021 i ovoga Zakona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B6948DC" w14:textId="77777777" w:rsidR="008C24B9" w:rsidRDefault="008C24B9" w:rsidP="008C24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Uz članak 12. </w:t>
      </w:r>
    </w:p>
    <w:p w14:paraId="111D2154" w14:textId="77777777" w:rsidR="008C24B9" w:rsidRDefault="008C24B9" w:rsidP="008C24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3648B">
        <w:rPr>
          <w:rFonts w:ascii="Times New Roman" w:eastAsia="Calibri" w:hAnsi="Times New Roman" w:cs="Times New Roman"/>
          <w:sz w:val="24"/>
          <w:szCs w:val="24"/>
        </w:rPr>
        <w:t xml:space="preserve">Odredbama se propisuje tko provodi inspekcijski nadzor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svrhu provedbe Uredbe (EU) 2019/1021 i ovoga Zakona.</w:t>
      </w:r>
    </w:p>
    <w:p w14:paraId="25943B4E" w14:textId="77777777" w:rsidR="008C24B9" w:rsidRDefault="008C24B9" w:rsidP="008C24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2B3E41F" w14:textId="61DD143E" w:rsidR="008C24B9" w:rsidRDefault="008C24B9" w:rsidP="008C24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Uz članke 13. </w:t>
      </w:r>
      <w:r w:rsidR="00F229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14.</w:t>
      </w:r>
    </w:p>
    <w:p w14:paraId="0A43495D" w14:textId="77777777" w:rsidR="008C24B9" w:rsidRDefault="008C24B9" w:rsidP="008C24B9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Odredbama se propisuju</w:t>
      </w:r>
      <w:r w:rsidRPr="004C3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novčane kazne za nepoštivanje pojedinih odredbi ovoga Zakona.</w:t>
      </w:r>
    </w:p>
    <w:p w14:paraId="52622EEE" w14:textId="77777777" w:rsidR="008C24B9" w:rsidRPr="00132601" w:rsidRDefault="008C24B9" w:rsidP="008C24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1326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Uz članak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15</w:t>
      </w:r>
      <w:r w:rsidRPr="001326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1BAF3881" w14:textId="475995B2" w:rsidR="008C24B9" w:rsidRPr="004C342C" w:rsidRDefault="008C24B9" w:rsidP="008C24B9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E5D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Odredbom se propisuje da danom stupanja na snagu Zakona o provedbi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3E5D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redbe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</w:t>
      </w:r>
      <w:r w:rsidRPr="003E5D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2019/1021 o postojanim organskim onečišćujućim tvarima prestaje važiti Zakon o provedbi Uredbe (EZ) br. 850/2004 o postojanim organskim onečišćujućim tvarima</w:t>
      </w:r>
      <w:r w:rsidR="00F229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(Narodne novine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br. 148/13 i 52/19</w:t>
      </w:r>
      <w:r w:rsidRPr="003E5D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).</w:t>
      </w:r>
    </w:p>
    <w:p w14:paraId="2C1770C0" w14:textId="77777777" w:rsidR="008C24B9" w:rsidRPr="00132601" w:rsidRDefault="008C24B9" w:rsidP="008C24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1326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Uz članak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16</w:t>
      </w:r>
      <w:r w:rsidRPr="001326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1A4D3EF5" w14:textId="77777777" w:rsidR="00527FA8" w:rsidRDefault="008C24B9" w:rsidP="008C24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5D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Odredbom se propisuje stupanje na snagu Zakona.</w:t>
      </w:r>
    </w:p>
    <w:p w14:paraId="2075023D" w14:textId="77777777" w:rsidR="00142592" w:rsidRDefault="00142592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2592" w:rsidSect="008C24B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36B89" w14:textId="77777777" w:rsidR="00965656" w:rsidRDefault="00965656" w:rsidP="0016213C">
      <w:pPr>
        <w:spacing w:after="0" w:line="240" w:lineRule="auto"/>
      </w:pPr>
      <w:r>
        <w:separator/>
      </w:r>
    </w:p>
  </w:endnote>
  <w:endnote w:type="continuationSeparator" w:id="0">
    <w:p w14:paraId="2A7AD5D6" w14:textId="77777777" w:rsidR="00965656" w:rsidRDefault="00965656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BABBB" w14:textId="77777777" w:rsidR="0016213C" w:rsidRDefault="0016213C">
    <w:pPr>
      <w:pStyle w:val="Footer"/>
      <w:jc w:val="right"/>
    </w:pPr>
  </w:p>
  <w:p w14:paraId="7AF80A29" w14:textId="77777777" w:rsidR="0016213C" w:rsidRPr="00BB5D04" w:rsidRDefault="0016213C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64103" w14:textId="77777777" w:rsidR="00965656" w:rsidRDefault="00965656" w:rsidP="0016213C">
      <w:pPr>
        <w:spacing w:after="0" w:line="240" w:lineRule="auto"/>
      </w:pPr>
      <w:r>
        <w:separator/>
      </w:r>
    </w:p>
  </w:footnote>
  <w:footnote w:type="continuationSeparator" w:id="0">
    <w:p w14:paraId="1ACBC500" w14:textId="77777777" w:rsidR="00965656" w:rsidRDefault="00965656" w:rsidP="0016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01649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2CDBB1D" w14:textId="7E218529" w:rsidR="008C24B9" w:rsidRPr="003913E1" w:rsidRDefault="008C24B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913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13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913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2FFC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3913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9901E4D" w14:textId="77777777" w:rsidR="008C24B9" w:rsidRPr="003913E1" w:rsidRDefault="008C24B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0435D"/>
    <w:multiLevelType w:val="hybridMultilevel"/>
    <w:tmpl w:val="97D8B118"/>
    <w:lvl w:ilvl="0" w:tplc="041A0011">
      <w:start w:val="1"/>
      <w:numFmt w:val="decimal"/>
      <w:lvlText w:val="%1)"/>
      <w:lvlJc w:val="lef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612FD"/>
    <w:multiLevelType w:val="hybridMultilevel"/>
    <w:tmpl w:val="0D106734"/>
    <w:lvl w:ilvl="0" w:tplc="041A0013">
      <w:start w:val="1"/>
      <w:numFmt w:val="upperRoman"/>
      <w:lvlText w:val="%1."/>
      <w:lvlJc w:val="right"/>
      <w:pPr>
        <w:ind w:left="1076" w:hanging="360"/>
      </w:pPr>
    </w:lvl>
    <w:lvl w:ilvl="1" w:tplc="041A0019" w:tentative="1">
      <w:start w:val="1"/>
      <w:numFmt w:val="lowerLetter"/>
      <w:lvlText w:val="%2."/>
      <w:lvlJc w:val="left"/>
      <w:pPr>
        <w:ind w:left="1796" w:hanging="360"/>
      </w:pPr>
    </w:lvl>
    <w:lvl w:ilvl="2" w:tplc="041A001B" w:tentative="1">
      <w:start w:val="1"/>
      <w:numFmt w:val="lowerRoman"/>
      <w:lvlText w:val="%3."/>
      <w:lvlJc w:val="right"/>
      <w:pPr>
        <w:ind w:left="2516" w:hanging="180"/>
      </w:pPr>
    </w:lvl>
    <w:lvl w:ilvl="3" w:tplc="041A000F" w:tentative="1">
      <w:start w:val="1"/>
      <w:numFmt w:val="decimal"/>
      <w:lvlText w:val="%4."/>
      <w:lvlJc w:val="left"/>
      <w:pPr>
        <w:ind w:left="3236" w:hanging="360"/>
      </w:pPr>
    </w:lvl>
    <w:lvl w:ilvl="4" w:tplc="041A0019" w:tentative="1">
      <w:start w:val="1"/>
      <w:numFmt w:val="lowerLetter"/>
      <w:lvlText w:val="%5."/>
      <w:lvlJc w:val="left"/>
      <w:pPr>
        <w:ind w:left="3956" w:hanging="360"/>
      </w:pPr>
    </w:lvl>
    <w:lvl w:ilvl="5" w:tplc="041A001B" w:tentative="1">
      <w:start w:val="1"/>
      <w:numFmt w:val="lowerRoman"/>
      <w:lvlText w:val="%6."/>
      <w:lvlJc w:val="right"/>
      <w:pPr>
        <w:ind w:left="4676" w:hanging="180"/>
      </w:pPr>
    </w:lvl>
    <w:lvl w:ilvl="6" w:tplc="041A000F" w:tentative="1">
      <w:start w:val="1"/>
      <w:numFmt w:val="decimal"/>
      <w:lvlText w:val="%7."/>
      <w:lvlJc w:val="left"/>
      <w:pPr>
        <w:ind w:left="5396" w:hanging="360"/>
      </w:pPr>
    </w:lvl>
    <w:lvl w:ilvl="7" w:tplc="041A0019" w:tentative="1">
      <w:start w:val="1"/>
      <w:numFmt w:val="lowerLetter"/>
      <w:lvlText w:val="%8."/>
      <w:lvlJc w:val="left"/>
      <w:pPr>
        <w:ind w:left="6116" w:hanging="360"/>
      </w:pPr>
    </w:lvl>
    <w:lvl w:ilvl="8" w:tplc="041A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4A0B"/>
    <w:rsid w:val="000200FA"/>
    <w:rsid w:val="000268EF"/>
    <w:rsid w:val="00037DB4"/>
    <w:rsid w:val="00041A64"/>
    <w:rsid w:val="00056526"/>
    <w:rsid w:val="00074FD6"/>
    <w:rsid w:val="00083D13"/>
    <w:rsid w:val="00083D29"/>
    <w:rsid w:val="000956D5"/>
    <w:rsid w:val="00096AC1"/>
    <w:rsid w:val="000C17DD"/>
    <w:rsid w:val="000C3EEE"/>
    <w:rsid w:val="000D5901"/>
    <w:rsid w:val="00106091"/>
    <w:rsid w:val="001212DB"/>
    <w:rsid w:val="00142592"/>
    <w:rsid w:val="0016213C"/>
    <w:rsid w:val="00180A7D"/>
    <w:rsid w:val="00180B64"/>
    <w:rsid w:val="00186504"/>
    <w:rsid w:val="001874D6"/>
    <w:rsid w:val="001910CE"/>
    <w:rsid w:val="001A414B"/>
    <w:rsid w:val="001C79B2"/>
    <w:rsid w:val="001F5FC4"/>
    <w:rsid w:val="001F7D26"/>
    <w:rsid w:val="00220F18"/>
    <w:rsid w:val="0023064F"/>
    <w:rsid w:val="002447C3"/>
    <w:rsid w:val="00253230"/>
    <w:rsid w:val="00264860"/>
    <w:rsid w:val="00264CE9"/>
    <w:rsid w:val="00290862"/>
    <w:rsid w:val="00294F89"/>
    <w:rsid w:val="00295CAA"/>
    <w:rsid w:val="00296383"/>
    <w:rsid w:val="002965CD"/>
    <w:rsid w:val="002B2F89"/>
    <w:rsid w:val="002C37F5"/>
    <w:rsid w:val="002D1AA9"/>
    <w:rsid w:val="002D67BD"/>
    <w:rsid w:val="002E0565"/>
    <w:rsid w:val="002E0E0E"/>
    <w:rsid w:val="00302169"/>
    <w:rsid w:val="00305F6C"/>
    <w:rsid w:val="00327454"/>
    <w:rsid w:val="003377F5"/>
    <w:rsid w:val="003400A6"/>
    <w:rsid w:val="0034044C"/>
    <w:rsid w:val="0038471E"/>
    <w:rsid w:val="003913E1"/>
    <w:rsid w:val="003B6DD4"/>
    <w:rsid w:val="003D43A7"/>
    <w:rsid w:val="003E17A0"/>
    <w:rsid w:val="003E5537"/>
    <w:rsid w:val="003F616F"/>
    <w:rsid w:val="004171DD"/>
    <w:rsid w:val="00451401"/>
    <w:rsid w:val="00475133"/>
    <w:rsid w:val="0049207B"/>
    <w:rsid w:val="004C2A83"/>
    <w:rsid w:val="00510C1E"/>
    <w:rsid w:val="0052065F"/>
    <w:rsid w:val="005222AE"/>
    <w:rsid w:val="00524867"/>
    <w:rsid w:val="00527FA8"/>
    <w:rsid w:val="005414D9"/>
    <w:rsid w:val="005650B3"/>
    <w:rsid w:val="00573E91"/>
    <w:rsid w:val="00592968"/>
    <w:rsid w:val="005A075C"/>
    <w:rsid w:val="005A0C29"/>
    <w:rsid w:val="005A33D6"/>
    <w:rsid w:val="005B1D31"/>
    <w:rsid w:val="005C0332"/>
    <w:rsid w:val="005F2E85"/>
    <w:rsid w:val="005F6972"/>
    <w:rsid w:val="00613B34"/>
    <w:rsid w:val="00615049"/>
    <w:rsid w:val="00640276"/>
    <w:rsid w:val="006433F9"/>
    <w:rsid w:val="00652F81"/>
    <w:rsid w:val="006675A7"/>
    <w:rsid w:val="00667C1D"/>
    <w:rsid w:val="006C114F"/>
    <w:rsid w:val="006C5322"/>
    <w:rsid w:val="006F7233"/>
    <w:rsid w:val="00703036"/>
    <w:rsid w:val="007135C0"/>
    <w:rsid w:val="00736983"/>
    <w:rsid w:val="00746A54"/>
    <w:rsid w:val="00785E25"/>
    <w:rsid w:val="00786D1C"/>
    <w:rsid w:val="007900BB"/>
    <w:rsid w:val="007917B2"/>
    <w:rsid w:val="007A5B44"/>
    <w:rsid w:val="007B1EFF"/>
    <w:rsid w:val="007B2B4C"/>
    <w:rsid w:val="007C2EF7"/>
    <w:rsid w:val="0080232B"/>
    <w:rsid w:val="00862FFC"/>
    <w:rsid w:val="0086636B"/>
    <w:rsid w:val="00870112"/>
    <w:rsid w:val="0088180C"/>
    <w:rsid w:val="00881D8E"/>
    <w:rsid w:val="00892CC0"/>
    <w:rsid w:val="008A4EF7"/>
    <w:rsid w:val="008C24B9"/>
    <w:rsid w:val="008E2228"/>
    <w:rsid w:val="008E52BC"/>
    <w:rsid w:val="008E7074"/>
    <w:rsid w:val="008E78E8"/>
    <w:rsid w:val="00903440"/>
    <w:rsid w:val="00905469"/>
    <w:rsid w:val="00905901"/>
    <w:rsid w:val="009128A1"/>
    <w:rsid w:val="00927EE4"/>
    <w:rsid w:val="009313BF"/>
    <w:rsid w:val="00936739"/>
    <w:rsid w:val="00953DF9"/>
    <w:rsid w:val="00954B0E"/>
    <w:rsid w:val="0096273C"/>
    <w:rsid w:val="00963585"/>
    <w:rsid w:val="00965656"/>
    <w:rsid w:val="00966A54"/>
    <w:rsid w:val="009819F8"/>
    <w:rsid w:val="009A7139"/>
    <w:rsid w:val="009E61A4"/>
    <w:rsid w:val="00A11BCB"/>
    <w:rsid w:val="00A22DE4"/>
    <w:rsid w:val="00A61419"/>
    <w:rsid w:val="00A65EB4"/>
    <w:rsid w:val="00A7232C"/>
    <w:rsid w:val="00A838C6"/>
    <w:rsid w:val="00AC618B"/>
    <w:rsid w:val="00AF76BF"/>
    <w:rsid w:val="00AF7F39"/>
    <w:rsid w:val="00B06361"/>
    <w:rsid w:val="00B10F3B"/>
    <w:rsid w:val="00B20C17"/>
    <w:rsid w:val="00B32F8C"/>
    <w:rsid w:val="00B62398"/>
    <w:rsid w:val="00B738BF"/>
    <w:rsid w:val="00B75937"/>
    <w:rsid w:val="00B82EDC"/>
    <w:rsid w:val="00BB3FF0"/>
    <w:rsid w:val="00BB5D04"/>
    <w:rsid w:val="00BE55D3"/>
    <w:rsid w:val="00BF49EF"/>
    <w:rsid w:val="00C35FDD"/>
    <w:rsid w:val="00C5332D"/>
    <w:rsid w:val="00C61061"/>
    <w:rsid w:val="00C6534E"/>
    <w:rsid w:val="00C81F66"/>
    <w:rsid w:val="00CD6638"/>
    <w:rsid w:val="00CD79E1"/>
    <w:rsid w:val="00D10749"/>
    <w:rsid w:val="00D10AED"/>
    <w:rsid w:val="00D35467"/>
    <w:rsid w:val="00D737AC"/>
    <w:rsid w:val="00D812A6"/>
    <w:rsid w:val="00D8537A"/>
    <w:rsid w:val="00D86A7A"/>
    <w:rsid w:val="00DA32DB"/>
    <w:rsid w:val="00DD016B"/>
    <w:rsid w:val="00DE40B8"/>
    <w:rsid w:val="00E1201B"/>
    <w:rsid w:val="00E13574"/>
    <w:rsid w:val="00E17202"/>
    <w:rsid w:val="00E32388"/>
    <w:rsid w:val="00E42084"/>
    <w:rsid w:val="00E55D5F"/>
    <w:rsid w:val="00E618B9"/>
    <w:rsid w:val="00E72511"/>
    <w:rsid w:val="00E7483E"/>
    <w:rsid w:val="00E75431"/>
    <w:rsid w:val="00E77AFB"/>
    <w:rsid w:val="00EB3F84"/>
    <w:rsid w:val="00EF38DC"/>
    <w:rsid w:val="00F045E8"/>
    <w:rsid w:val="00F229E9"/>
    <w:rsid w:val="00F33F1E"/>
    <w:rsid w:val="00F67CCF"/>
    <w:rsid w:val="00F96458"/>
    <w:rsid w:val="00FB4358"/>
    <w:rsid w:val="00FC5C23"/>
    <w:rsid w:val="00FC65C3"/>
    <w:rsid w:val="00FF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19AC37"/>
  <w15:docId w15:val="{BAD81411-C873-4360-BFAF-2B1381CD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3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24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5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F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F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FC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3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3913E1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913E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3735-B9AE-4640-AC59-F63FDEDAD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12</Pages>
  <Words>3167</Words>
  <Characters>18056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Markić</dc:creator>
  <cp:lastModifiedBy>Sunčica Marini</cp:lastModifiedBy>
  <cp:revision>31</cp:revision>
  <cp:lastPrinted>2020-04-07T08:05:00Z</cp:lastPrinted>
  <dcterms:created xsi:type="dcterms:W3CDTF">2020-04-06T07:54:00Z</dcterms:created>
  <dcterms:modified xsi:type="dcterms:W3CDTF">2020-04-14T07:54:00Z</dcterms:modified>
</cp:coreProperties>
</file>