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E3" w:rsidRPr="000C38FC" w:rsidRDefault="00931EE3" w:rsidP="00931EE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C38FC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50BB0350" wp14:editId="317AE61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8FC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Pr="000C38FC">
        <w:rPr>
          <w:rFonts w:ascii="Times New Roman" w:hAnsi="Times New Roman" w:cs="Times New Roman"/>
          <w:color w:val="FF0000"/>
          <w:sz w:val="24"/>
          <w:szCs w:val="24"/>
        </w:rPr>
        <w:instrText xml:space="preserve"> INCLUDEPICTURE "http://www.inet.hr/~box/images/grb-rh.gif" \* MERGEFORMATINET </w:instrText>
      </w:r>
      <w:r w:rsidRPr="000C38FC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</w:p>
    <w:p w:rsidR="00931EE3" w:rsidRPr="00D82877" w:rsidRDefault="00931EE3" w:rsidP="00931EE3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D82877">
        <w:rPr>
          <w:rFonts w:ascii="Times New Roman" w:hAnsi="Times New Roman" w:cs="Times New Roman"/>
          <w:sz w:val="28"/>
          <w:szCs w:val="28"/>
        </w:rPr>
        <w:t>VLADA REPUBLIKE HRVATSKE</w:t>
      </w:r>
    </w:p>
    <w:p w:rsidR="00931EE3" w:rsidRPr="00D82877" w:rsidRDefault="00931EE3" w:rsidP="00931EE3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D82877">
        <w:rPr>
          <w:rFonts w:ascii="Times New Roman" w:hAnsi="Times New Roman" w:cs="Times New Roman"/>
          <w:sz w:val="24"/>
          <w:szCs w:val="24"/>
        </w:rPr>
        <w:t xml:space="preserve">Zagreb, </w:t>
      </w:r>
      <w:r w:rsidR="005931C9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FD61F0">
        <w:rPr>
          <w:rFonts w:ascii="Times New Roman" w:hAnsi="Times New Roman" w:cs="Times New Roman"/>
          <w:sz w:val="24"/>
          <w:szCs w:val="24"/>
        </w:rPr>
        <w:t xml:space="preserve">. </w:t>
      </w:r>
      <w:r w:rsidR="00BD7D74">
        <w:rPr>
          <w:rFonts w:ascii="Times New Roman" w:hAnsi="Times New Roman" w:cs="Times New Roman"/>
          <w:sz w:val="24"/>
          <w:szCs w:val="24"/>
        </w:rPr>
        <w:t xml:space="preserve">ožujka </w:t>
      </w:r>
      <w:r w:rsidRPr="00D82877">
        <w:rPr>
          <w:rFonts w:ascii="Times New Roman" w:hAnsi="Times New Roman" w:cs="Times New Roman"/>
          <w:sz w:val="24"/>
          <w:szCs w:val="24"/>
        </w:rPr>
        <w:t>20</w:t>
      </w:r>
      <w:r w:rsidR="001A005B" w:rsidRPr="00D82877">
        <w:rPr>
          <w:rFonts w:ascii="Times New Roman" w:hAnsi="Times New Roman" w:cs="Times New Roman"/>
          <w:sz w:val="24"/>
          <w:szCs w:val="24"/>
        </w:rPr>
        <w:t>20</w:t>
      </w:r>
      <w:r w:rsidRPr="00D8287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82877" w:rsidRPr="00D82877" w:rsidTr="006D4245">
        <w:tc>
          <w:tcPr>
            <w:tcW w:w="1951" w:type="dxa"/>
          </w:tcPr>
          <w:p w:rsidR="00931EE3" w:rsidRPr="00D82877" w:rsidRDefault="00931EE3" w:rsidP="006D424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287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D828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931EE3" w:rsidRPr="00D82877" w:rsidRDefault="00931EE3" w:rsidP="006D42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77">
              <w:rPr>
                <w:rFonts w:ascii="Times New Roman" w:hAnsi="Times New Roman" w:cs="Times New Roman"/>
                <w:sz w:val="24"/>
                <w:szCs w:val="24"/>
              </w:rPr>
              <w:t>Ministarstvo mora, prometa i infrastrukture</w:t>
            </w:r>
          </w:p>
        </w:tc>
      </w:tr>
      <w:tr w:rsidR="00D82877" w:rsidRPr="00D82877" w:rsidTr="006D4245">
        <w:tc>
          <w:tcPr>
            <w:tcW w:w="1951" w:type="dxa"/>
          </w:tcPr>
          <w:p w:rsidR="00931EE3" w:rsidRPr="00D82877" w:rsidRDefault="00931EE3" w:rsidP="006D424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287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D828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931EE3" w:rsidRPr="00D82877" w:rsidRDefault="001A005B" w:rsidP="00997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877">
              <w:rPr>
                <w:rFonts w:ascii="Times New Roman" w:hAnsi="Times New Roman" w:cs="Times New Roman"/>
                <w:sz w:val="24"/>
                <w:szCs w:val="24"/>
              </w:rPr>
              <w:t xml:space="preserve">Prijedlog obavijesti o namjeri davanja koncesije </w:t>
            </w:r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 xml:space="preserve">na pomorskom dobru </w:t>
            </w:r>
            <w:r w:rsidR="0099780C">
              <w:rPr>
                <w:rFonts w:ascii="Times New Roman" w:hAnsi="Times New Roman" w:cs="Times New Roman"/>
                <w:sz w:val="24"/>
                <w:szCs w:val="24"/>
              </w:rPr>
              <w:t xml:space="preserve">u svrhu izgradnje </w:t>
            </w:r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>i gospodarsko</w:t>
            </w:r>
            <w:r w:rsidR="0099780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 xml:space="preserve"> korištenj</w:t>
            </w:r>
            <w:r w:rsidR="0099780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 xml:space="preserve"> luke pose</w:t>
            </w:r>
            <w:r w:rsidR="00A10354">
              <w:rPr>
                <w:rFonts w:ascii="Times New Roman" w:hAnsi="Times New Roman" w:cs="Times New Roman"/>
                <w:sz w:val="24"/>
                <w:szCs w:val="24"/>
              </w:rPr>
              <w:t>bne namjene – industrijske luke</w:t>
            </w:r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>Urinj</w:t>
            </w:r>
            <w:proofErr w:type="spellEnd"/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 xml:space="preserve"> i izgradnj</w:t>
            </w:r>
            <w:r w:rsidR="0099780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 xml:space="preserve"> i gospodarsko</w:t>
            </w:r>
            <w:r w:rsidR="0099780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 xml:space="preserve"> korištenj</w:t>
            </w:r>
            <w:r w:rsidR="0099780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 xml:space="preserve"> pomorskog dobra izvan lučkog područja u k.o. </w:t>
            </w:r>
            <w:proofErr w:type="spellStart"/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>Kostrena</w:t>
            </w:r>
            <w:proofErr w:type="spellEnd"/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 xml:space="preserve"> Barbara</w:t>
            </w:r>
          </w:p>
        </w:tc>
      </w:tr>
    </w:tbl>
    <w:p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31EE3" w:rsidRPr="000C38FC" w:rsidRDefault="00931EE3" w:rsidP="00931EE3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31EE3" w:rsidRPr="000C38FC" w:rsidRDefault="00931EE3" w:rsidP="00931EE3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931EE3" w:rsidRPr="000C38FC" w:rsidRDefault="00931EE3" w:rsidP="00E052C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32"/>
          <w:szCs w:val="32"/>
        </w:rPr>
      </w:pPr>
    </w:p>
    <w:p w:rsidR="000C38FC" w:rsidRPr="00A10354" w:rsidRDefault="00931EE3" w:rsidP="003058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8FC">
        <w:rPr>
          <w:rFonts w:ascii="Arial" w:eastAsia="Times New Roman" w:hAnsi="Arial" w:cs="Arial"/>
          <w:color w:val="FF0000"/>
          <w:sz w:val="32"/>
          <w:szCs w:val="32"/>
        </w:rPr>
        <w:br w:type="page"/>
      </w:r>
      <w:r w:rsidR="000C38FC" w:rsidRPr="00A103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temelju članka </w:t>
      </w:r>
      <w:r w:rsidR="00996ABE">
        <w:rPr>
          <w:rFonts w:ascii="Times New Roman" w:eastAsia="Times New Roman" w:hAnsi="Times New Roman" w:cs="Times New Roman"/>
          <w:sz w:val="24"/>
          <w:szCs w:val="24"/>
        </w:rPr>
        <w:t>20.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 xml:space="preserve"> stavka</w:t>
      </w:r>
      <w:r w:rsidR="00FB7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A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56F5B">
        <w:rPr>
          <w:rFonts w:ascii="Times New Roman" w:eastAsia="Times New Roman" w:hAnsi="Times New Roman" w:cs="Times New Roman"/>
          <w:sz w:val="24"/>
          <w:szCs w:val="24"/>
        </w:rPr>
        <w:t>., članka</w:t>
      </w:r>
      <w:r w:rsidR="00996ABE">
        <w:rPr>
          <w:rFonts w:ascii="Times New Roman" w:eastAsia="Times New Roman" w:hAnsi="Times New Roman" w:cs="Times New Roman"/>
          <w:sz w:val="24"/>
          <w:szCs w:val="24"/>
        </w:rPr>
        <w:t xml:space="preserve"> 17. stavk</w:t>
      </w:r>
      <w:r w:rsidR="00456F5B">
        <w:rPr>
          <w:rFonts w:ascii="Times New Roman" w:eastAsia="Times New Roman" w:hAnsi="Times New Roman" w:cs="Times New Roman"/>
          <w:sz w:val="24"/>
          <w:szCs w:val="24"/>
        </w:rPr>
        <w:t>a</w:t>
      </w:r>
      <w:r w:rsidR="00996ABE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="00456F5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456F5B">
        <w:rPr>
          <w:rFonts w:ascii="Times New Roman" w:eastAsia="Times New Roman" w:hAnsi="Times New Roman" w:cs="Times New Roman"/>
        </w:rPr>
        <w:t xml:space="preserve">članka 80. stavka 4. točke 2. </w:t>
      </w:r>
      <w:r w:rsidR="000C38FC" w:rsidRPr="00A10354">
        <w:rPr>
          <w:rFonts w:ascii="Times New Roman" w:eastAsia="Times New Roman" w:hAnsi="Times New Roman" w:cs="Times New Roman"/>
          <w:sz w:val="24"/>
          <w:szCs w:val="24"/>
        </w:rPr>
        <w:t>Zakona o pomorskom dobru i morskim lukama (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C38FC" w:rsidRPr="00A10354">
        <w:rPr>
          <w:rFonts w:ascii="Times New Roman" w:eastAsia="Times New Roman" w:hAnsi="Times New Roman" w:cs="Times New Roman"/>
          <w:sz w:val="24"/>
          <w:szCs w:val="24"/>
        </w:rPr>
        <w:t>Narodne novine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C38FC" w:rsidRPr="00A10354">
        <w:rPr>
          <w:rFonts w:ascii="Times New Roman" w:eastAsia="Times New Roman" w:hAnsi="Times New Roman" w:cs="Times New Roman"/>
          <w:sz w:val="24"/>
          <w:szCs w:val="24"/>
        </w:rPr>
        <w:t>, br. 158/03, 100/04, 141/06, 38/09, 123/11 – Odluka Ustavnog suda Republike Hrvatske, 56/16 i 98/19)</w:t>
      </w:r>
      <w:r w:rsidR="00456F5B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0C38FC" w:rsidRPr="00A10354">
        <w:rPr>
          <w:rFonts w:ascii="Times New Roman" w:eastAsia="Times New Roman" w:hAnsi="Times New Roman" w:cs="Times New Roman"/>
          <w:sz w:val="24"/>
          <w:szCs w:val="24"/>
        </w:rPr>
        <w:t xml:space="preserve"> u vezi s</w:t>
      </w:r>
      <w:r w:rsidR="00456F5B">
        <w:rPr>
          <w:rFonts w:ascii="Times New Roman" w:eastAsia="Times New Roman" w:hAnsi="Times New Roman" w:cs="Times New Roman"/>
          <w:sz w:val="24"/>
          <w:szCs w:val="24"/>
        </w:rPr>
        <w:t xml:space="preserve"> člankom 31. stavcima 1., </w:t>
      </w:r>
      <w:r w:rsidR="000C38FC" w:rsidRPr="00A1035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56F5B">
        <w:rPr>
          <w:rFonts w:ascii="Times New Roman" w:eastAsia="Times New Roman" w:hAnsi="Times New Roman" w:cs="Times New Roman"/>
          <w:sz w:val="24"/>
          <w:szCs w:val="24"/>
        </w:rPr>
        <w:t xml:space="preserve"> i 4.</w:t>
      </w:r>
      <w:r w:rsidR="000C38FC" w:rsidRPr="00A10354">
        <w:rPr>
          <w:rFonts w:ascii="Times New Roman" w:eastAsia="Times New Roman" w:hAnsi="Times New Roman" w:cs="Times New Roman"/>
          <w:sz w:val="24"/>
          <w:szCs w:val="24"/>
        </w:rPr>
        <w:t xml:space="preserve"> Zakona o koncesijama (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C38FC" w:rsidRPr="00A10354">
        <w:rPr>
          <w:rFonts w:ascii="Times New Roman" w:eastAsia="Times New Roman" w:hAnsi="Times New Roman" w:cs="Times New Roman"/>
          <w:sz w:val="24"/>
          <w:szCs w:val="24"/>
        </w:rPr>
        <w:t>Narodne novine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A4EBF">
        <w:rPr>
          <w:rFonts w:ascii="Times New Roman" w:eastAsia="Times New Roman" w:hAnsi="Times New Roman" w:cs="Times New Roman"/>
          <w:sz w:val="24"/>
          <w:szCs w:val="24"/>
        </w:rPr>
        <w:t>, br.</w:t>
      </w:r>
      <w:r w:rsidR="000C38FC" w:rsidRPr="00A10354">
        <w:rPr>
          <w:rFonts w:ascii="Times New Roman" w:eastAsia="Times New Roman" w:hAnsi="Times New Roman" w:cs="Times New Roman"/>
          <w:sz w:val="24"/>
          <w:szCs w:val="24"/>
        </w:rPr>
        <w:t xml:space="preserve"> 69/17), Vlada Republike Hrvatske je na sjednici održanoj ___________ 20</w:t>
      </w:r>
      <w:r w:rsidR="007D713E" w:rsidRPr="00A1035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C38FC" w:rsidRPr="00A10354">
        <w:rPr>
          <w:rFonts w:ascii="Times New Roman" w:eastAsia="Times New Roman" w:hAnsi="Times New Roman" w:cs="Times New Roman"/>
          <w:sz w:val="24"/>
          <w:szCs w:val="24"/>
        </w:rPr>
        <w:t>. godine donijela</w:t>
      </w:r>
    </w:p>
    <w:p w:rsidR="000C38FC" w:rsidRPr="00A10354" w:rsidRDefault="000C38FC" w:rsidP="000C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38FC" w:rsidRPr="00A10354" w:rsidRDefault="000C38FC" w:rsidP="000C38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38FC" w:rsidRDefault="000C38FC" w:rsidP="00A10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0354">
        <w:rPr>
          <w:rFonts w:ascii="Times New Roman" w:eastAsia="Times New Roman" w:hAnsi="Times New Roman" w:cs="Times New Roman"/>
          <w:bCs/>
          <w:sz w:val="24"/>
          <w:szCs w:val="24"/>
        </w:rPr>
        <w:t>OBAVIJEST</w:t>
      </w:r>
    </w:p>
    <w:p w:rsidR="003058DE" w:rsidRPr="00A10354" w:rsidRDefault="003058DE" w:rsidP="00A10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0354" w:rsidRPr="00A10354" w:rsidRDefault="000C38FC" w:rsidP="003058DE">
      <w:pPr>
        <w:pStyle w:val="NoSpacing1"/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0354">
        <w:rPr>
          <w:rFonts w:ascii="Times New Roman" w:eastAsia="Times New Roman" w:hAnsi="Times New Roman" w:cs="Times New Roman"/>
          <w:bCs/>
          <w:sz w:val="24"/>
          <w:szCs w:val="24"/>
        </w:rPr>
        <w:t xml:space="preserve">O NAMJERI DAVANJA KONCESIJE </w:t>
      </w:r>
      <w:r w:rsidR="00A10354" w:rsidRPr="00A10354">
        <w:rPr>
          <w:rFonts w:ascii="Times New Roman" w:eastAsia="Times New Roman" w:hAnsi="Times New Roman" w:cs="Times New Roman"/>
          <w:bCs/>
          <w:sz w:val="24"/>
          <w:szCs w:val="24"/>
        </w:rPr>
        <w:t xml:space="preserve">NA POMORSKOM DOBRU </w:t>
      </w:r>
      <w:r w:rsidR="00C22019">
        <w:rPr>
          <w:rFonts w:ascii="Times New Roman" w:eastAsia="Times New Roman" w:hAnsi="Times New Roman" w:cs="Times New Roman"/>
          <w:bCs/>
          <w:sz w:val="24"/>
          <w:szCs w:val="24"/>
        </w:rPr>
        <w:t>U SVRHU</w:t>
      </w:r>
      <w:r w:rsidR="00A10354" w:rsidRPr="00A1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IZGRADNJ</w:t>
      </w:r>
      <w:r w:rsidR="00C22019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A10354" w:rsidRPr="00A1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I GOSPODARSKO</w:t>
      </w:r>
      <w:r w:rsidR="00C22019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="00A10354" w:rsidRPr="00A1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KORIŠTENJ</w:t>
      </w:r>
      <w:r w:rsidR="00C22019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A10354" w:rsidRPr="00A1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LUKE POSEBNE NAMJENE – INDUSTRIJSKE LUKE  URINJ I IZGRADNJ</w:t>
      </w:r>
      <w:r w:rsidR="003058DE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A10354" w:rsidRPr="00A1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I GOSPODARSKO</w:t>
      </w:r>
      <w:r w:rsidR="003058DE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="00A10354" w:rsidRPr="00A1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KORIŠTENJ</w:t>
      </w:r>
      <w:r w:rsidR="003058DE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A10354" w:rsidRPr="00A1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POMORSKOG DOBRA IZVAN LUČKOG PODRUČJA U K.O. KOSTRENA BARBARA</w:t>
      </w:r>
    </w:p>
    <w:p w:rsidR="000C38FC" w:rsidRPr="00A10354" w:rsidRDefault="000C38FC" w:rsidP="00A10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38FC" w:rsidRPr="00A10354" w:rsidRDefault="000C38FC" w:rsidP="000C3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0354"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0C38FC" w:rsidRPr="00A10354" w:rsidRDefault="000C38FC" w:rsidP="000C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0354" w:rsidRDefault="000C38FC" w:rsidP="00456F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354">
        <w:rPr>
          <w:rFonts w:ascii="Times New Roman" w:eastAsia="Times New Roman" w:hAnsi="Times New Roman" w:cs="Times New Roman"/>
          <w:sz w:val="24"/>
          <w:szCs w:val="24"/>
        </w:rPr>
        <w:t xml:space="preserve">Koncesija na pomorskom dobru daje se </w:t>
      </w:r>
      <w:r w:rsidR="003058DE">
        <w:rPr>
          <w:rFonts w:ascii="Times New Roman" w:eastAsia="Times New Roman" w:hAnsi="Times New Roman" w:cs="Times New Roman"/>
          <w:sz w:val="24"/>
          <w:szCs w:val="24"/>
        </w:rPr>
        <w:t>u svrhu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 xml:space="preserve"> izgradnj</w:t>
      </w:r>
      <w:r w:rsidR="003058DE">
        <w:rPr>
          <w:rFonts w:ascii="Times New Roman" w:eastAsia="Times New Roman" w:hAnsi="Times New Roman" w:cs="Times New Roman"/>
          <w:sz w:val="24"/>
          <w:szCs w:val="24"/>
        </w:rPr>
        <w:t>e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 xml:space="preserve"> i gospodarsko</w:t>
      </w:r>
      <w:r w:rsidR="003058DE">
        <w:rPr>
          <w:rFonts w:ascii="Times New Roman" w:eastAsia="Times New Roman" w:hAnsi="Times New Roman" w:cs="Times New Roman"/>
          <w:sz w:val="24"/>
          <w:szCs w:val="24"/>
        </w:rPr>
        <w:t>g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 xml:space="preserve"> korištenje luke pose</w:t>
      </w:r>
      <w:r w:rsidR="003058DE">
        <w:rPr>
          <w:rFonts w:ascii="Times New Roman" w:eastAsia="Times New Roman" w:hAnsi="Times New Roman" w:cs="Times New Roman"/>
          <w:sz w:val="24"/>
          <w:szCs w:val="24"/>
        </w:rPr>
        <w:t>bne namjene – industrijske luke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>Urinj</w:t>
      </w:r>
      <w:proofErr w:type="spellEnd"/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 xml:space="preserve"> i izgradnj</w:t>
      </w:r>
      <w:r w:rsidR="003058DE">
        <w:rPr>
          <w:rFonts w:ascii="Times New Roman" w:eastAsia="Times New Roman" w:hAnsi="Times New Roman" w:cs="Times New Roman"/>
          <w:sz w:val="24"/>
          <w:szCs w:val="24"/>
        </w:rPr>
        <w:t>e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 xml:space="preserve"> i gospodarsko</w:t>
      </w:r>
      <w:r w:rsidR="003058DE">
        <w:rPr>
          <w:rFonts w:ascii="Times New Roman" w:eastAsia="Times New Roman" w:hAnsi="Times New Roman" w:cs="Times New Roman"/>
          <w:sz w:val="24"/>
          <w:szCs w:val="24"/>
        </w:rPr>
        <w:t>g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 xml:space="preserve"> korištenj</w:t>
      </w:r>
      <w:r w:rsidR="003058DE">
        <w:rPr>
          <w:rFonts w:ascii="Times New Roman" w:eastAsia="Times New Roman" w:hAnsi="Times New Roman" w:cs="Times New Roman"/>
          <w:sz w:val="24"/>
          <w:szCs w:val="24"/>
        </w:rPr>
        <w:t>a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 xml:space="preserve"> pomorskog dobra izvan lučkog područja u k.o. </w:t>
      </w:r>
      <w:proofErr w:type="spellStart"/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>K</w:t>
      </w:r>
      <w:r w:rsidR="00C767E9">
        <w:rPr>
          <w:rFonts w:ascii="Times New Roman" w:eastAsia="Times New Roman" w:hAnsi="Times New Roman" w:cs="Times New Roman"/>
          <w:sz w:val="24"/>
          <w:szCs w:val="24"/>
        </w:rPr>
        <w:t>ostre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 xml:space="preserve"> Barbara</w:t>
      </w:r>
      <w:r w:rsidRPr="00A10354">
        <w:rPr>
          <w:rFonts w:ascii="Times New Roman" w:eastAsia="Times New Roman" w:hAnsi="Times New Roman" w:cs="Times New Roman"/>
          <w:sz w:val="24"/>
          <w:szCs w:val="24"/>
        </w:rPr>
        <w:t>, sukladno Lokacijskoj dozvoli</w:t>
      </w:r>
      <w:r w:rsidRPr="00A1035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>izdanoj od</w:t>
      </w:r>
      <w:r w:rsidR="00A10354">
        <w:rPr>
          <w:rFonts w:ascii="Times New Roman" w:eastAsia="Times New Roman" w:hAnsi="Times New Roman" w:cs="Times New Roman"/>
          <w:sz w:val="24"/>
          <w:szCs w:val="24"/>
        </w:rPr>
        <w:t xml:space="preserve"> strane Ministarstva graditeljstva i prostornoga uređenja, Uprave za dozvole državnog značaja, klase: </w:t>
      </w:r>
      <w:proofErr w:type="spellStart"/>
      <w:r w:rsidR="00A10354">
        <w:rPr>
          <w:rFonts w:ascii="Times New Roman" w:eastAsia="Times New Roman" w:hAnsi="Times New Roman" w:cs="Times New Roman"/>
          <w:sz w:val="24"/>
          <w:szCs w:val="24"/>
        </w:rPr>
        <w:t>UP</w:t>
      </w:r>
      <w:proofErr w:type="spellEnd"/>
      <w:r w:rsidR="00A10354">
        <w:rPr>
          <w:rFonts w:ascii="Times New Roman" w:eastAsia="Times New Roman" w:hAnsi="Times New Roman" w:cs="Times New Roman"/>
          <w:sz w:val="24"/>
          <w:szCs w:val="24"/>
        </w:rPr>
        <w:t xml:space="preserve">/I-350-05/15-01/000168, urbroja: 531-06-1-1-2-16-0016 od 24. veljače 2016. godine, I. </w:t>
      </w:r>
      <w:r w:rsidR="00996ABE">
        <w:rPr>
          <w:rFonts w:ascii="Times New Roman" w:eastAsia="Times New Roman" w:hAnsi="Times New Roman" w:cs="Times New Roman"/>
          <w:sz w:val="24"/>
          <w:szCs w:val="24"/>
        </w:rPr>
        <w:t>Izmjeni i dopuni Lokacijske dozvole izdanoj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 xml:space="preserve"> od strane Ministarstva graditeljstva i prostornoga uređenja, Upr</w:t>
      </w:r>
      <w:r w:rsidR="00996ABE">
        <w:rPr>
          <w:rFonts w:ascii="Times New Roman" w:eastAsia="Times New Roman" w:hAnsi="Times New Roman" w:cs="Times New Roman"/>
          <w:sz w:val="24"/>
          <w:szCs w:val="24"/>
        </w:rPr>
        <w:t>ave za dozvole državnog značaja (K</w:t>
      </w:r>
      <w:r w:rsidR="00BC2C9E">
        <w:rPr>
          <w:rFonts w:ascii="Times New Roman" w:eastAsia="Times New Roman" w:hAnsi="Times New Roman" w:cs="Times New Roman"/>
          <w:sz w:val="24"/>
          <w:szCs w:val="24"/>
        </w:rPr>
        <w:t>las</w:t>
      </w:r>
      <w:r w:rsidR="00996ABE">
        <w:rPr>
          <w:rFonts w:ascii="Times New Roman" w:eastAsia="Times New Roman" w:hAnsi="Times New Roman" w:cs="Times New Roman"/>
          <w:sz w:val="24"/>
          <w:szCs w:val="24"/>
        </w:rPr>
        <w:t>a</w:t>
      </w:r>
      <w:r w:rsidR="00BC2C9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>UP</w:t>
      </w:r>
      <w:proofErr w:type="spellEnd"/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>/l-350-05/17-01 /000003</w:t>
      </w:r>
      <w:r w:rsidR="00996ABE">
        <w:rPr>
          <w:rFonts w:ascii="Times New Roman" w:eastAsia="Times New Roman" w:hAnsi="Times New Roman" w:cs="Times New Roman"/>
          <w:sz w:val="24"/>
          <w:szCs w:val="24"/>
        </w:rPr>
        <w:t>, Urbroj</w:t>
      </w:r>
      <w:r w:rsidR="00A103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D0AA4">
        <w:rPr>
          <w:rFonts w:ascii="Times New Roman" w:eastAsia="Times New Roman" w:hAnsi="Times New Roman" w:cs="Times New Roman"/>
          <w:sz w:val="24"/>
          <w:szCs w:val="24"/>
        </w:rPr>
        <w:t>531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>-06-1-1-2-17-07</w:t>
      </w:r>
      <w:r w:rsidR="00A10354">
        <w:rPr>
          <w:rFonts w:ascii="Times New Roman" w:eastAsia="Times New Roman" w:hAnsi="Times New Roman" w:cs="Times New Roman"/>
          <w:sz w:val="24"/>
          <w:szCs w:val="24"/>
        </w:rPr>
        <w:t xml:space="preserve"> od 3. travnja 2017. godine</w:t>
      </w:r>
      <w:r w:rsidR="00996A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A1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96ABE">
        <w:rPr>
          <w:rFonts w:ascii="Times New Roman" w:eastAsia="Times New Roman" w:hAnsi="Times New Roman" w:cs="Times New Roman"/>
          <w:sz w:val="24"/>
          <w:szCs w:val="24"/>
        </w:rPr>
        <w:t>II. Izmjeni i dopuni Lokacijske dozvole izdanoj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 xml:space="preserve"> od strane Ministarstva graditeljstva i prostornoga uređenja, Upra</w:t>
      </w:r>
      <w:r w:rsidR="00996ABE">
        <w:rPr>
          <w:rFonts w:ascii="Times New Roman" w:eastAsia="Times New Roman" w:hAnsi="Times New Roman" w:cs="Times New Roman"/>
          <w:sz w:val="24"/>
          <w:szCs w:val="24"/>
        </w:rPr>
        <w:t>ve za dozvole državnog značaja (K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>las</w:t>
      </w:r>
      <w:r w:rsidR="00996ABE">
        <w:rPr>
          <w:rFonts w:ascii="Times New Roman" w:eastAsia="Times New Roman" w:hAnsi="Times New Roman" w:cs="Times New Roman"/>
          <w:sz w:val="24"/>
          <w:szCs w:val="24"/>
        </w:rPr>
        <w:t>a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A10354" w:rsidRPr="00A10354"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 w:rsidR="00A10354">
        <w:rPr>
          <w:rFonts w:ascii="Times New Roman" w:eastAsia="Times New Roman" w:hAnsi="Times New Roman" w:cs="Times New Roman"/>
          <w:sz w:val="24"/>
          <w:szCs w:val="24"/>
        </w:rPr>
        <w:t>UP</w:t>
      </w:r>
      <w:proofErr w:type="spellEnd"/>
      <w:r w:rsidR="00A10354">
        <w:rPr>
          <w:rFonts w:ascii="Times New Roman" w:eastAsia="Times New Roman" w:hAnsi="Times New Roman" w:cs="Times New Roman"/>
          <w:sz w:val="24"/>
          <w:szCs w:val="24"/>
        </w:rPr>
        <w:t>/I</w:t>
      </w:r>
      <w:r w:rsidR="003D0AA4">
        <w:rPr>
          <w:rFonts w:ascii="Times New Roman" w:eastAsia="Times New Roman" w:hAnsi="Times New Roman" w:cs="Times New Roman"/>
          <w:sz w:val="24"/>
          <w:szCs w:val="24"/>
        </w:rPr>
        <w:t>-350-05/18-01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>/000097</w:t>
      </w:r>
      <w:r w:rsidR="00A1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96ABE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="00A1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354" w:rsidRPr="00A10354">
        <w:rPr>
          <w:rFonts w:ascii="Times New Roman" w:eastAsia="Times New Roman" w:hAnsi="Times New Roman" w:cs="Times New Roman"/>
          <w:sz w:val="24"/>
          <w:szCs w:val="24"/>
        </w:rPr>
        <w:t>531-06-1-1-2-18-007</w:t>
      </w:r>
      <w:r w:rsidR="00A10354">
        <w:rPr>
          <w:rFonts w:ascii="Times New Roman" w:eastAsia="Times New Roman" w:hAnsi="Times New Roman" w:cs="Times New Roman"/>
          <w:sz w:val="24"/>
          <w:szCs w:val="24"/>
        </w:rPr>
        <w:t xml:space="preserve"> od 26. studenog 2018. godine</w:t>
      </w:r>
      <w:r w:rsidR="00996A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EE1C3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6F5B" w:rsidRDefault="00456F5B" w:rsidP="00456F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DAB" w:rsidRDefault="00BB5DAB" w:rsidP="00BB5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</w:p>
    <w:p w:rsidR="00EE1C3B" w:rsidRDefault="00EE1C3B" w:rsidP="00A10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9A9" w:rsidRPr="008C1B54" w:rsidRDefault="00BB5DAB" w:rsidP="003058DE">
      <w:pPr>
        <w:jc w:val="both"/>
        <w:rPr>
          <w:rFonts w:ascii="Times New Roman" w:hAnsi="Times New Roman" w:cs="Times New Roman"/>
          <w:sz w:val="24"/>
          <w:szCs w:val="24"/>
        </w:rPr>
      </w:pPr>
      <w:r w:rsidRPr="00BB5DAB">
        <w:rPr>
          <w:rFonts w:ascii="Times New Roman" w:hAnsi="Times New Roman" w:cs="Times New Roman"/>
          <w:sz w:val="24"/>
          <w:szCs w:val="24"/>
        </w:rPr>
        <w:t xml:space="preserve">Područje pomorskog dobra koje se daje u koncesiju u svrhu izgradnje i gospodarskog korištenje luke posebne namjene – industrijske luke </w:t>
      </w:r>
      <w:proofErr w:type="spellStart"/>
      <w:r w:rsidRPr="00BB5DAB">
        <w:rPr>
          <w:rFonts w:ascii="Times New Roman" w:hAnsi="Times New Roman" w:cs="Times New Roman"/>
          <w:sz w:val="24"/>
          <w:szCs w:val="24"/>
        </w:rPr>
        <w:t>Urinj</w:t>
      </w:r>
      <w:proofErr w:type="spellEnd"/>
      <w:r w:rsidRPr="00BB5DAB">
        <w:rPr>
          <w:rFonts w:ascii="Times New Roman" w:hAnsi="Times New Roman" w:cs="Times New Roman"/>
          <w:sz w:val="24"/>
          <w:szCs w:val="24"/>
        </w:rPr>
        <w:t xml:space="preserve"> </w:t>
      </w:r>
      <w:r w:rsidRPr="008C1B54">
        <w:rPr>
          <w:rFonts w:ascii="Times New Roman" w:hAnsi="Times New Roman" w:cs="Times New Roman"/>
          <w:sz w:val="24"/>
          <w:szCs w:val="24"/>
        </w:rPr>
        <w:t>određen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C1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8C1B54">
        <w:rPr>
          <w:rFonts w:ascii="Times New Roman" w:hAnsi="Times New Roman" w:cs="Times New Roman"/>
          <w:sz w:val="24"/>
          <w:szCs w:val="24"/>
        </w:rPr>
        <w:t>poligonom karakterističnih koordinatnih točaka izraženih u HTRS96/TM projekcij</w:t>
      </w:r>
      <w:r>
        <w:rPr>
          <w:rFonts w:ascii="Times New Roman" w:hAnsi="Times New Roman" w:cs="Times New Roman"/>
          <w:sz w:val="24"/>
          <w:szCs w:val="24"/>
        </w:rPr>
        <w:t>i sukladno</w:t>
      </w:r>
      <w:r w:rsidR="002B39A9" w:rsidRPr="008C1B54">
        <w:rPr>
          <w:rFonts w:ascii="Times New Roman" w:hAnsi="Times New Roman" w:cs="Times New Roman"/>
          <w:sz w:val="24"/>
          <w:szCs w:val="24"/>
        </w:rPr>
        <w:t xml:space="preserve"> Rješenj</w:t>
      </w:r>
      <w:r>
        <w:rPr>
          <w:rFonts w:ascii="Times New Roman" w:hAnsi="Times New Roman" w:cs="Times New Roman"/>
          <w:sz w:val="24"/>
          <w:szCs w:val="24"/>
        </w:rPr>
        <w:t>u</w:t>
      </w:r>
      <w:r w:rsidR="002B39A9" w:rsidRPr="008C1B54">
        <w:rPr>
          <w:rFonts w:ascii="Times New Roman" w:hAnsi="Times New Roman" w:cs="Times New Roman"/>
          <w:sz w:val="24"/>
          <w:szCs w:val="24"/>
        </w:rPr>
        <w:t xml:space="preserve"> Povjerenstva za granice Ministarstva mora, prometa i infrastrukture (klasa: </w:t>
      </w:r>
      <w:proofErr w:type="spellStart"/>
      <w:r w:rsidR="00807DAF" w:rsidRPr="008C1B54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807DAF" w:rsidRPr="008C1B54">
        <w:rPr>
          <w:rFonts w:ascii="Times New Roman" w:hAnsi="Times New Roman" w:cs="Times New Roman"/>
          <w:sz w:val="24"/>
          <w:szCs w:val="24"/>
        </w:rPr>
        <w:t>/I-342-22/16-01/89</w:t>
      </w:r>
      <w:r w:rsidR="002B39A9" w:rsidRPr="008C1B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39A9" w:rsidRPr="008C1B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2B39A9" w:rsidRPr="008C1B54">
        <w:rPr>
          <w:rFonts w:ascii="Times New Roman" w:hAnsi="Times New Roman" w:cs="Times New Roman"/>
          <w:sz w:val="24"/>
          <w:szCs w:val="24"/>
        </w:rPr>
        <w:t xml:space="preserve">: </w:t>
      </w:r>
      <w:r w:rsidR="00807DAF" w:rsidRPr="008C1B54">
        <w:rPr>
          <w:rFonts w:ascii="Times New Roman" w:hAnsi="Times New Roman" w:cs="Times New Roman"/>
          <w:sz w:val="24"/>
          <w:szCs w:val="24"/>
        </w:rPr>
        <w:t>530-03-1-2-16-2</w:t>
      </w:r>
      <w:r w:rsidR="002B39A9" w:rsidRPr="008C1B54">
        <w:rPr>
          <w:rFonts w:ascii="Times New Roman" w:hAnsi="Times New Roman" w:cs="Times New Roman"/>
          <w:sz w:val="24"/>
          <w:szCs w:val="24"/>
        </w:rPr>
        <w:t xml:space="preserve">, od </w:t>
      </w:r>
      <w:r w:rsidR="00807DAF" w:rsidRPr="008C1B54">
        <w:rPr>
          <w:rFonts w:ascii="Times New Roman" w:hAnsi="Times New Roman" w:cs="Times New Roman"/>
          <w:sz w:val="24"/>
          <w:szCs w:val="24"/>
        </w:rPr>
        <w:t>23. studenoga 2016</w:t>
      </w:r>
      <w:r>
        <w:rPr>
          <w:rFonts w:ascii="Times New Roman" w:hAnsi="Times New Roman" w:cs="Times New Roman"/>
          <w:sz w:val="24"/>
          <w:szCs w:val="24"/>
        </w:rPr>
        <w:t>. godine)</w:t>
      </w:r>
      <w:r w:rsidR="002B39A9" w:rsidRPr="008C1B54">
        <w:rPr>
          <w:rFonts w:ascii="Times New Roman" w:hAnsi="Times New Roman" w:cs="Times New Roman"/>
          <w:sz w:val="24"/>
          <w:szCs w:val="24"/>
        </w:rPr>
        <w:t>, kako slijedi:</w:t>
      </w:r>
    </w:p>
    <w:p w:rsidR="002B39A9" w:rsidRPr="008C1B54" w:rsidRDefault="002B39A9" w:rsidP="00807DAF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1000"/>
        <w:gridCol w:w="2268"/>
        <w:gridCol w:w="2268"/>
      </w:tblGrid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2B39A9" w:rsidRPr="00E97DA2" w:rsidRDefault="00E97DA2" w:rsidP="00E97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7D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Točka</w:t>
            </w:r>
          </w:p>
        </w:tc>
        <w:tc>
          <w:tcPr>
            <w:tcW w:w="2268" w:type="dxa"/>
            <w:vAlign w:val="center"/>
          </w:tcPr>
          <w:p w:rsidR="002B39A9" w:rsidRPr="00E97DA2" w:rsidRDefault="00051DCF" w:rsidP="00E97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268" w:type="dxa"/>
            <w:vAlign w:val="center"/>
          </w:tcPr>
          <w:p w:rsidR="002B39A9" w:rsidRPr="00E97DA2" w:rsidRDefault="00051DCF" w:rsidP="00E97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964,49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550,10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971,35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548,06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976,37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017552,64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002,86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538,67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007,99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544,69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011,48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548,79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108,68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475,03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115,09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471,71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120,86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468,70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147,68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454,84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146,72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445,21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143,67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443,12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144,45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442,03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148,58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436,23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152,48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430,76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211,34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366,87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239,16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350,16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232,81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343,89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221,93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344,07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218,78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345,02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217,89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344,04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200,15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348,27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8E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E2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974,04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081,13</w:t>
            </w:r>
          </w:p>
        </w:tc>
      </w:tr>
      <w:tr w:rsidR="00BC06C9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BC06C9" w:rsidRPr="008C1B54" w:rsidRDefault="00BC06C9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8E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E2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737,84</w:t>
            </w:r>
          </w:p>
        </w:tc>
        <w:tc>
          <w:tcPr>
            <w:tcW w:w="2268" w:type="dxa"/>
            <w:vAlign w:val="center"/>
          </w:tcPr>
          <w:p w:rsidR="00BC06C9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BC06C9" w:rsidRPr="008C1B54">
              <w:rPr>
                <w:rFonts w:ascii="Times New Roman" w:hAnsi="Times New Roman" w:cs="Times New Roman"/>
                <w:sz w:val="24"/>
                <w:szCs w:val="24"/>
              </w:rPr>
              <w:t>282,31</w:t>
            </w:r>
          </w:p>
        </w:tc>
      </w:tr>
      <w:tr w:rsidR="00C80120" w:rsidRPr="008C1B54" w:rsidTr="00E97DA2">
        <w:trPr>
          <w:trHeight w:val="397"/>
          <w:jc w:val="center"/>
        </w:trPr>
        <w:tc>
          <w:tcPr>
            <w:tcW w:w="1000" w:type="dxa"/>
            <w:vAlign w:val="center"/>
          </w:tcPr>
          <w:p w:rsidR="00C80120" w:rsidRPr="008C1B54" w:rsidRDefault="00C80120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C80120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C80120" w:rsidRPr="008C1B54">
              <w:rPr>
                <w:rFonts w:ascii="Times New Roman" w:hAnsi="Times New Roman" w:cs="Times New Roman"/>
                <w:sz w:val="24"/>
                <w:szCs w:val="24"/>
              </w:rPr>
              <w:t>964,49</w:t>
            </w:r>
          </w:p>
        </w:tc>
        <w:tc>
          <w:tcPr>
            <w:tcW w:w="2268" w:type="dxa"/>
            <w:vAlign w:val="center"/>
          </w:tcPr>
          <w:p w:rsidR="00C80120" w:rsidRPr="008C1B54" w:rsidRDefault="00E97DA2" w:rsidP="00E9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  <w:r w:rsidR="00C80120" w:rsidRPr="008C1B54">
              <w:rPr>
                <w:rFonts w:ascii="Times New Roman" w:hAnsi="Times New Roman" w:cs="Times New Roman"/>
                <w:sz w:val="24"/>
                <w:szCs w:val="24"/>
              </w:rPr>
              <w:t>550,10</w:t>
            </w:r>
          </w:p>
        </w:tc>
      </w:tr>
    </w:tbl>
    <w:p w:rsidR="000C38FC" w:rsidRPr="008C1B54" w:rsidRDefault="000C38FC" w:rsidP="000C3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433A" w:rsidRDefault="00AC433A" w:rsidP="00AC43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Područje pomorskog dobra koje se daje u koncesiju u svrhu izgradnje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BB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gospodarskog korištenje luke posebne namjene – industrijske luke </w:t>
      </w:r>
      <w:proofErr w:type="spellStart"/>
      <w:r w:rsidRPr="00BB5DAB">
        <w:rPr>
          <w:rFonts w:ascii="Times New Roman" w:eastAsia="Times New Roman" w:hAnsi="Times New Roman" w:cs="Times New Roman"/>
          <w:color w:val="000000"/>
          <w:sz w:val="24"/>
          <w:szCs w:val="24"/>
        </w:rPr>
        <w:t>Urinj</w:t>
      </w:r>
      <w:proofErr w:type="spellEnd"/>
      <w:r w:rsidRPr="00BB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obuhvaća u cijelosti katastarske čestice: 1628/2, 1552/2, 1552/3 i 1636, sve k.o. </w:t>
      </w:r>
      <w:proofErr w:type="spellStart"/>
      <w:r w:rsidRPr="00BB5DAB">
        <w:rPr>
          <w:rFonts w:ascii="Times New Roman" w:eastAsia="Times New Roman" w:hAnsi="Times New Roman" w:cs="Times New Roman"/>
          <w:color w:val="000000"/>
          <w:sz w:val="24"/>
          <w:szCs w:val="24"/>
        </w:rPr>
        <w:t>Kostrena</w:t>
      </w:r>
      <w:proofErr w:type="spellEnd"/>
      <w:r w:rsidRPr="00BB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Barbara.</w:t>
      </w:r>
    </w:p>
    <w:p w:rsidR="00AC433A" w:rsidRPr="00BB5DAB" w:rsidRDefault="00AC433A" w:rsidP="00AC43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433A" w:rsidRDefault="00AC433A" w:rsidP="00AC43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AB">
        <w:rPr>
          <w:rFonts w:ascii="Times New Roman" w:eastAsia="Times New Roman" w:hAnsi="Times New Roman" w:cs="Times New Roman"/>
          <w:color w:val="000000"/>
          <w:sz w:val="24"/>
          <w:szCs w:val="24"/>
        </w:rPr>
        <w:t>Područje pomorskog dobra koje se daje u koncesiju u svrhu izgradnje i gospodarskog korištenja izvan lučkog područja obuhvaća u cij</w:t>
      </w:r>
      <w:r w:rsidR="0037500A">
        <w:rPr>
          <w:rFonts w:ascii="Times New Roman" w:eastAsia="Times New Roman" w:hAnsi="Times New Roman" w:cs="Times New Roman"/>
          <w:color w:val="000000"/>
          <w:sz w:val="24"/>
          <w:szCs w:val="24"/>
        </w:rPr>
        <w:t>elosti katastarsku česticu 1629</w:t>
      </w:r>
      <w:r w:rsidRPr="00BB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k.o. </w:t>
      </w:r>
      <w:proofErr w:type="spellStart"/>
      <w:r w:rsidRPr="00BB5DAB">
        <w:rPr>
          <w:rFonts w:ascii="Times New Roman" w:eastAsia="Times New Roman" w:hAnsi="Times New Roman" w:cs="Times New Roman"/>
          <w:color w:val="000000"/>
          <w:sz w:val="24"/>
          <w:szCs w:val="24"/>
        </w:rPr>
        <w:t>Kostrena</w:t>
      </w:r>
      <w:proofErr w:type="spellEnd"/>
      <w:r w:rsidRPr="00BB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Barbara.</w:t>
      </w:r>
    </w:p>
    <w:p w:rsidR="00636BF7" w:rsidRDefault="00636BF7" w:rsidP="003058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DAB" w:rsidRDefault="00AC433A" w:rsidP="00BB5DA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</w:t>
      </w:r>
      <w:r w:rsidR="00BB5D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4033" w:rsidRDefault="00414033" w:rsidP="00BB5DA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5DAB" w:rsidRDefault="00BB5DAB" w:rsidP="004140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DAB">
        <w:rPr>
          <w:rFonts w:ascii="Times New Roman" w:eastAsia="Times New Roman" w:hAnsi="Times New Roman" w:cs="Times New Roman"/>
          <w:sz w:val="24"/>
          <w:szCs w:val="24"/>
        </w:rPr>
        <w:t>Površina pomorsk</w:t>
      </w:r>
      <w:r w:rsidR="00414033">
        <w:rPr>
          <w:rFonts w:ascii="Times New Roman" w:eastAsia="Times New Roman" w:hAnsi="Times New Roman" w:cs="Times New Roman"/>
          <w:sz w:val="24"/>
          <w:szCs w:val="24"/>
        </w:rPr>
        <w:t xml:space="preserve">og dobra </w:t>
      </w:r>
      <w:r w:rsidRPr="00BB5DAB">
        <w:rPr>
          <w:rFonts w:ascii="Times New Roman" w:eastAsia="Times New Roman" w:hAnsi="Times New Roman" w:cs="Times New Roman"/>
          <w:sz w:val="24"/>
          <w:szCs w:val="24"/>
        </w:rPr>
        <w:t xml:space="preserve">lučkog područja </w:t>
      </w:r>
      <w:r w:rsidR="00414033" w:rsidRPr="00414033">
        <w:rPr>
          <w:rFonts w:ascii="Times New Roman" w:eastAsia="Times New Roman" w:hAnsi="Times New Roman" w:cs="Times New Roman"/>
          <w:sz w:val="24"/>
          <w:szCs w:val="24"/>
        </w:rPr>
        <w:t xml:space="preserve">luke posebne namjene – industrijske luke </w:t>
      </w:r>
      <w:proofErr w:type="spellStart"/>
      <w:r w:rsidR="00414033" w:rsidRPr="00414033">
        <w:rPr>
          <w:rFonts w:ascii="Times New Roman" w:eastAsia="Times New Roman" w:hAnsi="Times New Roman" w:cs="Times New Roman"/>
          <w:sz w:val="24"/>
          <w:szCs w:val="24"/>
        </w:rPr>
        <w:t>Urinj</w:t>
      </w:r>
      <w:proofErr w:type="spellEnd"/>
      <w:r w:rsidR="00414033" w:rsidRPr="004140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4FE" w:rsidRPr="00BE0C49">
        <w:rPr>
          <w:rFonts w:ascii="Times New Roman" w:eastAsia="Times New Roman" w:hAnsi="Times New Roman" w:cs="Times New Roman"/>
          <w:sz w:val="24"/>
          <w:szCs w:val="24"/>
        </w:rPr>
        <w:t>(kopneni i morski dio) </w:t>
      </w:r>
      <w:r w:rsidR="00D304FE" w:rsidRPr="00BB5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DAB">
        <w:rPr>
          <w:rFonts w:ascii="Times New Roman" w:eastAsia="Times New Roman" w:hAnsi="Times New Roman" w:cs="Times New Roman"/>
          <w:sz w:val="24"/>
          <w:szCs w:val="24"/>
        </w:rPr>
        <w:t xml:space="preserve">koje se daje u koncesiju iznosi </w:t>
      </w:r>
      <w:r w:rsidR="00414033" w:rsidRPr="00414033">
        <w:rPr>
          <w:rFonts w:ascii="Times New Roman" w:eastAsia="Times New Roman" w:hAnsi="Times New Roman" w:cs="Times New Roman"/>
          <w:sz w:val="24"/>
          <w:szCs w:val="24"/>
        </w:rPr>
        <w:t>118 687 m</w:t>
      </w:r>
      <w:r w:rsidR="00414033" w:rsidRPr="0041403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4140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4033" w:rsidRDefault="00414033" w:rsidP="00BB5DA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5DAB" w:rsidRDefault="00414033" w:rsidP="004140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033">
        <w:rPr>
          <w:rFonts w:ascii="Times New Roman" w:eastAsia="Times New Roman" w:hAnsi="Times New Roman" w:cs="Times New Roman"/>
          <w:sz w:val="24"/>
          <w:szCs w:val="24"/>
        </w:rPr>
        <w:t xml:space="preserve">Površina pomorskog dobra izvan lučkog područja </w:t>
      </w:r>
      <w:r w:rsidR="00FC1167">
        <w:rPr>
          <w:rFonts w:ascii="Times New Roman" w:eastAsia="Times New Roman" w:hAnsi="Times New Roman" w:cs="Times New Roman"/>
          <w:sz w:val="24"/>
          <w:szCs w:val="24"/>
        </w:rPr>
        <w:t xml:space="preserve">(kopneni dio)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koje se daje u koncesiju </w:t>
      </w:r>
      <w:r w:rsidRPr="00414033">
        <w:rPr>
          <w:rFonts w:ascii="Times New Roman" w:eastAsia="Times New Roman" w:hAnsi="Times New Roman" w:cs="Times New Roman"/>
          <w:sz w:val="24"/>
          <w:szCs w:val="24"/>
        </w:rPr>
        <w:t>iznosi 5 857 m</w:t>
      </w:r>
      <w:r w:rsidRPr="0041403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140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4033" w:rsidRPr="00BB5DAB" w:rsidRDefault="00414033" w:rsidP="004140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033" w:rsidRDefault="00414033" w:rsidP="003058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0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Ukupna površina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pomorskog dobra koje </w:t>
      </w:r>
      <w:r w:rsidRPr="00414033">
        <w:rPr>
          <w:rFonts w:ascii="Times New Roman" w:eastAsia="Times New Roman" w:hAnsi="Times New Roman" w:cs="Times New Roman"/>
          <w:sz w:val="24"/>
          <w:szCs w:val="24"/>
        </w:rPr>
        <w:t>daj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4033">
        <w:rPr>
          <w:rFonts w:ascii="Times New Roman" w:eastAsia="Times New Roman" w:hAnsi="Times New Roman" w:cs="Times New Roman"/>
          <w:sz w:val="24"/>
          <w:szCs w:val="24"/>
        </w:rPr>
        <w:t xml:space="preserve"> u koncesiju iznosi 124 544 m</w:t>
      </w:r>
      <w:r w:rsidRPr="00AA741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14033">
        <w:rPr>
          <w:rFonts w:ascii="Times New Roman" w:eastAsia="Times New Roman" w:hAnsi="Times New Roman" w:cs="Times New Roman"/>
          <w:sz w:val="24"/>
          <w:szCs w:val="24"/>
        </w:rPr>
        <w:t>, a sve kako je prikazano na grafičkoj podlozi koja čini Prilog 1 ove Obavijesti i objavljuje se u Elektroničkom oglasniku javne nabave Republike Hrvatske.</w:t>
      </w:r>
    </w:p>
    <w:p w:rsidR="00414033" w:rsidRDefault="00414033" w:rsidP="003058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8FC" w:rsidRPr="008A4EBF" w:rsidRDefault="001D648D" w:rsidP="000C3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14033">
        <w:rPr>
          <w:rFonts w:ascii="Times New Roman" w:eastAsia="Times New Roman" w:hAnsi="Times New Roman" w:cs="Times New Roman"/>
          <w:sz w:val="24"/>
          <w:szCs w:val="24"/>
        </w:rPr>
        <w:t>V</w:t>
      </w:r>
      <w:r w:rsidR="000C38FC" w:rsidRPr="008A4E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38FC" w:rsidRPr="00A10354" w:rsidRDefault="000C38FC" w:rsidP="000C3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Koncesija se daje na vremensko razdoblje od </w:t>
      </w:r>
      <w:r w:rsidR="00775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EE1C3B"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775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četrdeset</w:t>
      </w: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godina računajući od dana sklapanja ugovora o koncesiji.</w:t>
      </w:r>
    </w:p>
    <w:p w:rsidR="000C38FC" w:rsidRPr="00A10354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D57390" w:rsidRDefault="005A6E00" w:rsidP="003058D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0C38FC"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C38FC" w:rsidRPr="00D57390" w:rsidRDefault="000C38FC" w:rsidP="003058D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38FC" w:rsidRPr="00D57390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Obvezni prilog ponudi sadrži sljedeće dokumente u izvornom obliku:</w:t>
      </w:r>
    </w:p>
    <w:p w:rsidR="000C38FC" w:rsidRPr="00A10354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D57390" w:rsidRDefault="000C38FC" w:rsidP="003058DE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dokaze o sposobnosti ponuditelja:</w:t>
      </w:r>
    </w:p>
    <w:p w:rsidR="000C38FC" w:rsidRPr="00D57390" w:rsidRDefault="000C38FC" w:rsidP="003058DE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izvadak iz sudskog registra trgovačkog suda ili izvadak iz obrtnog registra s upisanom djelatnošću za koju se traži koncesija, ne stariji od 30 dana;</w:t>
      </w:r>
    </w:p>
    <w:p w:rsidR="000C38FC" w:rsidRPr="00D57390" w:rsidRDefault="000C38FC" w:rsidP="003058DE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odgovarajuću potvrdu kojom dokazuje da nije pokrenut stečajni, odnosno </w:t>
      </w:r>
      <w:proofErr w:type="spellStart"/>
      <w:r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predstečajni</w:t>
      </w:r>
      <w:proofErr w:type="spellEnd"/>
      <w:r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postupak, da se ne nalazi u postupku likvidacije, odnosno da nije u postupku obustavljanja poslovnih djelatnosti;</w:t>
      </w:r>
    </w:p>
    <w:p w:rsidR="000C38FC" w:rsidRPr="00D57390" w:rsidRDefault="000C38FC" w:rsidP="003058DE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podatke o bonitetu (BON 1), osim za obrte obveznike poreza na dohodak i novoosnovana društva i obrte;</w:t>
      </w:r>
    </w:p>
    <w:p w:rsidR="000C38FC" w:rsidRPr="00D57390" w:rsidRDefault="000C38FC" w:rsidP="003058DE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podatke o solventnosti (BON 2 – za glavni račun ponuditelja) i potvrdu nadležne Porezne uprave o plaćenim dospjelim obvezama temeljem javnih davanja, sve ne starije od 30 dana;</w:t>
      </w:r>
    </w:p>
    <w:p w:rsidR="000C38FC" w:rsidRPr="00D57390" w:rsidRDefault="000C38FC" w:rsidP="003058DE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izjavu da li je ponuditelj ispunio sve obveze iz drugih koncesija, ako ih ima ili ih je imao;</w:t>
      </w:r>
    </w:p>
    <w:p w:rsidR="000C38FC" w:rsidRPr="00D57390" w:rsidRDefault="000C38FC" w:rsidP="003058DE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izjavu da li je ponuditelju do sada oduzeta koncesija sukladno članku 30. Zakona o pomorskom dobru i morskim lukama;</w:t>
      </w:r>
    </w:p>
    <w:p w:rsidR="000C38FC" w:rsidRPr="00D57390" w:rsidRDefault="000C38FC" w:rsidP="003058DE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izjavu da ponuditelju ili osobi ovlaštenoj za zastupanje nije izrečena pravomoćna osuđujuća presuda za jedno ili više kaznenih djela iz područja gospodarskoga kriminala.</w:t>
      </w:r>
    </w:p>
    <w:p w:rsidR="000C38FC" w:rsidRPr="00A10354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431ADC" w:rsidRDefault="000C38FC" w:rsidP="003058DE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ponuđeni iznos stalnog i postotak promjenjivog dijela koncesijske naknade, s time da početni iznos stalnog dijela koncesijske naknade iznosi </w:t>
      </w:r>
      <w:r w:rsidR="00431ADC"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2,00</w:t>
      </w:r>
      <w:r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kune po m² zauzetog pomorskog dobra, a početni iznos promjenjivog dijela koncesijske naknade </w:t>
      </w:r>
      <w:r w:rsidR="00431ADC"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iznosi 2 </w:t>
      </w:r>
      <w:r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 prihoda ostvaren</w:t>
      </w:r>
      <w:r w:rsidR="00D57390"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og na </w:t>
      </w:r>
      <w:proofErr w:type="spellStart"/>
      <w:r w:rsidR="00D57390"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koncesioniranom</w:t>
      </w:r>
      <w:proofErr w:type="spellEnd"/>
      <w:r w:rsidR="00D57390"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području.</w:t>
      </w:r>
    </w:p>
    <w:p w:rsidR="00D57390" w:rsidRPr="00D57390" w:rsidRDefault="00D57390" w:rsidP="003058DE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D57390" w:rsidRDefault="000C38FC" w:rsidP="003058DE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studiju gospodarske opravdanosti koja se izrađuje prema sadržaju i u formi iz dokumentacije za javno prikupljanje ponuda. Ukupna vrijednost investicije koja se planira studijom gospodarske opravdanosti smatra se ulaganjem u osnovna sredstva.</w:t>
      </w:r>
    </w:p>
    <w:p w:rsidR="000C38FC" w:rsidRPr="00A10354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D57390" w:rsidRDefault="000C38FC" w:rsidP="003058DE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garanciju poslovne banke za ozbiljnost ponude u izvornom obliku u visini 1% od ponuđene vrijednosti investicije s rokom važenja do planiranog roka zaključenja ugovora o koncesiji, a najduže dvije godine.</w:t>
      </w:r>
    </w:p>
    <w:p w:rsidR="000C38FC" w:rsidRPr="00A10354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D57390" w:rsidRDefault="000C38FC" w:rsidP="003058DE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pismo namjere poslovne banke u izvornom obliku da će izdati garanciju za dobro ispunjenje obveza iz ugovora o koncesiji koji će se sklopiti s odabranim ponuditeljem u visini 5% ponuđene vrijednosti investicije s rokom važenja šest mjeseci dužim od planiranog roka završetka investicijskog ciklusa.</w:t>
      </w:r>
    </w:p>
    <w:p w:rsidR="000C38FC" w:rsidRPr="00A10354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A10354" w:rsidRDefault="000C38FC" w:rsidP="003058DE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Ovjerenu izjavu ponuditelja da je spreman nadoknaditi troškove ishođenja lokacijske dozvole u iznosu </w:t>
      </w:r>
      <w:r w:rsidRPr="008A4EBF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8A4EBF" w:rsidRPr="008A4EBF">
        <w:rPr>
          <w:rFonts w:ascii="Times New Roman" w:eastAsia="Times New Roman" w:hAnsi="Times New Roman" w:cs="Times New Roman"/>
          <w:sz w:val="24"/>
          <w:szCs w:val="24"/>
        </w:rPr>
        <w:t xml:space="preserve">8.807.912,50 </w:t>
      </w:r>
      <w:r w:rsidRPr="008A4EBF">
        <w:rPr>
          <w:rFonts w:ascii="Times New Roman" w:eastAsia="Times New Roman" w:hAnsi="Times New Roman" w:cs="Times New Roman"/>
          <w:sz w:val="24"/>
          <w:szCs w:val="24"/>
        </w:rPr>
        <w:t>k</w:t>
      </w:r>
      <w:r w:rsidR="008A4EBF" w:rsidRPr="008A4E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A4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trgovačkom društvu </w:t>
      </w:r>
      <w:r w:rsidR="00D57390"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3750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r w:rsidR="00D57390"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industrija nafte d.d.</w:t>
      </w:r>
    </w:p>
    <w:p w:rsidR="000C38FC" w:rsidRPr="00A10354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D57390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Razlozi isključenja ponuditelja su ako ponuda ne sadrži potpunu dokumentaciju propisanu ovom Obaviješću i dokumentacijom za nadmetanje te ako ponuditelj ne udovoljava svim uvjetima propisanim ovom Obaviješću, dokumentacijom za nadmetanje, člankom 17. stavkom 3. Zakona o pomorskom dobru i morskim lukama i člankom 24. Zakona o koncesijama.</w:t>
      </w:r>
    </w:p>
    <w:p w:rsidR="000C38FC" w:rsidRPr="00A10354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431ADC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Procijenjena vrijednost koncesije iznosi </w:t>
      </w:r>
      <w:r w:rsidR="009544EB" w:rsidRPr="009544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796.875.000,00 </w:t>
      </w:r>
      <w:r w:rsidR="00463849" w:rsidRPr="004638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kuna</w:t>
      </w:r>
      <w:r w:rsid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C38FC" w:rsidRPr="00A10354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D57390" w:rsidRDefault="0037500A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Natječajna dokumentacija bit</w:t>
      </w:r>
      <w:r w:rsidR="000C38FC" w:rsidRPr="00D57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će objavljena u Elektroničkom oglasniku javne nabave Republike Hrvatske.</w:t>
      </w:r>
    </w:p>
    <w:p w:rsidR="000C38FC" w:rsidRPr="00A10354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AC442A" w:rsidRDefault="005A6E00" w:rsidP="003058D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442A">
        <w:rPr>
          <w:rFonts w:ascii="Times New Roman" w:eastAsia="Times New Roman" w:hAnsi="Times New Roman" w:cs="Times New Roman"/>
          <w:sz w:val="24"/>
          <w:szCs w:val="24"/>
        </w:rPr>
        <w:t>V</w:t>
      </w:r>
      <w:r w:rsidR="001D648D">
        <w:rPr>
          <w:rFonts w:ascii="Times New Roman" w:eastAsia="Times New Roman" w:hAnsi="Times New Roman" w:cs="Times New Roman"/>
          <w:sz w:val="24"/>
          <w:szCs w:val="24"/>
        </w:rPr>
        <w:t>I</w:t>
      </w:r>
      <w:r w:rsidR="000C38FC" w:rsidRPr="00AC44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38FC" w:rsidRPr="00A10354" w:rsidRDefault="000C38FC" w:rsidP="003058DE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B03F7D" w:rsidRDefault="001D648D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Ocjenjivanje ponuda obavit će se prema sljedećim kriterijima</w:t>
      </w:r>
      <w:r w:rsidR="000C38FC"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C38FC" w:rsidRPr="00B03F7D" w:rsidRDefault="000C38FC" w:rsidP="001D648D">
      <w:pPr>
        <w:pStyle w:val="ListParagraph"/>
        <w:numPr>
          <w:ilvl w:val="0"/>
          <w:numId w:val="2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ponuđeni iznos stalnog dijela koncesijske naknade  - 30%</w:t>
      </w:r>
    </w:p>
    <w:p w:rsidR="000C38FC" w:rsidRPr="00B03F7D" w:rsidRDefault="000C38FC" w:rsidP="001D648D">
      <w:pPr>
        <w:pStyle w:val="ListParagraph"/>
        <w:numPr>
          <w:ilvl w:val="0"/>
          <w:numId w:val="2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ponuđeni iznos promjenjivog dijela koncesijske naknade  - 30%</w:t>
      </w:r>
    </w:p>
    <w:p w:rsidR="000C38FC" w:rsidRPr="00B03F7D" w:rsidRDefault="000C38FC" w:rsidP="001D648D">
      <w:pPr>
        <w:pStyle w:val="ListParagraph"/>
        <w:numPr>
          <w:ilvl w:val="0"/>
          <w:numId w:val="2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ponuđeni iznos ukupnoga investicijskog ulaganja prema studiji gospodarske opravdanosti  - 40%</w:t>
      </w: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Svaki element ponude se vrednuje zasebno, a zbroj ukupne ocjene po kriterijima ne može iznositi više od 1,00.</w:t>
      </w:r>
    </w:p>
    <w:p w:rsidR="000C38FC" w:rsidRPr="00A10354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8A4EBF" w:rsidRDefault="000C38FC" w:rsidP="003058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EBF">
        <w:rPr>
          <w:rFonts w:ascii="Times New Roman" w:eastAsia="Times New Roman" w:hAnsi="Times New Roman" w:cs="Times New Roman"/>
          <w:sz w:val="24"/>
          <w:szCs w:val="24"/>
        </w:rPr>
        <w:t>Promjenjivi dio koncesijske naknade izračunava se u apsolutnom iznosu prema prikazanim ukupnim prihodima iz studije gospodarske opravdanosti, a za vrijeme trajanja koncesije.</w:t>
      </w:r>
    </w:p>
    <w:p w:rsidR="000C38FC" w:rsidRPr="00A10354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Formule i način izračuna:</w:t>
      </w: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 Koeficijent stalnog dijela koncesijske naknade</w:t>
      </w:r>
      <w:r w:rsidRPr="00B03F7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= </w:t>
      </w:r>
    </w:p>
    <w:p w:rsidR="000C38FC" w:rsidRPr="00B03F7D" w:rsidRDefault="000C38FC" w:rsidP="001D648D">
      <w:pPr>
        <w:spacing w:after="0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30% × ponuđeni iznos stalnog dijela koncesijske naknade</w:t>
      </w:r>
    </w:p>
    <w:p w:rsidR="000C38FC" w:rsidRPr="00B03F7D" w:rsidRDefault="000C38FC" w:rsidP="001D648D">
      <w:pPr>
        <w:spacing w:after="0"/>
        <w:ind w:left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najviši ponuđeni iznos stalnog dijela koncesijske naknade</w:t>
      </w: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b) Koeficijent promjenjivog dijela koncesijske naknade</w:t>
      </w:r>
      <w:r w:rsidRPr="00B03F7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= </w:t>
      </w:r>
    </w:p>
    <w:p w:rsidR="000C38FC" w:rsidRPr="00B03F7D" w:rsidRDefault="000C38FC" w:rsidP="001D648D">
      <w:pPr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30% × ponuđeni apsolutni iznos promjenjivog dijela koncesijske naknade</w:t>
      </w:r>
    </w:p>
    <w:p w:rsidR="000C38FC" w:rsidRPr="00B03F7D" w:rsidRDefault="000C38FC" w:rsidP="001D648D">
      <w:pPr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najviši ponuđeni apsolutni iznos promjenjivog dijela koncesijske naknade</w:t>
      </w: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c) Koeficijent ukupne investicije = </w:t>
      </w:r>
    </w:p>
    <w:p w:rsidR="000C38FC" w:rsidRPr="00B03F7D" w:rsidRDefault="000C38FC" w:rsidP="001D648D">
      <w:pPr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40% × ponuđeni iznos ukupne investicije</w:t>
      </w:r>
    </w:p>
    <w:p w:rsidR="000C38FC" w:rsidRPr="00B03F7D" w:rsidRDefault="000C38FC" w:rsidP="001D648D">
      <w:pPr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najviši ponuđeni iznos ukupne investicije</w:t>
      </w:r>
    </w:p>
    <w:p w:rsidR="000C38FC" w:rsidRPr="00A10354" w:rsidRDefault="000C38FC" w:rsidP="003058DE">
      <w:pPr>
        <w:pStyle w:val="box456355"/>
        <w:spacing w:before="0" w:beforeAutospacing="0" w:after="48" w:afterAutospacing="0" w:line="276" w:lineRule="auto"/>
        <w:jc w:val="both"/>
        <w:textAlignment w:val="baseline"/>
        <w:rPr>
          <w:color w:val="FF0000"/>
        </w:rPr>
      </w:pPr>
    </w:p>
    <w:p w:rsidR="000C38FC" w:rsidRPr="00431ADC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Promjene naknade za koncesiju (stalnog i promjenjivog dijela) moguće su temeljem:</w:t>
      </w:r>
    </w:p>
    <w:p w:rsidR="000C38FC" w:rsidRPr="00431ADC" w:rsidRDefault="000C38FC" w:rsidP="003058DE">
      <w:pPr>
        <w:pStyle w:val="ListParagraph"/>
        <w:numPr>
          <w:ilvl w:val="0"/>
          <w:numId w:val="1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indeksacije</w:t>
      </w:r>
      <w:proofErr w:type="spellEnd"/>
      <w:r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vezane uz promjenu tečaja kune i eura u odnosu na fluktuaciju tečaja</w:t>
      </w:r>
    </w:p>
    <w:p w:rsidR="000C38FC" w:rsidRPr="00431ADC" w:rsidRDefault="000C38FC" w:rsidP="003058DE">
      <w:pPr>
        <w:pStyle w:val="ListParagraph"/>
        <w:numPr>
          <w:ilvl w:val="0"/>
          <w:numId w:val="1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indeksa potrošačkih cijena, odnosno</w:t>
      </w:r>
    </w:p>
    <w:p w:rsidR="000C38FC" w:rsidRPr="00431ADC" w:rsidRDefault="000C38FC" w:rsidP="003058DE">
      <w:pPr>
        <w:pStyle w:val="ListParagraph"/>
        <w:numPr>
          <w:ilvl w:val="0"/>
          <w:numId w:val="1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izmjena posebnog propisa u dijelu kojim se uređuje visina i način plaćanja naknade za koncesiju.</w:t>
      </w:r>
    </w:p>
    <w:p w:rsidR="000C38FC" w:rsidRPr="00431ADC" w:rsidRDefault="000C38FC" w:rsidP="003058DE">
      <w:pPr>
        <w:pStyle w:val="ListParagraph"/>
        <w:numPr>
          <w:ilvl w:val="0"/>
          <w:numId w:val="1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gospodarskih okolnosti koje značajno utječu na ravnotežu odnosa naknade za koncesiju i procijenjene vrijednosti koncesije koja je bila temelj sklapanja ugovora o koncesiji.</w:t>
      </w:r>
    </w:p>
    <w:p w:rsidR="000C38FC" w:rsidRPr="00431ADC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D713E" w:rsidRPr="005A6E00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Promjena naknade za koncesiju u skladu sa stavkom </w:t>
      </w:r>
      <w:r w:rsidR="00431ADC"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ovoga </w:t>
      </w: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članka utvrđuje se ugovorom o koncesiji i posebnim zakonima, a obavlja se ovisno o nastanku okolnosti i/ili periodično u za to određenim vremenskim razdobljima ovisno u uvjetima fluktuacije tečaja ili promjena potrošačkih cijena.</w:t>
      </w:r>
    </w:p>
    <w:p w:rsidR="000C38FC" w:rsidRPr="00A10354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AC442A" w:rsidRDefault="005A6E00" w:rsidP="003058D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442A">
        <w:rPr>
          <w:rFonts w:ascii="Times New Roman" w:eastAsia="Times New Roman" w:hAnsi="Times New Roman" w:cs="Times New Roman"/>
          <w:sz w:val="24"/>
          <w:szCs w:val="24"/>
        </w:rPr>
        <w:t>V</w:t>
      </w:r>
      <w:r w:rsidR="000C38FC" w:rsidRPr="00AC442A">
        <w:rPr>
          <w:rFonts w:ascii="Times New Roman" w:eastAsia="Times New Roman" w:hAnsi="Times New Roman" w:cs="Times New Roman"/>
          <w:sz w:val="24"/>
          <w:szCs w:val="24"/>
        </w:rPr>
        <w:t>I</w:t>
      </w:r>
      <w:r w:rsidR="00414033">
        <w:rPr>
          <w:rFonts w:ascii="Times New Roman" w:eastAsia="Times New Roman" w:hAnsi="Times New Roman" w:cs="Times New Roman"/>
          <w:sz w:val="24"/>
          <w:szCs w:val="24"/>
        </w:rPr>
        <w:t>I</w:t>
      </w:r>
      <w:r w:rsidR="000C38FC" w:rsidRPr="00AC44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38FC" w:rsidRPr="00A10354" w:rsidRDefault="000C38FC" w:rsidP="003058DE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Ponuda se dostavlja na adresu Ministarstva mora, prometa i infrastrukture, 10000 Zagreb, Prisavlje 14.</w:t>
      </w: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Ponuda se dostavlja u papirnatom obliku u zatvorenoj omotnici s nazivom i adresom davatelja koncesije, nazivom i adresom ponuditelja i s naznakom „Za javno prikupljanje ponuda za dodjelu </w:t>
      </w:r>
      <w:r w:rsidRPr="00B03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koncesije </w:t>
      </w:r>
      <w:r w:rsidR="00C767E9" w:rsidRPr="00C76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na pomorskom dobru </w:t>
      </w:r>
      <w:r w:rsidR="003058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svrhu </w:t>
      </w:r>
      <w:r w:rsidR="00B03F7D"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izgradnj</w:t>
      </w:r>
      <w:r w:rsidR="003058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B03F7D"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gospodarsko</w:t>
      </w:r>
      <w:r w:rsidR="003058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0B03F7D"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korištenj</w:t>
      </w:r>
      <w:r w:rsidR="003058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B03F7D"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luke posebne namjene – industrijske luke  </w:t>
      </w:r>
      <w:proofErr w:type="spellStart"/>
      <w:r w:rsidR="00B03F7D"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Urinj</w:t>
      </w:r>
      <w:proofErr w:type="spellEnd"/>
      <w:r w:rsidR="00B03F7D"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izgradnj</w:t>
      </w:r>
      <w:r w:rsidR="003058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B03F7D"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gospodarsko</w:t>
      </w:r>
      <w:r w:rsidR="003058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0B03F7D"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korištenj</w:t>
      </w:r>
      <w:r w:rsidR="003058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B03F7D"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pomorskog dobra izva</w:t>
      </w:r>
      <w:r w:rsidR="00C76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lučkog područja u k.o. </w:t>
      </w:r>
      <w:proofErr w:type="spellStart"/>
      <w:r w:rsidR="00C76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Kostre</w:t>
      </w:r>
      <w:r w:rsidR="00B03F7D"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B03F7D"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Barbara“</w:t>
      </w: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te s napomenom „NE OTVARATI“.</w:t>
      </w:r>
    </w:p>
    <w:p w:rsidR="000C38FC" w:rsidRPr="00A10354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obzir će se uzimati samo ponude koje se predaju na pošti odnosno ovlaštenom pružatelju poštanskih usluga ili neposrednom predajom u pisarnicu Ministarstva mora, prometa i infrastrukture, Zagreb, Prisavlje 14, u roku 30 dana od dana objave Obavijesti o namjeri davanja koncesije u Elektroničkom oglasniku javne nabave Republike Hrvatske.</w:t>
      </w:r>
    </w:p>
    <w:p w:rsidR="000C38FC" w:rsidRPr="00A10354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 je ponuda upućena poštom preporučeno ili predana ovlaštenom pružatelju poštanskih usluga, dan predaje pošti, odnosno ovlaštenom pružatelju poštanskih usluga, smatra se danom predaje Ministarstvu mora, prometa i infrastrukture.</w:t>
      </w: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Ponuda mora biti napisana na hrvatskom jeziku i latiničnom pismu.</w:t>
      </w: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Javno otvaranje ponuda obavit će se u prostorijama Ministarstva mora, prometa i infrastrukture, Zagreb, Prisavlje 14, četvrti dan po isteku roka za predaju ponuda, s početkom u 14 sati (u slučaju da je navedeni dan neradni, otvaranje ponuda bit će prvi sljedeći radni dan).</w:t>
      </w:r>
    </w:p>
    <w:p w:rsidR="000C38FC" w:rsidRPr="00A10354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B03F7D" w:rsidRDefault="001D648D" w:rsidP="003058D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VIII</w:t>
      </w:r>
      <w:r w:rsidR="000C38FC"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C38FC" w:rsidRPr="00B03F7D" w:rsidRDefault="000C38FC" w:rsidP="003058D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Po objavljenom javnom prikupljanju ponuda davatelj koncesije ima pravo neprihvaćanja svih pristiglih ponuda.</w:t>
      </w: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38FC" w:rsidRPr="00B03F7D" w:rsidRDefault="001D648D" w:rsidP="003058D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414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</w:t>
      </w:r>
      <w:r w:rsidR="000C38FC"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C38FC" w:rsidRPr="00A10354" w:rsidRDefault="000C38FC" w:rsidP="003058DE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Postupak na temelju kojeg se donosi Odluka i daje koncesija najpovoljnijem ponuditelju </w:t>
      </w:r>
      <w:r w:rsidR="003058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u svrhu </w:t>
      </w:r>
      <w:r w:rsidR="00B03F7D" w:rsidRPr="00B03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izgradnj</w:t>
      </w:r>
      <w:r w:rsidR="003058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</w:t>
      </w:r>
      <w:r w:rsidR="00B03F7D" w:rsidRPr="00B03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 gospodarsko</w:t>
      </w:r>
      <w:r w:rsidR="003058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</w:t>
      </w:r>
      <w:r w:rsidR="00B03F7D" w:rsidRPr="00B03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korištenj</w:t>
      </w:r>
      <w:r w:rsidR="003058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 w:rsidR="00B03F7D" w:rsidRPr="00B03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luke posebne namjene – industrijske luke  </w:t>
      </w:r>
      <w:proofErr w:type="spellStart"/>
      <w:r w:rsidR="00B03F7D" w:rsidRPr="00B03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Urinj</w:t>
      </w:r>
      <w:proofErr w:type="spellEnd"/>
      <w:r w:rsidR="00B03F7D" w:rsidRPr="00B03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 izgradnj</w:t>
      </w:r>
      <w:r w:rsidR="003058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</w:t>
      </w:r>
      <w:r w:rsidR="00B03F7D" w:rsidRPr="00B03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 gospodarsko</w:t>
      </w:r>
      <w:r w:rsidR="003058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</w:t>
      </w:r>
      <w:r w:rsidR="00B03F7D" w:rsidRPr="00B03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korištenje pomorskog dobra izva</w:t>
      </w:r>
      <w:r w:rsidR="00C76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 lučkog područja u k.o. </w:t>
      </w:r>
      <w:proofErr w:type="spellStart"/>
      <w:r w:rsidR="00C76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Kostre</w:t>
      </w:r>
      <w:r w:rsidR="00B03F7D" w:rsidRPr="00B03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na</w:t>
      </w:r>
      <w:proofErr w:type="spellEnd"/>
      <w:r w:rsidR="00B03F7D" w:rsidRPr="00B03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Barbara</w:t>
      </w: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javni je postupak.</w:t>
      </w: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38FC" w:rsidRPr="00B03F7D" w:rsidRDefault="000C38FC" w:rsidP="003058D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X.</w:t>
      </w:r>
    </w:p>
    <w:p w:rsidR="000C38FC" w:rsidRPr="00B03F7D" w:rsidRDefault="000C38FC" w:rsidP="003058D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38FC" w:rsidRPr="00B03F7D" w:rsidRDefault="000C38FC" w:rsidP="003058D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Protiv ove Obavijesti žalba nije dopuštena, a protiv Odluke o davanju koncesije može se pokrenuti upravni spor.</w:t>
      </w:r>
    </w:p>
    <w:p w:rsidR="000C38FC" w:rsidRPr="00B03F7D" w:rsidRDefault="000C38FC" w:rsidP="003058D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38FC" w:rsidRPr="00B03F7D" w:rsidRDefault="005A6E00" w:rsidP="003058D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</w:t>
      </w:r>
      <w:r w:rsidR="001D64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0C38FC"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C38FC" w:rsidRPr="00B03F7D" w:rsidRDefault="000C38FC" w:rsidP="003058D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38FC" w:rsidRDefault="000C38FC" w:rsidP="00762CA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 Obavijest objavit će se u Elektroničkom oglasniku javne nabave Republike Hrvatske</w:t>
      </w:r>
      <w:r w:rsidR="001D64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C44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C442A" w:rsidRPr="00B03F7D" w:rsidRDefault="00AC442A" w:rsidP="000C3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38FC" w:rsidRPr="00B03F7D" w:rsidRDefault="000C38FC" w:rsidP="000C3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Klasa: </w:t>
      </w:r>
    </w:p>
    <w:p w:rsidR="000C38FC" w:rsidRPr="00B03F7D" w:rsidRDefault="000C38FC" w:rsidP="000C3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Urbroj: </w:t>
      </w:r>
    </w:p>
    <w:p w:rsidR="000C38FC" w:rsidRPr="00B03F7D" w:rsidRDefault="000C38FC" w:rsidP="000C3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Zagreb, </w:t>
      </w:r>
    </w:p>
    <w:p w:rsidR="000C38FC" w:rsidRPr="00B03F7D" w:rsidRDefault="000C38FC" w:rsidP="000C3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38FC" w:rsidRPr="00B03F7D" w:rsidRDefault="000C38FC" w:rsidP="000C38FC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Predsjednik</w:t>
      </w:r>
    </w:p>
    <w:p w:rsidR="000C38FC" w:rsidRPr="00B03F7D" w:rsidRDefault="000C38FC" w:rsidP="000C38FC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03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051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mr.</w:t>
      </w:r>
      <w:r w:rsidRPr="00B03F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sc. Andrej Plenković</w:t>
      </w:r>
    </w:p>
    <w:p w:rsidR="000C38FC" w:rsidRPr="00A10354" w:rsidRDefault="000C38FC" w:rsidP="000C38FC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A103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br w:type="page"/>
      </w:r>
    </w:p>
    <w:p w:rsidR="000C38FC" w:rsidRPr="00A10354" w:rsidRDefault="000C38FC" w:rsidP="000C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058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OBRAZLOŽENJE</w:t>
      </w:r>
    </w:p>
    <w:p w:rsidR="000C38FC" w:rsidRPr="00A10354" w:rsidRDefault="000C38FC" w:rsidP="000C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0C38FC" w:rsidRDefault="000C38FC" w:rsidP="00F77B73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76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Ovo Ministarstvo zaprimilo je pismo inicijative trgovačkog društva </w:t>
      </w:r>
      <w:r w:rsidR="00B03F7D" w:rsidRPr="00C76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INA industrija nafte d.d</w:t>
      </w:r>
      <w:r w:rsidRPr="00C76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C76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3F7D" w:rsidRPr="00C76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 Zagreba</w:t>
      </w:r>
      <w:r w:rsidRPr="00C76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za pokretanje postupka </w:t>
      </w:r>
      <w:r w:rsidR="00AA74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raspisa javnog </w:t>
      </w:r>
      <w:r w:rsidR="00375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prikupljanja ponuda</w:t>
      </w:r>
      <w:r w:rsidR="00AA74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za </w:t>
      </w:r>
      <w:r w:rsidRPr="00C76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davanj</w:t>
      </w:r>
      <w:r w:rsidR="00AA74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C76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koncesije </w:t>
      </w:r>
      <w:r w:rsidR="00C767E9" w:rsidRPr="00C76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na pomorskom dobru </w:t>
      </w:r>
      <w:r w:rsidR="003058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svrhu</w:t>
      </w:r>
      <w:r w:rsidR="00B03F7D" w:rsidRPr="00C76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izgradnj</w:t>
      </w:r>
      <w:r w:rsidR="003058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B03F7D" w:rsidRPr="00C76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gospodarsko</w:t>
      </w:r>
      <w:r w:rsidR="003058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0B03F7D" w:rsidRPr="00C76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korištenj</w:t>
      </w:r>
      <w:r w:rsidR="003058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B03F7D" w:rsidRPr="00C76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luke posebne namjene – industrijske luke  </w:t>
      </w:r>
      <w:proofErr w:type="spellStart"/>
      <w:r w:rsidR="00B03F7D" w:rsidRPr="00C76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Urinj</w:t>
      </w:r>
      <w:proofErr w:type="spellEnd"/>
      <w:r w:rsidR="00B03F7D" w:rsidRPr="00C76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izgradnj</w:t>
      </w:r>
      <w:r w:rsidR="003058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B03F7D" w:rsidRPr="00C76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gospodarsko</w:t>
      </w:r>
      <w:r w:rsidR="003058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0B03F7D" w:rsidRPr="00C76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korištenj</w:t>
      </w:r>
      <w:r w:rsidR="003058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B03F7D" w:rsidRPr="00C76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pomorskog dobra izvan lučkog područja u k.o. </w:t>
      </w:r>
      <w:proofErr w:type="spellStart"/>
      <w:r w:rsidR="00B03F7D" w:rsidRPr="00C76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Kostrena</w:t>
      </w:r>
      <w:proofErr w:type="spellEnd"/>
      <w:r w:rsidR="00B03F7D" w:rsidRPr="00C76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Barbara</w:t>
      </w:r>
      <w:r w:rsidRPr="00C76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517998" w:rsidRDefault="00517998" w:rsidP="00F77B73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D353AB" w:rsidRDefault="00521AE8" w:rsidP="00D353AB">
      <w:p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521A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zgradnj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521A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 gospodarsko korištenje luke poseb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ne namjene – industrijske luke </w:t>
      </w:r>
      <w:proofErr w:type="spellStart"/>
      <w:r w:rsidRPr="00521A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Urinj</w:t>
      </w:r>
      <w:proofErr w:type="spellEnd"/>
      <w:r w:rsidRPr="00521A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 izgradnj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521A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 gospodarsko korištenje pomorskog dobra izvan lučkog područja u k.o. </w:t>
      </w:r>
      <w:proofErr w:type="spellStart"/>
      <w:r w:rsidRPr="00521A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Kostrena</w:t>
      </w:r>
      <w:proofErr w:type="spellEnd"/>
      <w:r w:rsidRPr="00521A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Barbara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sastavni su dio projekta </w:t>
      </w:r>
      <w:r w:rsidRPr="00521A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„Reko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nstrukcija INA Rafinerija nafte </w:t>
      </w:r>
      <w:r w:rsidRPr="00521A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Rijeka - Izgradnja postrojenja za proizvodnju i preradu nafte - </w:t>
      </w:r>
      <w:proofErr w:type="spellStart"/>
      <w:r w:rsidR="00A05A1D" w:rsidRPr="00521A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</w:t>
      </w:r>
      <w:r w:rsidR="00A05A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oking</w:t>
      </w:r>
      <w:proofErr w:type="spellEnd"/>
      <w:r w:rsidR="00A05A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kompleks, luka, skladište </w:t>
      </w:r>
      <w:r w:rsidR="00A05A1D" w:rsidRPr="00521A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 transportni sustav za koks</w:t>
      </w:r>
      <w:r w:rsidRPr="00521A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u R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afineriji nafte Rijeka,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Urinj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" za koji je </w:t>
      </w:r>
      <w:r w:rsidR="00AA74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isto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društvo </w:t>
      </w:r>
      <w:r w:rsidRPr="00521A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ishodil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</w:t>
      </w:r>
      <w:r w:rsid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BC2C9E" w:rsidRPr="00BC2C9E" w:rsidRDefault="00F2326B" w:rsidP="00BC2C9E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Lokacijsku dozvolu, K</w:t>
      </w:r>
      <w:r w:rsidR="00BC2C9E" w:rsidRP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 w:rsidR="00BC2C9E" w:rsidRP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 w:rsidR="00BC2C9E" w:rsidRP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UP</w:t>
      </w:r>
      <w:proofErr w:type="spellEnd"/>
      <w:r w:rsidR="00BC2C9E" w:rsidRP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/I-350-05/15-01/000168,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</w:t>
      </w:r>
      <w:r w:rsidR="00BC2C9E" w:rsidRP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rbroj: 531-06-1-1-2-16-0016 od 24. veljače 2016. godine, </w:t>
      </w:r>
    </w:p>
    <w:p w:rsidR="00BC2C9E" w:rsidRPr="00BC2C9E" w:rsidRDefault="00BC2C9E" w:rsidP="00BC2C9E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</w:t>
      </w:r>
      <w:r w:rsidR="00F232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Izmjenu i dopunu Lokacijske d</w:t>
      </w:r>
      <w:r w:rsidR="00F232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ozvole, Klasa: </w:t>
      </w:r>
      <w:proofErr w:type="spellStart"/>
      <w:r w:rsidR="00F232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UP</w:t>
      </w:r>
      <w:proofErr w:type="spellEnd"/>
      <w:r w:rsidR="00F232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/l-350-05/17-01</w:t>
      </w:r>
      <w:r w:rsidRP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/000003, </w:t>
      </w:r>
      <w:r w:rsidR="00F232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Urbroj</w:t>
      </w:r>
      <w:r w:rsidRP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531 -06-1-1-2-17-07 od 3. travnja 2017. godine, </w:t>
      </w:r>
    </w:p>
    <w:p w:rsidR="00BC2C9E" w:rsidRPr="005670EC" w:rsidRDefault="00BC2C9E" w:rsidP="00F77B73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II. Izmjen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</w:t>
      </w:r>
      <w:r w:rsidRP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 dopun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</w:t>
      </w:r>
      <w:r w:rsidRP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Lokacijske do</w:t>
      </w:r>
      <w:r w:rsidR="00F232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zvole, klase: </w:t>
      </w:r>
      <w:proofErr w:type="spellStart"/>
      <w:r w:rsidR="00F232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UP</w:t>
      </w:r>
      <w:proofErr w:type="spellEnd"/>
      <w:r w:rsidR="00F232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/I-350-05/18-01</w:t>
      </w:r>
      <w:r w:rsidRP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/000097, urbroja: 531-06-1-1-2-18-007 od 26. studenog 2018. godine.</w:t>
      </w:r>
    </w:p>
    <w:p w:rsidR="001245B8" w:rsidRPr="001245B8" w:rsidRDefault="005670EC" w:rsidP="005670EC">
      <w:pPr>
        <w:spacing w:before="120"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Navedeno</w:t>
      </w:r>
      <w:r w:rsid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Lokacijskom dozvolom</w:t>
      </w:r>
      <w:r w:rsid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 pripadajućim izmjenama </w:t>
      </w:r>
      <w:r w:rsidR="001245B8"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definirano </w:t>
      </w:r>
      <w:r w:rsid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je </w:t>
      </w:r>
      <w:r w:rsidR="001245B8"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ishođenje građevinskih dozvola po fazama, </w:t>
      </w:r>
      <w:r w:rsid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1245B8"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za sljedeće faze</w:t>
      </w:r>
      <w:r w:rsid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245B8"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potrebn</w:t>
      </w:r>
      <w:r w:rsidR="00B31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</w:t>
      </w:r>
      <w:r w:rsidR="001245B8"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je </w:t>
      </w:r>
      <w:r w:rsidR="00B31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ishoditi koncesiju</w:t>
      </w:r>
      <w:r w:rsidR="001245B8"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31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za gospodarsko korištenje pomorskog dobra</w:t>
      </w:r>
      <w:r w:rsidR="001245B8"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1245B8" w:rsidRDefault="001245B8" w:rsidP="001245B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Fazu VIII: Izgradnja i rekonstrukcija pomoćnih sustava i infrastrukture za kč.br. 1629,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k.o. </w:t>
      </w:r>
      <w:proofErr w:type="spellStart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Kostrena</w:t>
      </w:r>
      <w:proofErr w:type="spellEnd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Barbara</w:t>
      </w:r>
    </w:p>
    <w:p w:rsidR="001245B8" w:rsidRDefault="001245B8" w:rsidP="001245B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Faza IX.: Izgradnja i rekonstrukcija infrastrukture: </w:t>
      </w:r>
      <w:proofErr w:type="spellStart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elektro</w:t>
      </w:r>
      <w:proofErr w:type="spellEnd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povezivanje za kč.br. 1629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k.o. </w:t>
      </w:r>
      <w:proofErr w:type="spellStart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Kostrena</w:t>
      </w:r>
      <w:proofErr w:type="spellEnd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Barbara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Faza XII.: Izgradnja transportne luke s </w:t>
      </w:r>
      <w:proofErr w:type="spellStart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privezištem</w:t>
      </w:r>
      <w:proofErr w:type="spellEnd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platoa za otpremu koksa, kolnim površinama,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infrastrukturom luke i </w:t>
      </w:r>
      <w:proofErr w:type="spellStart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privezišta</w:t>
      </w:r>
      <w:proofErr w:type="spellEnd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za </w:t>
      </w:r>
      <w:proofErr w:type="spellStart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k.č</w:t>
      </w:r>
      <w:proofErr w:type="spellEnd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1628/2, </w:t>
      </w:r>
      <w:proofErr w:type="spellStart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k.č</w:t>
      </w:r>
      <w:proofErr w:type="spellEnd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1629 i </w:t>
      </w:r>
      <w:proofErr w:type="spellStart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k.č</w:t>
      </w:r>
      <w:proofErr w:type="spellEnd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1636 sve k.o. </w:t>
      </w:r>
      <w:proofErr w:type="spellStart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Kostrena</w:t>
      </w:r>
      <w:proofErr w:type="spellEnd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Barbara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1245B8" w:rsidRPr="001245B8" w:rsidRDefault="001245B8" w:rsidP="001245B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Faza XIII.: Izgradnja skladišta naftnog koksa, zgrade za djelatnike luke, transportne linije koksa i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pripadajuće infrastrukture za </w:t>
      </w:r>
      <w:proofErr w:type="spellStart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k.č</w:t>
      </w:r>
      <w:proofErr w:type="spellEnd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1628/2., </w:t>
      </w:r>
      <w:proofErr w:type="spellStart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k.č</w:t>
      </w:r>
      <w:proofErr w:type="spellEnd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1629 i </w:t>
      </w:r>
      <w:proofErr w:type="spellStart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k.č</w:t>
      </w:r>
      <w:proofErr w:type="spellEnd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1636 k.o. </w:t>
      </w:r>
      <w:proofErr w:type="spellStart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Kostrena</w:t>
      </w:r>
      <w:proofErr w:type="spellEnd"/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Barbara</w:t>
      </w:r>
      <w:r w:rsidR="00B31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5670EC" w:rsidRDefault="0076400E" w:rsidP="005670EC">
      <w:pPr>
        <w:spacing w:before="120"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670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Prema </w:t>
      </w:r>
      <w:r w:rsidR="005670EC" w:rsidRPr="005670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točki </w:t>
      </w:r>
      <w:r w:rsidRPr="005670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VII. Lokacijske dozvole ista vrijedi dvije godine od dana njene pravomoćnosti, te je u tom roku potrebno podnijeti zahtjev za izdavanje akata za građenje. Obzirom da je društvo INA industrija nafte d.d. </w:t>
      </w:r>
      <w:r w:rsidR="005670EC" w:rsidRPr="005670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već ishodilo </w:t>
      </w:r>
      <w:r w:rsidR="00E80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pravomoćne </w:t>
      </w:r>
      <w:r w:rsidR="005670EC" w:rsidRPr="005670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građevinske dozvole </w:t>
      </w:r>
      <w:r w:rsidRPr="005670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za faze za koje nije bilo potrebno ishoditi koncesiju</w:t>
      </w:r>
      <w:r w:rsidR="005670EC" w:rsidRPr="005670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na pomorskom dobru,</w:t>
      </w:r>
      <w:r w:rsidRPr="005670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Lokacijska dozvola </w:t>
      </w:r>
      <w:r w:rsidR="00E80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 pripadajuće izmjene su </w:t>
      </w:r>
      <w:r w:rsidRPr="005670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važeć</w:t>
      </w:r>
      <w:r w:rsidR="00E80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5670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E804C9" w:rsidRPr="00E804C9" w:rsidRDefault="00E804C9" w:rsidP="005670EC">
      <w:pPr>
        <w:spacing w:before="120"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245B8" w:rsidRDefault="00BB1D81" w:rsidP="001245B8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Na p</w:t>
      </w:r>
      <w:r w:rsid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odručj</w:t>
      </w:r>
      <w:r w:rsidR="00414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</w:t>
      </w:r>
      <w:r w:rsid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14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pomorskog dobra </w:t>
      </w:r>
      <w:r w:rsidR="00BC2C9E" w:rsidRP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luke posebne namjene – industrijske luke </w:t>
      </w:r>
      <w:proofErr w:type="spellStart"/>
      <w:r w:rsidR="00BC2C9E" w:rsidRP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Urinj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BC2C9E" w:rsidRP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koje </w:t>
      </w:r>
      <w:r w:rsidR="00BC2C9E" w:rsidRP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obuhvaća u cijelosti katastarske čestice: 1628/2, 1552/2, 1552/3 i </w:t>
      </w:r>
      <w:r w:rsid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1636, sve k.o. </w:t>
      </w:r>
      <w:proofErr w:type="spellStart"/>
      <w:r w:rsid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Kostrena</w:t>
      </w:r>
      <w:proofErr w:type="spellEnd"/>
      <w:r w:rsidR="00BC2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Barbara, </w:t>
      </w:r>
      <w:r w:rsidR="00414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površine </w:t>
      </w:r>
      <w:r w:rsidR="00414033" w:rsidRPr="00414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118 687 m</w:t>
      </w:r>
      <w:r w:rsidR="00414033" w:rsidRPr="00414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166D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532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planirana je izgradnja industrijske luke </w:t>
      </w:r>
      <w:r w:rsidR="005C463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sa</w:t>
      </w:r>
      <w:r w:rsidR="00BD02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svom potrebno</w:t>
      </w:r>
      <w:r w:rsidR="00BD02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infrastrukturom </w:t>
      </w:r>
      <w:r w:rsidR="005C463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za </w:t>
      </w:r>
      <w:r w:rsidR="00A05A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transport i </w:t>
      </w:r>
      <w:r w:rsidR="004D59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prekrcaj naftnog koksa.</w:t>
      </w:r>
      <w:r w:rsidR="00B31996" w:rsidRPr="00B31996">
        <w:t xml:space="preserve"> </w:t>
      </w:r>
      <w:r w:rsidR="00B31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Površina</w:t>
      </w:r>
      <w:r w:rsidR="00B31996" w:rsidRPr="00B31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kopnenog </w:t>
      </w:r>
      <w:r w:rsidR="00B31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dijela budućeg </w:t>
      </w:r>
      <w:r w:rsidR="009532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nasipa </w:t>
      </w:r>
      <w:r w:rsidR="00B31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iznosi</w:t>
      </w:r>
      <w:r w:rsidR="00B31996" w:rsidRPr="00B31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532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30 441 m², a</w:t>
      </w:r>
      <w:r w:rsidR="00B31996" w:rsidRPr="00B31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532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površina</w:t>
      </w:r>
      <w:r w:rsidR="00953228" w:rsidRPr="00B31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31996" w:rsidRPr="00B31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morskog dijela </w:t>
      </w:r>
      <w:r w:rsidR="009532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iznosi </w:t>
      </w:r>
      <w:r w:rsidR="00B31996" w:rsidRPr="00B31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88 246 m². </w:t>
      </w:r>
    </w:p>
    <w:p w:rsidR="00953228" w:rsidRDefault="00953228" w:rsidP="001245B8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245B8" w:rsidRPr="00517998" w:rsidRDefault="001245B8" w:rsidP="001245B8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Na području pomorskog dobra izvan lučkog područja, koje obuhvaća u cijelosti k.č.br. 1629</w:t>
      </w:r>
      <w:r w:rsidRPr="00BB1D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k.o. </w:t>
      </w:r>
      <w:proofErr w:type="spellStart"/>
      <w:r w:rsidRPr="00BB1D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Kostrena</w:t>
      </w:r>
      <w:proofErr w:type="spellEnd"/>
      <w:r w:rsidRPr="00BB1D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Barbara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površin</w:t>
      </w:r>
      <w:r w:rsidR="00BE0C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62CAC">
        <w:rPr>
          <w:rFonts w:ascii="Times New Roman" w:eastAsia="Times New Roman" w:hAnsi="Times New Roman" w:cs="Times New Roman"/>
          <w:bCs/>
          <w:sz w:val="24"/>
          <w:szCs w:val="24"/>
        </w:rPr>
        <w:t xml:space="preserve">5 857 </w:t>
      </w:r>
      <w:r w:rsidRPr="00414033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A05A1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14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planirana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je izgradnja i rekonstrukcija kolne površine s pripadajućom infrastrukturom, a g</w:t>
      </w:r>
      <w:r w:rsidRPr="005179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rađevine koje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se daju na korištenje na</w:t>
      </w:r>
      <w:r w:rsidRPr="005179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istoj čestici su </w:t>
      </w:r>
      <w:r w:rsidRPr="00124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u funkciji industrijske luke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(hangar, priručno skladište, dok plato, kontejner dezinsekcije i sl.) te </w:t>
      </w:r>
      <w:r w:rsidRPr="005179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posjeduju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građevinske i uporabne dozvole.</w:t>
      </w:r>
    </w:p>
    <w:p w:rsidR="004D59AF" w:rsidRDefault="004D59AF" w:rsidP="004D59A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4D59AF" w:rsidRDefault="004D59AF" w:rsidP="004D59A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D59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 obzirom da je na k.č.br. 1522/2 i 1522/3, obje k.o. </w:t>
      </w:r>
      <w:proofErr w:type="spellStart"/>
      <w:r w:rsidRPr="004D59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Kostrena</w:t>
      </w:r>
      <w:proofErr w:type="spellEnd"/>
      <w:r w:rsidRPr="004D59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Barbara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u zemljišnim knjigama </w:t>
      </w:r>
      <w:r w:rsidRPr="004D59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još uvijek kao formalni vlasnik upisano društvo </w:t>
      </w:r>
      <w:r w:rsidR="009325B7" w:rsidRPr="009325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INA industrija nafte d.d</w:t>
      </w:r>
      <w:r w:rsidRPr="004D59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., u Županijskom državnom odvjetništvu Rijeka </w:t>
      </w:r>
      <w:r w:rsidR="00375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u tijeku </w:t>
      </w:r>
      <w:r w:rsidR="009325B7" w:rsidRPr="004D59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je</w:t>
      </w:r>
      <w:r w:rsidR="009325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75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postupak upisa pomorskog dobra. </w:t>
      </w:r>
    </w:p>
    <w:p w:rsidR="0037500A" w:rsidRDefault="0037500A" w:rsidP="004D59A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C22019" w:rsidRDefault="004D59AF" w:rsidP="00BB1D81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D59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Sukladno članku 2. stavcima 2. i 3. Uredbe o postupku davanja koncesije na pomorskom dobru (“Narodne novine” broj 23/04, 101/04, 39/06, 63/08, 125/10, 102/11, 83/12 i 10/17), postupak davanja koncesije moguće je započeti nakon što je određena granica pomorskog dobra, te provedena u zemljišnim knjigama. Iznimno, u postupku dodjele koncesije na pomorskom dobru za koje je davatelj koncesije Vlada Republike Hrvatske, granicom određeno pomorsko dobro mora se upisati u zemljišne knjige najkasnije do donošenja odluke o koncesiji, stoga nema zapreke za pokretanje po</w:t>
      </w:r>
      <w:r w:rsidR="003D5B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stupka raspisa javnog natječaja.</w:t>
      </w:r>
    </w:p>
    <w:p w:rsidR="00B31996" w:rsidRDefault="00B31996" w:rsidP="00BB1D81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D304FE" w:rsidRDefault="00B31996" w:rsidP="00D304F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31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Luka poseb</w:t>
      </w:r>
      <w:r w:rsidR="006330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ne namjene - industrijska luka </w:t>
      </w:r>
      <w:proofErr w:type="spellStart"/>
      <w:r w:rsidR="006330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Urinj</w:t>
      </w:r>
      <w:proofErr w:type="spellEnd"/>
      <w:r w:rsidR="00E80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6330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33003" w:rsidRPr="00B31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 koju mogu up</w:t>
      </w:r>
      <w:r w:rsidR="006330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loviti brodovi preko 1.000 GT</w:t>
      </w:r>
      <w:r w:rsidR="00E80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6330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31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je luka posebne namjene od značaja za Republiku Hrvatsku </w:t>
      </w:r>
      <w:r w:rsidR="00633003" w:rsidRPr="00B31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sukladno članku 11. Uredbe o razvrstaju luka otvorenih za javni promet i luka posebne namjene ("Narodne novine", broj 110/04 i 82/07)</w:t>
      </w:r>
      <w:r w:rsidR="00D304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D304FE" w:rsidRPr="009532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 obzirom na značaj predmetnog zahvata, na temelju članka 20. stavka 3. Zakona o pomorskom dobru i morskim lukama, a u vezi sa člankom 2. stavkom 1. točkom 1.4. Uredbe o određivanju građevina, drugih zahvata u prostoru i površina državnog i područnog (regionalnog) značaja („Narodne novine“ broj 37/14 i 154/14) davatelj koncesije je Vlada Republike Hrvatske, </w:t>
      </w:r>
      <w:r w:rsidR="00D304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 ovo Ministarstvo provodi prethodne radnje.</w:t>
      </w:r>
    </w:p>
    <w:p w:rsidR="00517998" w:rsidRPr="00C22019" w:rsidRDefault="00517998" w:rsidP="00F77B73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648D" w:rsidRDefault="00D304FE" w:rsidP="001D64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navedenog, ovom </w:t>
      </w:r>
      <w:r w:rsidR="001D648D">
        <w:rPr>
          <w:rFonts w:ascii="Times New Roman" w:hAnsi="Times New Roman" w:cs="Times New Roman"/>
          <w:sz w:val="24"/>
          <w:szCs w:val="24"/>
        </w:rPr>
        <w:t xml:space="preserve">Obaviješću se raspisuje javno prikupljanje ponuda za dodjelu </w:t>
      </w:r>
      <w:r w:rsidR="001D648D" w:rsidRPr="009C4F43">
        <w:rPr>
          <w:rFonts w:ascii="Times New Roman" w:hAnsi="Times New Roman" w:cs="Times New Roman"/>
          <w:sz w:val="24"/>
          <w:szCs w:val="24"/>
        </w:rPr>
        <w:t xml:space="preserve">koncesije </w:t>
      </w:r>
      <w:r w:rsidR="001D648D" w:rsidRPr="00C22019">
        <w:rPr>
          <w:rFonts w:ascii="Times New Roman" w:hAnsi="Times New Roman" w:cs="Times New Roman"/>
          <w:sz w:val="24"/>
          <w:szCs w:val="24"/>
        </w:rPr>
        <w:t xml:space="preserve">na pomorskom dobru za izgradnju i gospodarsko korištenje luke posebne namjene – industrijske luke  </w:t>
      </w:r>
      <w:proofErr w:type="spellStart"/>
      <w:r w:rsidR="001D648D" w:rsidRPr="00C22019">
        <w:rPr>
          <w:rFonts w:ascii="Times New Roman" w:hAnsi="Times New Roman" w:cs="Times New Roman"/>
          <w:sz w:val="24"/>
          <w:szCs w:val="24"/>
        </w:rPr>
        <w:t>Urinj</w:t>
      </w:r>
      <w:proofErr w:type="spellEnd"/>
      <w:r w:rsidR="001D648D" w:rsidRPr="00C22019">
        <w:rPr>
          <w:rFonts w:ascii="Times New Roman" w:hAnsi="Times New Roman" w:cs="Times New Roman"/>
          <w:sz w:val="24"/>
          <w:szCs w:val="24"/>
        </w:rPr>
        <w:t xml:space="preserve"> i izgradnju i gospodarsko korištenje pomorskog dobra izvan lučkog područja u k.o. </w:t>
      </w:r>
      <w:proofErr w:type="spellStart"/>
      <w:r w:rsidR="001D648D" w:rsidRPr="00C22019">
        <w:rPr>
          <w:rFonts w:ascii="Times New Roman" w:hAnsi="Times New Roman" w:cs="Times New Roman"/>
          <w:sz w:val="24"/>
          <w:szCs w:val="24"/>
        </w:rPr>
        <w:t>Kostrena</w:t>
      </w:r>
      <w:proofErr w:type="spellEnd"/>
      <w:r w:rsidR="001D648D" w:rsidRPr="00C22019">
        <w:rPr>
          <w:rFonts w:ascii="Times New Roman" w:hAnsi="Times New Roman" w:cs="Times New Roman"/>
          <w:sz w:val="24"/>
          <w:szCs w:val="24"/>
        </w:rPr>
        <w:t xml:space="preserve"> Barbara</w:t>
      </w:r>
      <w:r w:rsidR="001D648D">
        <w:rPr>
          <w:rFonts w:ascii="Times New Roman" w:hAnsi="Times New Roman" w:cs="Times New Roman"/>
          <w:sz w:val="24"/>
          <w:szCs w:val="24"/>
        </w:rPr>
        <w:t>.</w:t>
      </w:r>
    </w:p>
    <w:p w:rsidR="001D648D" w:rsidRPr="009C4F43" w:rsidRDefault="001D648D" w:rsidP="001D64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4033" w:rsidRDefault="00762CAC" w:rsidP="00F77B73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62C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Ukupna površina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pomorskog dobra koje se daje u koncesiju </w:t>
      </w:r>
      <w:r w:rsidRPr="00762C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iznosi 124 544 m</w:t>
      </w:r>
      <w:r w:rsidRPr="00762C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E80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E804C9" w:rsidRDefault="00E804C9" w:rsidP="00F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7B5" w:rsidRDefault="00F767B5" w:rsidP="00F77B7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25F">
        <w:rPr>
          <w:rFonts w:ascii="Times New Roman" w:eastAsia="Times New Roman" w:hAnsi="Times New Roman" w:cs="Times New Roman"/>
          <w:sz w:val="24"/>
          <w:szCs w:val="24"/>
        </w:rPr>
        <w:t xml:space="preserve">Koncesija se daje na vremensko razdoblje od </w:t>
      </w:r>
      <w:r w:rsidR="00775A4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6225F">
        <w:rPr>
          <w:rFonts w:ascii="Times New Roman" w:eastAsia="Times New Roman" w:hAnsi="Times New Roman" w:cs="Times New Roman"/>
          <w:sz w:val="24"/>
          <w:szCs w:val="24"/>
        </w:rPr>
        <w:t>0 godina, računajući od dan</w:t>
      </w:r>
      <w:r w:rsidR="00414033">
        <w:rPr>
          <w:rFonts w:ascii="Times New Roman" w:eastAsia="Times New Roman" w:hAnsi="Times New Roman" w:cs="Times New Roman"/>
          <w:sz w:val="24"/>
          <w:szCs w:val="24"/>
        </w:rPr>
        <w:t>a sklapanja ugovora o koncesiji, a p</w:t>
      </w:r>
      <w:r w:rsidRPr="0036225F">
        <w:rPr>
          <w:rFonts w:ascii="Times New Roman" w:eastAsia="Times New Roman" w:hAnsi="Times New Roman" w:cs="Times New Roman"/>
          <w:sz w:val="24"/>
          <w:szCs w:val="24"/>
        </w:rPr>
        <w:t xml:space="preserve">rocijenjena vrijednost </w:t>
      </w:r>
      <w:r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koncesije iznosi </w:t>
      </w:r>
      <w:r w:rsidR="009544EB" w:rsidRPr="009544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796.875.000,00 </w:t>
      </w:r>
      <w:r w:rsidRPr="0043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kuna.</w:t>
      </w:r>
    </w:p>
    <w:p w:rsidR="001D648D" w:rsidRDefault="001D648D" w:rsidP="00F77B7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648D" w:rsidRPr="001D648D" w:rsidRDefault="001D648D" w:rsidP="00F77B7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Početni iznos stalnog dijela </w:t>
      </w:r>
      <w:r w:rsidR="00D353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koncesijske naknade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iznosi 2,00 kn/m</w:t>
      </w:r>
      <w:r w:rsidRPr="00D353A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zauzetog pomorskog dobra </w:t>
      </w:r>
      <w:r w:rsidRPr="00D353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353AB" w:rsidRPr="00D353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249.088,00</w:t>
      </w:r>
      <w:r w:rsidRPr="00D353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53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kuna </w:t>
      </w:r>
      <w:r w:rsidRPr="00D353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godišnje). </w:t>
      </w:r>
      <w:r w:rsidRPr="001D64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Promjenjivi dio koncesijske naknade obračunava se u iznosu od 2 % prihoda </w:t>
      </w:r>
      <w:r w:rsidR="00D353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ponuditelja </w:t>
      </w:r>
      <w:r w:rsidRPr="001D64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ostvarenog na </w:t>
      </w:r>
      <w:proofErr w:type="spellStart"/>
      <w:r w:rsidRPr="001D64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koncesioniranom</w:t>
      </w:r>
      <w:proofErr w:type="spellEnd"/>
      <w:r w:rsidRPr="001D64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području</w:t>
      </w:r>
      <w:r w:rsidR="00D353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767B5" w:rsidRPr="0036225F" w:rsidRDefault="00F767B5" w:rsidP="00F77B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67E9" w:rsidRDefault="00C767E9" w:rsidP="00F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767E9" w:rsidSect="004277E8">
      <w:headerReference w:type="default" r:id="rId9"/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61F" w:rsidRDefault="00EB161F" w:rsidP="003A1BC8">
      <w:pPr>
        <w:spacing w:after="0" w:line="240" w:lineRule="auto"/>
      </w:pPr>
      <w:r>
        <w:separator/>
      </w:r>
    </w:p>
  </w:endnote>
  <w:endnote w:type="continuationSeparator" w:id="0">
    <w:p w:rsidR="00EB161F" w:rsidRDefault="00EB161F" w:rsidP="003A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112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06588" w:rsidRPr="001D648D" w:rsidRDefault="002A0F42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1D648D">
          <w:rPr>
            <w:rFonts w:ascii="Times New Roman" w:hAnsi="Times New Roman" w:cs="Times New Roman"/>
            <w:sz w:val="24"/>
          </w:rPr>
          <w:fldChar w:fldCharType="begin"/>
        </w:r>
        <w:r w:rsidRPr="001D648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D648D">
          <w:rPr>
            <w:rFonts w:ascii="Times New Roman" w:hAnsi="Times New Roman" w:cs="Times New Roman"/>
            <w:sz w:val="24"/>
          </w:rPr>
          <w:fldChar w:fldCharType="separate"/>
        </w:r>
        <w:r w:rsidR="005931C9">
          <w:rPr>
            <w:rFonts w:ascii="Times New Roman" w:hAnsi="Times New Roman" w:cs="Times New Roman"/>
            <w:noProof/>
            <w:sz w:val="24"/>
          </w:rPr>
          <w:t>8</w:t>
        </w:r>
        <w:r w:rsidRPr="001D648D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E06588" w:rsidRDefault="00E06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61" w:rsidRPr="004A2EFB" w:rsidRDefault="00931EE3" w:rsidP="00931EE3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4A2EFB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61F" w:rsidRDefault="00EB161F" w:rsidP="003A1BC8">
      <w:pPr>
        <w:spacing w:after="0" w:line="240" w:lineRule="auto"/>
      </w:pPr>
      <w:r>
        <w:separator/>
      </w:r>
    </w:p>
  </w:footnote>
  <w:footnote w:type="continuationSeparator" w:id="0">
    <w:p w:rsidR="00EB161F" w:rsidRDefault="00EB161F" w:rsidP="003A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588" w:rsidRDefault="00E06588">
    <w:pPr>
      <w:pStyle w:val="Header"/>
    </w:pPr>
  </w:p>
  <w:p w:rsidR="00E06588" w:rsidRDefault="00E06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CAC"/>
    <w:multiLevelType w:val="hybridMultilevel"/>
    <w:tmpl w:val="364C4E9E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533E"/>
    <w:multiLevelType w:val="hybridMultilevel"/>
    <w:tmpl w:val="4E043F88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0A52"/>
    <w:multiLevelType w:val="hybridMultilevel"/>
    <w:tmpl w:val="536A7B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1271"/>
    <w:multiLevelType w:val="hybridMultilevel"/>
    <w:tmpl w:val="2304B8FA"/>
    <w:lvl w:ilvl="0" w:tplc="8D9C00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6B2971"/>
    <w:multiLevelType w:val="hybridMultilevel"/>
    <w:tmpl w:val="33FE0614"/>
    <w:lvl w:ilvl="0" w:tplc="8D9C00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32288B"/>
    <w:multiLevelType w:val="hybridMultilevel"/>
    <w:tmpl w:val="50E60280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66F4"/>
    <w:multiLevelType w:val="hybridMultilevel"/>
    <w:tmpl w:val="07E8B9E6"/>
    <w:lvl w:ilvl="0" w:tplc="F28A51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2062B"/>
    <w:multiLevelType w:val="hybridMultilevel"/>
    <w:tmpl w:val="E266FEA4"/>
    <w:lvl w:ilvl="0" w:tplc="40B2639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555DE"/>
    <w:multiLevelType w:val="hybridMultilevel"/>
    <w:tmpl w:val="04F8F82A"/>
    <w:lvl w:ilvl="0" w:tplc="198EE5C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E0B1F"/>
    <w:multiLevelType w:val="hybridMultilevel"/>
    <w:tmpl w:val="C2967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D50C6"/>
    <w:multiLevelType w:val="hybridMultilevel"/>
    <w:tmpl w:val="239A1F32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F284A"/>
    <w:multiLevelType w:val="hybridMultilevel"/>
    <w:tmpl w:val="989C24F6"/>
    <w:lvl w:ilvl="0" w:tplc="B530A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55ABC"/>
    <w:multiLevelType w:val="hybridMultilevel"/>
    <w:tmpl w:val="3208CD94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9213D"/>
    <w:multiLevelType w:val="hybridMultilevel"/>
    <w:tmpl w:val="B4FCB4A8"/>
    <w:lvl w:ilvl="0" w:tplc="E752D540">
      <w:start w:val="1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05A0C"/>
    <w:multiLevelType w:val="hybridMultilevel"/>
    <w:tmpl w:val="C66CBEE4"/>
    <w:lvl w:ilvl="0" w:tplc="ECB0C1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F85803"/>
    <w:multiLevelType w:val="hybridMultilevel"/>
    <w:tmpl w:val="CFB86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138EE"/>
    <w:multiLevelType w:val="hybridMultilevel"/>
    <w:tmpl w:val="8AB2594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3513DF0"/>
    <w:multiLevelType w:val="hybridMultilevel"/>
    <w:tmpl w:val="CE5C5F00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B2DC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E7C88"/>
    <w:multiLevelType w:val="hybridMultilevel"/>
    <w:tmpl w:val="73A616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E3837"/>
    <w:multiLevelType w:val="hybridMultilevel"/>
    <w:tmpl w:val="1C788006"/>
    <w:lvl w:ilvl="0" w:tplc="5A4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A4554"/>
    <w:multiLevelType w:val="hybridMultilevel"/>
    <w:tmpl w:val="E36E86A4"/>
    <w:lvl w:ilvl="0" w:tplc="D0E6C18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59E4BDC"/>
    <w:multiLevelType w:val="hybridMultilevel"/>
    <w:tmpl w:val="80141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04518"/>
    <w:multiLevelType w:val="hybridMultilevel"/>
    <w:tmpl w:val="D6ACFD7C"/>
    <w:lvl w:ilvl="0" w:tplc="B530A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227E5"/>
    <w:multiLevelType w:val="hybridMultilevel"/>
    <w:tmpl w:val="8C4265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55146"/>
    <w:multiLevelType w:val="hybridMultilevel"/>
    <w:tmpl w:val="103624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64B08"/>
    <w:multiLevelType w:val="hybridMultilevel"/>
    <w:tmpl w:val="4B4E4D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B0DBE"/>
    <w:multiLevelType w:val="hybridMultilevel"/>
    <w:tmpl w:val="1DA837C6"/>
    <w:lvl w:ilvl="0" w:tplc="F32A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trike w:val="0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trike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9F7430"/>
    <w:multiLevelType w:val="hybridMultilevel"/>
    <w:tmpl w:val="53AC79BC"/>
    <w:lvl w:ilvl="0" w:tplc="08005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82E37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E3F"/>
    <w:multiLevelType w:val="hybridMultilevel"/>
    <w:tmpl w:val="4C98E620"/>
    <w:lvl w:ilvl="0" w:tplc="9F040C9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8"/>
  </w:num>
  <w:num w:numId="4">
    <w:abstractNumId w:val="22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27"/>
  </w:num>
  <w:num w:numId="10">
    <w:abstractNumId w:val="17"/>
  </w:num>
  <w:num w:numId="11">
    <w:abstractNumId w:val="14"/>
  </w:num>
  <w:num w:numId="12">
    <w:abstractNumId w:val="20"/>
  </w:num>
  <w:num w:numId="13">
    <w:abstractNumId w:val="18"/>
  </w:num>
  <w:num w:numId="14">
    <w:abstractNumId w:val="15"/>
  </w:num>
  <w:num w:numId="15">
    <w:abstractNumId w:val="26"/>
  </w:num>
  <w:num w:numId="16">
    <w:abstractNumId w:val="16"/>
  </w:num>
  <w:num w:numId="17">
    <w:abstractNumId w:val="1"/>
  </w:num>
  <w:num w:numId="18">
    <w:abstractNumId w:val="10"/>
  </w:num>
  <w:num w:numId="19">
    <w:abstractNumId w:val="3"/>
  </w:num>
  <w:num w:numId="20">
    <w:abstractNumId w:val="5"/>
  </w:num>
  <w:num w:numId="21">
    <w:abstractNumId w:val="4"/>
  </w:num>
  <w:num w:numId="22">
    <w:abstractNumId w:val="12"/>
  </w:num>
  <w:num w:numId="23">
    <w:abstractNumId w:val="13"/>
  </w:num>
  <w:num w:numId="24">
    <w:abstractNumId w:val="24"/>
  </w:num>
  <w:num w:numId="25">
    <w:abstractNumId w:val="19"/>
  </w:num>
  <w:num w:numId="26">
    <w:abstractNumId w:val="23"/>
  </w:num>
  <w:num w:numId="27">
    <w:abstractNumId w:val="21"/>
  </w:num>
  <w:num w:numId="28">
    <w:abstractNumId w:val="2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69"/>
    <w:rsid w:val="00000F4B"/>
    <w:rsid w:val="00003871"/>
    <w:rsid w:val="00004967"/>
    <w:rsid w:val="00011FFF"/>
    <w:rsid w:val="00015E17"/>
    <w:rsid w:val="00017991"/>
    <w:rsid w:val="000203AA"/>
    <w:rsid w:val="000205DE"/>
    <w:rsid w:val="00020CB0"/>
    <w:rsid w:val="00035834"/>
    <w:rsid w:val="00040E40"/>
    <w:rsid w:val="00041CB9"/>
    <w:rsid w:val="00043A90"/>
    <w:rsid w:val="00051DCF"/>
    <w:rsid w:val="000531B0"/>
    <w:rsid w:val="00056194"/>
    <w:rsid w:val="000625B2"/>
    <w:rsid w:val="000660E2"/>
    <w:rsid w:val="00071BA7"/>
    <w:rsid w:val="000728F0"/>
    <w:rsid w:val="00072FBA"/>
    <w:rsid w:val="00077896"/>
    <w:rsid w:val="000879DE"/>
    <w:rsid w:val="00094E90"/>
    <w:rsid w:val="000B2D9A"/>
    <w:rsid w:val="000C38FC"/>
    <w:rsid w:val="000D302A"/>
    <w:rsid w:val="000D4BCB"/>
    <w:rsid w:val="000E78DF"/>
    <w:rsid w:val="000F20F1"/>
    <w:rsid w:val="000F54F1"/>
    <w:rsid w:val="0010094E"/>
    <w:rsid w:val="00124421"/>
    <w:rsid w:val="001244D2"/>
    <w:rsid w:val="001245B8"/>
    <w:rsid w:val="001315C4"/>
    <w:rsid w:val="001378C5"/>
    <w:rsid w:val="001649EC"/>
    <w:rsid w:val="00164E5C"/>
    <w:rsid w:val="00166D8B"/>
    <w:rsid w:val="0017675E"/>
    <w:rsid w:val="001A005B"/>
    <w:rsid w:val="001A56A8"/>
    <w:rsid w:val="001A63B4"/>
    <w:rsid w:val="001C6730"/>
    <w:rsid w:val="001D1842"/>
    <w:rsid w:val="001D648D"/>
    <w:rsid w:val="001E0DD0"/>
    <w:rsid w:val="001E7EDB"/>
    <w:rsid w:val="001E7F8F"/>
    <w:rsid w:val="001F0601"/>
    <w:rsid w:val="001F69C9"/>
    <w:rsid w:val="00213A50"/>
    <w:rsid w:val="00223A3F"/>
    <w:rsid w:val="00231D03"/>
    <w:rsid w:val="00247DE1"/>
    <w:rsid w:val="00255CB2"/>
    <w:rsid w:val="00256EAB"/>
    <w:rsid w:val="00256F0E"/>
    <w:rsid w:val="00257D4E"/>
    <w:rsid w:val="00260210"/>
    <w:rsid w:val="00275029"/>
    <w:rsid w:val="00277995"/>
    <w:rsid w:val="00281210"/>
    <w:rsid w:val="00286327"/>
    <w:rsid w:val="002A0F42"/>
    <w:rsid w:val="002A1C08"/>
    <w:rsid w:val="002B1455"/>
    <w:rsid w:val="002B359F"/>
    <w:rsid w:val="002B39A9"/>
    <w:rsid w:val="002C168B"/>
    <w:rsid w:val="002D1806"/>
    <w:rsid w:val="002E2775"/>
    <w:rsid w:val="002E447D"/>
    <w:rsid w:val="002F0403"/>
    <w:rsid w:val="002F3BF3"/>
    <w:rsid w:val="003058DE"/>
    <w:rsid w:val="00310B09"/>
    <w:rsid w:val="003245A4"/>
    <w:rsid w:val="003347E2"/>
    <w:rsid w:val="00341647"/>
    <w:rsid w:val="00344CAE"/>
    <w:rsid w:val="003451ED"/>
    <w:rsid w:val="003509DB"/>
    <w:rsid w:val="0036719C"/>
    <w:rsid w:val="003726A6"/>
    <w:rsid w:val="0037500A"/>
    <w:rsid w:val="00375783"/>
    <w:rsid w:val="00390F31"/>
    <w:rsid w:val="00392B1C"/>
    <w:rsid w:val="00395B92"/>
    <w:rsid w:val="003A0BC7"/>
    <w:rsid w:val="003A1BC8"/>
    <w:rsid w:val="003B00F3"/>
    <w:rsid w:val="003B19B4"/>
    <w:rsid w:val="003B29A3"/>
    <w:rsid w:val="003C4DE8"/>
    <w:rsid w:val="003C7241"/>
    <w:rsid w:val="003D03B0"/>
    <w:rsid w:val="003D0AA4"/>
    <w:rsid w:val="003D5BBD"/>
    <w:rsid w:val="003E67B0"/>
    <w:rsid w:val="004016D6"/>
    <w:rsid w:val="0040178F"/>
    <w:rsid w:val="004079A1"/>
    <w:rsid w:val="00413B53"/>
    <w:rsid w:val="00414033"/>
    <w:rsid w:val="004277E8"/>
    <w:rsid w:val="00431ADC"/>
    <w:rsid w:val="004320E7"/>
    <w:rsid w:val="00446392"/>
    <w:rsid w:val="0045132F"/>
    <w:rsid w:val="00456F5B"/>
    <w:rsid w:val="00457176"/>
    <w:rsid w:val="0046023B"/>
    <w:rsid w:val="0046077B"/>
    <w:rsid w:val="00463849"/>
    <w:rsid w:val="004710BE"/>
    <w:rsid w:val="0047183A"/>
    <w:rsid w:val="00472A3D"/>
    <w:rsid w:val="00477C90"/>
    <w:rsid w:val="004A2EFB"/>
    <w:rsid w:val="004B0AE6"/>
    <w:rsid w:val="004B2DC4"/>
    <w:rsid w:val="004C0AFC"/>
    <w:rsid w:val="004D1213"/>
    <w:rsid w:val="004D43A6"/>
    <w:rsid w:val="004D4A3E"/>
    <w:rsid w:val="004D4A7A"/>
    <w:rsid w:val="004D525D"/>
    <w:rsid w:val="004D59AF"/>
    <w:rsid w:val="004D5DD1"/>
    <w:rsid w:val="004D5E5C"/>
    <w:rsid w:val="004D5F03"/>
    <w:rsid w:val="004E4912"/>
    <w:rsid w:val="004E6582"/>
    <w:rsid w:val="00517998"/>
    <w:rsid w:val="00521AE8"/>
    <w:rsid w:val="00522739"/>
    <w:rsid w:val="00526F37"/>
    <w:rsid w:val="00531BB3"/>
    <w:rsid w:val="005354A5"/>
    <w:rsid w:val="005405DA"/>
    <w:rsid w:val="0055480D"/>
    <w:rsid w:val="00557457"/>
    <w:rsid w:val="005578F1"/>
    <w:rsid w:val="0056439C"/>
    <w:rsid w:val="005670EC"/>
    <w:rsid w:val="00567F20"/>
    <w:rsid w:val="005746FA"/>
    <w:rsid w:val="00591FF4"/>
    <w:rsid w:val="005931C9"/>
    <w:rsid w:val="00597954"/>
    <w:rsid w:val="005A2C5D"/>
    <w:rsid w:val="005A37FD"/>
    <w:rsid w:val="005A6E00"/>
    <w:rsid w:val="005B38D2"/>
    <w:rsid w:val="005C1095"/>
    <w:rsid w:val="005C41CA"/>
    <w:rsid w:val="005C4636"/>
    <w:rsid w:val="005C48FF"/>
    <w:rsid w:val="005C4913"/>
    <w:rsid w:val="005C781F"/>
    <w:rsid w:val="005C7D5A"/>
    <w:rsid w:val="005D77D2"/>
    <w:rsid w:val="005E0639"/>
    <w:rsid w:val="005E5DD8"/>
    <w:rsid w:val="005F47E5"/>
    <w:rsid w:val="005F6F23"/>
    <w:rsid w:val="006032BE"/>
    <w:rsid w:val="00603FDA"/>
    <w:rsid w:val="006044C8"/>
    <w:rsid w:val="006049A6"/>
    <w:rsid w:val="00607DD3"/>
    <w:rsid w:val="0062636D"/>
    <w:rsid w:val="00626CC3"/>
    <w:rsid w:val="00633003"/>
    <w:rsid w:val="00636BF7"/>
    <w:rsid w:val="00650269"/>
    <w:rsid w:val="0065051F"/>
    <w:rsid w:val="0066245B"/>
    <w:rsid w:val="00663E4C"/>
    <w:rsid w:val="00664CC7"/>
    <w:rsid w:val="00671311"/>
    <w:rsid w:val="006757AE"/>
    <w:rsid w:val="006801F3"/>
    <w:rsid w:val="006848DF"/>
    <w:rsid w:val="00685250"/>
    <w:rsid w:val="00685B2B"/>
    <w:rsid w:val="00686CE3"/>
    <w:rsid w:val="00690DF2"/>
    <w:rsid w:val="00696F49"/>
    <w:rsid w:val="006D4245"/>
    <w:rsid w:val="006E11EB"/>
    <w:rsid w:val="006E5B10"/>
    <w:rsid w:val="006F0BFA"/>
    <w:rsid w:val="006F33AF"/>
    <w:rsid w:val="006F78D2"/>
    <w:rsid w:val="007157A9"/>
    <w:rsid w:val="007225ED"/>
    <w:rsid w:val="007244C4"/>
    <w:rsid w:val="007370C4"/>
    <w:rsid w:val="007420E1"/>
    <w:rsid w:val="00743F02"/>
    <w:rsid w:val="00747D2E"/>
    <w:rsid w:val="00754810"/>
    <w:rsid w:val="00762CAC"/>
    <w:rsid w:val="0076400E"/>
    <w:rsid w:val="00770181"/>
    <w:rsid w:val="00771A71"/>
    <w:rsid w:val="00772522"/>
    <w:rsid w:val="00775A4C"/>
    <w:rsid w:val="007868A9"/>
    <w:rsid w:val="00791E70"/>
    <w:rsid w:val="0079250D"/>
    <w:rsid w:val="00793C78"/>
    <w:rsid w:val="00795E77"/>
    <w:rsid w:val="007B3462"/>
    <w:rsid w:val="007C334D"/>
    <w:rsid w:val="007D2827"/>
    <w:rsid w:val="007D713E"/>
    <w:rsid w:val="007E57A7"/>
    <w:rsid w:val="00807DAF"/>
    <w:rsid w:val="00824179"/>
    <w:rsid w:val="0082504E"/>
    <w:rsid w:val="008351CF"/>
    <w:rsid w:val="00836C69"/>
    <w:rsid w:val="008371AA"/>
    <w:rsid w:val="0084042B"/>
    <w:rsid w:val="00842BFD"/>
    <w:rsid w:val="008432FD"/>
    <w:rsid w:val="008433F9"/>
    <w:rsid w:val="00850715"/>
    <w:rsid w:val="00851117"/>
    <w:rsid w:val="00886AFE"/>
    <w:rsid w:val="00891A36"/>
    <w:rsid w:val="00897CC9"/>
    <w:rsid w:val="008A2046"/>
    <w:rsid w:val="008A4EBF"/>
    <w:rsid w:val="008B3CAA"/>
    <w:rsid w:val="008B3FB6"/>
    <w:rsid w:val="008B61C8"/>
    <w:rsid w:val="008C1B54"/>
    <w:rsid w:val="008C7CF3"/>
    <w:rsid w:val="008E2163"/>
    <w:rsid w:val="00900D8E"/>
    <w:rsid w:val="00920161"/>
    <w:rsid w:val="00925281"/>
    <w:rsid w:val="0093127B"/>
    <w:rsid w:val="00931EE3"/>
    <w:rsid w:val="009325B7"/>
    <w:rsid w:val="00933A15"/>
    <w:rsid w:val="00942CA5"/>
    <w:rsid w:val="009440D1"/>
    <w:rsid w:val="0094498E"/>
    <w:rsid w:val="00944B02"/>
    <w:rsid w:val="00944FD3"/>
    <w:rsid w:val="0094507C"/>
    <w:rsid w:val="00953228"/>
    <w:rsid w:val="009544EB"/>
    <w:rsid w:val="00957162"/>
    <w:rsid w:val="009644EA"/>
    <w:rsid w:val="0097097E"/>
    <w:rsid w:val="009753E1"/>
    <w:rsid w:val="00994EE2"/>
    <w:rsid w:val="00996ABE"/>
    <w:rsid w:val="0099780C"/>
    <w:rsid w:val="009A31D9"/>
    <w:rsid w:val="009C20A9"/>
    <w:rsid w:val="009D77B7"/>
    <w:rsid w:val="009E304C"/>
    <w:rsid w:val="009F0E60"/>
    <w:rsid w:val="009F46FF"/>
    <w:rsid w:val="00A0006F"/>
    <w:rsid w:val="00A05A1D"/>
    <w:rsid w:val="00A10354"/>
    <w:rsid w:val="00A172A1"/>
    <w:rsid w:val="00A36944"/>
    <w:rsid w:val="00A410B2"/>
    <w:rsid w:val="00A46DB5"/>
    <w:rsid w:val="00A55350"/>
    <w:rsid w:val="00A705CA"/>
    <w:rsid w:val="00A7469E"/>
    <w:rsid w:val="00A7522F"/>
    <w:rsid w:val="00AA7410"/>
    <w:rsid w:val="00AC433A"/>
    <w:rsid w:val="00AC442A"/>
    <w:rsid w:val="00AE298D"/>
    <w:rsid w:val="00AE3829"/>
    <w:rsid w:val="00B029CD"/>
    <w:rsid w:val="00B03270"/>
    <w:rsid w:val="00B03F7D"/>
    <w:rsid w:val="00B058DD"/>
    <w:rsid w:val="00B15D0B"/>
    <w:rsid w:val="00B2656E"/>
    <w:rsid w:val="00B31865"/>
    <w:rsid w:val="00B31996"/>
    <w:rsid w:val="00B31C41"/>
    <w:rsid w:val="00B439C3"/>
    <w:rsid w:val="00B44E60"/>
    <w:rsid w:val="00B46E1A"/>
    <w:rsid w:val="00B51F4F"/>
    <w:rsid w:val="00B6595A"/>
    <w:rsid w:val="00B66BD9"/>
    <w:rsid w:val="00B72478"/>
    <w:rsid w:val="00B95DF1"/>
    <w:rsid w:val="00B964CF"/>
    <w:rsid w:val="00BA3FBB"/>
    <w:rsid w:val="00BA61C5"/>
    <w:rsid w:val="00BB1D81"/>
    <w:rsid w:val="00BB5DAB"/>
    <w:rsid w:val="00BC06C9"/>
    <w:rsid w:val="00BC2C9E"/>
    <w:rsid w:val="00BC7B83"/>
    <w:rsid w:val="00BD0278"/>
    <w:rsid w:val="00BD7D74"/>
    <w:rsid w:val="00BE0C49"/>
    <w:rsid w:val="00BF1DDF"/>
    <w:rsid w:val="00BF295D"/>
    <w:rsid w:val="00BF74EC"/>
    <w:rsid w:val="00C041D0"/>
    <w:rsid w:val="00C10194"/>
    <w:rsid w:val="00C22019"/>
    <w:rsid w:val="00C371C3"/>
    <w:rsid w:val="00C4193B"/>
    <w:rsid w:val="00C44B56"/>
    <w:rsid w:val="00C44F7F"/>
    <w:rsid w:val="00C572CB"/>
    <w:rsid w:val="00C60085"/>
    <w:rsid w:val="00C63304"/>
    <w:rsid w:val="00C63575"/>
    <w:rsid w:val="00C70C5B"/>
    <w:rsid w:val="00C74746"/>
    <w:rsid w:val="00C757E0"/>
    <w:rsid w:val="00C767E9"/>
    <w:rsid w:val="00C80120"/>
    <w:rsid w:val="00C83E13"/>
    <w:rsid w:val="00C91B8D"/>
    <w:rsid w:val="00CA1123"/>
    <w:rsid w:val="00CA1FB2"/>
    <w:rsid w:val="00CA3EFA"/>
    <w:rsid w:val="00CC300F"/>
    <w:rsid w:val="00CF1ADA"/>
    <w:rsid w:val="00CF479F"/>
    <w:rsid w:val="00D01D8A"/>
    <w:rsid w:val="00D01F11"/>
    <w:rsid w:val="00D0511A"/>
    <w:rsid w:val="00D12CD1"/>
    <w:rsid w:val="00D20070"/>
    <w:rsid w:val="00D20C85"/>
    <w:rsid w:val="00D213BA"/>
    <w:rsid w:val="00D25824"/>
    <w:rsid w:val="00D304FE"/>
    <w:rsid w:val="00D317D4"/>
    <w:rsid w:val="00D32BC5"/>
    <w:rsid w:val="00D353AB"/>
    <w:rsid w:val="00D41A50"/>
    <w:rsid w:val="00D5053F"/>
    <w:rsid w:val="00D50661"/>
    <w:rsid w:val="00D57390"/>
    <w:rsid w:val="00D57E67"/>
    <w:rsid w:val="00D74E2E"/>
    <w:rsid w:val="00D75856"/>
    <w:rsid w:val="00D82877"/>
    <w:rsid w:val="00D91FE8"/>
    <w:rsid w:val="00D96A93"/>
    <w:rsid w:val="00D97449"/>
    <w:rsid w:val="00DA7E59"/>
    <w:rsid w:val="00DB1077"/>
    <w:rsid w:val="00DB55E9"/>
    <w:rsid w:val="00DD347F"/>
    <w:rsid w:val="00DE28B8"/>
    <w:rsid w:val="00DE51E9"/>
    <w:rsid w:val="00E019E0"/>
    <w:rsid w:val="00E02F4E"/>
    <w:rsid w:val="00E052CB"/>
    <w:rsid w:val="00E06588"/>
    <w:rsid w:val="00E06D8A"/>
    <w:rsid w:val="00E125EB"/>
    <w:rsid w:val="00E13DB8"/>
    <w:rsid w:val="00E156F1"/>
    <w:rsid w:val="00E21A76"/>
    <w:rsid w:val="00E32693"/>
    <w:rsid w:val="00E45E0F"/>
    <w:rsid w:val="00E630E2"/>
    <w:rsid w:val="00E65BE5"/>
    <w:rsid w:val="00E71B66"/>
    <w:rsid w:val="00E804C9"/>
    <w:rsid w:val="00E8558F"/>
    <w:rsid w:val="00E87073"/>
    <w:rsid w:val="00E87D2C"/>
    <w:rsid w:val="00E95001"/>
    <w:rsid w:val="00E97DA2"/>
    <w:rsid w:val="00EA4B11"/>
    <w:rsid w:val="00EA6B8E"/>
    <w:rsid w:val="00EA7157"/>
    <w:rsid w:val="00EB161F"/>
    <w:rsid w:val="00EC02F5"/>
    <w:rsid w:val="00EC262A"/>
    <w:rsid w:val="00EC2D9F"/>
    <w:rsid w:val="00EC548B"/>
    <w:rsid w:val="00EE1C3B"/>
    <w:rsid w:val="00EE47DC"/>
    <w:rsid w:val="00EE7D5E"/>
    <w:rsid w:val="00EF1A47"/>
    <w:rsid w:val="00F009FB"/>
    <w:rsid w:val="00F0385B"/>
    <w:rsid w:val="00F21710"/>
    <w:rsid w:val="00F2326B"/>
    <w:rsid w:val="00F2356C"/>
    <w:rsid w:val="00F301E3"/>
    <w:rsid w:val="00F35FD4"/>
    <w:rsid w:val="00F40764"/>
    <w:rsid w:val="00F457F1"/>
    <w:rsid w:val="00F63CDC"/>
    <w:rsid w:val="00F64B66"/>
    <w:rsid w:val="00F751A4"/>
    <w:rsid w:val="00F767B5"/>
    <w:rsid w:val="00F772C0"/>
    <w:rsid w:val="00F77B20"/>
    <w:rsid w:val="00F77B73"/>
    <w:rsid w:val="00F861E1"/>
    <w:rsid w:val="00F9251C"/>
    <w:rsid w:val="00F978F2"/>
    <w:rsid w:val="00F97FFD"/>
    <w:rsid w:val="00FB4191"/>
    <w:rsid w:val="00FB6B25"/>
    <w:rsid w:val="00FB715E"/>
    <w:rsid w:val="00FC1167"/>
    <w:rsid w:val="00FC787B"/>
    <w:rsid w:val="00FD4429"/>
    <w:rsid w:val="00FD61F0"/>
    <w:rsid w:val="00FE02B8"/>
    <w:rsid w:val="00FF5522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A2BC"/>
  <w15:docId w15:val="{131A2759-FF29-4DA0-ACEA-32B385D0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-na16">
    <w:name w:val="tb-na16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-">
    <w:name w:val="clanak-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-bez-uvl">
    <w:name w:val="t-9-8-bez-uvl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lasa2">
    <w:name w:val="klasa2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-potpis">
    <w:name w:val="t-9-8-potpis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650269"/>
  </w:style>
  <w:style w:type="character" w:customStyle="1" w:styleId="apple-converted-space">
    <w:name w:val="apple-converted-space"/>
    <w:basedOn w:val="DefaultParagraphFont"/>
    <w:rsid w:val="00650269"/>
  </w:style>
  <w:style w:type="paragraph" w:styleId="ListParagraph">
    <w:name w:val="List Paragraph"/>
    <w:basedOn w:val="Normal"/>
    <w:uiPriority w:val="34"/>
    <w:qFormat/>
    <w:rsid w:val="003245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1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BC8"/>
  </w:style>
  <w:style w:type="paragraph" w:styleId="Footer">
    <w:name w:val="footer"/>
    <w:basedOn w:val="Normal"/>
    <w:link w:val="FooterChar"/>
    <w:uiPriority w:val="99"/>
    <w:unhideWhenUsed/>
    <w:rsid w:val="003A1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BC8"/>
  </w:style>
  <w:style w:type="table" w:styleId="TableGrid">
    <w:name w:val="Table Grid"/>
    <w:basedOn w:val="TableNormal"/>
    <w:uiPriority w:val="59"/>
    <w:rsid w:val="00413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1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6D6"/>
    <w:rPr>
      <w:b/>
      <w:bCs/>
      <w:sz w:val="20"/>
      <w:szCs w:val="20"/>
    </w:rPr>
  </w:style>
  <w:style w:type="paragraph" w:customStyle="1" w:styleId="box456355">
    <w:name w:val="box_456355"/>
    <w:basedOn w:val="Normal"/>
    <w:rsid w:val="0056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basedOn w:val="Normal"/>
    <w:rsid w:val="00A10354"/>
    <w:pPr>
      <w:spacing w:after="0" w:line="240" w:lineRule="auto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A0C8D-91F6-4574-940C-443D7334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2607</TotalTime>
  <Pages>9</Pages>
  <Words>2482</Words>
  <Characters>14150</Characters>
  <Application>Microsoft Office Word</Application>
  <DocSecurity>0</DocSecurity>
  <Lines>117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mmpi</Company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mivicek</dc:creator>
  <cp:keywords/>
  <dc:description/>
  <cp:lastModifiedBy>Robert Matijević</cp:lastModifiedBy>
  <cp:revision>9</cp:revision>
  <cp:lastPrinted>2020-03-05T13:33:00Z</cp:lastPrinted>
  <dcterms:created xsi:type="dcterms:W3CDTF">2020-03-04T13:37:00Z</dcterms:created>
  <dcterms:modified xsi:type="dcterms:W3CDTF">2020-03-17T12:57:00Z</dcterms:modified>
</cp:coreProperties>
</file>