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795D7" w14:textId="77777777" w:rsidR="006B706B" w:rsidRDefault="006B706B" w:rsidP="006B706B">
      <w:pPr>
        <w:jc w:val="center"/>
      </w:pPr>
    </w:p>
    <w:p w14:paraId="022795D8" w14:textId="77777777" w:rsidR="006B706B" w:rsidRPr="00C208B8" w:rsidRDefault="00E33CE5" w:rsidP="006B706B">
      <w:pPr>
        <w:jc w:val="center"/>
      </w:pPr>
      <w:r w:rsidRPr="008E5C75">
        <w:rPr>
          <w:noProof/>
        </w:rPr>
        <w:drawing>
          <wp:inline distT="0" distB="0" distL="0" distR="0" wp14:anchorId="022796A6" wp14:editId="022796A7">
            <wp:extent cx="5010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685800"/>
                    </a:xfrm>
                    <a:prstGeom prst="rect">
                      <a:avLst/>
                    </a:prstGeom>
                    <a:noFill/>
                    <a:ln>
                      <a:noFill/>
                    </a:ln>
                  </pic:spPr>
                </pic:pic>
              </a:graphicData>
            </a:graphic>
          </wp:inline>
        </w:drawing>
      </w:r>
      <w:r w:rsidR="006B706B" w:rsidRPr="00C208B8">
        <w:fldChar w:fldCharType="begin"/>
      </w:r>
      <w:r w:rsidR="006B706B" w:rsidRPr="00C208B8">
        <w:instrText xml:space="preserve"> INCLUDEPICTURE "http://www.inet.hr/~box/images/grb-rh.gif" \* MERGEFORMATINET </w:instrText>
      </w:r>
      <w:r w:rsidR="006B706B" w:rsidRPr="00C208B8">
        <w:fldChar w:fldCharType="end"/>
      </w:r>
    </w:p>
    <w:p w14:paraId="022795D9" w14:textId="77777777" w:rsidR="006B706B" w:rsidRPr="0023763F" w:rsidRDefault="006B706B" w:rsidP="006B706B">
      <w:pPr>
        <w:jc w:val="center"/>
        <w:rPr>
          <w:sz w:val="28"/>
        </w:rPr>
      </w:pPr>
      <w:r w:rsidRPr="0023763F">
        <w:rPr>
          <w:sz w:val="28"/>
        </w:rPr>
        <w:t>VLADA REPUBLIKE HRVATSKE</w:t>
      </w:r>
    </w:p>
    <w:p w14:paraId="022795DA" w14:textId="77777777" w:rsidR="006B706B" w:rsidRDefault="006B706B" w:rsidP="006B706B"/>
    <w:p w14:paraId="022795DB" w14:textId="77777777" w:rsidR="006B706B" w:rsidRDefault="006B706B" w:rsidP="006B706B"/>
    <w:p w14:paraId="022795DC" w14:textId="77777777" w:rsidR="006B706B" w:rsidRDefault="006B706B" w:rsidP="006B706B"/>
    <w:p w14:paraId="022795DD" w14:textId="77777777" w:rsidR="006B706B" w:rsidRDefault="006B706B" w:rsidP="006B706B"/>
    <w:p w14:paraId="022795DE" w14:textId="77777777" w:rsidR="006B706B" w:rsidRDefault="006B706B" w:rsidP="006B706B"/>
    <w:p w14:paraId="022795DF" w14:textId="77777777" w:rsidR="006B706B" w:rsidRDefault="006B706B" w:rsidP="006B706B"/>
    <w:p w14:paraId="022795E0" w14:textId="77777777" w:rsidR="006B706B" w:rsidRDefault="006B706B" w:rsidP="006B706B"/>
    <w:p w14:paraId="022795E1" w14:textId="77777777" w:rsidR="006B706B" w:rsidRDefault="006B706B" w:rsidP="006B706B"/>
    <w:p w14:paraId="022795E2" w14:textId="77777777" w:rsidR="006B706B" w:rsidRDefault="006B706B" w:rsidP="006B706B"/>
    <w:p w14:paraId="022795E3" w14:textId="77777777" w:rsidR="006B706B" w:rsidRDefault="006B706B" w:rsidP="006B706B"/>
    <w:p w14:paraId="022795E4" w14:textId="36286FC6" w:rsidR="006B706B" w:rsidRPr="003A2F05" w:rsidRDefault="006B706B" w:rsidP="006B706B">
      <w:pPr>
        <w:jc w:val="right"/>
      </w:pPr>
      <w:r w:rsidRPr="008951A7">
        <w:t>Zagreb</w:t>
      </w:r>
      <w:r w:rsidRPr="00CE246B">
        <w:t xml:space="preserve">, </w:t>
      </w:r>
      <w:r w:rsidR="00A570A1">
        <w:t>3</w:t>
      </w:r>
      <w:r w:rsidR="00120386" w:rsidRPr="00CE246B">
        <w:t>0</w:t>
      </w:r>
      <w:r w:rsidR="00087FF9" w:rsidRPr="00CE246B">
        <w:t xml:space="preserve">. </w:t>
      </w:r>
      <w:r w:rsidR="00120386" w:rsidRPr="00CE246B">
        <w:t xml:space="preserve">travnja </w:t>
      </w:r>
      <w:r w:rsidRPr="008951A7">
        <w:t>2020. godine</w:t>
      </w:r>
    </w:p>
    <w:p w14:paraId="022795E5" w14:textId="77777777" w:rsidR="006B706B" w:rsidRDefault="006B706B" w:rsidP="006B706B"/>
    <w:p w14:paraId="022795E6" w14:textId="77777777" w:rsidR="006B706B" w:rsidRDefault="006B706B" w:rsidP="006B706B"/>
    <w:p w14:paraId="022795E7" w14:textId="77777777" w:rsidR="006B706B" w:rsidRDefault="006B706B" w:rsidP="006B706B"/>
    <w:p w14:paraId="022795E8" w14:textId="77777777" w:rsidR="006B706B" w:rsidRDefault="006B706B" w:rsidP="006B706B"/>
    <w:p w14:paraId="022795E9" w14:textId="77777777" w:rsidR="006B706B" w:rsidRDefault="006B706B" w:rsidP="006B706B"/>
    <w:p w14:paraId="022795EA" w14:textId="77777777" w:rsidR="006B706B" w:rsidRDefault="006B706B" w:rsidP="006B706B"/>
    <w:p w14:paraId="022795EB" w14:textId="77777777" w:rsidR="006B706B" w:rsidRDefault="006B706B" w:rsidP="006B706B"/>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983"/>
        <w:gridCol w:w="6979"/>
      </w:tblGrid>
      <w:tr w:rsidR="006B706B" w14:paraId="022795EE" w14:textId="77777777" w:rsidTr="00C642F1">
        <w:trPr>
          <w:trHeight w:val="551"/>
        </w:trPr>
        <w:tc>
          <w:tcPr>
            <w:tcW w:w="1985" w:type="dxa"/>
            <w:shd w:val="clear" w:color="auto" w:fill="auto"/>
            <w:vAlign w:val="center"/>
          </w:tcPr>
          <w:p w14:paraId="022795EC" w14:textId="77777777" w:rsidR="006B706B" w:rsidRDefault="006B706B" w:rsidP="00C642F1">
            <w:pPr>
              <w:jc w:val="right"/>
            </w:pPr>
            <w:r w:rsidRPr="00C642F1">
              <w:rPr>
                <w:b/>
                <w:smallCaps/>
              </w:rPr>
              <w:t>Predlagatelj</w:t>
            </w:r>
            <w:r w:rsidRPr="00C642F1">
              <w:rPr>
                <w:b/>
              </w:rPr>
              <w:t>:</w:t>
            </w:r>
          </w:p>
        </w:tc>
        <w:tc>
          <w:tcPr>
            <w:tcW w:w="7087" w:type="dxa"/>
            <w:shd w:val="clear" w:color="auto" w:fill="auto"/>
            <w:vAlign w:val="center"/>
          </w:tcPr>
          <w:p w14:paraId="022795ED" w14:textId="77777777" w:rsidR="006B706B" w:rsidRDefault="006B706B" w:rsidP="00CA3C60">
            <w:r>
              <w:t>Ministarstvo mora, prometa i infrastrukture</w:t>
            </w:r>
          </w:p>
        </w:tc>
      </w:tr>
      <w:tr w:rsidR="006B706B" w14:paraId="022795F4" w14:textId="77777777" w:rsidTr="00C642F1">
        <w:trPr>
          <w:trHeight w:val="1842"/>
        </w:trPr>
        <w:tc>
          <w:tcPr>
            <w:tcW w:w="1985" w:type="dxa"/>
            <w:shd w:val="clear" w:color="auto" w:fill="auto"/>
            <w:vAlign w:val="center"/>
          </w:tcPr>
          <w:p w14:paraId="022795EF" w14:textId="77777777" w:rsidR="006B706B" w:rsidRDefault="006B706B" w:rsidP="00CA3C60">
            <w:r w:rsidRPr="00C642F1">
              <w:rPr>
                <w:b/>
                <w:smallCaps/>
              </w:rPr>
              <w:t>Predmet</w:t>
            </w:r>
            <w:r w:rsidRPr="00C642F1">
              <w:rPr>
                <w:b/>
              </w:rPr>
              <w:t>:</w:t>
            </w:r>
          </w:p>
        </w:tc>
        <w:tc>
          <w:tcPr>
            <w:tcW w:w="7087" w:type="dxa"/>
            <w:shd w:val="clear" w:color="auto" w:fill="auto"/>
            <w:vAlign w:val="center"/>
          </w:tcPr>
          <w:p w14:paraId="022795F0" w14:textId="77777777" w:rsidR="006B706B" w:rsidRPr="00C642F1" w:rsidRDefault="006B706B" w:rsidP="00C642F1">
            <w:pPr>
              <w:jc w:val="both"/>
              <w:rPr>
                <w:lang w:val="en-US"/>
              </w:rPr>
            </w:pPr>
          </w:p>
          <w:p w14:paraId="022795F1" w14:textId="77777777" w:rsidR="00465128" w:rsidRPr="00C642F1" w:rsidRDefault="00465128" w:rsidP="00C642F1">
            <w:pPr>
              <w:jc w:val="both"/>
              <w:rPr>
                <w:b/>
                <w:lang w:val="en-US"/>
              </w:rPr>
            </w:pPr>
          </w:p>
          <w:p w14:paraId="022795F2" w14:textId="77777777" w:rsidR="006B706B" w:rsidRPr="00F71DC0" w:rsidRDefault="00AC69C5" w:rsidP="00AC69C5">
            <w:pPr>
              <w:jc w:val="both"/>
              <w:rPr>
                <w:b/>
              </w:rPr>
            </w:pPr>
            <w:r w:rsidRPr="00F71DC0">
              <w:rPr>
                <w:b/>
              </w:rPr>
              <w:t>Prijedlog o</w:t>
            </w:r>
            <w:r w:rsidR="00465128" w:rsidRPr="00F71DC0">
              <w:rPr>
                <w:b/>
              </w:rPr>
              <w:t>dluk</w:t>
            </w:r>
            <w:r w:rsidRPr="00F71DC0">
              <w:rPr>
                <w:b/>
              </w:rPr>
              <w:t>e</w:t>
            </w:r>
            <w:r w:rsidR="00465128" w:rsidRPr="00F71DC0">
              <w:rPr>
                <w:b/>
              </w:rPr>
              <w:t xml:space="preserve"> o davanju državnog jamstva u korist Hrvatske banke za obnovu i razvitak</w:t>
            </w:r>
            <w:r w:rsidR="00953264">
              <w:rPr>
                <w:b/>
              </w:rPr>
              <w:t>,</w:t>
            </w:r>
            <w:r w:rsidR="00465128" w:rsidRPr="00F71DC0">
              <w:rPr>
                <w:b/>
              </w:rPr>
              <w:t xml:space="preserve"> </w:t>
            </w:r>
            <w:r w:rsidR="00087FF9" w:rsidRPr="00F71DC0">
              <w:rPr>
                <w:b/>
              </w:rPr>
              <w:t xml:space="preserve">za kreditno zaduženje </w:t>
            </w:r>
            <w:r w:rsidR="00F26B76">
              <w:rPr>
                <w:b/>
              </w:rPr>
              <w:t xml:space="preserve">društva HŽ Infrastruktura </w:t>
            </w:r>
            <w:r w:rsidR="00392705" w:rsidRPr="00F71DC0">
              <w:rPr>
                <w:b/>
              </w:rPr>
              <w:t>d.o.o.</w:t>
            </w:r>
            <w:r w:rsidR="00087FF9" w:rsidRPr="00F71DC0">
              <w:rPr>
                <w:b/>
              </w:rPr>
              <w:t>, radi financiranja obnove željezničke infrastrukture</w:t>
            </w:r>
          </w:p>
          <w:p w14:paraId="022795F3" w14:textId="77777777" w:rsidR="00AC69C5" w:rsidRPr="00C642F1" w:rsidRDefault="00AC69C5" w:rsidP="00AC69C5">
            <w:pPr>
              <w:jc w:val="both"/>
              <w:rPr>
                <w:b/>
                <w:lang w:val="en-US"/>
              </w:rPr>
            </w:pPr>
          </w:p>
        </w:tc>
      </w:tr>
    </w:tbl>
    <w:p w14:paraId="022795F5" w14:textId="77777777" w:rsidR="006B706B" w:rsidRDefault="006B706B" w:rsidP="006B706B"/>
    <w:p w14:paraId="022795F6" w14:textId="77777777" w:rsidR="006B706B" w:rsidRDefault="006B706B" w:rsidP="006B706B"/>
    <w:p w14:paraId="022795F7" w14:textId="77777777" w:rsidR="006B706B" w:rsidRDefault="006B706B" w:rsidP="006B706B"/>
    <w:p w14:paraId="022795F8" w14:textId="77777777" w:rsidR="006B706B" w:rsidRDefault="006B706B" w:rsidP="006B706B"/>
    <w:p w14:paraId="022795F9" w14:textId="77777777" w:rsidR="006B706B" w:rsidRDefault="006B706B" w:rsidP="006B706B"/>
    <w:p w14:paraId="022795FA" w14:textId="41D9D7E1" w:rsidR="006B706B" w:rsidRDefault="006B706B" w:rsidP="006B706B"/>
    <w:p w14:paraId="5D3BA3A9" w14:textId="6CADF25C" w:rsidR="001F7FBD" w:rsidRDefault="001F7FBD" w:rsidP="006B706B"/>
    <w:p w14:paraId="6837A2B0" w14:textId="0C618323" w:rsidR="001F7FBD" w:rsidRDefault="001F7FBD" w:rsidP="006B706B"/>
    <w:p w14:paraId="13F086CC" w14:textId="1B50965D" w:rsidR="001F7FBD" w:rsidRDefault="001F7FBD" w:rsidP="006B706B"/>
    <w:p w14:paraId="7DA53916" w14:textId="013A1BE6" w:rsidR="001F7FBD" w:rsidRDefault="001F7FBD" w:rsidP="006B706B"/>
    <w:p w14:paraId="2D4CF4F0" w14:textId="732F3EBB" w:rsidR="001F7FBD" w:rsidRDefault="001F7FBD" w:rsidP="006B706B"/>
    <w:p w14:paraId="7686840A" w14:textId="086E12E7" w:rsidR="001F7FBD" w:rsidRDefault="001F7FBD" w:rsidP="006B706B"/>
    <w:p w14:paraId="01D7E4EA" w14:textId="04226B10" w:rsidR="001F7FBD" w:rsidRDefault="001F7FBD" w:rsidP="006B706B"/>
    <w:p w14:paraId="377206FA" w14:textId="5ECC632C" w:rsidR="001F7FBD" w:rsidRDefault="001F7FBD" w:rsidP="006B706B"/>
    <w:p w14:paraId="7BCE7A56" w14:textId="77777777" w:rsidR="001F7FBD" w:rsidRPr="001F7FBD" w:rsidRDefault="001F7FBD" w:rsidP="001F7FBD">
      <w:pPr>
        <w:pBdr>
          <w:top w:val="single" w:sz="4" w:space="1" w:color="404040"/>
        </w:pBdr>
        <w:tabs>
          <w:tab w:val="center" w:pos="4680"/>
          <w:tab w:val="right" w:pos="9360"/>
        </w:tabs>
        <w:suppressAutoHyphens/>
        <w:autoSpaceDN w:val="0"/>
        <w:jc w:val="center"/>
        <w:rPr>
          <w:color w:val="404040"/>
          <w:spacing w:val="20"/>
          <w:sz w:val="20"/>
          <w:szCs w:val="20"/>
        </w:rPr>
      </w:pPr>
      <w:r w:rsidRPr="001F7FBD">
        <w:rPr>
          <w:color w:val="404040"/>
          <w:spacing w:val="20"/>
          <w:sz w:val="20"/>
          <w:szCs w:val="20"/>
        </w:rPr>
        <w:t>Banski dvori | Trg Sv. Marka 2 | 10000 Zagreb | tel. 01 4569 222 | vlada.gov.hr</w:t>
      </w:r>
    </w:p>
    <w:p w14:paraId="022795FB" w14:textId="77777777" w:rsidR="006B706B" w:rsidRDefault="006B706B" w:rsidP="006B706B">
      <w:bookmarkStart w:id="0" w:name="_GoBack"/>
      <w:bookmarkEnd w:id="0"/>
    </w:p>
    <w:p w14:paraId="022795FC" w14:textId="77777777" w:rsidR="00D50712" w:rsidRPr="00AC10DB" w:rsidRDefault="00D50712" w:rsidP="00AC69C5">
      <w:pPr>
        <w:pStyle w:val="BodyText"/>
        <w:ind w:left="360"/>
        <w:jc w:val="right"/>
        <w:rPr>
          <w:rFonts w:eastAsia="Calibri"/>
          <w:color w:val="000000"/>
        </w:rPr>
      </w:pPr>
      <w:r>
        <w:br w:type="page"/>
      </w:r>
    </w:p>
    <w:p w14:paraId="022795FD" w14:textId="77777777" w:rsidR="00D50712" w:rsidRPr="00EB4524" w:rsidRDefault="00D50712" w:rsidP="00D50712">
      <w:pPr>
        <w:pStyle w:val="BodyText"/>
        <w:ind w:left="360"/>
        <w:jc w:val="right"/>
        <w:rPr>
          <w:bCs/>
          <w:i/>
        </w:rPr>
      </w:pPr>
      <w:r w:rsidRPr="00EB4524">
        <w:rPr>
          <w:bCs/>
          <w:i/>
        </w:rPr>
        <w:lastRenderedPageBreak/>
        <w:t>P r i j e d l o g</w:t>
      </w:r>
    </w:p>
    <w:p w14:paraId="022795FE" w14:textId="0CB8B685" w:rsidR="00D50712" w:rsidRPr="00EB4524" w:rsidRDefault="00D50712" w:rsidP="00D50712">
      <w:pPr>
        <w:pStyle w:val="BodyText"/>
        <w:ind w:right="72"/>
        <w:rPr>
          <w:b/>
          <w:bCs/>
        </w:rPr>
      </w:pPr>
    </w:p>
    <w:p w14:paraId="022795FF" w14:textId="77777777" w:rsidR="00D50712" w:rsidRPr="00EB4524" w:rsidRDefault="00D50712" w:rsidP="00D50712">
      <w:pPr>
        <w:pStyle w:val="BodyText"/>
        <w:ind w:right="72"/>
        <w:rPr>
          <w:bCs/>
        </w:rPr>
      </w:pPr>
    </w:p>
    <w:p w14:paraId="02279600" w14:textId="77777777" w:rsidR="00D50712" w:rsidRPr="00EB4524" w:rsidRDefault="00D50712" w:rsidP="00D50712">
      <w:pPr>
        <w:pStyle w:val="BodyText"/>
        <w:ind w:right="72" w:firstLine="708"/>
        <w:rPr>
          <w:bCs/>
        </w:rPr>
      </w:pPr>
      <w:r w:rsidRPr="00EB4524">
        <w:rPr>
          <w:bCs/>
        </w:rPr>
        <w:t>Na temelju članka 80. stavka 1.</w:t>
      </w:r>
      <w:r w:rsidRPr="00EB4524">
        <w:rPr>
          <w:b/>
        </w:rPr>
        <w:t xml:space="preserve"> </w:t>
      </w:r>
      <w:r w:rsidRPr="00EB4524">
        <w:rPr>
          <w:bCs/>
        </w:rPr>
        <w:t>Zakona o proračunu (Narodne novine, br. 87/08, 136/12 i 15/15) i članka 41. Zakona o izvršavanju Državnog proračuna Republike Hrvatske za 2020. godinu (Narodne novine, br. 117/19</w:t>
      </w:r>
      <w:r w:rsidR="00364BC3">
        <w:rPr>
          <w:bCs/>
          <w:lang w:val="hr-HR"/>
        </w:rPr>
        <w:t xml:space="preserve">, </w:t>
      </w:r>
      <w:r w:rsidR="00364BC3" w:rsidRPr="00004FCA">
        <w:rPr>
          <w:bCs/>
          <w:color w:val="000000" w:themeColor="text1"/>
          <w:lang w:val="hr-HR"/>
        </w:rPr>
        <w:t>32/20</w:t>
      </w:r>
      <w:r w:rsidR="0027718A">
        <w:rPr>
          <w:bCs/>
          <w:color w:val="000000" w:themeColor="text1"/>
          <w:lang w:val="hr-HR"/>
        </w:rPr>
        <w:t xml:space="preserve"> </w:t>
      </w:r>
      <w:r w:rsidR="0027718A" w:rsidRPr="00CE246B">
        <w:rPr>
          <w:bCs/>
          <w:lang w:val="hr-HR"/>
        </w:rPr>
        <w:t>i 42/20</w:t>
      </w:r>
      <w:r w:rsidRPr="00004FCA">
        <w:rPr>
          <w:bCs/>
          <w:color w:val="000000" w:themeColor="text1"/>
        </w:rPr>
        <w:t xml:space="preserve">) </w:t>
      </w:r>
      <w:r w:rsidRPr="00EB4524">
        <w:rPr>
          <w:bCs/>
        </w:rPr>
        <w:t>Vlada Republike Hrvatske je na sjednici održanoj ___________ 2020. godine donijela</w:t>
      </w:r>
    </w:p>
    <w:p w14:paraId="02279601" w14:textId="77777777" w:rsidR="00D50712" w:rsidRPr="00EB4524" w:rsidRDefault="00D50712" w:rsidP="00D50712">
      <w:pPr>
        <w:pStyle w:val="BodyText"/>
        <w:rPr>
          <w:bCs/>
        </w:rPr>
      </w:pPr>
    </w:p>
    <w:p w14:paraId="02279602" w14:textId="77777777" w:rsidR="00D50712" w:rsidRPr="00EB4524" w:rsidRDefault="00D50712" w:rsidP="00D50712">
      <w:pPr>
        <w:pStyle w:val="BodyText"/>
        <w:ind w:left="360"/>
        <w:jc w:val="center"/>
        <w:rPr>
          <w:b/>
        </w:rPr>
      </w:pPr>
      <w:r w:rsidRPr="00EB4524">
        <w:rPr>
          <w:b/>
        </w:rPr>
        <w:t>ODLUKU</w:t>
      </w:r>
    </w:p>
    <w:p w14:paraId="02279603" w14:textId="77777777" w:rsidR="00D50712" w:rsidRPr="00EB4524" w:rsidRDefault="00D50712" w:rsidP="00D50712">
      <w:pPr>
        <w:pStyle w:val="BodyText"/>
        <w:ind w:left="360"/>
        <w:jc w:val="center"/>
        <w:rPr>
          <w:b/>
        </w:rPr>
      </w:pPr>
    </w:p>
    <w:p w14:paraId="02279604" w14:textId="77777777" w:rsidR="00087FF9" w:rsidRDefault="00D50712" w:rsidP="00087FF9">
      <w:pPr>
        <w:pStyle w:val="BodyText"/>
        <w:jc w:val="center"/>
        <w:rPr>
          <w:b/>
          <w:lang w:val="hr-HR"/>
        </w:rPr>
      </w:pPr>
      <w:r w:rsidRPr="00EB4524">
        <w:rPr>
          <w:b/>
        </w:rPr>
        <w:t>o davanju državnog jamstva u korist Hrvatske banke za obnovu i razvitak</w:t>
      </w:r>
      <w:r w:rsidR="00953264">
        <w:rPr>
          <w:b/>
          <w:lang w:val="hr-HR"/>
        </w:rPr>
        <w:t>,</w:t>
      </w:r>
      <w:r w:rsidRPr="00EB4524">
        <w:rPr>
          <w:b/>
        </w:rPr>
        <w:t xml:space="preserve"> za kreditno zaduženje društva </w:t>
      </w:r>
      <w:r w:rsidR="00087FF9" w:rsidRPr="00FE3A0C">
        <w:rPr>
          <w:b/>
          <w:lang w:val="hr-HR"/>
        </w:rPr>
        <w:t>HŽ Infrastruktura d.o.o.</w:t>
      </w:r>
      <w:r w:rsidRPr="00EB4524">
        <w:rPr>
          <w:b/>
        </w:rPr>
        <w:t>, rad</w:t>
      </w:r>
      <w:r>
        <w:rPr>
          <w:b/>
        </w:rPr>
        <w:t xml:space="preserve">i financiranja </w:t>
      </w:r>
      <w:r w:rsidR="00087FF9" w:rsidRPr="00FE3A0C">
        <w:rPr>
          <w:b/>
          <w:lang w:val="hr-HR"/>
        </w:rPr>
        <w:t>obnove željezničke infrastrukture</w:t>
      </w:r>
    </w:p>
    <w:p w14:paraId="02279605" w14:textId="77777777" w:rsidR="00D11EF4" w:rsidRPr="00FE3A0C" w:rsidRDefault="00D11EF4" w:rsidP="00087FF9">
      <w:pPr>
        <w:pStyle w:val="BodyText"/>
        <w:jc w:val="center"/>
        <w:rPr>
          <w:b/>
          <w:lang w:val="hr-HR"/>
        </w:rPr>
      </w:pPr>
    </w:p>
    <w:p w14:paraId="02279606" w14:textId="77777777" w:rsidR="00D50712" w:rsidRPr="00EB4524" w:rsidRDefault="00D50712" w:rsidP="00D50712">
      <w:pPr>
        <w:pStyle w:val="BodyText"/>
        <w:ind w:left="360"/>
        <w:jc w:val="center"/>
        <w:rPr>
          <w:b/>
        </w:rPr>
      </w:pPr>
      <w:r w:rsidRPr="00EB4524">
        <w:rPr>
          <w:b/>
        </w:rPr>
        <w:t>I.</w:t>
      </w:r>
    </w:p>
    <w:p w14:paraId="02279607" w14:textId="77777777" w:rsidR="00D50712" w:rsidRPr="00EB4524" w:rsidRDefault="00D50712" w:rsidP="00D50712">
      <w:pPr>
        <w:pStyle w:val="BodyText"/>
        <w:ind w:left="360"/>
        <w:jc w:val="center"/>
        <w:rPr>
          <w:b/>
        </w:rPr>
      </w:pPr>
    </w:p>
    <w:p w14:paraId="02279608" w14:textId="77777777" w:rsidR="00D50712" w:rsidRDefault="00D50712" w:rsidP="00087FF9">
      <w:pPr>
        <w:pStyle w:val="BodyText"/>
        <w:ind w:firstLine="360"/>
      </w:pPr>
      <w:r w:rsidRPr="00EB4524">
        <w:rPr>
          <w:bCs/>
        </w:rPr>
        <w:t xml:space="preserve">Ovlašćuje se Ministarstvo financija da, u ime Vlade Republike Hrvatske izda, a ministar financija potpiše ispravu o davanju državnog jamstva u korist </w:t>
      </w:r>
      <w:r w:rsidRPr="0050141F">
        <w:rPr>
          <w:bCs/>
        </w:rPr>
        <w:t>Hrvatsk</w:t>
      </w:r>
      <w:r w:rsidR="00120386" w:rsidRPr="0050141F">
        <w:rPr>
          <w:bCs/>
          <w:lang w:val="hr-HR"/>
        </w:rPr>
        <w:t>e</w:t>
      </w:r>
      <w:r w:rsidRPr="0050141F">
        <w:rPr>
          <w:bCs/>
        </w:rPr>
        <w:t xml:space="preserve"> bank</w:t>
      </w:r>
      <w:r w:rsidR="00120386" w:rsidRPr="0050141F">
        <w:rPr>
          <w:bCs/>
          <w:lang w:val="hr-HR"/>
        </w:rPr>
        <w:t>e</w:t>
      </w:r>
      <w:r w:rsidRPr="0050141F">
        <w:rPr>
          <w:bCs/>
        </w:rPr>
        <w:t xml:space="preserve"> </w:t>
      </w:r>
      <w:r w:rsidRPr="00EB4524">
        <w:rPr>
          <w:bCs/>
        </w:rPr>
        <w:t>za obnovu i razvitak (dalje u tekstu: HBOR)</w:t>
      </w:r>
      <w:r w:rsidRPr="00EB4524">
        <w:t xml:space="preserve">, </w:t>
      </w:r>
      <w:r w:rsidRPr="00EB4524">
        <w:rPr>
          <w:bCs/>
        </w:rPr>
        <w:t xml:space="preserve">za kreditno zaduženje društva </w:t>
      </w:r>
      <w:r w:rsidR="00087FF9" w:rsidRPr="00087FF9">
        <w:rPr>
          <w:bCs/>
        </w:rPr>
        <w:t>HŽ Infrastruktura d.o.o.</w:t>
      </w:r>
      <w:r w:rsidRPr="00EB4524">
        <w:rPr>
          <w:bCs/>
        </w:rPr>
        <w:t xml:space="preserve">, u iznosu od </w:t>
      </w:r>
      <w:r w:rsidR="00087FF9">
        <w:t>300</w:t>
      </w:r>
      <w:r w:rsidR="00087FF9" w:rsidRPr="00A13CF6">
        <w:t xml:space="preserve">.000.000,00 </w:t>
      </w:r>
      <w:r w:rsidR="00087FF9">
        <w:t>kuna</w:t>
      </w:r>
      <w:r w:rsidR="00753BBB">
        <w:rPr>
          <w:bCs/>
        </w:rPr>
        <w:t xml:space="preserve"> radi</w:t>
      </w:r>
      <w:r w:rsidRPr="00EB4524">
        <w:rPr>
          <w:bCs/>
        </w:rPr>
        <w:t xml:space="preserve"> </w:t>
      </w:r>
      <w:r w:rsidRPr="00EB4524">
        <w:t xml:space="preserve">financiranje </w:t>
      </w:r>
      <w:r w:rsidR="00087FF9" w:rsidRPr="00087FF9">
        <w:t>ob</w:t>
      </w:r>
      <w:r w:rsidR="003555EC">
        <w:t>nove željezničke infrastrukture.</w:t>
      </w:r>
    </w:p>
    <w:p w14:paraId="02279609" w14:textId="77777777" w:rsidR="003555EC" w:rsidRPr="00EB4524" w:rsidRDefault="003555EC" w:rsidP="00741A9F">
      <w:pPr>
        <w:pStyle w:val="BodyText"/>
        <w:spacing w:after="240"/>
        <w:ind w:firstLine="357"/>
      </w:pPr>
    </w:p>
    <w:p w14:paraId="0227960A" w14:textId="77777777" w:rsidR="00D50712" w:rsidRPr="00EB4524" w:rsidRDefault="00D50712" w:rsidP="00D50712">
      <w:pPr>
        <w:pStyle w:val="BodyText"/>
        <w:ind w:left="360"/>
        <w:jc w:val="center"/>
        <w:rPr>
          <w:b/>
        </w:rPr>
      </w:pPr>
      <w:r w:rsidRPr="00EB4524">
        <w:rPr>
          <w:b/>
        </w:rPr>
        <w:t>II.</w:t>
      </w:r>
    </w:p>
    <w:p w14:paraId="0227960B" w14:textId="77777777" w:rsidR="00D50712" w:rsidRPr="00EB4524" w:rsidRDefault="00D50712" w:rsidP="00D50712">
      <w:pPr>
        <w:pStyle w:val="BodyText"/>
        <w:ind w:left="360"/>
        <w:jc w:val="center"/>
        <w:rPr>
          <w:b/>
        </w:rPr>
      </w:pPr>
    </w:p>
    <w:p w14:paraId="0227960C" w14:textId="77777777" w:rsidR="00D50712" w:rsidRPr="00EB4524" w:rsidRDefault="00D50712" w:rsidP="00D50712">
      <w:pPr>
        <w:pStyle w:val="BodyText"/>
        <w:ind w:left="360"/>
        <w:jc w:val="left"/>
        <w:rPr>
          <w:bCs/>
        </w:rPr>
      </w:pPr>
      <w:r w:rsidRPr="00EB4524">
        <w:rPr>
          <w:bCs/>
        </w:rPr>
        <w:t>Jamstvo iz točke I. ove Odluke daje se pod slijedećim uvjetima:</w:t>
      </w:r>
    </w:p>
    <w:p w14:paraId="0227960D" w14:textId="77777777" w:rsidR="00D50712" w:rsidRPr="00EB4524" w:rsidRDefault="00D50712" w:rsidP="00D50712">
      <w:pPr>
        <w:pStyle w:val="BodyText"/>
        <w:ind w:left="360"/>
        <w:jc w:val="left"/>
        <w:rPr>
          <w:bCs/>
        </w:rPr>
      </w:pPr>
    </w:p>
    <w:tbl>
      <w:tblPr>
        <w:tblW w:w="0" w:type="auto"/>
        <w:tblCellMar>
          <w:left w:w="0" w:type="dxa"/>
          <w:right w:w="0" w:type="dxa"/>
        </w:tblCellMar>
        <w:tblLook w:val="04A0" w:firstRow="1" w:lastRow="0" w:firstColumn="1" w:lastColumn="0" w:noHBand="0" w:noVBand="1"/>
      </w:tblPr>
      <w:tblGrid>
        <w:gridCol w:w="3593"/>
        <w:gridCol w:w="5477"/>
      </w:tblGrid>
      <w:tr w:rsidR="00257715" w:rsidRPr="00A13CF6" w14:paraId="02279610" w14:textId="77777777" w:rsidTr="0050141F">
        <w:trPr>
          <w:trHeight w:val="680"/>
        </w:trPr>
        <w:tc>
          <w:tcPr>
            <w:tcW w:w="3593" w:type="dxa"/>
            <w:tcMar>
              <w:top w:w="0" w:type="dxa"/>
              <w:left w:w="108" w:type="dxa"/>
              <w:bottom w:w="0" w:type="dxa"/>
              <w:right w:w="108" w:type="dxa"/>
            </w:tcMar>
          </w:tcPr>
          <w:p w14:paraId="0227960E" w14:textId="77777777" w:rsidR="00257715" w:rsidRPr="00A13CF6" w:rsidRDefault="00257715" w:rsidP="005A48C7">
            <w:pPr>
              <w:numPr>
                <w:ilvl w:val="0"/>
                <w:numId w:val="1"/>
              </w:numPr>
              <w:spacing w:after="120"/>
            </w:pPr>
            <w:r w:rsidRPr="00A13CF6">
              <w:t>banka:</w:t>
            </w:r>
          </w:p>
        </w:tc>
        <w:tc>
          <w:tcPr>
            <w:tcW w:w="5477" w:type="dxa"/>
            <w:tcMar>
              <w:top w:w="0" w:type="dxa"/>
              <w:left w:w="108" w:type="dxa"/>
              <w:bottom w:w="0" w:type="dxa"/>
              <w:right w:w="108" w:type="dxa"/>
            </w:tcMar>
          </w:tcPr>
          <w:p w14:paraId="0227960F" w14:textId="77777777" w:rsidR="00257715" w:rsidRPr="00A13CF6" w:rsidRDefault="00257715" w:rsidP="005A48C7">
            <w:pPr>
              <w:spacing w:after="120"/>
              <w:jc w:val="both"/>
            </w:pPr>
            <w:r w:rsidRPr="00A13CF6">
              <w:t>Hrvatska banka za obnovu i razvitak</w:t>
            </w:r>
            <w:r>
              <w:t xml:space="preserve"> (HBOR)</w:t>
            </w:r>
          </w:p>
        </w:tc>
      </w:tr>
      <w:tr w:rsidR="00257715" w:rsidRPr="00A13CF6" w14:paraId="02279613" w14:textId="77777777" w:rsidTr="0050141F">
        <w:trPr>
          <w:trHeight w:val="680"/>
        </w:trPr>
        <w:tc>
          <w:tcPr>
            <w:tcW w:w="3593" w:type="dxa"/>
            <w:tcMar>
              <w:top w:w="0" w:type="dxa"/>
              <w:left w:w="108" w:type="dxa"/>
              <w:bottom w:w="0" w:type="dxa"/>
              <w:right w:w="108" w:type="dxa"/>
            </w:tcMar>
          </w:tcPr>
          <w:p w14:paraId="02279611" w14:textId="77777777" w:rsidR="00257715" w:rsidRPr="00A13CF6" w:rsidRDefault="00257715" w:rsidP="005A48C7">
            <w:pPr>
              <w:numPr>
                <w:ilvl w:val="0"/>
                <w:numId w:val="1"/>
              </w:numPr>
              <w:spacing w:after="120"/>
            </w:pPr>
            <w:r w:rsidRPr="00A13CF6">
              <w:t>korisnik kredita:</w:t>
            </w:r>
          </w:p>
        </w:tc>
        <w:tc>
          <w:tcPr>
            <w:tcW w:w="5477" w:type="dxa"/>
            <w:tcMar>
              <w:top w:w="0" w:type="dxa"/>
              <w:left w:w="108" w:type="dxa"/>
              <w:bottom w:w="0" w:type="dxa"/>
              <w:right w:w="108" w:type="dxa"/>
            </w:tcMar>
          </w:tcPr>
          <w:p w14:paraId="02279612" w14:textId="77777777" w:rsidR="00257715" w:rsidRPr="00A13CF6" w:rsidRDefault="00257715" w:rsidP="005A48C7">
            <w:pPr>
              <w:spacing w:after="120"/>
              <w:jc w:val="both"/>
            </w:pPr>
            <w:r w:rsidRPr="00786AFE">
              <w:t>HŽ Infrastruktura</w:t>
            </w:r>
            <w:r w:rsidRPr="00A13CF6">
              <w:t xml:space="preserve"> d.o.o.</w:t>
            </w:r>
          </w:p>
        </w:tc>
      </w:tr>
      <w:tr w:rsidR="00257715" w:rsidRPr="00A13CF6" w14:paraId="02279616" w14:textId="77777777" w:rsidTr="0050141F">
        <w:trPr>
          <w:trHeight w:val="680"/>
        </w:trPr>
        <w:tc>
          <w:tcPr>
            <w:tcW w:w="3593" w:type="dxa"/>
            <w:tcMar>
              <w:top w:w="0" w:type="dxa"/>
              <w:left w:w="108" w:type="dxa"/>
              <w:bottom w:w="0" w:type="dxa"/>
              <w:right w:w="108" w:type="dxa"/>
            </w:tcMar>
          </w:tcPr>
          <w:p w14:paraId="02279614" w14:textId="77777777" w:rsidR="00257715" w:rsidRPr="00A13CF6" w:rsidRDefault="00257715" w:rsidP="005A48C7">
            <w:pPr>
              <w:numPr>
                <w:ilvl w:val="0"/>
                <w:numId w:val="1"/>
              </w:numPr>
              <w:spacing w:after="120"/>
            </w:pPr>
            <w:r w:rsidRPr="00A13CF6">
              <w:t>iznos kredita:</w:t>
            </w:r>
          </w:p>
        </w:tc>
        <w:tc>
          <w:tcPr>
            <w:tcW w:w="5477" w:type="dxa"/>
            <w:tcMar>
              <w:top w:w="0" w:type="dxa"/>
              <w:left w:w="108" w:type="dxa"/>
              <w:bottom w:w="0" w:type="dxa"/>
              <w:right w:w="108" w:type="dxa"/>
            </w:tcMar>
          </w:tcPr>
          <w:p w14:paraId="02279615" w14:textId="77777777" w:rsidR="00257715" w:rsidRPr="00A13CF6" w:rsidRDefault="00257715" w:rsidP="005A48C7">
            <w:pPr>
              <w:spacing w:after="120"/>
              <w:jc w:val="both"/>
            </w:pPr>
            <w:r>
              <w:t>300</w:t>
            </w:r>
            <w:r w:rsidRPr="00A13CF6">
              <w:t xml:space="preserve">.000.000,00 </w:t>
            </w:r>
            <w:r>
              <w:t>kuna</w:t>
            </w:r>
          </w:p>
        </w:tc>
      </w:tr>
      <w:tr w:rsidR="00257715" w:rsidRPr="00A13CF6" w14:paraId="02279619" w14:textId="77777777" w:rsidTr="0050141F">
        <w:trPr>
          <w:trHeight w:val="680"/>
        </w:trPr>
        <w:tc>
          <w:tcPr>
            <w:tcW w:w="3593" w:type="dxa"/>
            <w:tcMar>
              <w:top w:w="0" w:type="dxa"/>
              <w:left w:w="108" w:type="dxa"/>
              <w:bottom w:w="0" w:type="dxa"/>
              <w:right w:w="108" w:type="dxa"/>
            </w:tcMar>
          </w:tcPr>
          <w:p w14:paraId="02279617" w14:textId="77777777" w:rsidR="00257715" w:rsidRPr="00A13CF6" w:rsidRDefault="00257715" w:rsidP="005A48C7">
            <w:pPr>
              <w:numPr>
                <w:ilvl w:val="0"/>
                <w:numId w:val="1"/>
              </w:numPr>
              <w:spacing w:after="120"/>
            </w:pPr>
            <w:r>
              <w:t>iznos jamstva:</w:t>
            </w:r>
          </w:p>
        </w:tc>
        <w:tc>
          <w:tcPr>
            <w:tcW w:w="5477" w:type="dxa"/>
            <w:tcMar>
              <w:top w:w="0" w:type="dxa"/>
              <w:left w:w="108" w:type="dxa"/>
              <w:bottom w:w="0" w:type="dxa"/>
              <w:right w:w="108" w:type="dxa"/>
            </w:tcMar>
          </w:tcPr>
          <w:p w14:paraId="02279618" w14:textId="77777777" w:rsidR="00257715" w:rsidRPr="00257715" w:rsidRDefault="00257715" w:rsidP="00257715">
            <w:pPr>
              <w:spacing w:after="120"/>
              <w:jc w:val="both"/>
            </w:pPr>
            <w:r w:rsidRPr="00257715">
              <w:t>300.000.000,00 kuna, uvećano za kamate, naknade i troškove kako će biti utvrđeno Ugovorom o kreditu.</w:t>
            </w:r>
          </w:p>
        </w:tc>
      </w:tr>
      <w:tr w:rsidR="00257715" w:rsidRPr="00A13CF6" w14:paraId="0227961C" w14:textId="77777777" w:rsidTr="0050141F">
        <w:trPr>
          <w:trHeight w:val="680"/>
        </w:trPr>
        <w:tc>
          <w:tcPr>
            <w:tcW w:w="3593" w:type="dxa"/>
            <w:tcMar>
              <w:top w:w="0" w:type="dxa"/>
              <w:left w:w="108" w:type="dxa"/>
              <w:bottom w:w="0" w:type="dxa"/>
              <w:right w:w="108" w:type="dxa"/>
            </w:tcMar>
          </w:tcPr>
          <w:p w14:paraId="0227961A" w14:textId="77777777" w:rsidR="00257715" w:rsidRPr="00A13CF6" w:rsidRDefault="00257715" w:rsidP="005A48C7">
            <w:pPr>
              <w:numPr>
                <w:ilvl w:val="0"/>
                <w:numId w:val="1"/>
              </w:numPr>
              <w:spacing w:after="120"/>
            </w:pPr>
            <w:r w:rsidRPr="00A13CF6">
              <w:t>namjena kredita:</w:t>
            </w:r>
          </w:p>
        </w:tc>
        <w:tc>
          <w:tcPr>
            <w:tcW w:w="5477" w:type="dxa"/>
            <w:tcMar>
              <w:top w:w="0" w:type="dxa"/>
              <w:left w:w="108" w:type="dxa"/>
              <w:bottom w:w="0" w:type="dxa"/>
              <w:right w:w="108" w:type="dxa"/>
            </w:tcMar>
          </w:tcPr>
          <w:p w14:paraId="0227961B" w14:textId="77777777" w:rsidR="00257715" w:rsidRPr="003C403B" w:rsidRDefault="00257715" w:rsidP="003A7560">
            <w:r w:rsidRPr="00257715">
              <w:t>financiranje obnove željezničke infrastrukture</w:t>
            </w:r>
          </w:p>
        </w:tc>
      </w:tr>
      <w:tr w:rsidR="00257715" w:rsidRPr="00A13CF6" w14:paraId="0227961F" w14:textId="77777777" w:rsidTr="0050141F">
        <w:trPr>
          <w:trHeight w:val="680"/>
        </w:trPr>
        <w:tc>
          <w:tcPr>
            <w:tcW w:w="3593" w:type="dxa"/>
            <w:tcMar>
              <w:top w:w="0" w:type="dxa"/>
              <w:left w:w="108" w:type="dxa"/>
              <w:bottom w:w="0" w:type="dxa"/>
              <w:right w:w="108" w:type="dxa"/>
            </w:tcMar>
          </w:tcPr>
          <w:p w14:paraId="0227961D" w14:textId="77777777" w:rsidR="00257715" w:rsidRPr="00A13CF6" w:rsidRDefault="00257715" w:rsidP="005A48C7">
            <w:pPr>
              <w:numPr>
                <w:ilvl w:val="0"/>
                <w:numId w:val="1"/>
              </w:numPr>
              <w:spacing w:after="120"/>
            </w:pPr>
            <w:r w:rsidRPr="00A13CF6">
              <w:t xml:space="preserve">rok </w:t>
            </w:r>
            <w:r>
              <w:t>korištenja</w:t>
            </w:r>
            <w:r w:rsidRPr="00A13CF6">
              <w:t>:</w:t>
            </w:r>
          </w:p>
        </w:tc>
        <w:tc>
          <w:tcPr>
            <w:tcW w:w="5477" w:type="dxa"/>
            <w:tcMar>
              <w:top w:w="0" w:type="dxa"/>
              <w:left w:w="108" w:type="dxa"/>
              <w:bottom w:w="0" w:type="dxa"/>
              <w:right w:w="108" w:type="dxa"/>
            </w:tcMar>
          </w:tcPr>
          <w:p w14:paraId="0227961E" w14:textId="77777777" w:rsidR="00257715" w:rsidRPr="00A13CF6" w:rsidRDefault="00257715" w:rsidP="003A7560">
            <w:pPr>
              <w:spacing w:before="100" w:beforeAutospacing="1" w:after="120"/>
              <w:jc w:val="both"/>
            </w:pPr>
            <w:r w:rsidRPr="00257715">
              <w:t>12 mjeseci od dana potpisa ugovora, koji je ujedno i datum prijenosa kredita u otplatu</w:t>
            </w:r>
          </w:p>
        </w:tc>
      </w:tr>
      <w:tr w:rsidR="00257715" w:rsidRPr="00A13CF6" w14:paraId="02279622" w14:textId="77777777" w:rsidTr="0050141F">
        <w:trPr>
          <w:trHeight w:val="680"/>
        </w:trPr>
        <w:tc>
          <w:tcPr>
            <w:tcW w:w="3593" w:type="dxa"/>
            <w:tcMar>
              <w:top w:w="0" w:type="dxa"/>
              <w:left w:w="108" w:type="dxa"/>
              <w:bottom w:w="0" w:type="dxa"/>
              <w:right w:w="108" w:type="dxa"/>
            </w:tcMar>
          </w:tcPr>
          <w:p w14:paraId="02279620" w14:textId="77777777" w:rsidR="00257715" w:rsidRPr="00A13CF6" w:rsidRDefault="00257715" w:rsidP="005A48C7">
            <w:pPr>
              <w:numPr>
                <w:ilvl w:val="0"/>
                <w:numId w:val="1"/>
              </w:numPr>
              <w:spacing w:after="120"/>
            </w:pPr>
            <w:r>
              <w:t xml:space="preserve">način </w:t>
            </w:r>
            <w:r w:rsidRPr="00A13CF6">
              <w:t>korištenje kredita:</w:t>
            </w:r>
          </w:p>
        </w:tc>
        <w:tc>
          <w:tcPr>
            <w:tcW w:w="5477" w:type="dxa"/>
            <w:tcMar>
              <w:top w:w="0" w:type="dxa"/>
              <w:left w:w="108" w:type="dxa"/>
              <w:bottom w:w="0" w:type="dxa"/>
              <w:right w:w="108" w:type="dxa"/>
            </w:tcMar>
          </w:tcPr>
          <w:p w14:paraId="02279621" w14:textId="77777777" w:rsidR="00257715" w:rsidRPr="00257715" w:rsidRDefault="00257715" w:rsidP="00257715">
            <w:pPr>
              <w:spacing w:after="120"/>
              <w:jc w:val="both"/>
            </w:pPr>
            <w:r w:rsidRPr="00257715">
              <w:t>sukcesivno, broj korištenja kredita ograničava se na 20 (dvadeset) pojedinačnih korištenja</w:t>
            </w:r>
          </w:p>
        </w:tc>
      </w:tr>
      <w:tr w:rsidR="00257715" w:rsidRPr="00A13CF6" w14:paraId="02279625" w14:textId="77777777" w:rsidTr="0050141F">
        <w:trPr>
          <w:trHeight w:val="680"/>
        </w:trPr>
        <w:tc>
          <w:tcPr>
            <w:tcW w:w="3593" w:type="dxa"/>
            <w:tcMar>
              <w:top w:w="0" w:type="dxa"/>
              <w:left w:w="108" w:type="dxa"/>
              <w:bottom w:w="0" w:type="dxa"/>
              <w:right w:w="108" w:type="dxa"/>
            </w:tcMar>
          </w:tcPr>
          <w:p w14:paraId="02279623" w14:textId="77777777" w:rsidR="00257715" w:rsidRPr="00A13CF6" w:rsidRDefault="00257715" w:rsidP="005A48C7">
            <w:pPr>
              <w:numPr>
                <w:ilvl w:val="0"/>
                <w:numId w:val="1"/>
              </w:numPr>
              <w:spacing w:after="120"/>
            </w:pPr>
            <w:r w:rsidRPr="00A13CF6">
              <w:t>poček:</w:t>
            </w:r>
          </w:p>
        </w:tc>
        <w:tc>
          <w:tcPr>
            <w:tcW w:w="5477" w:type="dxa"/>
            <w:tcMar>
              <w:top w:w="0" w:type="dxa"/>
              <w:left w:w="108" w:type="dxa"/>
              <w:bottom w:w="0" w:type="dxa"/>
              <w:right w:w="108" w:type="dxa"/>
            </w:tcMar>
          </w:tcPr>
          <w:p w14:paraId="02279624" w14:textId="77777777" w:rsidR="00257715" w:rsidRPr="00257715" w:rsidRDefault="00257715" w:rsidP="005A48C7">
            <w:pPr>
              <w:spacing w:after="120"/>
              <w:jc w:val="both"/>
            </w:pPr>
            <w:r w:rsidRPr="00257715">
              <w:t>3 godine uključujući i rok korištenja kredita</w:t>
            </w:r>
          </w:p>
        </w:tc>
      </w:tr>
      <w:tr w:rsidR="00257715" w:rsidRPr="00A13CF6" w14:paraId="02279628" w14:textId="77777777" w:rsidTr="0050141F">
        <w:trPr>
          <w:trHeight w:val="680"/>
        </w:trPr>
        <w:tc>
          <w:tcPr>
            <w:tcW w:w="3593" w:type="dxa"/>
            <w:tcMar>
              <w:top w:w="0" w:type="dxa"/>
              <w:left w:w="108" w:type="dxa"/>
              <w:bottom w:w="0" w:type="dxa"/>
              <w:right w:w="108" w:type="dxa"/>
            </w:tcMar>
          </w:tcPr>
          <w:p w14:paraId="02279626" w14:textId="77777777" w:rsidR="00257715" w:rsidRPr="00A13CF6" w:rsidRDefault="00257715" w:rsidP="005A48C7">
            <w:pPr>
              <w:numPr>
                <w:ilvl w:val="0"/>
                <w:numId w:val="1"/>
              </w:numPr>
              <w:spacing w:after="120"/>
            </w:pPr>
            <w:r>
              <w:t>otplata kredita:</w:t>
            </w:r>
          </w:p>
        </w:tc>
        <w:tc>
          <w:tcPr>
            <w:tcW w:w="5477" w:type="dxa"/>
            <w:tcMar>
              <w:top w:w="0" w:type="dxa"/>
              <w:left w:w="108" w:type="dxa"/>
              <w:bottom w:w="0" w:type="dxa"/>
              <w:right w:w="108" w:type="dxa"/>
            </w:tcMar>
          </w:tcPr>
          <w:p w14:paraId="02279627" w14:textId="77777777" w:rsidR="00257715" w:rsidRPr="00257715" w:rsidRDefault="00257715" w:rsidP="005A48C7">
            <w:pPr>
              <w:spacing w:after="120"/>
              <w:jc w:val="both"/>
            </w:pPr>
            <w:r w:rsidRPr="00257715">
              <w:t xml:space="preserve">u četrnaest (14) jednakih uzastopnih šestomjesečnih  rata </w:t>
            </w:r>
          </w:p>
        </w:tc>
      </w:tr>
      <w:tr w:rsidR="00257715" w:rsidRPr="00A13CF6" w14:paraId="0227962B" w14:textId="77777777" w:rsidTr="0050141F">
        <w:trPr>
          <w:trHeight w:val="680"/>
        </w:trPr>
        <w:tc>
          <w:tcPr>
            <w:tcW w:w="3593" w:type="dxa"/>
            <w:tcMar>
              <w:top w:w="0" w:type="dxa"/>
              <w:left w:w="108" w:type="dxa"/>
              <w:bottom w:w="0" w:type="dxa"/>
              <w:right w:w="108" w:type="dxa"/>
            </w:tcMar>
          </w:tcPr>
          <w:p w14:paraId="02279629" w14:textId="77777777" w:rsidR="00257715" w:rsidRPr="00A13CF6" w:rsidRDefault="00257715" w:rsidP="005A48C7">
            <w:pPr>
              <w:numPr>
                <w:ilvl w:val="0"/>
                <w:numId w:val="1"/>
              </w:numPr>
              <w:spacing w:after="120"/>
            </w:pPr>
            <w:r w:rsidRPr="001C3D3F">
              <w:t>dospijeće 1. anuiteta</w:t>
            </w:r>
            <w:r>
              <w:t>:</w:t>
            </w:r>
          </w:p>
        </w:tc>
        <w:tc>
          <w:tcPr>
            <w:tcW w:w="5477" w:type="dxa"/>
            <w:tcMar>
              <w:top w:w="0" w:type="dxa"/>
              <w:left w:w="108" w:type="dxa"/>
              <w:bottom w:w="0" w:type="dxa"/>
              <w:right w:w="108" w:type="dxa"/>
            </w:tcMar>
          </w:tcPr>
          <w:p w14:paraId="0227962A" w14:textId="77777777" w:rsidR="00257715" w:rsidRPr="00A13CF6" w:rsidRDefault="00257715" w:rsidP="005A48C7">
            <w:pPr>
              <w:spacing w:after="120"/>
              <w:jc w:val="both"/>
            </w:pPr>
            <w:r>
              <w:t xml:space="preserve">prva rata dospijeva na naplatu šest (6) mjeseci nakon isteka počeka </w:t>
            </w:r>
          </w:p>
        </w:tc>
      </w:tr>
      <w:tr w:rsidR="00257715" w:rsidRPr="00A13CF6" w14:paraId="0227962E" w14:textId="77777777" w:rsidTr="0050141F">
        <w:trPr>
          <w:trHeight w:val="680"/>
        </w:trPr>
        <w:tc>
          <w:tcPr>
            <w:tcW w:w="3593" w:type="dxa"/>
            <w:tcMar>
              <w:top w:w="0" w:type="dxa"/>
              <w:left w:w="108" w:type="dxa"/>
              <w:bottom w:w="0" w:type="dxa"/>
              <w:right w:w="108" w:type="dxa"/>
            </w:tcMar>
          </w:tcPr>
          <w:p w14:paraId="0227962C" w14:textId="77777777" w:rsidR="00257715" w:rsidRPr="00A13CF6" w:rsidRDefault="00257715" w:rsidP="005A48C7">
            <w:pPr>
              <w:numPr>
                <w:ilvl w:val="0"/>
                <w:numId w:val="1"/>
              </w:numPr>
              <w:spacing w:after="120"/>
            </w:pPr>
            <w:r w:rsidRPr="001C3D3F">
              <w:t>krajnje dospijeće</w:t>
            </w:r>
            <w:r>
              <w:t>:</w:t>
            </w:r>
          </w:p>
        </w:tc>
        <w:tc>
          <w:tcPr>
            <w:tcW w:w="5477" w:type="dxa"/>
            <w:tcMar>
              <w:top w:w="0" w:type="dxa"/>
              <w:left w:w="108" w:type="dxa"/>
              <w:bottom w:w="0" w:type="dxa"/>
              <w:right w:w="108" w:type="dxa"/>
            </w:tcMar>
          </w:tcPr>
          <w:p w14:paraId="0227962D" w14:textId="77777777" w:rsidR="00257715" w:rsidRPr="00A13CF6" w:rsidRDefault="00257715" w:rsidP="005A48C7">
            <w:pPr>
              <w:spacing w:after="120"/>
              <w:jc w:val="both"/>
            </w:pPr>
            <w:r>
              <w:t>10 godina uključujući poček i rok korištenja</w:t>
            </w:r>
          </w:p>
        </w:tc>
      </w:tr>
      <w:tr w:rsidR="00257715" w:rsidRPr="00A13CF6" w14:paraId="02279631" w14:textId="77777777" w:rsidTr="0050141F">
        <w:trPr>
          <w:trHeight w:val="680"/>
        </w:trPr>
        <w:tc>
          <w:tcPr>
            <w:tcW w:w="3593" w:type="dxa"/>
            <w:tcMar>
              <w:top w:w="0" w:type="dxa"/>
              <w:left w:w="108" w:type="dxa"/>
              <w:bottom w:w="0" w:type="dxa"/>
              <w:right w:w="108" w:type="dxa"/>
            </w:tcMar>
          </w:tcPr>
          <w:p w14:paraId="0227962F" w14:textId="77777777" w:rsidR="00257715" w:rsidRPr="00A13CF6" w:rsidRDefault="00257715" w:rsidP="005A48C7">
            <w:pPr>
              <w:numPr>
                <w:ilvl w:val="0"/>
                <w:numId w:val="1"/>
              </w:numPr>
              <w:spacing w:after="120"/>
            </w:pPr>
            <w:r>
              <w:lastRenderedPageBreak/>
              <w:t xml:space="preserve">redovna </w:t>
            </w:r>
            <w:r w:rsidRPr="00A13CF6">
              <w:t>kamatna stopa:</w:t>
            </w:r>
          </w:p>
        </w:tc>
        <w:tc>
          <w:tcPr>
            <w:tcW w:w="5477" w:type="dxa"/>
            <w:tcMar>
              <w:top w:w="0" w:type="dxa"/>
              <w:left w:w="108" w:type="dxa"/>
              <w:bottom w:w="0" w:type="dxa"/>
              <w:right w:w="108" w:type="dxa"/>
            </w:tcMar>
          </w:tcPr>
          <w:p w14:paraId="02279630" w14:textId="77777777" w:rsidR="00257715" w:rsidRPr="00A13CF6" w:rsidRDefault="00257715" w:rsidP="0050141F">
            <w:pPr>
              <w:spacing w:after="120"/>
              <w:jc w:val="both"/>
            </w:pPr>
            <w:r w:rsidRPr="00A13CF6">
              <w:t>fiksna</w:t>
            </w:r>
            <w:r>
              <w:t xml:space="preserve">, </w:t>
            </w:r>
            <w:r w:rsidRPr="00A13CF6">
              <w:t>1,</w:t>
            </w:r>
            <w:r>
              <w:t>48</w:t>
            </w:r>
            <w:r w:rsidRPr="00A13CF6">
              <w:t>%</w:t>
            </w:r>
            <w:r>
              <w:t xml:space="preserve"> godišnje na </w:t>
            </w:r>
            <w:r w:rsidRPr="0050141F">
              <w:t>iskorišteni</w:t>
            </w:r>
            <w:r>
              <w:t xml:space="preserve"> iznos kredita</w:t>
            </w:r>
          </w:p>
        </w:tc>
      </w:tr>
      <w:tr w:rsidR="00257715" w:rsidRPr="00A13CF6" w14:paraId="02279634" w14:textId="77777777" w:rsidTr="0050141F">
        <w:trPr>
          <w:trHeight w:val="680"/>
        </w:trPr>
        <w:tc>
          <w:tcPr>
            <w:tcW w:w="3593" w:type="dxa"/>
            <w:tcMar>
              <w:top w:w="0" w:type="dxa"/>
              <w:left w:w="108" w:type="dxa"/>
              <w:bottom w:w="0" w:type="dxa"/>
              <w:right w:w="108" w:type="dxa"/>
            </w:tcMar>
          </w:tcPr>
          <w:p w14:paraId="02279632" w14:textId="77777777" w:rsidR="00257715" w:rsidRPr="00A13CF6" w:rsidRDefault="00257715" w:rsidP="005A48C7">
            <w:pPr>
              <w:numPr>
                <w:ilvl w:val="0"/>
                <w:numId w:val="1"/>
              </w:numPr>
              <w:spacing w:after="120"/>
            </w:pPr>
            <w:r w:rsidRPr="001C3D3F">
              <w:t>obračun i naplata kamate:</w:t>
            </w:r>
          </w:p>
        </w:tc>
        <w:tc>
          <w:tcPr>
            <w:tcW w:w="5477" w:type="dxa"/>
            <w:tcMar>
              <w:top w:w="0" w:type="dxa"/>
              <w:left w:w="108" w:type="dxa"/>
              <w:bottom w:w="0" w:type="dxa"/>
              <w:right w:w="108" w:type="dxa"/>
            </w:tcMar>
          </w:tcPr>
          <w:p w14:paraId="02279633" w14:textId="77777777" w:rsidR="00257715" w:rsidRPr="00A13CF6" w:rsidRDefault="00105FBB" w:rsidP="00257715">
            <w:pPr>
              <w:spacing w:after="120"/>
              <w:jc w:val="both"/>
            </w:pPr>
            <w:r>
              <w:t>šestomjesečno</w:t>
            </w:r>
          </w:p>
        </w:tc>
      </w:tr>
      <w:tr w:rsidR="00257715" w:rsidRPr="00A13CF6" w14:paraId="02279637" w14:textId="77777777" w:rsidTr="0050141F">
        <w:trPr>
          <w:trHeight w:val="680"/>
        </w:trPr>
        <w:tc>
          <w:tcPr>
            <w:tcW w:w="3593" w:type="dxa"/>
            <w:tcMar>
              <w:top w:w="0" w:type="dxa"/>
              <w:left w:w="108" w:type="dxa"/>
              <w:bottom w:w="0" w:type="dxa"/>
              <w:right w:w="108" w:type="dxa"/>
            </w:tcMar>
          </w:tcPr>
          <w:p w14:paraId="02279635" w14:textId="77777777" w:rsidR="00257715" w:rsidRPr="00A13CF6" w:rsidRDefault="00257715" w:rsidP="005A48C7">
            <w:pPr>
              <w:numPr>
                <w:ilvl w:val="0"/>
                <w:numId w:val="1"/>
              </w:numPr>
              <w:spacing w:after="120"/>
            </w:pPr>
            <w:r w:rsidRPr="001C3D3F">
              <w:t>interkalarna kamata</w:t>
            </w:r>
            <w:r>
              <w:t>:</w:t>
            </w:r>
          </w:p>
        </w:tc>
        <w:tc>
          <w:tcPr>
            <w:tcW w:w="5477" w:type="dxa"/>
            <w:tcMar>
              <w:top w:w="0" w:type="dxa"/>
              <w:left w:w="108" w:type="dxa"/>
              <w:bottom w:w="0" w:type="dxa"/>
              <w:right w:w="108" w:type="dxa"/>
            </w:tcMar>
          </w:tcPr>
          <w:p w14:paraId="02279636" w14:textId="77777777" w:rsidR="00257715" w:rsidRPr="00A13CF6" w:rsidRDefault="00257715" w:rsidP="00257715">
            <w:pPr>
              <w:spacing w:after="120"/>
              <w:jc w:val="both"/>
            </w:pPr>
            <w:r>
              <w:t xml:space="preserve">u visini redovne kamatne stope, obračunava se i naplaćuje kvartalno i na zadnji dan razdoblja korištenja </w:t>
            </w:r>
          </w:p>
        </w:tc>
      </w:tr>
      <w:tr w:rsidR="00257715" w:rsidRPr="00A13CF6" w14:paraId="0227963A" w14:textId="77777777" w:rsidTr="0050141F">
        <w:trPr>
          <w:trHeight w:val="680"/>
        </w:trPr>
        <w:tc>
          <w:tcPr>
            <w:tcW w:w="3593" w:type="dxa"/>
            <w:tcMar>
              <w:top w:w="0" w:type="dxa"/>
              <w:left w:w="108" w:type="dxa"/>
              <w:bottom w:w="0" w:type="dxa"/>
              <w:right w:w="108" w:type="dxa"/>
            </w:tcMar>
          </w:tcPr>
          <w:p w14:paraId="02279638" w14:textId="77777777" w:rsidR="00257715" w:rsidRPr="00A13CF6" w:rsidRDefault="00257715" w:rsidP="005A48C7">
            <w:pPr>
              <w:numPr>
                <w:ilvl w:val="0"/>
                <w:numId w:val="1"/>
              </w:numPr>
              <w:spacing w:after="120"/>
            </w:pPr>
            <w:r w:rsidRPr="00A13CF6">
              <w:t>zatezna kamata:</w:t>
            </w:r>
          </w:p>
        </w:tc>
        <w:tc>
          <w:tcPr>
            <w:tcW w:w="5477" w:type="dxa"/>
            <w:tcMar>
              <w:top w:w="0" w:type="dxa"/>
              <w:left w:w="108" w:type="dxa"/>
              <w:bottom w:w="0" w:type="dxa"/>
              <w:right w:w="108" w:type="dxa"/>
            </w:tcMar>
          </w:tcPr>
          <w:p w14:paraId="02279639" w14:textId="77777777" w:rsidR="00257715" w:rsidRPr="00A13CF6" w:rsidRDefault="00257715" w:rsidP="00257715">
            <w:pPr>
              <w:spacing w:after="120"/>
              <w:jc w:val="both"/>
            </w:pPr>
            <w:r w:rsidRPr="00A13CF6">
              <w:t xml:space="preserve">promjenjiva sukladno </w:t>
            </w:r>
            <w:r>
              <w:t xml:space="preserve">važećoj </w:t>
            </w:r>
            <w:r w:rsidRPr="00A13CF6">
              <w:t>Odluci o kamatnim stopama HBOR-a</w:t>
            </w:r>
          </w:p>
        </w:tc>
      </w:tr>
      <w:tr w:rsidR="00257715" w:rsidRPr="00A13CF6" w14:paraId="0227963D" w14:textId="77777777" w:rsidTr="0050141F">
        <w:trPr>
          <w:trHeight w:val="680"/>
        </w:trPr>
        <w:tc>
          <w:tcPr>
            <w:tcW w:w="3593" w:type="dxa"/>
            <w:tcMar>
              <w:top w:w="0" w:type="dxa"/>
              <w:left w:w="108" w:type="dxa"/>
              <w:bottom w:w="0" w:type="dxa"/>
              <w:right w:w="108" w:type="dxa"/>
            </w:tcMar>
          </w:tcPr>
          <w:p w14:paraId="0227963B" w14:textId="77777777" w:rsidR="00257715" w:rsidRPr="00A13CF6" w:rsidRDefault="00257715" w:rsidP="005A48C7">
            <w:pPr>
              <w:numPr>
                <w:ilvl w:val="0"/>
                <w:numId w:val="1"/>
              </w:numPr>
              <w:spacing w:after="120"/>
            </w:pPr>
            <w:r w:rsidRPr="002F47F4">
              <w:t>jednokratna naknada za obradu kredita</w:t>
            </w:r>
            <w:r>
              <w:t>:</w:t>
            </w:r>
          </w:p>
        </w:tc>
        <w:tc>
          <w:tcPr>
            <w:tcW w:w="5477" w:type="dxa"/>
            <w:tcMar>
              <w:top w:w="0" w:type="dxa"/>
              <w:left w:w="108" w:type="dxa"/>
              <w:bottom w:w="0" w:type="dxa"/>
              <w:right w:w="108" w:type="dxa"/>
            </w:tcMar>
          </w:tcPr>
          <w:p w14:paraId="0227963C" w14:textId="77777777" w:rsidR="00257715" w:rsidRPr="00A13CF6" w:rsidRDefault="00257715" w:rsidP="00257715">
            <w:pPr>
              <w:spacing w:after="120"/>
              <w:jc w:val="both"/>
            </w:pPr>
            <w:r>
              <w:t>0,15% iznosa odobrenog kredita</w:t>
            </w:r>
          </w:p>
        </w:tc>
      </w:tr>
      <w:tr w:rsidR="00257715" w:rsidRPr="00A13CF6" w14:paraId="02279640" w14:textId="77777777" w:rsidTr="0050141F">
        <w:trPr>
          <w:trHeight w:val="680"/>
        </w:trPr>
        <w:tc>
          <w:tcPr>
            <w:tcW w:w="3593" w:type="dxa"/>
            <w:tcMar>
              <w:top w:w="0" w:type="dxa"/>
              <w:left w:w="108" w:type="dxa"/>
              <w:bottom w:w="0" w:type="dxa"/>
              <w:right w:w="108" w:type="dxa"/>
            </w:tcMar>
          </w:tcPr>
          <w:p w14:paraId="0227963E" w14:textId="77777777" w:rsidR="00257715" w:rsidRPr="002F47F4" w:rsidRDefault="00257715" w:rsidP="005A48C7">
            <w:pPr>
              <w:numPr>
                <w:ilvl w:val="0"/>
                <w:numId w:val="1"/>
              </w:numPr>
              <w:spacing w:after="120"/>
            </w:pPr>
            <w:r w:rsidRPr="001C3D3F">
              <w:t>naknada za neiskorištena sredstva</w:t>
            </w:r>
            <w:r>
              <w:t>:</w:t>
            </w:r>
          </w:p>
        </w:tc>
        <w:tc>
          <w:tcPr>
            <w:tcW w:w="5477" w:type="dxa"/>
            <w:tcMar>
              <w:top w:w="0" w:type="dxa"/>
              <w:left w:w="108" w:type="dxa"/>
              <w:bottom w:w="0" w:type="dxa"/>
              <w:right w:w="108" w:type="dxa"/>
            </w:tcMar>
          </w:tcPr>
          <w:p w14:paraId="0227963F" w14:textId="77777777" w:rsidR="00257715" w:rsidRDefault="00E77A7B" w:rsidP="00257715">
            <w:pPr>
              <w:spacing w:after="120"/>
              <w:jc w:val="both"/>
            </w:pPr>
            <w:r>
              <w:t>obračunavat</w:t>
            </w:r>
            <w:r w:rsidR="00C366DC">
              <w:t xml:space="preserve"> će se sukladno Pravilniku o naknadama za usluge koje obavlja HBOR</w:t>
            </w:r>
          </w:p>
        </w:tc>
      </w:tr>
      <w:tr w:rsidR="00257715" w:rsidRPr="00A13CF6" w14:paraId="02279643" w14:textId="77777777" w:rsidTr="0050141F">
        <w:trPr>
          <w:trHeight w:val="680"/>
        </w:trPr>
        <w:tc>
          <w:tcPr>
            <w:tcW w:w="3593" w:type="dxa"/>
            <w:tcMar>
              <w:top w:w="0" w:type="dxa"/>
              <w:left w:w="108" w:type="dxa"/>
              <w:bottom w:w="0" w:type="dxa"/>
              <w:right w:w="108" w:type="dxa"/>
            </w:tcMar>
          </w:tcPr>
          <w:p w14:paraId="02279641" w14:textId="77777777" w:rsidR="00257715" w:rsidRPr="00A13CF6" w:rsidRDefault="00257715" w:rsidP="005A48C7">
            <w:pPr>
              <w:numPr>
                <w:ilvl w:val="0"/>
                <w:numId w:val="1"/>
              </w:numPr>
              <w:spacing w:after="120"/>
            </w:pPr>
            <w:r w:rsidRPr="001C3D3F">
              <w:t>osiguranje naplate obveza po kreditu</w:t>
            </w:r>
            <w:r w:rsidRPr="00A13CF6">
              <w:t>:</w:t>
            </w:r>
          </w:p>
        </w:tc>
        <w:tc>
          <w:tcPr>
            <w:tcW w:w="5477" w:type="dxa"/>
            <w:tcMar>
              <w:top w:w="0" w:type="dxa"/>
              <w:left w:w="108" w:type="dxa"/>
              <w:bottom w:w="0" w:type="dxa"/>
              <w:right w:w="108" w:type="dxa"/>
            </w:tcMar>
          </w:tcPr>
          <w:p w14:paraId="02279642" w14:textId="77777777" w:rsidR="00257715" w:rsidRPr="00A13CF6" w:rsidRDefault="00257715" w:rsidP="005A48C7">
            <w:pPr>
              <w:spacing w:after="120"/>
              <w:jc w:val="both"/>
            </w:pPr>
            <w:r w:rsidRPr="00257715">
              <w:t>bezuvjetno i neopozivo Jamstvo Republike Hrvatske koje pokriva 100% obveza po kreditu izdano od strane Ministarstva financija u ime Republike Hrvatske</w:t>
            </w:r>
            <w:r w:rsidR="00514DBF">
              <w:t>.</w:t>
            </w:r>
          </w:p>
        </w:tc>
      </w:tr>
    </w:tbl>
    <w:p w14:paraId="02279644" w14:textId="77777777" w:rsidR="006736BB" w:rsidRDefault="006736BB" w:rsidP="00D50712">
      <w:pPr>
        <w:jc w:val="center"/>
        <w:rPr>
          <w:b/>
        </w:rPr>
      </w:pPr>
    </w:p>
    <w:p w14:paraId="02279645" w14:textId="77777777" w:rsidR="00D50712" w:rsidRPr="00EB4524" w:rsidRDefault="00D50712" w:rsidP="00D50712">
      <w:pPr>
        <w:jc w:val="center"/>
        <w:rPr>
          <w:b/>
        </w:rPr>
      </w:pPr>
      <w:r w:rsidRPr="00EB4524">
        <w:rPr>
          <w:b/>
        </w:rPr>
        <w:t>III.</w:t>
      </w:r>
    </w:p>
    <w:p w14:paraId="02279646" w14:textId="77777777" w:rsidR="00D50712" w:rsidRPr="00EB4524" w:rsidRDefault="00D50712" w:rsidP="00D50712">
      <w:pPr>
        <w:jc w:val="center"/>
        <w:rPr>
          <w:b/>
        </w:rPr>
      </w:pPr>
    </w:p>
    <w:p w14:paraId="02279647" w14:textId="77777777" w:rsidR="00D50712" w:rsidRPr="00EB4524" w:rsidRDefault="00D50712" w:rsidP="00D50712">
      <w:pPr>
        <w:pStyle w:val="BodyText"/>
        <w:tabs>
          <w:tab w:val="left" w:pos="567"/>
          <w:tab w:val="left" w:pos="709"/>
        </w:tabs>
        <w:ind w:firstLine="426"/>
      </w:pPr>
      <w:r w:rsidRPr="00EB4524">
        <w:rPr>
          <w:rFonts w:eastAsia="Calibri"/>
        </w:rPr>
        <w:t>Izdavanje jamstva iz točke I. ove Odluke uvjetuje se sklapanjem ugovora o izdavanju jamstva između Ministarstva financija, Ministarstva mora, prometa i infrastrukture i društva</w:t>
      </w:r>
      <w:r w:rsidRPr="00EB4524">
        <w:t xml:space="preserve"> </w:t>
      </w:r>
      <w:r w:rsidR="00087FF9" w:rsidRPr="00087FF9">
        <w:rPr>
          <w:bCs/>
          <w:lang w:val="hr-HR" w:eastAsia="hr-HR"/>
        </w:rPr>
        <w:t xml:space="preserve">HŽ Infrastruktura </w:t>
      </w:r>
      <w:r w:rsidRPr="00EB4524">
        <w:t>d.o.o.</w:t>
      </w:r>
      <w:r w:rsidRPr="00EB4524">
        <w:rPr>
          <w:rFonts w:eastAsia="Calibri"/>
        </w:rPr>
        <w:t xml:space="preserve">, radi reguliranja obveza i odgovornosti, u svrhu </w:t>
      </w:r>
      <w:r w:rsidRPr="00EB4524">
        <w:t xml:space="preserve">financiranja </w:t>
      </w:r>
      <w:r w:rsidR="00087FF9" w:rsidRPr="00786AFE">
        <w:t>obnove željezničke infrastrukture</w:t>
      </w:r>
      <w:r w:rsidRPr="00EB4524">
        <w:t xml:space="preserve"> </w:t>
      </w:r>
      <w:r w:rsidRPr="00EB4524">
        <w:rPr>
          <w:rFonts w:eastAsia="Calibri"/>
        </w:rPr>
        <w:t xml:space="preserve">i davanja jamstva iz točke I. ove Odluke do njegove konačne otplate te osiguranja povrata sredstava u slučaju aktiviranja državnog jamstva. </w:t>
      </w:r>
    </w:p>
    <w:p w14:paraId="02279648" w14:textId="77777777" w:rsidR="00D50712" w:rsidRPr="00EB4524" w:rsidRDefault="00D50712" w:rsidP="00741A9F">
      <w:pPr>
        <w:spacing w:after="240" w:line="259" w:lineRule="auto"/>
        <w:ind w:left="720" w:firstLine="709"/>
        <w:jc w:val="both"/>
        <w:rPr>
          <w:rFonts w:eastAsia="Calibri"/>
        </w:rPr>
      </w:pPr>
    </w:p>
    <w:p w14:paraId="02279649" w14:textId="77777777" w:rsidR="00D50712" w:rsidRPr="00EB4524" w:rsidRDefault="00D50712" w:rsidP="00D50712">
      <w:pPr>
        <w:spacing w:line="259" w:lineRule="auto"/>
        <w:jc w:val="center"/>
        <w:rPr>
          <w:rFonts w:eastAsia="Calibri"/>
          <w:b/>
        </w:rPr>
      </w:pPr>
      <w:r w:rsidRPr="00EB4524">
        <w:rPr>
          <w:rFonts w:eastAsia="Calibri"/>
          <w:b/>
        </w:rPr>
        <w:t>IV.</w:t>
      </w:r>
    </w:p>
    <w:p w14:paraId="0227964A" w14:textId="77777777" w:rsidR="00D50712" w:rsidRPr="00EB4524" w:rsidRDefault="00D50712" w:rsidP="00D50712">
      <w:pPr>
        <w:spacing w:line="259" w:lineRule="auto"/>
        <w:ind w:left="3900" w:firstLine="348"/>
        <w:rPr>
          <w:rFonts w:eastAsia="Calibri"/>
          <w:b/>
        </w:rPr>
      </w:pPr>
    </w:p>
    <w:p w14:paraId="0227964B" w14:textId="77777777" w:rsidR="00D50712" w:rsidRPr="00EB4524" w:rsidRDefault="00D50712" w:rsidP="00D50712">
      <w:pPr>
        <w:tabs>
          <w:tab w:val="left" w:pos="426"/>
        </w:tabs>
        <w:spacing w:line="259" w:lineRule="auto"/>
        <w:ind w:firstLine="360"/>
        <w:jc w:val="both"/>
        <w:rPr>
          <w:rFonts w:eastAsia="Calibri"/>
        </w:rPr>
      </w:pPr>
      <w:r w:rsidRPr="00EB4524">
        <w:rPr>
          <w:rFonts w:eastAsia="Calibri"/>
        </w:rPr>
        <w:t>Ugovor o izdavanju jamstva iz točke III. ove Odluke u sebi obvezatno sadrži odredbe kojima se/je:</w:t>
      </w:r>
    </w:p>
    <w:p w14:paraId="0227964C" w14:textId="77777777" w:rsidR="00D50712" w:rsidRPr="00EB4524" w:rsidRDefault="00D50712" w:rsidP="00D50712">
      <w:pPr>
        <w:ind w:right="22"/>
        <w:jc w:val="both"/>
        <w:rPr>
          <w:rFonts w:eastAsia="Calibri"/>
        </w:rPr>
      </w:pPr>
    </w:p>
    <w:p w14:paraId="0227964D" w14:textId="77777777" w:rsidR="00D50712" w:rsidRPr="00EB4524" w:rsidRDefault="00D50712" w:rsidP="00D50712">
      <w:pPr>
        <w:numPr>
          <w:ilvl w:val="0"/>
          <w:numId w:val="3"/>
        </w:numPr>
        <w:ind w:right="22"/>
        <w:contextualSpacing/>
        <w:jc w:val="both"/>
        <w:rPr>
          <w:bCs/>
        </w:rPr>
      </w:pPr>
      <w:r w:rsidRPr="00EB4524">
        <w:rPr>
          <w:bCs/>
        </w:rPr>
        <w:t>Korisnik kredita obvezuje da će u potpunosti i na vrijeme izvršavati sve svoje ugovorne obveze prema davatelju kredita u skladu sa sklopljenim ugovorom o kreditu i njemu pripadajućih dodataka.</w:t>
      </w:r>
    </w:p>
    <w:p w14:paraId="0227964E" w14:textId="77777777" w:rsidR="00D50712" w:rsidRPr="00EB4524" w:rsidRDefault="00D50712" w:rsidP="00D50712">
      <w:pPr>
        <w:ind w:left="720" w:right="22"/>
        <w:contextualSpacing/>
        <w:jc w:val="both"/>
        <w:rPr>
          <w:bCs/>
        </w:rPr>
      </w:pPr>
    </w:p>
    <w:p w14:paraId="0227964F" w14:textId="77777777" w:rsidR="00D50712" w:rsidRPr="00087FF9" w:rsidRDefault="00D50712" w:rsidP="00087FF9">
      <w:pPr>
        <w:numPr>
          <w:ilvl w:val="0"/>
          <w:numId w:val="3"/>
        </w:numPr>
        <w:ind w:left="714" w:right="23" w:hanging="357"/>
        <w:contextualSpacing/>
        <w:jc w:val="both"/>
        <w:rPr>
          <w:bCs/>
        </w:rPr>
      </w:pPr>
      <w:r w:rsidRPr="00EB4524">
        <w:rPr>
          <w:bCs/>
        </w:rPr>
        <w:t xml:space="preserve">Pripadajući dodaci ugovora o kreditu mogu se sklapati isključivo ako su u skladu s odredbama važećeg zakona o izvršavanju Državnog proračuna. </w:t>
      </w:r>
    </w:p>
    <w:p w14:paraId="02279650" w14:textId="77777777" w:rsidR="00D50712" w:rsidRPr="00EB4524" w:rsidRDefault="00D50712" w:rsidP="00D50712">
      <w:pPr>
        <w:pStyle w:val="ListParagraph"/>
        <w:rPr>
          <w:bCs/>
          <w:lang w:eastAsia="hr-HR"/>
        </w:rPr>
      </w:pPr>
    </w:p>
    <w:p w14:paraId="02279651" w14:textId="77777777" w:rsidR="00D50712" w:rsidRPr="00EB4524" w:rsidRDefault="00D50712" w:rsidP="00D50712">
      <w:pPr>
        <w:numPr>
          <w:ilvl w:val="0"/>
          <w:numId w:val="3"/>
        </w:numPr>
        <w:ind w:right="22"/>
        <w:contextualSpacing/>
        <w:jc w:val="both"/>
        <w:rPr>
          <w:bCs/>
        </w:rPr>
      </w:pPr>
      <w:r w:rsidRPr="00EB4524">
        <w:rPr>
          <w:bCs/>
        </w:rPr>
        <w:t>Korisnik kredita obvezuje koristiti kredit za ugovorenu namjenu i na način, u skladu sa sklopljenim ugovorom o kreditu i njemu pripadajućih dodataka.</w:t>
      </w:r>
    </w:p>
    <w:p w14:paraId="02279652" w14:textId="77777777" w:rsidR="00D50712" w:rsidRPr="00EB4524" w:rsidRDefault="00D50712" w:rsidP="00D50712">
      <w:pPr>
        <w:ind w:right="22"/>
        <w:jc w:val="both"/>
        <w:rPr>
          <w:bCs/>
        </w:rPr>
      </w:pPr>
    </w:p>
    <w:p w14:paraId="02279653" w14:textId="77777777" w:rsidR="00D50712" w:rsidRPr="00EB4524" w:rsidRDefault="00D50712" w:rsidP="00D50712">
      <w:pPr>
        <w:numPr>
          <w:ilvl w:val="0"/>
          <w:numId w:val="3"/>
        </w:numPr>
        <w:ind w:right="22"/>
        <w:contextualSpacing/>
        <w:jc w:val="both"/>
        <w:rPr>
          <w:bCs/>
        </w:rPr>
      </w:pPr>
      <w:r w:rsidRPr="00EB4524">
        <w:rPr>
          <w:bCs/>
        </w:rPr>
        <w:t>Korisnik kredita dužan je osigurati pravovremenu izradu i dostavu izvješća o namjenskom trošenju sredstava iz ugovora o kreditu i njemu pripadajućih dodataka.</w:t>
      </w:r>
    </w:p>
    <w:p w14:paraId="02279654" w14:textId="77777777" w:rsidR="00D50712" w:rsidRPr="00EB4524" w:rsidRDefault="00D50712" w:rsidP="00D50712">
      <w:pPr>
        <w:ind w:left="720" w:right="22"/>
        <w:contextualSpacing/>
        <w:jc w:val="both"/>
        <w:rPr>
          <w:bCs/>
        </w:rPr>
      </w:pPr>
      <w:r w:rsidRPr="00EB4524">
        <w:rPr>
          <w:bCs/>
        </w:rPr>
        <w:t xml:space="preserve">Izvješće o namjenskom trošenju sredstava izrađuje se sukladno sklopljenom ugovoru o kreditu i njemu pripadajućih dodataka, a ukoliko istima nije određen nositelj odnosno obveznik izrade izvješća, izvješće je dužan izraditi korisnik kredita. Nositelj odnosno obveznik izrade izvješća, dostavlja izvješće </w:t>
      </w:r>
      <w:r w:rsidRPr="00EB4524">
        <w:rPr>
          <w:bCs/>
        </w:rPr>
        <w:lastRenderedPageBreak/>
        <w:t xml:space="preserve">nadležnom Ministarstvu mora, prometa i infrastrukture i Ministarstvu financija, </w:t>
      </w:r>
      <w:r w:rsidRPr="00FA7882">
        <w:rPr>
          <w:bCs/>
        </w:rPr>
        <w:t xml:space="preserve">do 15. u mjesecu za prethodno tromjesečje, </w:t>
      </w:r>
      <w:r w:rsidRPr="00EB4524">
        <w:rPr>
          <w:bCs/>
        </w:rPr>
        <w:t>a po potrebi i na zahtjev Ministarstvu mora, prometa i infrastrukture i češće.</w:t>
      </w:r>
    </w:p>
    <w:p w14:paraId="02279655" w14:textId="77777777" w:rsidR="00D50712" w:rsidRPr="00EB4524" w:rsidRDefault="00D50712" w:rsidP="00D50712">
      <w:pPr>
        <w:ind w:right="22"/>
        <w:jc w:val="both"/>
        <w:rPr>
          <w:bCs/>
        </w:rPr>
      </w:pPr>
    </w:p>
    <w:p w14:paraId="02279656" w14:textId="77777777" w:rsidR="00D50712" w:rsidRPr="00EB4524" w:rsidRDefault="00D50712" w:rsidP="00D50712">
      <w:pPr>
        <w:numPr>
          <w:ilvl w:val="0"/>
          <w:numId w:val="3"/>
        </w:numPr>
        <w:overflowPunct w:val="0"/>
        <w:autoSpaceDE w:val="0"/>
        <w:autoSpaceDN w:val="0"/>
        <w:adjustRightInd w:val="0"/>
        <w:contextualSpacing/>
        <w:jc w:val="both"/>
        <w:textAlignment w:val="baseline"/>
      </w:pPr>
      <w:r w:rsidRPr="00EB4524">
        <w:t xml:space="preserve">Korisnik kredita obvezuje </w:t>
      </w:r>
      <w:r w:rsidRPr="00EB4524">
        <w:rPr>
          <w:bCs/>
        </w:rPr>
        <w:t xml:space="preserve">Ministarstvu mora, prometa i infrastrukture </w:t>
      </w:r>
      <w:r w:rsidRPr="00EB4524">
        <w:t>omogućiti provedbu tehničke i financijske kontrole, te provedbu općeg nadzora i namjenskog trošenja sredstava iz ugovora o kreditu i njemu pripadajućih dodataka.</w:t>
      </w:r>
    </w:p>
    <w:p w14:paraId="02279657" w14:textId="77777777" w:rsidR="00D50712" w:rsidRPr="00EB4524" w:rsidRDefault="00D50712" w:rsidP="00D50712">
      <w:pPr>
        <w:overflowPunct w:val="0"/>
        <w:autoSpaceDE w:val="0"/>
        <w:autoSpaceDN w:val="0"/>
        <w:adjustRightInd w:val="0"/>
        <w:jc w:val="both"/>
        <w:textAlignment w:val="baseline"/>
      </w:pPr>
    </w:p>
    <w:p w14:paraId="02279658" w14:textId="77777777" w:rsidR="00D50712" w:rsidRPr="00EB4524" w:rsidRDefault="00D50712" w:rsidP="00D50712">
      <w:pPr>
        <w:numPr>
          <w:ilvl w:val="0"/>
          <w:numId w:val="3"/>
        </w:numPr>
        <w:overflowPunct w:val="0"/>
        <w:autoSpaceDE w:val="0"/>
        <w:autoSpaceDN w:val="0"/>
        <w:adjustRightInd w:val="0"/>
        <w:contextualSpacing/>
        <w:jc w:val="both"/>
        <w:textAlignment w:val="baseline"/>
      </w:pPr>
      <w:r w:rsidRPr="00EB4524">
        <w:t xml:space="preserve">Korisnik kredita obvezuje izvijestiti </w:t>
      </w:r>
      <w:r w:rsidRPr="00EB4524">
        <w:rPr>
          <w:bCs/>
        </w:rPr>
        <w:t xml:space="preserve">Ministarstvu mora, prometa i infrastrukture </w:t>
      </w:r>
      <w:r w:rsidRPr="00EB4524">
        <w:t>i Ministarstvo financija o nemogućnosti ispunjenja obveza za čije osiguranje Ministarstvo financija izdaje jamstvo, najmanje 15 (slovima: petnaest) radnih dana prije roka u kojem davatelj kredita može pozvati Ministarstvo financija na plaćanje temeljem izdanog jamstva.</w:t>
      </w:r>
    </w:p>
    <w:p w14:paraId="02279659" w14:textId="77777777" w:rsidR="00D50712" w:rsidRPr="00EB4524" w:rsidRDefault="00D50712" w:rsidP="00D50712">
      <w:pPr>
        <w:overflowPunct w:val="0"/>
        <w:autoSpaceDE w:val="0"/>
        <w:autoSpaceDN w:val="0"/>
        <w:adjustRightInd w:val="0"/>
        <w:jc w:val="both"/>
        <w:textAlignment w:val="baseline"/>
      </w:pPr>
    </w:p>
    <w:p w14:paraId="0227965A" w14:textId="77777777" w:rsidR="00D50712" w:rsidRPr="00EB4524" w:rsidRDefault="00D50712" w:rsidP="00D50712">
      <w:pPr>
        <w:numPr>
          <w:ilvl w:val="0"/>
          <w:numId w:val="3"/>
        </w:numPr>
        <w:overflowPunct w:val="0"/>
        <w:autoSpaceDE w:val="0"/>
        <w:autoSpaceDN w:val="0"/>
        <w:adjustRightInd w:val="0"/>
        <w:contextualSpacing/>
        <w:jc w:val="both"/>
        <w:textAlignment w:val="baseline"/>
      </w:pPr>
      <w:r w:rsidRPr="00EB4524">
        <w:t>Ukoliko po izdanom jamstvu dođe do plaćanja iz sredstava državnog proračuna Republike Hrvatske, tako isplaćeni iznos smatra se dospjelim potraživanjem Ministarstva financija. Korisnik kredita obvezan je odmah Ministarstvu financija izvršiti povrat isplaćenih sredstava iz državnog proračuna Republike Hrvatske, nakon izvršenog plaćanja, uvećano za zakonsku zateznu kamatu sa svim pripadajućim troškovima.</w:t>
      </w:r>
    </w:p>
    <w:p w14:paraId="0227965B" w14:textId="77777777" w:rsidR="00D50712" w:rsidRPr="007E4B1E" w:rsidRDefault="00D50712" w:rsidP="00D50712">
      <w:pPr>
        <w:overflowPunct w:val="0"/>
        <w:autoSpaceDE w:val="0"/>
        <w:autoSpaceDN w:val="0"/>
        <w:adjustRightInd w:val="0"/>
        <w:jc w:val="both"/>
        <w:textAlignment w:val="baseline"/>
      </w:pPr>
    </w:p>
    <w:p w14:paraId="0227965C" w14:textId="77777777" w:rsidR="00D50712" w:rsidRPr="00EB4524" w:rsidRDefault="00D50712" w:rsidP="00D50712">
      <w:pPr>
        <w:numPr>
          <w:ilvl w:val="0"/>
          <w:numId w:val="3"/>
        </w:numPr>
        <w:overflowPunct w:val="0"/>
        <w:autoSpaceDE w:val="0"/>
        <w:autoSpaceDN w:val="0"/>
        <w:adjustRightInd w:val="0"/>
        <w:contextualSpacing/>
        <w:jc w:val="both"/>
        <w:textAlignment w:val="baseline"/>
      </w:pPr>
      <w:r w:rsidRPr="00EB4524">
        <w:t>Korisnik kredita snosi i eventualne tečajne razlike nastale u razdoblju između dana plaćanja obveza prema davatelju kredita i dana uplate pokrića.</w:t>
      </w:r>
    </w:p>
    <w:p w14:paraId="0227965D" w14:textId="77777777" w:rsidR="00D50712" w:rsidRPr="00EB4524" w:rsidRDefault="00D50712" w:rsidP="00D50712">
      <w:pPr>
        <w:overflowPunct w:val="0"/>
        <w:autoSpaceDE w:val="0"/>
        <w:autoSpaceDN w:val="0"/>
        <w:adjustRightInd w:val="0"/>
        <w:jc w:val="both"/>
        <w:textAlignment w:val="baseline"/>
      </w:pPr>
    </w:p>
    <w:p w14:paraId="0227965E" w14:textId="77777777" w:rsidR="00D50712" w:rsidRPr="00EB4524" w:rsidRDefault="00D50712" w:rsidP="00D50712">
      <w:pPr>
        <w:numPr>
          <w:ilvl w:val="0"/>
          <w:numId w:val="3"/>
        </w:numPr>
        <w:overflowPunct w:val="0"/>
        <w:autoSpaceDE w:val="0"/>
        <w:autoSpaceDN w:val="0"/>
        <w:adjustRightInd w:val="0"/>
        <w:contextualSpacing/>
        <w:jc w:val="both"/>
        <w:textAlignment w:val="baseline"/>
      </w:pPr>
      <w:r w:rsidRPr="00EB4524">
        <w:t>Korisnik kredita obvezuje platiti i sve ostale troškove koji se mogu javiti u zemlji i inozemstvu u vezi s jamstvom.</w:t>
      </w:r>
    </w:p>
    <w:p w14:paraId="0227965F" w14:textId="77777777" w:rsidR="00D50712" w:rsidRPr="00EB4524" w:rsidRDefault="00D50712" w:rsidP="00D50712">
      <w:pPr>
        <w:ind w:right="22"/>
      </w:pPr>
    </w:p>
    <w:p w14:paraId="02279660" w14:textId="77777777" w:rsidR="00D50712" w:rsidRPr="00EB4524" w:rsidRDefault="00D50712" w:rsidP="00D50712">
      <w:pPr>
        <w:numPr>
          <w:ilvl w:val="0"/>
          <w:numId w:val="3"/>
        </w:numPr>
        <w:overflowPunct w:val="0"/>
        <w:autoSpaceDE w:val="0"/>
        <w:autoSpaceDN w:val="0"/>
        <w:adjustRightInd w:val="0"/>
        <w:contextualSpacing/>
        <w:jc w:val="both"/>
        <w:textAlignment w:val="baseline"/>
      </w:pPr>
      <w:r w:rsidRPr="00EB4524">
        <w:t>Za osiguranje urednog izvršenja svih obveza koje mogu nastati po izdanom jamstvu iz ugovora o kreditu i njemu pripadajućih dodataka, korisnik kredita je obvezan dostaviti Ministarstvu financija:</w:t>
      </w:r>
    </w:p>
    <w:p w14:paraId="02279661" w14:textId="77777777" w:rsidR="00D50712" w:rsidRPr="00EB4524" w:rsidRDefault="00D50712" w:rsidP="00D50712">
      <w:pPr>
        <w:overflowPunct w:val="0"/>
        <w:autoSpaceDE w:val="0"/>
        <w:autoSpaceDN w:val="0"/>
        <w:adjustRightInd w:val="0"/>
        <w:jc w:val="both"/>
        <w:textAlignment w:val="baseline"/>
      </w:pPr>
    </w:p>
    <w:p w14:paraId="02279662" w14:textId="77777777" w:rsidR="00D50712" w:rsidRPr="00EB4524" w:rsidRDefault="00D50712" w:rsidP="00D50712">
      <w:pPr>
        <w:numPr>
          <w:ilvl w:val="0"/>
          <w:numId w:val="4"/>
        </w:numPr>
        <w:overflowPunct w:val="0"/>
        <w:autoSpaceDE w:val="0"/>
        <w:autoSpaceDN w:val="0"/>
        <w:adjustRightInd w:val="0"/>
        <w:contextualSpacing/>
        <w:jc w:val="both"/>
        <w:textAlignment w:val="baseline"/>
      </w:pPr>
      <w:r w:rsidRPr="00EB4524">
        <w:t xml:space="preserve">javnobilježnički ovjerovljenu ispravu (zadužnicu) kojom korisnik kredita daje suglasnost da se radi naplate tražbina Republike Hrvatske zapljene svi njegovi kunski i devizni računi kod svih pravnih osoba koje obavljaju platni promet po tim računima, i to za cijeli iznos na kojeg glasi jamstvo uvećano za sve pripadajuće redovne i zatezne kamate te troškove, a sve sukladno </w:t>
      </w:r>
      <w:r w:rsidRPr="00EB4524">
        <w:rPr>
          <w:color w:val="000000"/>
        </w:rPr>
        <w:t>ugovoru o kreditu te njemu pripadajućih dodataka</w:t>
      </w:r>
      <w:r w:rsidRPr="00EB4524">
        <w:t>, te ugovoru o izdavanju jamstva za uredno izmirenje dugoročnih obveza, a sve sukladno članku 215. Ovršnog zakona (Narodne novine, broj 112/12, 25/13, 93/14, 55/16 i 73/17);</w:t>
      </w:r>
    </w:p>
    <w:p w14:paraId="02279663" w14:textId="77777777" w:rsidR="00D50712" w:rsidRPr="00EB4524" w:rsidRDefault="00D50712" w:rsidP="00741A9F">
      <w:pPr>
        <w:numPr>
          <w:ilvl w:val="0"/>
          <w:numId w:val="4"/>
        </w:numPr>
        <w:overflowPunct w:val="0"/>
        <w:autoSpaceDE w:val="0"/>
        <w:autoSpaceDN w:val="0"/>
        <w:adjustRightInd w:val="0"/>
        <w:spacing w:after="240"/>
        <w:ind w:left="1434" w:hanging="357"/>
        <w:contextualSpacing/>
        <w:jc w:val="both"/>
        <w:textAlignment w:val="baseline"/>
      </w:pPr>
      <w:r w:rsidRPr="00EB4524">
        <w:t>10 (deset) vlastitih trasiranih bjanko akceptiranih mjenica, s potpisanom klauzulom „bez protesta“ i mjeničnim očitovanjem.</w:t>
      </w:r>
    </w:p>
    <w:p w14:paraId="02279664" w14:textId="77777777" w:rsidR="00655BCF" w:rsidRDefault="00655BCF" w:rsidP="00D50712">
      <w:pPr>
        <w:overflowPunct w:val="0"/>
        <w:autoSpaceDE w:val="0"/>
        <w:autoSpaceDN w:val="0"/>
        <w:adjustRightInd w:val="0"/>
        <w:jc w:val="both"/>
        <w:textAlignment w:val="baseline"/>
      </w:pPr>
    </w:p>
    <w:p w14:paraId="02279665" w14:textId="77777777" w:rsidR="0080005B" w:rsidRDefault="0080005B" w:rsidP="00D50712">
      <w:pPr>
        <w:overflowPunct w:val="0"/>
        <w:autoSpaceDE w:val="0"/>
        <w:autoSpaceDN w:val="0"/>
        <w:adjustRightInd w:val="0"/>
        <w:jc w:val="both"/>
        <w:textAlignment w:val="baseline"/>
      </w:pPr>
    </w:p>
    <w:p w14:paraId="02279666" w14:textId="77777777" w:rsidR="00D50712" w:rsidRPr="00EB4524" w:rsidRDefault="00D50712" w:rsidP="00D50712">
      <w:pPr>
        <w:suppressAutoHyphens/>
        <w:autoSpaceDN w:val="0"/>
        <w:jc w:val="center"/>
        <w:textAlignment w:val="baseline"/>
        <w:rPr>
          <w:b/>
        </w:rPr>
      </w:pPr>
      <w:r w:rsidRPr="00EB4524">
        <w:rPr>
          <w:b/>
        </w:rPr>
        <w:t>V.</w:t>
      </w:r>
    </w:p>
    <w:p w14:paraId="02279667" w14:textId="77777777" w:rsidR="00D50712" w:rsidRPr="00EB4524" w:rsidRDefault="00D50712" w:rsidP="00D50712">
      <w:pPr>
        <w:suppressAutoHyphens/>
        <w:autoSpaceDN w:val="0"/>
        <w:ind w:left="3540" w:firstLine="708"/>
        <w:textAlignment w:val="baseline"/>
        <w:rPr>
          <w:b/>
        </w:rPr>
      </w:pPr>
    </w:p>
    <w:p w14:paraId="02279668" w14:textId="77777777" w:rsidR="00D50712" w:rsidRDefault="00D50712" w:rsidP="00741A9F">
      <w:pPr>
        <w:tabs>
          <w:tab w:val="left" w:pos="567"/>
          <w:tab w:val="left" w:pos="993"/>
        </w:tabs>
        <w:suppressAutoHyphens/>
        <w:autoSpaceDN w:val="0"/>
        <w:spacing w:after="240"/>
        <w:jc w:val="both"/>
        <w:textAlignment w:val="baseline"/>
      </w:pPr>
      <w:r w:rsidRPr="00EB4524">
        <w:tab/>
        <w:t>Zadužuje se Ministarstvo mora, prometa i infrastrukture, da u suradnji s Ministarstvom financija, osigura provedbu ove Odluke.</w:t>
      </w:r>
    </w:p>
    <w:p w14:paraId="02279669" w14:textId="77777777" w:rsidR="00D50712" w:rsidRDefault="00D50712" w:rsidP="00D50712">
      <w:pPr>
        <w:suppressAutoHyphens/>
        <w:autoSpaceDN w:val="0"/>
        <w:jc w:val="both"/>
        <w:textAlignment w:val="baseline"/>
      </w:pPr>
    </w:p>
    <w:p w14:paraId="0227966A" w14:textId="77777777" w:rsidR="00D50712" w:rsidRPr="00EB4524" w:rsidRDefault="00D50712" w:rsidP="00D50712">
      <w:pPr>
        <w:suppressAutoHyphens/>
        <w:autoSpaceDN w:val="0"/>
        <w:jc w:val="center"/>
        <w:textAlignment w:val="baseline"/>
        <w:rPr>
          <w:b/>
        </w:rPr>
      </w:pPr>
      <w:r w:rsidRPr="00EB4524">
        <w:rPr>
          <w:b/>
        </w:rPr>
        <w:t>VI.</w:t>
      </w:r>
    </w:p>
    <w:p w14:paraId="0227966B" w14:textId="77777777" w:rsidR="00D50712" w:rsidRPr="00EB4524" w:rsidRDefault="00D50712" w:rsidP="00D50712">
      <w:pPr>
        <w:suppressAutoHyphens/>
        <w:autoSpaceDN w:val="0"/>
        <w:ind w:firstLine="708"/>
        <w:textAlignment w:val="baseline"/>
        <w:rPr>
          <w:b/>
        </w:rPr>
      </w:pPr>
    </w:p>
    <w:p w14:paraId="0227966C" w14:textId="77777777" w:rsidR="00D50712" w:rsidRPr="00EB4524" w:rsidRDefault="00D50712" w:rsidP="00D50712">
      <w:pPr>
        <w:tabs>
          <w:tab w:val="left" w:pos="567"/>
          <w:tab w:val="left" w:pos="1276"/>
        </w:tabs>
        <w:spacing w:line="259" w:lineRule="auto"/>
        <w:rPr>
          <w:rFonts w:eastAsia="Calibri"/>
        </w:rPr>
      </w:pPr>
      <w:r w:rsidRPr="00EB4524">
        <w:rPr>
          <w:rFonts w:eastAsia="Calibri"/>
        </w:rPr>
        <w:tab/>
        <w:t>Ova Odluka stupa na snagu danom donošenja.</w:t>
      </w:r>
    </w:p>
    <w:p w14:paraId="0227966D" w14:textId="77777777" w:rsidR="00D50712" w:rsidRDefault="00D50712" w:rsidP="00D50712">
      <w:pPr>
        <w:pStyle w:val="BodyText"/>
      </w:pPr>
    </w:p>
    <w:p w14:paraId="0227966E" w14:textId="77777777" w:rsidR="00741A9F" w:rsidRPr="00EB4524" w:rsidRDefault="00741A9F" w:rsidP="00D50712">
      <w:pPr>
        <w:pStyle w:val="BodyText"/>
      </w:pPr>
    </w:p>
    <w:p w14:paraId="0227966F" w14:textId="77777777" w:rsidR="00D50712" w:rsidRPr="00EB4524" w:rsidRDefault="00D50712" w:rsidP="00D50712">
      <w:pPr>
        <w:pStyle w:val="BodyText"/>
      </w:pPr>
      <w:r w:rsidRPr="00EB4524">
        <w:t>Klasa:</w:t>
      </w:r>
    </w:p>
    <w:p w14:paraId="02279670" w14:textId="77777777" w:rsidR="00D50712" w:rsidRPr="00EB4524" w:rsidRDefault="00D50712" w:rsidP="00D50712">
      <w:pPr>
        <w:pStyle w:val="BodyText"/>
      </w:pPr>
      <w:r w:rsidRPr="00EB4524">
        <w:t>Urbroj:</w:t>
      </w:r>
    </w:p>
    <w:p w14:paraId="02279671" w14:textId="77777777" w:rsidR="00D50712" w:rsidRPr="00EB4524" w:rsidRDefault="00D50712" w:rsidP="00D50712">
      <w:pPr>
        <w:pStyle w:val="BodyText"/>
      </w:pPr>
    </w:p>
    <w:p w14:paraId="02279672" w14:textId="77777777" w:rsidR="00D50712" w:rsidRPr="00EB4524" w:rsidRDefault="00D50712" w:rsidP="00D50712">
      <w:pPr>
        <w:pStyle w:val="BodyText"/>
      </w:pPr>
      <w:r w:rsidRPr="00EB4524">
        <w:t xml:space="preserve">Zagreb, </w:t>
      </w:r>
    </w:p>
    <w:p w14:paraId="02279673" w14:textId="77777777" w:rsidR="00D50712" w:rsidRPr="00EB4524" w:rsidRDefault="00D50712" w:rsidP="00D50712">
      <w:pPr>
        <w:pStyle w:val="BodyText"/>
        <w:rPr>
          <w:b/>
        </w:rPr>
      </w:pPr>
    </w:p>
    <w:p w14:paraId="02279674" w14:textId="77777777" w:rsidR="00D50712" w:rsidRPr="00EB4524" w:rsidRDefault="00D50712" w:rsidP="00D50712">
      <w:pPr>
        <w:pStyle w:val="BodyText"/>
        <w:ind w:left="3600"/>
        <w:jc w:val="center"/>
        <w:rPr>
          <w:b/>
          <w:spacing w:val="40"/>
        </w:rPr>
      </w:pPr>
      <w:r w:rsidRPr="00EB4524">
        <w:rPr>
          <w:b/>
          <w:spacing w:val="40"/>
        </w:rPr>
        <w:t>PREDSJEDNIK</w:t>
      </w:r>
    </w:p>
    <w:p w14:paraId="02279675" w14:textId="77777777" w:rsidR="00D50712" w:rsidRPr="00EB4524" w:rsidRDefault="00D50712" w:rsidP="00D50712">
      <w:pPr>
        <w:pStyle w:val="BodyText"/>
        <w:ind w:left="3600"/>
        <w:jc w:val="center"/>
        <w:rPr>
          <w:b/>
        </w:rPr>
      </w:pPr>
    </w:p>
    <w:p w14:paraId="02279676" w14:textId="77777777" w:rsidR="00D50712" w:rsidRPr="00EB4524" w:rsidRDefault="00D50712" w:rsidP="00D50712">
      <w:pPr>
        <w:pStyle w:val="BodyText"/>
        <w:ind w:left="3600"/>
        <w:jc w:val="center"/>
        <w:rPr>
          <w:b/>
        </w:rPr>
      </w:pPr>
      <w:r w:rsidRPr="00EB4524">
        <w:rPr>
          <w:b/>
        </w:rPr>
        <w:t>mr. sc. Andrej Plenković</w:t>
      </w:r>
    </w:p>
    <w:p w14:paraId="02279677" w14:textId="77777777" w:rsidR="00D50712" w:rsidRPr="00D50712" w:rsidRDefault="009C5FC7" w:rsidP="009C5FC7">
      <w:pPr>
        <w:rPr>
          <w:bCs/>
          <w:color w:val="000000"/>
        </w:rPr>
      </w:pPr>
      <w:r w:rsidRPr="00D50712">
        <w:rPr>
          <w:bCs/>
          <w:color w:val="000000"/>
        </w:rPr>
        <w:t xml:space="preserve"> </w:t>
      </w:r>
    </w:p>
    <w:p w14:paraId="02279678" w14:textId="77777777" w:rsidR="00DD3A64" w:rsidRDefault="00DD3A64"/>
    <w:p w14:paraId="02279679" w14:textId="77777777" w:rsidR="00934CA2" w:rsidRDefault="00934CA2"/>
    <w:p w14:paraId="0227967A" w14:textId="77777777" w:rsidR="00934CA2" w:rsidRDefault="00934CA2"/>
    <w:p w14:paraId="0227967B" w14:textId="77777777" w:rsidR="00934CA2" w:rsidRDefault="00934CA2"/>
    <w:p w14:paraId="0227967C" w14:textId="77777777" w:rsidR="00934CA2" w:rsidRDefault="00934CA2"/>
    <w:p w14:paraId="0227967D" w14:textId="77777777" w:rsidR="00934CA2" w:rsidRDefault="00934CA2"/>
    <w:p w14:paraId="0227967E" w14:textId="77777777" w:rsidR="00934CA2" w:rsidRDefault="00934CA2"/>
    <w:p w14:paraId="0227967F" w14:textId="77777777" w:rsidR="00934CA2" w:rsidRDefault="00934CA2"/>
    <w:p w14:paraId="02279680" w14:textId="77777777" w:rsidR="00934CA2" w:rsidRDefault="00934CA2"/>
    <w:p w14:paraId="02279681" w14:textId="77777777" w:rsidR="00934CA2" w:rsidRDefault="00934CA2"/>
    <w:p w14:paraId="02279682" w14:textId="77777777" w:rsidR="00934CA2" w:rsidRDefault="00934CA2"/>
    <w:p w14:paraId="02279683" w14:textId="77777777" w:rsidR="00934CA2" w:rsidRDefault="00934CA2"/>
    <w:p w14:paraId="02279684" w14:textId="77777777" w:rsidR="00934CA2" w:rsidRDefault="00934CA2"/>
    <w:p w14:paraId="02279685" w14:textId="77777777" w:rsidR="00934CA2" w:rsidRDefault="00934CA2"/>
    <w:p w14:paraId="02279686" w14:textId="77777777" w:rsidR="00934CA2" w:rsidRDefault="00934CA2"/>
    <w:p w14:paraId="02279687" w14:textId="77777777" w:rsidR="00934CA2" w:rsidRDefault="00934CA2"/>
    <w:p w14:paraId="02279688" w14:textId="77777777" w:rsidR="00934CA2" w:rsidRDefault="00934CA2"/>
    <w:p w14:paraId="02279689" w14:textId="77777777" w:rsidR="00934CA2" w:rsidRDefault="00934CA2"/>
    <w:p w14:paraId="0227968A" w14:textId="77777777" w:rsidR="00934CA2" w:rsidRDefault="00934CA2"/>
    <w:p w14:paraId="0227968B" w14:textId="77777777" w:rsidR="00934CA2" w:rsidRDefault="00934CA2"/>
    <w:p w14:paraId="0227968C" w14:textId="77777777" w:rsidR="00934CA2" w:rsidRDefault="00934CA2"/>
    <w:p w14:paraId="0227968D" w14:textId="77777777" w:rsidR="00934CA2" w:rsidRDefault="00934CA2"/>
    <w:p w14:paraId="0227968E" w14:textId="77777777" w:rsidR="00934CA2" w:rsidRDefault="00934CA2"/>
    <w:p w14:paraId="0227968F" w14:textId="77777777" w:rsidR="00934CA2" w:rsidRDefault="00934CA2"/>
    <w:p w14:paraId="02279690" w14:textId="77777777" w:rsidR="00DF716D" w:rsidRDefault="00DF716D"/>
    <w:p w14:paraId="02279691" w14:textId="77777777" w:rsidR="00DF716D" w:rsidRDefault="00DF716D"/>
    <w:p w14:paraId="02279692" w14:textId="77777777" w:rsidR="00DF716D" w:rsidRDefault="00DF716D"/>
    <w:p w14:paraId="02279693" w14:textId="77777777" w:rsidR="00DF716D" w:rsidRDefault="00DF716D"/>
    <w:p w14:paraId="02279694" w14:textId="77777777" w:rsidR="00DF716D" w:rsidRDefault="00DF716D"/>
    <w:p w14:paraId="02279695" w14:textId="77777777" w:rsidR="00DF716D" w:rsidRDefault="00DF716D"/>
    <w:p w14:paraId="02279696" w14:textId="77777777" w:rsidR="00934CA2" w:rsidRDefault="00934CA2"/>
    <w:p w14:paraId="02279697" w14:textId="77777777" w:rsidR="00603C52" w:rsidRDefault="00603C52"/>
    <w:p w14:paraId="02279698" w14:textId="77777777" w:rsidR="00603C52" w:rsidRDefault="00603C52"/>
    <w:p w14:paraId="02279699" w14:textId="77777777" w:rsidR="00934CA2" w:rsidRDefault="00934CA2"/>
    <w:p w14:paraId="0227969A" w14:textId="77777777" w:rsidR="0080005B" w:rsidRDefault="0080005B"/>
    <w:p w14:paraId="0227969B" w14:textId="77777777" w:rsidR="0050141F" w:rsidRDefault="0050141F"/>
    <w:p w14:paraId="0227969C" w14:textId="77777777" w:rsidR="00934CA2" w:rsidRDefault="00934CA2" w:rsidP="00537583">
      <w:pPr>
        <w:spacing w:line="276" w:lineRule="auto"/>
        <w:jc w:val="center"/>
        <w:rPr>
          <w:b/>
        </w:rPr>
      </w:pPr>
      <w:r w:rsidRPr="00C01F16">
        <w:rPr>
          <w:b/>
        </w:rPr>
        <w:t>OBRAZLOŽENJE</w:t>
      </w:r>
    </w:p>
    <w:p w14:paraId="0227969D" w14:textId="77777777" w:rsidR="00ED0E99" w:rsidRDefault="00ED0E99" w:rsidP="00537583">
      <w:pPr>
        <w:spacing w:line="276" w:lineRule="auto"/>
        <w:jc w:val="center"/>
        <w:rPr>
          <w:b/>
        </w:rPr>
      </w:pPr>
    </w:p>
    <w:p w14:paraId="0227969E" w14:textId="77777777" w:rsidR="00934CA2" w:rsidRDefault="00934CA2" w:rsidP="00537583">
      <w:pPr>
        <w:spacing w:line="276" w:lineRule="auto"/>
        <w:jc w:val="center"/>
        <w:rPr>
          <w:b/>
        </w:rPr>
      </w:pPr>
    </w:p>
    <w:p w14:paraId="0227969F" w14:textId="77777777" w:rsidR="00E42DFA" w:rsidRPr="00CD1036" w:rsidRDefault="00E42DFA" w:rsidP="00537583">
      <w:pPr>
        <w:spacing w:after="60" w:line="276" w:lineRule="auto"/>
        <w:jc w:val="both"/>
        <w:rPr>
          <w:bCs/>
        </w:rPr>
      </w:pPr>
      <w:r w:rsidRPr="009D387E">
        <w:rPr>
          <w:color w:val="000000"/>
        </w:rPr>
        <w:t xml:space="preserve">Donošenjem </w:t>
      </w:r>
      <w:r w:rsidRPr="009D387E">
        <w:t>predme</w:t>
      </w:r>
      <w:r>
        <w:t xml:space="preserve">tne </w:t>
      </w:r>
      <w:r w:rsidRPr="009D387E">
        <w:t>Odluk</w:t>
      </w:r>
      <w:r>
        <w:t>e</w:t>
      </w:r>
      <w:r w:rsidRPr="009D387E">
        <w:rPr>
          <w:bCs/>
        </w:rPr>
        <w:t xml:space="preserve"> </w:t>
      </w:r>
      <w:r>
        <w:rPr>
          <w:bCs/>
        </w:rPr>
        <w:t>d</w:t>
      </w:r>
      <w:r w:rsidRPr="009D387E">
        <w:rPr>
          <w:bCs/>
        </w:rPr>
        <w:t xml:space="preserve">ruštvu </w:t>
      </w:r>
      <w:r>
        <w:rPr>
          <w:bCs/>
        </w:rPr>
        <w:t xml:space="preserve">HŽ Infrastruktura </w:t>
      </w:r>
      <w:r w:rsidRPr="009D387E">
        <w:rPr>
          <w:bCs/>
        </w:rPr>
        <w:t xml:space="preserve">d.o.o. </w:t>
      </w:r>
      <w:r w:rsidRPr="00EF6176">
        <w:rPr>
          <w:bCs/>
        </w:rPr>
        <w:t>osigura</w:t>
      </w:r>
      <w:r>
        <w:rPr>
          <w:bCs/>
        </w:rPr>
        <w:t>t</w:t>
      </w:r>
      <w:r w:rsidRPr="00EF6176">
        <w:rPr>
          <w:bCs/>
        </w:rPr>
        <w:t xml:space="preserve"> </w:t>
      </w:r>
      <w:r>
        <w:rPr>
          <w:bCs/>
        </w:rPr>
        <w:t>će</w:t>
      </w:r>
      <w:r w:rsidRPr="00EF6176">
        <w:rPr>
          <w:bCs/>
        </w:rPr>
        <w:t xml:space="preserve"> se dio sredstva za financiranje obnove željezničke infrastrukture i to za sljedeće programe:</w:t>
      </w:r>
      <w:r>
        <w:rPr>
          <w:bCs/>
        </w:rPr>
        <w:t xml:space="preserve"> </w:t>
      </w:r>
      <w:r w:rsidRPr="00EF6176">
        <w:rPr>
          <w:bCs/>
        </w:rPr>
        <w:t>Program obnove i modernizacije pruga za međunarodni promet</w:t>
      </w:r>
      <w:r>
        <w:rPr>
          <w:bCs/>
        </w:rPr>
        <w:t xml:space="preserve">, </w:t>
      </w:r>
      <w:r w:rsidRPr="00EF6176">
        <w:rPr>
          <w:bCs/>
        </w:rPr>
        <w:t>Program obnove i modernizacije pruga za regionalni promet</w:t>
      </w:r>
      <w:r>
        <w:rPr>
          <w:bCs/>
        </w:rPr>
        <w:t xml:space="preserve">, </w:t>
      </w:r>
      <w:r w:rsidRPr="00EF6176">
        <w:rPr>
          <w:bCs/>
        </w:rPr>
        <w:t>Program obnove i modernizacije pruga za lokalni promet</w:t>
      </w:r>
      <w:r w:rsidR="00E2055E">
        <w:rPr>
          <w:bCs/>
        </w:rPr>
        <w:t>,</w:t>
      </w:r>
      <w:r>
        <w:rPr>
          <w:bCs/>
        </w:rPr>
        <w:t xml:space="preserve"> </w:t>
      </w:r>
      <w:r w:rsidR="00E2055E" w:rsidRPr="00EF6176">
        <w:rPr>
          <w:bCs/>
        </w:rPr>
        <w:t>Program obnove i modernizacije željezničkog čvorišta Zagreb</w:t>
      </w:r>
      <w:r w:rsidR="00E2055E">
        <w:rPr>
          <w:bCs/>
        </w:rPr>
        <w:t xml:space="preserve"> te Program aktivnosti u funkciji infrastrukture i prometa na mreži kao cjelini.</w:t>
      </w:r>
      <w:r>
        <w:rPr>
          <w:bCs/>
        </w:rPr>
        <w:t xml:space="preserve"> </w:t>
      </w:r>
      <w:r w:rsidR="00C1059D" w:rsidRPr="009F447D">
        <w:rPr>
          <w:rFonts w:eastAsiaTheme="minorHAnsi"/>
          <w:color w:val="000000"/>
        </w:rPr>
        <w:t>Ukupna procijenjena vrijednost projek</w:t>
      </w:r>
      <w:r w:rsidR="00C1059D">
        <w:rPr>
          <w:rFonts w:eastAsiaTheme="minorHAnsi"/>
          <w:color w:val="000000"/>
        </w:rPr>
        <w:t>a</w:t>
      </w:r>
      <w:r w:rsidR="00C1059D" w:rsidRPr="009F447D">
        <w:rPr>
          <w:rFonts w:eastAsiaTheme="minorHAnsi"/>
          <w:color w:val="000000"/>
        </w:rPr>
        <w:t>ta</w:t>
      </w:r>
      <w:r w:rsidR="00C1059D">
        <w:rPr>
          <w:rFonts w:eastAsiaTheme="minorHAnsi"/>
          <w:color w:val="000000"/>
        </w:rPr>
        <w:t xml:space="preserve"> koji će se financirati iz ovog kreditnog zaduženja</w:t>
      </w:r>
      <w:r w:rsidR="00C1059D" w:rsidRPr="009F447D">
        <w:rPr>
          <w:rFonts w:eastAsiaTheme="minorHAnsi"/>
          <w:color w:val="000000"/>
        </w:rPr>
        <w:t xml:space="preserve"> </w:t>
      </w:r>
      <w:r w:rsidR="00C1059D">
        <w:rPr>
          <w:rFonts w:eastAsiaTheme="minorHAnsi"/>
          <w:color w:val="000000"/>
        </w:rPr>
        <w:t xml:space="preserve">od 300.000.000 kuna </w:t>
      </w:r>
      <w:r w:rsidR="00C1059D" w:rsidRPr="009F447D">
        <w:rPr>
          <w:rFonts w:eastAsiaTheme="minorHAnsi"/>
          <w:color w:val="000000"/>
        </w:rPr>
        <w:t>iznosi 512.123.000,00 kuna</w:t>
      </w:r>
      <w:r w:rsidR="00C1059D">
        <w:rPr>
          <w:rFonts w:eastAsiaTheme="minorHAnsi"/>
          <w:color w:val="000000"/>
        </w:rPr>
        <w:t>, pri čemu će se preostali dio od</w:t>
      </w:r>
      <w:r w:rsidR="00C1059D" w:rsidRPr="00131EDB">
        <w:t xml:space="preserve"> </w:t>
      </w:r>
      <w:r w:rsidR="00C1059D" w:rsidRPr="00131EDB">
        <w:rPr>
          <w:rFonts w:eastAsiaTheme="minorHAnsi"/>
          <w:color w:val="000000"/>
        </w:rPr>
        <w:t>212.123</w:t>
      </w:r>
      <w:r w:rsidR="00C1059D">
        <w:rPr>
          <w:rFonts w:eastAsiaTheme="minorHAnsi"/>
          <w:color w:val="000000"/>
        </w:rPr>
        <w:t xml:space="preserve">.000,00 </w:t>
      </w:r>
      <w:r w:rsidR="00C1059D" w:rsidRPr="00131EDB">
        <w:rPr>
          <w:rFonts w:eastAsiaTheme="minorHAnsi"/>
          <w:color w:val="000000"/>
        </w:rPr>
        <w:t>kuna</w:t>
      </w:r>
      <w:r w:rsidR="00C1059D">
        <w:rPr>
          <w:rFonts w:eastAsiaTheme="minorHAnsi"/>
          <w:color w:val="000000"/>
        </w:rPr>
        <w:t xml:space="preserve"> financirati</w:t>
      </w:r>
      <w:r w:rsidR="00C1059D" w:rsidRPr="00131EDB">
        <w:rPr>
          <w:rFonts w:eastAsiaTheme="minorHAnsi"/>
          <w:color w:val="000000"/>
        </w:rPr>
        <w:t xml:space="preserve"> iz drugih izvora</w:t>
      </w:r>
      <w:r w:rsidRPr="00CD1036">
        <w:rPr>
          <w:bCs/>
        </w:rPr>
        <w:t>.</w:t>
      </w:r>
    </w:p>
    <w:p w14:paraId="022796A0" w14:textId="77777777" w:rsidR="00E42DFA" w:rsidRDefault="00E42DFA" w:rsidP="00F1426B">
      <w:pPr>
        <w:spacing w:before="100" w:beforeAutospacing="1" w:after="100" w:afterAutospacing="1" w:line="276" w:lineRule="auto"/>
        <w:jc w:val="both"/>
      </w:pPr>
      <w:r>
        <w:t xml:space="preserve">Naime, sredstva koja će se osigurati ovim kreditnim zaduženjem usmjeriti će se na podizanje sigurnosti i učinkovitosti željezničkog prometa koji uvažavajući uvjete zaštite okoliša predstavlja prihvatljiv oblik prijevoza. </w:t>
      </w:r>
      <w:r w:rsidR="00120386" w:rsidRPr="00CE246B">
        <w:t>Modernizacija</w:t>
      </w:r>
      <w:r w:rsidR="00120386">
        <w:t xml:space="preserve"> </w:t>
      </w:r>
      <w:r>
        <w:t>hrvatskog željezničkog sustava, osim povećanja sigurnosti u prometu, omogućit će cjelokupnoj željezničkoj mreži konkurentnost koridora, kako među regijama, tako i unutar naše regije, kao i povećanje tržišnog udjela željeznice u međunarodnom robnom i putničkom prijevozu.</w:t>
      </w:r>
    </w:p>
    <w:p w14:paraId="022796A1" w14:textId="77777777" w:rsidR="00F83569" w:rsidRDefault="00F83569" w:rsidP="00F83569">
      <w:pPr>
        <w:spacing w:before="100" w:beforeAutospacing="1" w:after="100" w:afterAutospacing="1" w:line="276" w:lineRule="auto"/>
        <w:jc w:val="both"/>
      </w:pPr>
      <w:r>
        <w:t xml:space="preserve">Ova odluka donosi se sukladno Financijskom planu za 2020. godinu i projekciji plana za 2021. i 2022. godinu, Poslovnom planu za 2020. godinu kao i Planu za razdoblje 2020.-2024. godine, kojim su ove investicije i planirane, s posebnim uvažavanjem odobrenih zaduženja po godinama koja su uključena u Financijski plan poslovanja društva </w:t>
      </w:r>
      <w:r>
        <w:rPr>
          <w:bCs/>
        </w:rPr>
        <w:t xml:space="preserve">HŽ Infrastruktura </w:t>
      </w:r>
      <w:r w:rsidRPr="009D387E">
        <w:rPr>
          <w:bCs/>
        </w:rPr>
        <w:t>d.o.o.</w:t>
      </w:r>
      <w:r>
        <w:t>. i koje za 2020. godinu iznosi 300.000.000,00 kuna.</w:t>
      </w:r>
    </w:p>
    <w:p w14:paraId="022796A2" w14:textId="77777777" w:rsidR="00F83569" w:rsidRDefault="00F83569" w:rsidP="00F83569">
      <w:pPr>
        <w:spacing w:before="100" w:beforeAutospacing="1" w:after="100" w:afterAutospacing="1" w:line="276" w:lineRule="auto"/>
        <w:jc w:val="both"/>
      </w:pPr>
      <w:r w:rsidRPr="00FA746C">
        <w:t xml:space="preserve">Uprava </w:t>
      </w:r>
      <w:r w:rsidRPr="00FA746C">
        <w:rPr>
          <w:bCs/>
        </w:rPr>
        <w:t xml:space="preserve">društva </w:t>
      </w:r>
      <w:r>
        <w:rPr>
          <w:bCs/>
        </w:rPr>
        <w:t xml:space="preserve">HŽ Infrastruktura </w:t>
      </w:r>
      <w:r w:rsidRPr="009D387E">
        <w:rPr>
          <w:bCs/>
        </w:rPr>
        <w:t xml:space="preserve">d.o.o. </w:t>
      </w:r>
      <w:r w:rsidRPr="00FA746C">
        <w:t>na sjednici održanoj dana 09.</w:t>
      </w:r>
      <w:r w:rsidRPr="00FA746C">
        <w:rPr>
          <w:rFonts w:eastAsia="Calibri"/>
        </w:rPr>
        <w:t xml:space="preserve"> </w:t>
      </w:r>
      <w:r>
        <w:rPr>
          <w:rFonts w:eastAsia="Calibri"/>
        </w:rPr>
        <w:t>o</w:t>
      </w:r>
      <w:r w:rsidRPr="00FA746C">
        <w:rPr>
          <w:rFonts w:eastAsia="Calibri"/>
        </w:rPr>
        <w:t>žujka</w:t>
      </w:r>
      <w:r w:rsidRPr="00FA746C">
        <w:t xml:space="preserve"> 2020.</w:t>
      </w:r>
      <w:r>
        <w:t xml:space="preserve"> </w:t>
      </w:r>
      <w:r w:rsidRPr="00FA746C">
        <w:t xml:space="preserve">godine donijela je Odluku o odabiru ponude za dugoročni kredit za financiranje obnove željezničke infrastrukture br. UI-121-5-1/20 kojom se kao najpovoljnija ponuda za dugoročni kredit </w:t>
      </w:r>
      <w:r w:rsidRPr="00FA746C">
        <w:rPr>
          <w:rFonts w:eastAsia="Calibri"/>
        </w:rPr>
        <w:t xml:space="preserve">u visini od 300.000.000,00 kn za financiranje obnove željezničke infrastrukture odabire ponuda </w:t>
      </w:r>
      <w:r w:rsidR="00120386" w:rsidRPr="00CE246B">
        <w:rPr>
          <w:rFonts w:eastAsia="Calibri"/>
        </w:rPr>
        <w:t>Hrvatske banke za obnovu i razvitak</w:t>
      </w:r>
      <w:r w:rsidRPr="00FA746C">
        <w:rPr>
          <w:rFonts w:eastAsia="Calibri"/>
        </w:rPr>
        <w:t>.</w:t>
      </w:r>
      <w:r w:rsidRPr="00FA746C">
        <w:t xml:space="preserve"> Nadzorni odbor </w:t>
      </w:r>
      <w:r>
        <w:rPr>
          <w:bCs/>
        </w:rPr>
        <w:lastRenderedPageBreak/>
        <w:t xml:space="preserve">HŽ Infrastruktura </w:t>
      </w:r>
      <w:r w:rsidRPr="009D387E">
        <w:rPr>
          <w:bCs/>
        </w:rPr>
        <w:t xml:space="preserve">d.o.o. </w:t>
      </w:r>
      <w:r w:rsidR="00EE610F">
        <w:t>svojom Odlukom broj NO-40-1/19</w:t>
      </w:r>
      <w:r w:rsidRPr="00FA746C">
        <w:t xml:space="preserve"> od 10.</w:t>
      </w:r>
      <w:r w:rsidRPr="00FA746C">
        <w:rPr>
          <w:rFonts w:eastAsia="Calibri"/>
        </w:rPr>
        <w:t xml:space="preserve"> ožujka</w:t>
      </w:r>
      <w:r w:rsidRPr="00FA746C">
        <w:t xml:space="preserve"> 2020.</w:t>
      </w:r>
      <w:r>
        <w:t xml:space="preserve"> </w:t>
      </w:r>
      <w:r w:rsidRPr="00FA746C">
        <w:t>godine dao je suglasnost na Odluku Uprave o kreditnom zaduženju.</w:t>
      </w:r>
    </w:p>
    <w:p w14:paraId="022796A3" w14:textId="77777777" w:rsidR="00934CA2" w:rsidRDefault="00C969AF" w:rsidP="00F1426B">
      <w:pPr>
        <w:spacing w:before="100" w:beforeAutospacing="1" w:after="100" w:afterAutospacing="1" w:line="276" w:lineRule="auto"/>
        <w:jc w:val="both"/>
      </w:pPr>
      <w:r>
        <w:t xml:space="preserve">Stanje duga </w:t>
      </w:r>
      <w:r w:rsidR="00A40AEC">
        <w:t xml:space="preserve">društva HŽ </w:t>
      </w:r>
      <w:r w:rsidR="00A40AEC">
        <w:rPr>
          <w:bCs/>
        </w:rPr>
        <w:t xml:space="preserve">Infrastruktura d.o.o. </w:t>
      </w:r>
      <w:r>
        <w:t xml:space="preserve">za ukupna kreditna zaduženja </w:t>
      </w:r>
      <w:r>
        <w:rPr>
          <w:bCs/>
        </w:rPr>
        <w:t xml:space="preserve">na dan 29. veljače 2020. godine iznosi </w:t>
      </w:r>
      <w:r w:rsidRPr="00C969AF">
        <w:rPr>
          <w:bCs/>
        </w:rPr>
        <w:t>1.165.869.680,88</w:t>
      </w:r>
      <w:r>
        <w:rPr>
          <w:bCs/>
        </w:rPr>
        <w:t xml:space="preserve"> kn.</w:t>
      </w:r>
    </w:p>
    <w:p w14:paraId="022796A4" w14:textId="77777777" w:rsidR="00934CA2" w:rsidRPr="00934CA2" w:rsidRDefault="00934CA2" w:rsidP="00F1426B">
      <w:pPr>
        <w:spacing w:before="100" w:beforeAutospacing="1" w:after="100" w:afterAutospacing="1" w:line="276" w:lineRule="auto"/>
        <w:jc w:val="both"/>
      </w:pPr>
      <w:r w:rsidRPr="00934CA2">
        <w:rPr>
          <w:color w:val="000000"/>
        </w:rPr>
        <w:t xml:space="preserve">Donošenjem predmetne Odluke društvu </w:t>
      </w:r>
      <w:r>
        <w:rPr>
          <w:bCs/>
        </w:rPr>
        <w:t>HŽ Infrastruktura d.o.o.</w:t>
      </w:r>
      <w:r w:rsidRPr="00934CA2">
        <w:rPr>
          <w:color w:val="000000"/>
        </w:rPr>
        <w:t xml:space="preserve"> omogućiti će se realizacija kreditnog zaduženja u iznosu od </w:t>
      </w:r>
      <w:r>
        <w:rPr>
          <w:color w:val="000000"/>
        </w:rPr>
        <w:t>300</w:t>
      </w:r>
      <w:r w:rsidRPr="00934CA2">
        <w:rPr>
          <w:color w:val="000000"/>
        </w:rPr>
        <w:t xml:space="preserve">.000.000,00 </w:t>
      </w:r>
      <w:r>
        <w:rPr>
          <w:color w:val="000000"/>
        </w:rPr>
        <w:t>kuna</w:t>
      </w:r>
      <w:r w:rsidRPr="00934CA2">
        <w:rPr>
          <w:color w:val="000000"/>
        </w:rPr>
        <w:t xml:space="preserve"> kod Hrvatske banke za obnovu u razvitak uz državno jamstvo</w:t>
      </w:r>
      <w:r w:rsidR="00C969AF">
        <w:rPr>
          <w:color w:val="000000"/>
        </w:rPr>
        <w:t>.</w:t>
      </w:r>
    </w:p>
    <w:p w14:paraId="022796A5" w14:textId="77777777" w:rsidR="00934CA2" w:rsidRDefault="00934CA2" w:rsidP="00EE610F">
      <w:pPr>
        <w:spacing w:before="100" w:beforeAutospacing="1" w:after="100" w:afterAutospacing="1" w:line="276" w:lineRule="auto"/>
      </w:pPr>
      <w:r w:rsidRPr="00934CA2">
        <w:rPr>
          <w:rFonts w:ascii="Calibri" w:hAnsi="Calibri" w:cs="Calibri"/>
          <w:sz w:val="22"/>
          <w:szCs w:val="22"/>
        </w:rPr>
        <w:t> </w:t>
      </w:r>
    </w:p>
    <w:sectPr w:rsidR="00934CA2" w:rsidSect="0080005B">
      <w:pgSz w:w="11906" w:h="16838"/>
      <w:pgMar w:top="1418" w:right="1418" w:bottom="1418" w:left="1418"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796AA" w14:textId="77777777" w:rsidR="00593F10" w:rsidRDefault="00593F10">
      <w:r>
        <w:separator/>
      </w:r>
    </w:p>
  </w:endnote>
  <w:endnote w:type="continuationSeparator" w:id="0">
    <w:p w14:paraId="022796AB" w14:textId="77777777" w:rsidR="00593F10" w:rsidRDefault="0059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796A8" w14:textId="77777777" w:rsidR="00593F10" w:rsidRDefault="00593F10">
      <w:r>
        <w:separator/>
      </w:r>
    </w:p>
  </w:footnote>
  <w:footnote w:type="continuationSeparator" w:id="0">
    <w:p w14:paraId="022796A9" w14:textId="77777777" w:rsidR="00593F10" w:rsidRDefault="00593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20148"/>
    <w:multiLevelType w:val="hybridMultilevel"/>
    <w:tmpl w:val="1760121C"/>
    <w:lvl w:ilvl="0" w:tplc="CC5A142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2722B6"/>
    <w:multiLevelType w:val="hybridMultilevel"/>
    <w:tmpl w:val="559011AE"/>
    <w:lvl w:ilvl="0" w:tplc="22A6AF36">
      <w:start w:val="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BA36CDE"/>
    <w:multiLevelType w:val="hybridMultilevel"/>
    <w:tmpl w:val="FA66E7EA"/>
    <w:lvl w:ilvl="0" w:tplc="A90223C8">
      <w:start w:val="1"/>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00C1C3E"/>
    <w:multiLevelType w:val="hybridMultilevel"/>
    <w:tmpl w:val="6A78F2E2"/>
    <w:lvl w:ilvl="0" w:tplc="DA2C8636">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9273D9D"/>
    <w:multiLevelType w:val="hybridMultilevel"/>
    <w:tmpl w:val="D80A9B4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6B"/>
    <w:rsid w:val="00004FCA"/>
    <w:rsid w:val="00034CB0"/>
    <w:rsid w:val="00087FF9"/>
    <w:rsid w:val="00092662"/>
    <w:rsid w:val="00094BBE"/>
    <w:rsid w:val="000C588F"/>
    <w:rsid w:val="000F3290"/>
    <w:rsid w:val="00105FBB"/>
    <w:rsid w:val="00120386"/>
    <w:rsid w:val="00176224"/>
    <w:rsid w:val="001F7FBD"/>
    <w:rsid w:val="0023627D"/>
    <w:rsid w:val="00257715"/>
    <w:rsid w:val="0027718A"/>
    <w:rsid w:val="002D0249"/>
    <w:rsid w:val="002D736B"/>
    <w:rsid w:val="00354BE2"/>
    <w:rsid w:val="003555EC"/>
    <w:rsid w:val="00364BC3"/>
    <w:rsid w:val="00392705"/>
    <w:rsid w:val="00397CE2"/>
    <w:rsid w:val="003A7560"/>
    <w:rsid w:val="00465128"/>
    <w:rsid w:val="004C3777"/>
    <w:rsid w:val="004D3750"/>
    <w:rsid w:val="004E4E93"/>
    <w:rsid w:val="0050141F"/>
    <w:rsid w:val="00514DBF"/>
    <w:rsid w:val="00535221"/>
    <w:rsid w:val="00537583"/>
    <w:rsid w:val="00546353"/>
    <w:rsid w:val="00571A0A"/>
    <w:rsid w:val="00593F10"/>
    <w:rsid w:val="005D1ECB"/>
    <w:rsid w:val="00603C52"/>
    <w:rsid w:val="0060578A"/>
    <w:rsid w:val="00610E18"/>
    <w:rsid w:val="00612EE7"/>
    <w:rsid w:val="00655BCF"/>
    <w:rsid w:val="006602F5"/>
    <w:rsid w:val="006736BB"/>
    <w:rsid w:val="00675FA2"/>
    <w:rsid w:val="006B706B"/>
    <w:rsid w:val="006F651D"/>
    <w:rsid w:val="00741A9F"/>
    <w:rsid w:val="00753BBB"/>
    <w:rsid w:val="007E18B8"/>
    <w:rsid w:val="007E4B1E"/>
    <w:rsid w:val="0080005B"/>
    <w:rsid w:val="00816F33"/>
    <w:rsid w:val="008951A7"/>
    <w:rsid w:val="0091548B"/>
    <w:rsid w:val="00934CA2"/>
    <w:rsid w:val="00945945"/>
    <w:rsid w:val="00953264"/>
    <w:rsid w:val="00974CB9"/>
    <w:rsid w:val="00986E39"/>
    <w:rsid w:val="009C5FC7"/>
    <w:rsid w:val="00A044B6"/>
    <w:rsid w:val="00A30899"/>
    <w:rsid w:val="00A40AEC"/>
    <w:rsid w:val="00A570A1"/>
    <w:rsid w:val="00A975D6"/>
    <w:rsid w:val="00AB4024"/>
    <w:rsid w:val="00AC1368"/>
    <w:rsid w:val="00AC171C"/>
    <w:rsid w:val="00AC69C5"/>
    <w:rsid w:val="00AD3CB6"/>
    <w:rsid w:val="00B4173F"/>
    <w:rsid w:val="00B91F88"/>
    <w:rsid w:val="00B92E57"/>
    <w:rsid w:val="00B97E91"/>
    <w:rsid w:val="00BA4945"/>
    <w:rsid w:val="00BB77EB"/>
    <w:rsid w:val="00BD0612"/>
    <w:rsid w:val="00BF5F87"/>
    <w:rsid w:val="00C1059D"/>
    <w:rsid w:val="00C25F46"/>
    <w:rsid w:val="00C366DC"/>
    <w:rsid w:val="00C55300"/>
    <w:rsid w:val="00C642F1"/>
    <w:rsid w:val="00C969AF"/>
    <w:rsid w:val="00CA3C60"/>
    <w:rsid w:val="00CE246B"/>
    <w:rsid w:val="00D11EF4"/>
    <w:rsid w:val="00D17B65"/>
    <w:rsid w:val="00D50712"/>
    <w:rsid w:val="00D55E52"/>
    <w:rsid w:val="00D55F9B"/>
    <w:rsid w:val="00DA0C87"/>
    <w:rsid w:val="00DC7C1C"/>
    <w:rsid w:val="00DD3A64"/>
    <w:rsid w:val="00DE7B5E"/>
    <w:rsid w:val="00DF716D"/>
    <w:rsid w:val="00E2055E"/>
    <w:rsid w:val="00E33CE5"/>
    <w:rsid w:val="00E42DFA"/>
    <w:rsid w:val="00E47770"/>
    <w:rsid w:val="00E77A7B"/>
    <w:rsid w:val="00E950F4"/>
    <w:rsid w:val="00E971F8"/>
    <w:rsid w:val="00EA22E3"/>
    <w:rsid w:val="00EA6227"/>
    <w:rsid w:val="00EB1BAC"/>
    <w:rsid w:val="00ED0E99"/>
    <w:rsid w:val="00ED2DF5"/>
    <w:rsid w:val="00EE610F"/>
    <w:rsid w:val="00F1426B"/>
    <w:rsid w:val="00F26B76"/>
    <w:rsid w:val="00F50EB3"/>
    <w:rsid w:val="00F71DC0"/>
    <w:rsid w:val="00F83569"/>
    <w:rsid w:val="00FA7882"/>
    <w:rsid w:val="00FE24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95D7"/>
  <w15:docId w15:val="{A54C6A31-EAD5-446B-9B66-8E10AEF8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706B"/>
    <w:pPr>
      <w:tabs>
        <w:tab w:val="center" w:pos="4536"/>
        <w:tab w:val="right" w:pos="9072"/>
      </w:tabs>
    </w:pPr>
  </w:style>
  <w:style w:type="character" w:customStyle="1" w:styleId="FooterChar">
    <w:name w:val="Footer Char"/>
    <w:link w:val="Footer"/>
    <w:uiPriority w:val="99"/>
    <w:rsid w:val="006B706B"/>
    <w:rPr>
      <w:rFonts w:ascii="Times New Roman" w:eastAsia="Times New Roman" w:hAnsi="Times New Roman" w:cs="Times New Roman"/>
      <w:sz w:val="24"/>
      <w:szCs w:val="24"/>
      <w:lang w:eastAsia="hr-HR"/>
    </w:rPr>
  </w:style>
  <w:style w:type="table" w:styleId="TableGrid">
    <w:name w:val="Table Grid"/>
    <w:basedOn w:val="TableNormal"/>
    <w:rsid w:val="006B70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4CB9"/>
    <w:rPr>
      <w:rFonts w:ascii="Tahoma" w:hAnsi="Tahoma" w:cs="Tahoma"/>
      <w:sz w:val="16"/>
      <w:szCs w:val="16"/>
    </w:rPr>
  </w:style>
  <w:style w:type="character" w:customStyle="1" w:styleId="BalloonTextChar">
    <w:name w:val="Balloon Text Char"/>
    <w:link w:val="BalloonText"/>
    <w:uiPriority w:val="99"/>
    <w:semiHidden/>
    <w:rsid w:val="00974CB9"/>
    <w:rPr>
      <w:rFonts w:ascii="Tahoma" w:eastAsia="Times New Roman" w:hAnsi="Tahoma" w:cs="Tahoma"/>
      <w:sz w:val="16"/>
      <w:szCs w:val="16"/>
      <w:lang w:eastAsia="hr-HR"/>
    </w:rPr>
  </w:style>
  <w:style w:type="paragraph" w:styleId="Header">
    <w:name w:val="header"/>
    <w:basedOn w:val="Normal"/>
    <w:link w:val="HeaderChar"/>
    <w:uiPriority w:val="99"/>
    <w:unhideWhenUsed/>
    <w:rsid w:val="00D50712"/>
    <w:pPr>
      <w:tabs>
        <w:tab w:val="center" w:pos="4536"/>
        <w:tab w:val="right" w:pos="9072"/>
      </w:tabs>
    </w:pPr>
  </w:style>
  <w:style w:type="character" w:customStyle="1" w:styleId="HeaderChar">
    <w:name w:val="Header Char"/>
    <w:link w:val="Header"/>
    <w:uiPriority w:val="99"/>
    <w:rsid w:val="00D50712"/>
    <w:rPr>
      <w:rFonts w:ascii="Times New Roman" w:eastAsia="Times New Roman" w:hAnsi="Times New Roman"/>
      <w:sz w:val="24"/>
      <w:szCs w:val="24"/>
    </w:rPr>
  </w:style>
  <w:style w:type="paragraph" w:styleId="BodyText">
    <w:name w:val="Body Text"/>
    <w:basedOn w:val="Normal"/>
    <w:link w:val="BodyTextChar"/>
    <w:rsid w:val="00D50712"/>
    <w:pPr>
      <w:jc w:val="both"/>
    </w:pPr>
    <w:rPr>
      <w:lang w:val="x-none" w:eastAsia="en-US"/>
    </w:rPr>
  </w:style>
  <w:style w:type="character" w:customStyle="1" w:styleId="BodyTextChar">
    <w:name w:val="Body Text Char"/>
    <w:link w:val="BodyText"/>
    <w:rsid w:val="00D50712"/>
    <w:rPr>
      <w:rFonts w:ascii="Times New Roman" w:eastAsia="Times New Roman" w:hAnsi="Times New Roman"/>
      <w:sz w:val="24"/>
      <w:szCs w:val="24"/>
      <w:lang w:val="x-none" w:eastAsia="en-US"/>
    </w:rPr>
  </w:style>
  <w:style w:type="paragraph" w:styleId="ListParagraph">
    <w:name w:val="List Paragraph"/>
    <w:aliases w:val="Heading 12,heading 1,naslov 1,Naslov 12,Graf,Paragraph,List Paragraph Red,lp1"/>
    <w:basedOn w:val="Normal"/>
    <w:link w:val="ListParagraphChar"/>
    <w:uiPriority w:val="34"/>
    <w:qFormat/>
    <w:rsid w:val="00D50712"/>
    <w:pPr>
      <w:ind w:left="708"/>
    </w:pPr>
    <w:rPr>
      <w:lang w:eastAsia="en-US"/>
    </w:rPr>
  </w:style>
  <w:style w:type="character" w:customStyle="1" w:styleId="ListParagraphChar">
    <w:name w:val="List Paragraph Char"/>
    <w:aliases w:val="Heading 12 Char,heading 1 Char,naslov 1 Char,Naslov 12 Char,Graf Char,Paragraph Char,List Paragraph Red Char,lp1 Char"/>
    <w:link w:val="ListParagraph"/>
    <w:uiPriority w:val="34"/>
    <w:locked/>
    <w:rsid w:val="00D50712"/>
    <w:rPr>
      <w:rFonts w:ascii="Times New Roman" w:eastAsia="Times New Roman" w:hAnsi="Times New Roman"/>
      <w:sz w:val="24"/>
      <w:szCs w:val="24"/>
      <w:lang w:eastAsia="en-US"/>
    </w:rPr>
  </w:style>
  <w:style w:type="paragraph" w:styleId="BodyTextIndent">
    <w:name w:val="Body Text Indent"/>
    <w:basedOn w:val="Normal"/>
    <w:link w:val="BodyTextIndentChar"/>
    <w:uiPriority w:val="99"/>
    <w:unhideWhenUsed/>
    <w:rsid w:val="00D50712"/>
    <w:pPr>
      <w:spacing w:after="120" w:line="276" w:lineRule="auto"/>
      <w:ind w:left="283"/>
    </w:pPr>
    <w:rPr>
      <w:rFonts w:ascii="Calibri" w:eastAsia="Calibri" w:hAnsi="Calibri"/>
      <w:sz w:val="22"/>
      <w:szCs w:val="22"/>
      <w:lang w:val="en-US" w:eastAsia="en-US"/>
    </w:rPr>
  </w:style>
  <w:style w:type="character" w:customStyle="1" w:styleId="BodyTextIndentChar">
    <w:name w:val="Body Text Indent Char"/>
    <w:link w:val="BodyTextIndent"/>
    <w:uiPriority w:val="99"/>
    <w:rsid w:val="00D50712"/>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98487">
      <w:bodyDiv w:val="1"/>
      <w:marLeft w:val="0"/>
      <w:marRight w:val="0"/>
      <w:marTop w:val="0"/>
      <w:marBottom w:val="0"/>
      <w:divBdr>
        <w:top w:val="none" w:sz="0" w:space="0" w:color="auto"/>
        <w:left w:val="none" w:sz="0" w:space="0" w:color="auto"/>
        <w:bottom w:val="none" w:sz="0" w:space="0" w:color="auto"/>
        <w:right w:val="none" w:sz="0" w:space="0" w:color="auto"/>
      </w:divBdr>
    </w:div>
    <w:div w:id="11877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0D6B81-83B5-4A8E-A260-3B35AC4037B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0EBE-657F-443C-83DE-E5EECDC1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1446</Words>
  <Characters>8247</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Nada Gvozdenović</dc:creator>
  <cp:lastModifiedBy>Martina Krajačić</cp:lastModifiedBy>
  <cp:revision>5</cp:revision>
  <cp:lastPrinted>2020-03-30T12:07:00Z</cp:lastPrinted>
  <dcterms:created xsi:type="dcterms:W3CDTF">2020-04-28T10:16:00Z</dcterms:created>
  <dcterms:modified xsi:type="dcterms:W3CDTF">2020-04-28T10:22:00Z</dcterms:modified>
</cp:coreProperties>
</file>