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C3" w:rsidRDefault="00AF7EC3" w:rsidP="00AF7EC3">
      <w:pPr>
        <w:tabs>
          <w:tab w:val="left" w:pos="5730"/>
        </w:tabs>
      </w:pPr>
      <w:bookmarkStart w:id="0" w:name="_GoBack"/>
      <w:bookmarkEnd w:id="0"/>
    </w:p>
    <w:p w:rsidR="00AF7EC3" w:rsidRPr="00800462" w:rsidRDefault="00AF7EC3" w:rsidP="00AF7EC3">
      <w:pPr>
        <w:jc w:val="center"/>
      </w:pPr>
      <w:r w:rsidRPr="00800462">
        <w:rPr>
          <w:noProof/>
        </w:rPr>
        <w:drawing>
          <wp:inline distT="0" distB="0" distL="0" distR="0" wp14:anchorId="273E5D44" wp14:editId="1E8CD3B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AF7EC3" w:rsidRPr="00800462" w:rsidRDefault="00AF7EC3" w:rsidP="00AF7EC3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:rsidR="00AF7EC3" w:rsidRPr="00800462" w:rsidRDefault="00AF7EC3" w:rsidP="00AF7EC3">
      <w:pPr>
        <w:jc w:val="both"/>
      </w:pPr>
    </w:p>
    <w:p w:rsidR="00AF7EC3" w:rsidRPr="00800462" w:rsidRDefault="00AF7EC3" w:rsidP="00AF7EC3">
      <w:pPr>
        <w:jc w:val="right"/>
      </w:pPr>
      <w:r w:rsidRPr="00800462">
        <w:t xml:space="preserve">Zagreb, </w:t>
      </w:r>
      <w:r>
        <w:t xml:space="preserve">27. veljače </w:t>
      </w:r>
      <w:r w:rsidRPr="00800462">
        <w:t>20</w:t>
      </w:r>
      <w:r>
        <w:t>20</w:t>
      </w:r>
      <w:r w:rsidRPr="00800462">
        <w:t>.</w:t>
      </w:r>
    </w:p>
    <w:p w:rsidR="00AF7EC3" w:rsidRPr="00800462" w:rsidRDefault="00AF7EC3" w:rsidP="00AF7EC3">
      <w:pPr>
        <w:jc w:val="right"/>
      </w:pPr>
    </w:p>
    <w:p w:rsidR="00AF7EC3" w:rsidRDefault="00AF7EC3" w:rsidP="00AF7EC3">
      <w:pPr>
        <w:jc w:val="right"/>
      </w:pPr>
    </w:p>
    <w:p w:rsidR="00AF7EC3" w:rsidRDefault="00AF7EC3" w:rsidP="00AF7EC3">
      <w:pPr>
        <w:jc w:val="right"/>
      </w:pPr>
    </w:p>
    <w:p w:rsidR="00AF7EC3" w:rsidRDefault="00AF7EC3" w:rsidP="00AF7EC3">
      <w:pPr>
        <w:jc w:val="right"/>
      </w:pPr>
    </w:p>
    <w:p w:rsidR="00AF7EC3" w:rsidRDefault="00AF7EC3" w:rsidP="00AF7EC3">
      <w:pPr>
        <w:jc w:val="right"/>
      </w:pPr>
    </w:p>
    <w:p w:rsidR="00AF7EC3" w:rsidRPr="00800462" w:rsidRDefault="00AF7EC3" w:rsidP="00AF7EC3">
      <w:pPr>
        <w:jc w:val="right"/>
      </w:pPr>
    </w:p>
    <w:p w:rsidR="00AF7EC3" w:rsidRPr="00800462" w:rsidRDefault="00AF7EC3" w:rsidP="00AF7EC3">
      <w:pPr>
        <w:jc w:val="right"/>
      </w:pPr>
    </w:p>
    <w:p w:rsidR="00AF7EC3" w:rsidRPr="00800462" w:rsidRDefault="00AF7EC3" w:rsidP="00AF7EC3">
      <w:pPr>
        <w:jc w:val="both"/>
      </w:pPr>
      <w:r w:rsidRPr="00800462">
        <w:t>___________________________________________</w:t>
      </w:r>
      <w:r>
        <w:t>_</w:t>
      </w:r>
      <w:r w:rsidRPr="00800462">
        <w:t>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AF7EC3" w:rsidRPr="00800462" w:rsidTr="007C2040">
        <w:tc>
          <w:tcPr>
            <w:tcW w:w="1951" w:type="dxa"/>
          </w:tcPr>
          <w:p w:rsidR="00AF7EC3" w:rsidRPr="00800462" w:rsidRDefault="00AF7EC3" w:rsidP="007C2040">
            <w:pPr>
              <w:spacing w:line="360" w:lineRule="auto"/>
              <w:jc w:val="center"/>
            </w:pP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:rsidR="00AF7EC3" w:rsidRDefault="00AF7EC3" w:rsidP="007C2040">
            <w:r w:rsidRPr="002E4945">
              <w:t xml:space="preserve">Ministarstvo </w:t>
            </w:r>
            <w:r>
              <w:t>obrane</w:t>
            </w:r>
          </w:p>
          <w:p w:rsidR="00AF7EC3" w:rsidRPr="00800462" w:rsidRDefault="00AF7EC3" w:rsidP="007C2040"/>
        </w:tc>
      </w:tr>
    </w:tbl>
    <w:p w:rsidR="00AF7EC3" w:rsidRPr="00800462" w:rsidRDefault="00AF7EC3" w:rsidP="00AF7EC3">
      <w:pPr>
        <w:jc w:val="both"/>
      </w:pPr>
      <w:r w:rsidRPr="00800462">
        <w:t>_________________________________________________________________________</w:t>
      </w:r>
      <w:r>
        <w:t>_</w:t>
      </w:r>
      <w:r w:rsidRPr="00800462"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AF7EC3" w:rsidRPr="00800462" w:rsidTr="007C2040">
        <w:tc>
          <w:tcPr>
            <w:tcW w:w="1951" w:type="dxa"/>
          </w:tcPr>
          <w:p w:rsidR="00AF7EC3" w:rsidRPr="00800462" w:rsidRDefault="00AF7EC3" w:rsidP="007C2040">
            <w:pPr>
              <w:spacing w:line="360" w:lineRule="auto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:rsidR="00AF7EC3" w:rsidRPr="003C0BCD" w:rsidRDefault="00AF7EC3" w:rsidP="00100432">
            <w:pPr>
              <w:ind w:left="-70"/>
              <w:jc w:val="both"/>
              <w:rPr>
                <w:lang w:eastAsia="en-US"/>
              </w:rPr>
            </w:pPr>
            <w:r>
              <w:t>P</w:t>
            </w:r>
            <w:r w:rsidRPr="00043280">
              <w:t>rijedlog</w:t>
            </w:r>
            <w:r>
              <w:t xml:space="preserve"> </w:t>
            </w:r>
            <w:r w:rsidRPr="003C0BCD">
              <w:rPr>
                <w:lang w:eastAsia="en-US"/>
              </w:rPr>
              <w:t xml:space="preserve">plana prijma osoblja za 2020. godinu u </w:t>
            </w:r>
            <w:r>
              <w:rPr>
                <w:lang w:eastAsia="en-US"/>
              </w:rPr>
              <w:t>H</w:t>
            </w:r>
            <w:r w:rsidRPr="003C0BCD">
              <w:rPr>
                <w:lang w:eastAsia="en-US"/>
              </w:rPr>
              <w:t>rvatsku vojsku</w:t>
            </w:r>
            <w:r w:rsidR="00100432">
              <w:rPr>
                <w:lang w:eastAsia="en-US"/>
              </w:rPr>
              <w:t xml:space="preserve"> </w:t>
            </w:r>
            <w:r w:rsidRPr="003C0BCD">
              <w:rPr>
                <w:lang w:eastAsia="en-US"/>
              </w:rPr>
              <w:t xml:space="preserve">s </w:t>
            </w:r>
            <w:r w:rsidR="00100432">
              <w:rPr>
                <w:lang w:eastAsia="en-US"/>
              </w:rPr>
              <w:t>P</w:t>
            </w:r>
            <w:r w:rsidRPr="003C0BCD">
              <w:rPr>
                <w:lang w:eastAsia="en-US"/>
              </w:rPr>
              <w:t>lanom promjena kategorija postojećeg</w:t>
            </w:r>
            <w:r w:rsidR="00100432">
              <w:rPr>
                <w:lang w:eastAsia="en-US"/>
              </w:rPr>
              <w:t>a</w:t>
            </w:r>
            <w:r w:rsidRPr="003C0BCD">
              <w:rPr>
                <w:lang w:eastAsia="en-US"/>
              </w:rPr>
              <w:t xml:space="preserve"> vojnog osoblja</w:t>
            </w:r>
          </w:p>
        </w:tc>
      </w:tr>
    </w:tbl>
    <w:p w:rsidR="00AF7EC3" w:rsidRPr="00800462" w:rsidRDefault="00AF7EC3" w:rsidP="00AF7EC3">
      <w:pPr>
        <w:jc w:val="both"/>
      </w:pPr>
      <w:r w:rsidRPr="00800462">
        <w:t>__________________________________________________________________________</w:t>
      </w:r>
      <w:r>
        <w:t>_</w:t>
      </w:r>
    </w:p>
    <w:p w:rsidR="00AF7EC3" w:rsidRPr="00800462" w:rsidRDefault="00AF7EC3" w:rsidP="00AF7EC3">
      <w:pPr>
        <w:jc w:val="both"/>
      </w:pPr>
    </w:p>
    <w:p w:rsidR="00AF7EC3" w:rsidRPr="00800462" w:rsidRDefault="00AF7EC3" w:rsidP="00AF7EC3">
      <w:pPr>
        <w:jc w:val="both"/>
      </w:pPr>
    </w:p>
    <w:p w:rsidR="00AF7EC3" w:rsidRPr="00800462" w:rsidRDefault="00AF7EC3" w:rsidP="00AF7EC3">
      <w:pPr>
        <w:jc w:val="both"/>
      </w:pPr>
    </w:p>
    <w:p w:rsidR="00AF7EC3" w:rsidRPr="00800462" w:rsidRDefault="00AF7EC3" w:rsidP="00AF7EC3">
      <w:pPr>
        <w:jc w:val="both"/>
      </w:pPr>
    </w:p>
    <w:p w:rsidR="00AF7EC3" w:rsidRDefault="00AF7EC3" w:rsidP="00AF7EC3"/>
    <w:p w:rsidR="00AF7EC3" w:rsidRDefault="00AF7EC3" w:rsidP="00AF7EC3">
      <w:pPr>
        <w:pStyle w:val="Footer"/>
      </w:pPr>
    </w:p>
    <w:p w:rsidR="00AF7EC3" w:rsidRDefault="00AF7EC3" w:rsidP="00AF7EC3"/>
    <w:p w:rsidR="00AF7EC3" w:rsidRDefault="00AF7EC3" w:rsidP="00AF7EC3">
      <w:r>
        <w:tab/>
      </w:r>
    </w:p>
    <w:p w:rsidR="00AF7EC3" w:rsidRDefault="00AF7EC3" w:rsidP="00AF7EC3"/>
    <w:p w:rsidR="00AF7EC3" w:rsidRDefault="00AF7EC3" w:rsidP="00AF7EC3"/>
    <w:p w:rsidR="00AF7EC3" w:rsidRDefault="00AF7EC3" w:rsidP="00AF7EC3"/>
    <w:p w:rsidR="00AF7EC3" w:rsidRDefault="00AF7EC3" w:rsidP="00AF7EC3"/>
    <w:p w:rsidR="00AF7EC3" w:rsidRDefault="00AF7EC3" w:rsidP="00AF7EC3"/>
    <w:p w:rsidR="00AF7EC3" w:rsidRDefault="00AF7EC3" w:rsidP="00AF7EC3"/>
    <w:p w:rsidR="00AF7EC3" w:rsidRDefault="00AF7EC3" w:rsidP="00AF7EC3"/>
    <w:p w:rsidR="00AF7EC3" w:rsidRDefault="00AF7EC3" w:rsidP="00AF7EC3"/>
    <w:p w:rsidR="00AF7EC3" w:rsidRDefault="00AF7EC3" w:rsidP="00AF7EC3"/>
    <w:p w:rsidR="00AF7EC3" w:rsidRDefault="00AF7EC3" w:rsidP="00AF7EC3"/>
    <w:p w:rsidR="00AF7EC3" w:rsidRDefault="00AF7EC3" w:rsidP="00AF7EC3"/>
    <w:p w:rsidR="00AF7EC3" w:rsidRDefault="00AF7EC3" w:rsidP="00AF7EC3"/>
    <w:p w:rsidR="00AF7EC3" w:rsidRDefault="00AF7EC3" w:rsidP="00AF7EC3"/>
    <w:p w:rsidR="00AF7EC3" w:rsidRPr="006647BE" w:rsidRDefault="00AF7EC3" w:rsidP="00AF7EC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   </w:t>
      </w: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>
        <w:tab/>
      </w:r>
    </w:p>
    <w:p w:rsidR="00AF7EC3" w:rsidRPr="00F86B92" w:rsidRDefault="00AF7EC3" w:rsidP="00AF7EC3">
      <w:pPr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 xml:space="preserve">P </w:t>
      </w:r>
      <w:r w:rsidRPr="00F86B92">
        <w:rPr>
          <w:sz w:val="22"/>
          <w:szCs w:val="22"/>
          <w:lang w:eastAsia="en-US"/>
        </w:rPr>
        <w:t>r</w:t>
      </w:r>
      <w:r>
        <w:rPr>
          <w:sz w:val="22"/>
          <w:szCs w:val="22"/>
          <w:lang w:eastAsia="en-US"/>
        </w:rPr>
        <w:t xml:space="preserve"> </w:t>
      </w:r>
      <w:r w:rsidRPr="00F86B92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 xml:space="preserve"> </w:t>
      </w:r>
      <w:r w:rsidRPr="00F86B92">
        <w:rPr>
          <w:sz w:val="22"/>
          <w:szCs w:val="22"/>
          <w:lang w:eastAsia="en-US"/>
        </w:rPr>
        <w:t>j</w:t>
      </w:r>
      <w:r>
        <w:rPr>
          <w:sz w:val="22"/>
          <w:szCs w:val="22"/>
          <w:lang w:eastAsia="en-US"/>
        </w:rPr>
        <w:t xml:space="preserve"> </w:t>
      </w:r>
      <w:r w:rsidRPr="00F86B92">
        <w:rPr>
          <w:sz w:val="22"/>
          <w:szCs w:val="22"/>
          <w:lang w:eastAsia="en-US"/>
        </w:rPr>
        <w:t>e</w:t>
      </w:r>
      <w:r>
        <w:rPr>
          <w:sz w:val="22"/>
          <w:szCs w:val="22"/>
          <w:lang w:eastAsia="en-US"/>
        </w:rPr>
        <w:t xml:space="preserve"> </w:t>
      </w:r>
      <w:r w:rsidRPr="00F86B92">
        <w:rPr>
          <w:sz w:val="22"/>
          <w:szCs w:val="22"/>
          <w:lang w:eastAsia="en-US"/>
        </w:rPr>
        <w:t>d</w:t>
      </w:r>
      <w:r>
        <w:rPr>
          <w:sz w:val="22"/>
          <w:szCs w:val="22"/>
          <w:lang w:eastAsia="en-US"/>
        </w:rPr>
        <w:t xml:space="preserve"> </w:t>
      </w:r>
      <w:r w:rsidRPr="00F86B92">
        <w:rPr>
          <w:sz w:val="22"/>
          <w:szCs w:val="22"/>
          <w:lang w:eastAsia="en-US"/>
        </w:rPr>
        <w:t>l</w:t>
      </w:r>
      <w:r>
        <w:rPr>
          <w:sz w:val="22"/>
          <w:szCs w:val="22"/>
          <w:lang w:eastAsia="en-US"/>
        </w:rPr>
        <w:t xml:space="preserve"> </w:t>
      </w:r>
      <w:r w:rsidRPr="00F86B92">
        <w:rPr>
          <w:sz w:val="22"/>
          <w:szCs w:val="22"/>
          <w:lang w:eastAsia="en-US"/>
        </w:rPr>
        <w:t>o</w:t>
      </w:r>
      <w:r>
        <w:rPr>
          <w:sz w:val="22"/>
          <w:szCs w:val="22"/>
          <w:lang w:eastAsia="en-US"/>
        </w:rPr>
        <w:t xml:space="preserve"> </w:t>
      </w:r>
      <w:r w:rsidRPr="00F86B92">
        <w:rPr>
          <w:sz w:val="22"/>
          <w:szCs w:val="22"/>
          <w:lang w:eastAsia="en-US"/>
        </w:rPr>
        <w:t xml:space="preserve">g </w:t>
      </w:r>
    </w:p>
    <w:p w:rsidR="00AF7EC3" w:rsidRDefault="00AF7EC3" w:rsidP="00955416">
      <w:pPr>
        <w:jc w:val="right"/>
        <w:rPr>
          <w:sz w:val="22"/>
          <w:szCs w:val="22"/>
          <w:lang w:eastAsia="en-US"/>
        </w:rPr>
      </w:pPr>
    </w:p>
    <w:p w:rsidR="00AF7EC3" w:rsidRDefault="00AF7EC3" w:rsidP="00955416">
      <w:pPr>
        <w:jc w:val="right"/>
        <w:rPr>
          <w:sz w:val="22"/>
          <w:szCs w:val="22"/>
          <w:lang w:eastAsia="en-US"/>
        </w:rPr>
      </w:pPr>
    </w:p>
    <w:p w:rsidR="00BD7305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  <w:t>Na temelju članka 33. stavka 1. Zakona o službi u Oružanim snagama Republike Hrvatske (Narodne novine br. 73/13, 75/15</w:t>
      </w:r>
      <w:r w:rsidR="006114EE" w:rsidRPr="00F86B92">
        <w:rPr>
          <w:lang w:eastAsia="en-US"/>
        </w:rPr>
        <w:t>,</w:t>
      </w:r>
      <w:r w:rsidRPr="00F86B92">
        <w:rPr>
          <w:lang w:eastAsia="en-US"/>
        </w:rPr>
        <w:t xml:space="preserve"> 50/16</w:t>
      </w:r>
      <w:r w:rsidR="00DA52AF" w:rsidRPr="00F86B92">
        <w:rPr>
          <w:lang w:eastAsia="en-US"/>
        </w:rPr>
        <w:t>,</w:t>
      </w:r>
      <w:r w:rsidR="006114EE" w:rsidRPr="00F86B92">
        <w:rPr>
          <w:lang w:eastAsia="en-US"/>
        </w:rPr>
        <w:t xml:space="preserve"> 30/18</w:t>
      </w:r>
      <w:r w:rsidR="00DA52AF" w:rsidRPr="00F86B92">
        <w:rPr>
          <w:lang w:eastAsia="en-US"/>
        </w:rPr>
        <w:t xml:space="preserve"> i 125/19</w:t>
      </w:r>
      <w:r w:rsidRPr="00F86B92">
        <w:rPr>
          <w:lang w:eastAsia="en-US"/>
        </w:rPr>
        <w:t>), Vlada Republike Hrvatske je na sjednici održanoj ___________________ godine donijela</w:t>
      </w:r>
    </w:p>
    <w:p w:rsidR="00E0428C" w:rsidRPr="00F86B92" w:rsidRDefault="00E0428C" w:rsidP="00955416">
      <w:pPr>
        <w:jc w:val="both"/>
        <w:rPr>
          <w:lang w:eastAsia="en-US"/>
        </w:rPr>
      </w:pPr>
    </w:p>
    <w:p w:rsidR="00BD7305" w:rsidRPr="00F86B92" w:rsidRDefault="00BD7305" w:rsidP="00955416">
      <w:pPr>
        <w:rPr>
          <w:sz w:val="22"/>
          <w:szCs w:val="22"/>
          <w:lang w:eastAsia="en-US"/>
        </w:rPr>
      </w:pPr>
    </w:p>
    <w:p w:rsidR="003061F6" w:rsidRPr="00F86B92" w:rsidRDefault="00BD7305" w:rsidP="00955416">
      <w:pPr>
        <w:jc w:val="center"/>
        <w:rPr>
          <w:b/>
          <w:sz w:val="22"/>
          <w:szCs w:val="22"/>
          <w:lang w:eastAsia="en-US"/>
        </w:rPr>
      </w:pPr>
      <w:r w:rsidRPr="00F86B92">
        <w:rPr>
          <w:b/>
          <w:sz w:val="22"/>
          <w:szCs w:val="22"/>
          <w:lang w:eastAsia="en-US"/>
        </w:rPr>
        <w:t>PLAN PRIJMA OSOBLJA ZA 20</w:t>
      </w:r>
      <w:r w:rsidR="009A09D0" w:rsidRPr="00F86B92">
        <w:rPr>
          <w:b/>
          <w:sz w:val="22"/>
          <w:szCs w:val="22"/>
          <w:lang w:eastAsia="en-US"/>
        </w:rPr>
        <w:t>20</w:t>
      </w:r>
      <w:r w:rsidRPr="00F86B92">
        <w:rPr>
          <w:b/>
          <w:sz w:val="22"/>
          <w:szCs w:val="22"/>
          <w:lang w:eastAsia="en-US"/>
        </w:rPr>
        <w:t>. GODINU</w:t>
      </w:r>
      <w:r w:rsidR="003061F6" w:rsidRPr="00F86B92">
        <w:rPr>
          <w:b/>
          <w:sz w:val="22"/>
          <w:szCs w:val="22"/>
          <w:lang w:eastAsia="en-US"/>
        </w:rPr>
        <w:t xml:space="preserve"> </w:t>
      </w:r>
      <w:r w:rsidR="000E0E32" w:rsidRPr="00F86B92">
        <w:rPr>
          <w:b/>
          <w:sz w:val="22"/>
          <w:szCs w:val="22"/>
          <w:lang w:eastAsia="en-US"/>
        </w:rPr>
        <w:t>U HRVATSKU VOJ</w:t>
      </w:r>
      <w:r w:rsidR="00E0428C">
        <w:rPr>
          <w:b/>
          <w:sz w:val="22"/>
          <w:szCs w:val="22"/>
          <w:lang w:eastAsia="en-US"/>
        </w:rPr>
        <w:t>S</w:t>
      </w:r>
      <w:r w:rsidR="000E0E32" w:rsidRPr="00F86B92">
        <w:rPr>
          <w:b/>
          <w:sz w:val="22"/>
          <w:szCs w:val="22"/>
          <w:lang w:eastAsia="en-US"/>
        </w:rPr>
        <w:t>KU</w:t>
      </w:r>
    </w:p>
    <w:p w:rsidR="00BD7305" w:rsidRPr="00F86B92" w:rsidRDefault="000E0E32" w:rsidP="00955416">
      <w:pPr>
        <w:jc w:val="center"/>
        <w:rPr>
          <w:b/>
          <w:sz w:val="22"/>
          <w:szCs w:val="22"/>
          <w:lang w:eastAsia="en-US"/>
        </w:rPr>
      </w:pPr>
      <w:r w:rsidRPr="00F86B92">
        <w:rPr>
          <w:b/>
          <w:sz w:val="22"/>
          <w:szCs w:val="22"/>
          <w:lang w:eastAsia="en-US"/>
        </w:rPr>
        <w:t>S PLANOM PROMJENA KATEGORIJA POSTOJEĆEG</w:t>
      </w:r>
      <w:r w:rsidR="00D46736">
        <w:rPr>
          <w:b/>
          <w:sz w:val="22"/>
          <w:szCs w:val="22"/>
          <w:lang w:eastAsia="en-US"/>
        </w:rPr>
        <w:t>A</w:t>
      </w:r>
      <w:r w:rsidRPr="00F86B92">
        <w:rPr>
          <w:b/>
          <w:sz w:val="22"/>
          <w:szCs w:val="22"/>
          <w:lang w:eastAsia="en-US"/>
        </w:rPr>
        <w:t xml:space="preserve"> VOJNOG OSOBLJA</w:t>
      </w:r>
    </w:p>
    <w:p w:rsidR="00BD7305" w:rsidRPr="00F86B92" w:rsidRDefault="00BD7305" w:rsidP="00955416">
      <w:pPr>
        <w:rPr>
          <w:sz w:val="22"/>
          <w:szCs w:val="22"/>
          <w:lang w:eastAsia="en-US"/>
        </w:rPr>
      </w:pPr>
    </w:p>
    <w:p w:rsidR="00BD7305" w:rsidRPr="00F86B92" w:rsidRDefault="00BD7305" w:rsidP="00955416">
      <w:pPr>
        <w:rPr>
          <w:lang w:eastAsia="en-US"/>
        </w:rPr>
      </w:pPr>
    </w:p>
    <w:p w:rsidR="00BD7305" w:rsidRPr="00F86B92" w:rsidRDefault="00A82969" w:rsidP="00955416">
      <w:pPr>
        <w:pStyle w:val="ListParagraph"/>
        <w:numPr>
          <w:ilvl w:val="0"/>
          <w:numId w:val="8"/>
        </w:numPr>
        <w:ind w:firstLine="0"/>
        <w:jc w:val="both"/>
        <w:rPr>
          <w:b/>
        </w:rPr>
      </w:pPr>
      <w:r w:rsidRPr="00F86B92">
        <w:rPr>
          <w:b/>
        </w:rPr>
        <w:t>UVOD</w:t>
      </w:r>
    </w:p>
    <w:p w:rsidR="00A82969" w:rsidRPr="00F86B92" w:rsidRDefault="00A82969" w:rsidP="00955416">
      <w:pPr>
        <w:jc w:val="both"/>
      </w:pPr>
    </w:p>
    <w:p w:rsidR="00BD7305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  <w:t>U skladu sa Zakonom o službi u Oružanim snagama Republike Hrvatske (Narodne novine, br. 73/13, 75/15</w:t>
      </w:r>
      <w:r w:rsidR="006114EE" w:rsidRPr="00F86B92">
        <w:rPr>
          <w:lang w:eastAsia="en-US"/>
        </w:rPr>
        <w:t>,</w:t>
      </w:r>
      <w:r w:rsidRPr="00F86B92">
        <w:rPr>
          <w:lang w:eastAsia="en-US"/>
        </w:rPr>
        <w:t xml:space="preserve"> 50/16</w:t>
      </w:r>
      <w:r w:rsidR="000E0E32" w:rsidRPr="00F86B92">
        <w:rPr>
          <w:lang w:eastAsia="en-US"/>
        </w:rPr>
        <w:t>,</w:t>
      </w:r>
      <w:r w:rsidR="006114EE" w:rsidRPr="00F86B92">
        <w:rPr>
          <w:lang w:eastAsia="en-US"/>
        </w:rPr>
        <w:t xml:space="preserve"> 30/18</w:t>
      </w:r>
      <w:r w:rsidR="00C81758" w:rsidRPr="00F86B92">
        <w:rPr>
          <w:lang w:eastAsia="en-US"/>
        </w:rPr>
        <w:t xml:space="preserve"> i</w:t>
      </w:r>
      <w:r w:rsidR="000E0E32" w:rsidRPr="00F86B92">
        <w:rPr>
          <w:lang w:eastAsia="en-US"/>
        </w:rPr>
        <w:t xml:space="preserve"> 125/19</w:t>
      </w:r>
      <w:r w:rsidRPr="00F86B92">
        <w:rPr>
          <w:lang w:eastAsia="en-US"/>
        </w:rPr>
        <w:t xml:space="preserve">) Ministarstvo obrane obvezno je svake godine izraditi godišnji plan prijma osoblja kojim se utvrđuje broj i struktura djelatnih vojnih osoba za prijam, a koji u skladu s potrebama Oružanih snaga Republike Hrvatske </w:t>
      </w:r>
      <w:r w:rsidR="00E0428C">
        <w:rPr>
          <w:lang w:eastAsia="en-US"/>
        </w:rPr>
        <w:t>(u daljnjem tekstu</w:t>
      </w:r>
      <w:r w:rsidR="00191A9C" w:rsidRPr="00F86B92">
        <w:rPr>
          <w:lang w:eastAsia="en-US"/>
        </w:rPr>
        <w:t xml:space="preserve"> </w:t>
      </w:r>
      <w:r w:rsidR="00683A9D" w:rsidRPr="00F86B92">
        <w:rPr>
          <w:lang w:eastAsia="en-US"/>
        </w:rPr>
        <w:t xml:space="preserve">Hrvatska vojska) </w:t>
      </w:r>
      <w:r w:rsidRPr="00F86B92">
        <w:rPr>
          <w:lang w:eastAsia="en-US"/>
        </w:rPr>
        <w:t>na prijedlog ministra obrane donosi Vlada Republike Hrvatske.</w:t>
      </w:r>
    </w:p>
    <w:p w:rsidR="00E0428C" w:rsidRPr="00F86B92" w:rsidRDefault="00E0428C" w:rsidP="00955416">
      <w:pPr>
        <w:jc w:val="both"/>
        <w:rPr>
          <w:lang w:eastAsia="en-US"/>
        </w:rPr>
      </w:pPr>
    </w:p>
    <w:p w:rsidR="00BD7305" w:rsidRDefault="00BD7305" w:rsidP="00955416">
      <w:pPr>
        <w:jc w:val="both"/>
      </w:pPr>
      <w:r w:rsidRPr="00F86B92">
        <w:rPr>
          <w:lang w:eastAsia="en-US"/>
        </w:rPr>
        <w:tab/>
      </w:r>
      <w:r w:rsidR="001854BB" w:rsidRPr="00F86B92">
        <w:rPr>
          <w:lang w:eastAsia="en-US"/>
        </w:rPr>
        <w:t>Pri</w:t>
      </w:r>
      <w:r w:rsidR="003061F6" w:rsidRPr="00F86B92">
        <w:rPr>
          <w:lang w:eastAsia="en-US"/>
        </w:rPr>
        <w:t>jam</w:t>
      </w:r>
      <w:r w:rsidR="001854BB" w:rsidRPr="00F86B92">
        <w:rPr>
          <w:lang w:eastAsia="en-US"/>
        </w:rPr>
        <w:t xml:space="preserve"> </w:t>
      </w:r>
      <w:r w:rsidRPr="00F86B92">
        <w:rPr>
          <w:lang w:eastAsia="en-US"/>
        </w:rPr>
        <w:t xml:space="preserve">osoblja stalni je proces </w:t>
      </w:r>
      <w:r w:rsidRPr="00F86B92">
        <w:t xml:space="preserve">privlačenja, odabira i </w:t>
      </w:r>
      <w:r w:rsidR="003061F6" w:rsidRPr="00F86B92">
        <w:t>prijma</w:t>
      </w:r>
      <w:r w:rsidR="001854BB" w:rsidRPr="00F86B92">
        <w:t xml:space="preserve"> </w:t>
      </w:r>
      <w:r w:rsidRPr="00F86B92">
        <w:rPr>
          <w:lang w:eastAsia="en-US"/>
        </w:rPr>
        <w:t xml:space="preserve">kojim se osigurava </w:t>
      </w:r>
      <w:r w:rsidR="00D46736">
        <w:t xml:space="preserve">popuna </w:t>
      </w:r>
      <w:r w:rsidR="00D46736">
        <w:rPr>
          <w:lang w:eastAsia="en-US"/>
        </w:rPr>
        <w:t>Hrvatske vojske</w:t>
      </w:r>
      <w:r w:rsidR="00E00C6B" w:rsidRPr="00F86B92">
        <w:t xml:space="preserve"> </w:t>
      </w:r>
      <w:r w:rsidRPr="00F86B92">
        <w:t>najboljim kandidatima u skladu s obrambenim potrebama.</w:t>
      </w:r>
    </w:p>
    <w:p w:rsidR="00E0428C" w:rsidRPr="00F86B92" w:rsidRDefault="00E0428C" w:rsidP="00955416">
      <w:pPr>
        <w:jc w:val="both"/>
      </w:pPr>
    </w:p>
    <w:p w:rsidR="00E0428C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  <w:t>Suradnjo</w:t>
      </w:r>
      <w:r w:rsidR="00E0428C">
        <w:rPr>
          <w:lang w:eastAsia="en-US"/>
        </w:rPr>
        <w:t>m s</w:t>
      </w:r>
      <w:r w:rsidRPr="00F86B92">
        <w:rPr>
          <w:lang w:eastAsia="en-US"/>
        </w:rPr>
        <w:t xml:space="preserve"> srednjoškolskim i </w:t>
      </w:r>
      <w:r w:rsidR="003061F6" w:rsidRPr="00F86B92">
        <w:rPr>
          <w:lang w:eastAsia="en-US"/>
        </w:rPr>
        <w:t>visokoškolskim</w:t>
      </w:r>
      <w:r w:rsidRPr="00F86B92">
        <w:rPr>
          <w:lang w:eastAsia="en-US"/>
        </w:rPr>
        <w:t xml:space="preserve"> ustanovama, Hrva</w:t>
      </w:r>
      <w:r w:rsidR="00E0428C">
        <w:rPr>
          <w:lang w:eastAsia="en-US"/>
        </w:rPr>
        <w:t xml:space="preserve">tskim zavodom za zapošljavanje, </w:t>
      </w:r>
      <w:r w:rsidRPr="00F86B92">
        <w:rPr>
          <w:lang w:eastAsia="en-US"/>
        </w:rPr>
        <w:t xml:space="preserve">promidžbom putem medija i sudjelovanjem na manifestacijama te drugim djelatnostima predviđenima godišnjim promidžbenim planom javnosti se pružaju podaci o vojnom pozivu. </w:t>
      </w:r>
    </w:p>
    <w:p w:rsidR="00E0428C" w:rsidRDefault="00E0428C" w:rsidP="00955416">
      <w:pPr>
        <w:jc w:val="both"/>
        <w:rPr>
          <w:lang w:eastAsia="en-US"/>
        </w:rPr>
      </w:pPr>
    </w:p>
    <w:p w:rsidR="00BD7305" w:rsidRDefault="00955416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BD7305" w:rsidRPr="00F86B92">
        <w:rPr>
          <w:lang w:eastAsia="en-US"/>
        </w:rPr>
        <w:t xml:space="preserve">Ministarstvo obrane i </w:t>
      </w:r>
      <w:r w:rsidR="00191A9C" w:rsidRPr="00F86B92">
        <w:rPr>
          <w:lang w:eastAsia="en-US"/>
        </w:rPr>
        <w:t xml:space="preserve">Hrvatska vojska </w:t>
      </w:r>
      <w:r w:rsidR="00BD7305" w:rsidRPr="00F86B92">
        <w:rPr>
          <w:lang w:eastAsia="en-US"/>
        </w:rPr>
        <w:t>žele se predstaviti poželjnim poslodavcem i privlačnim mjestom za početak radne karijere.</w:t>
      </w:r>
    </w:p>
    <w:p w:rsidR="00E0428C" w:rsidRPr="00F86B92" w:rsidRDefault="00E0428C" w:rsidP="00955416">
      <w:pPr>
        <w:jc w:val="both"/>
        <w:rPr>
          <w:lang w:eastAsia="en-US"/>
        </w:rPr>
      </w:pPr>
    </w:p>
    <w:p w:rsidR="003061F6" w:rsidRPr="00F86B92" w:rsidRDefault="003061F6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  <w:t>Izrazi u ovom</w:t>
      </w:r>
      <w:r w:rsidR="00D46736">
        <w:rPr>
          <w:lang w:eastAsia="en-US"/>
        </w:rPr>
        <w:t>e</w:t>
      </w:r>
      <w:r w:rsidRPr="00F86B92">
        <w:rPr>
          <w:lang w:eastAsia="en-US"/>
        </w:rPr>
        <w:t xml:space="preserve"> Planu koji imaju rodno značenje i bez obzira </w:t>
      </w:r>
      <w:r w:rsidR="00D46736">
        <w:rPr>
          <w:lang w:eastAsia="en-US"/>
        </w:rPr>
        <w:t xml:space="preserve">na to </w:t>
      </w:r>
      <w:r w:rsidRPr="00F86B92">
        <w:rPr>
          <w:lang w:eastAsia="en-US"/>
        </w:rPr>
        <w:t>koriste li se u muškom ili ženskom rodu odnose se jednako na muški i ženski rod.</w:t>
      </w:r>
    </w:p>
    <w:p w:rsidR="00BD7305" w:rsidRPr="00F86B92" w:rsidRDefault="00BD7305" w:rsidP="00955416">
      <w:pPr>
        <w:jc w:val="both"/>
        <w:rPr>
          <w:lang w:eastAsia="en-US"/>
        </w:rPr>
      </w:pPr>
    </w:p>
    <w:p w:rsidR="00BD7305" w:rsidRPr="00F86B92" w:rsidRDefault="00A82969" w:rsidP="00955416">
      <w:pPr>
        <w:pStyle w:val="ListParagraph"/>
        <w:numPr>
          <w:ilvl w:val="0"/>
          <w:numId w:val="8"/>
        </w:numPr>
        <w:ind w:firstLine="0"/>
        <w:jc w:val="both"/>
        <w:rPr>
          <w:b/>
        </w:rPr>
      </w:pPr>
      <w:r w:rsidRPr="00F86B92">
        <w:rPr>
          <w:b/>
        </w:rPr>
        <w:t>NAMJENA PLANA</w:t>
      </w:r>
    </w:p>
    <w:p w:rsidR="00A82969" w:rsidRPr="00F86B92" w:rsidRDefault="00A82969" w:rsidP="00955416">
      <w:pPr>
        <w:jc w:val="both"/>
      </w:pPr>
    </w:p>
    <w:p w:rsidR="00E0428C" w:rsidRDefault="00BD7305" w:rsidP="00955416">
      <w:pPr>
        <w:jc w:val="both"/>
        <w:rPr>
          <w:bCs/>
          <w:lang w:eastAsia="en-US"/>
        </w:rPr>
      </w:pPr>
      <w:r w:rsidRPr="00F86B92">
        <w:tab/>
        <w:t xml:space="preserve">Ovim </w:t>
      </w:r>
      <w:r w:rsidR="00C853C7" w:rsidRPr="00F86B92">
        <w:t>P</w:t>
      </w:r>
      <w:r w:rsidRPr="00F86B92">
        <w:t>lanom nastavlja</w:t>
      </w:r>
      <w:r w:rsidRPr="00F86B92">
        <w:rPr>
          <w:bCs/>
          <w:lang w:eastAsia="en-US"/>
        </w:rPr>
        <w:t xml:space="preserve"> se trajni proces planskog prijma vojnika/mornara i visokoobrazovanih časnika u službu radi uravnoteženja dobne</w:t>
      </w:r>
      <w:r w:rsidR="003A5B4C" w:rsidRPr="00F86B92">
        <w:rPr>
          <w:bCs/>
          <w:lang w:eastAsia="en-US"/>
        </w:rPr>
        <w:t xml:space="preserve"> strukture i održavanja brojčane veličine</w:t>
      </w:r>
      <w:r w:rsidRPr="00F86B92">
        <w:rPr>
          <w:bCs/>
          <w:lang w:eastAsia="en-US"/>
        </w:rPr>
        <w:t>.</w:t>
      </w:r>
      <w:r w:rsidR="00E5206B" w:rsidRPr="00F86B92">
        <w:rPr>
          <w:bCs/>
          <w:lang w:eastAsia="en-US"/>
        </w:rPr>
        <w:t xml:space="preserve"> </w:t>
      </w:r>
    </w:p>
    <w:p w:rsidR="00E0428C" w:rsidRDefault="00E0428C" w:rsidP="00955416">
      <w:pPr>
        <w:jc w:val="both"/>
        <w:rPr>
          <w:bCs/>
          <w:lang w:eastAsia="en-US"/>
        </w:rPr>
      </w:pPr>
    </w:p>
    <w:p w:rsidR="00BD7305" w:rsidRPr="00F86B92" w:rsidRDefault="00955416" w:rsidP="00955416">
      <w:pPr>
        <w:jc w:val="both"/>
        <w:rPr>
          <w:bCs/>
          <w:lang w:eastAsia="en-US"/>
        </w:rPr>
      </w:pPr>
      <w:r>
        <w:rPr>
          <w:bCs/>
          <w:lang w:eastAsia="en-US"/>
        </w:rPr>
        <w:tab/>
      </w:r>
      <w:r w:rsidR="00BD7305" w:rsidRPr="00F86B92">
        <w:rPr>
          <w:bCs/>
          <w:lang w:eastAsia="en-US"/>
        </w:rPr>
        <w:t>Plan obuhvaća i prijam dočasnika koji se, osim dočasnika vojnih specijalista, primaju isključivo ugovorni</w:t>
      </w:r>
      <w:r w:rsidR="00D46736">
        <w:rPr>
          <w:bCs/>
          <w:lang w:eastAsia="en-US"/>
        </w:rPr>
        <w:t>m</w:t>
      </w:r>
      <w:r w:rsidR="00BD7305" w:rsidRPr="00F86B92">
        <w:rPr>
          <w:bCs/>
          <w:lang w:eastAsia="en-US"/>
        </w:rPr>
        <w:t xml:space="preserve"> vojni</w:t>
      </w:r>
      <w:r w:rsidR="00D46736">
        <w:rPr>
          <w:bCs/>
          <w:lang w:eastAsia="en-US"/>
        </w:rPr>
        <w:t>cim</w:t>
      </w:r>
      <w:r w:rsidR="003061F6" w:rsidRPr="00F86B92">
        <w:rPr>
          <w:bCs/>
          <w:lang w:eastAsia="en-US"/>
        </w:rPr>
        <w:t>a</w:t>
      </w:r>
      <w:r w:rsidR="00D46736">
        <w:rPr>
          <w:bCs/>
          <w:lang w:eastAsia="en-US"/>
        </w:rPr>
        <w:t>/mornarima</w:t>
      </w:r>
      <w:r w:rsidR="00BD7305" w:rsidRPr="00F86B92">
        <w:rPr>
          <w:bCs/>
          <w:lang w:eastAsia="en-US"/>
        </w:rPr>
        <w:t xml:space="preserve"> kada dodjelom prvog</w:t>
      </w:r>
      <w:r w:rsidR="00D46736">
        <w:rPr>
          <w:bCs/>
          <w:lang w:eastAsia="en-US"/>
        </w:rPr>
        <w:t>a</w:t>
      </w:r>
      <w:r w:rsidR="00BD7305" w:rsidRPr="00F86B92">
        <w:rPr>
          <w:bCs/>
          <w:lang w:eastAsia="en-US"/>
        </w:rPr>
        <w:t xml:space="preserve"> dočasničkog čina mijenjaju kategoriju.</w:t>
      </w:r>
    </w:p>
    <w:p w:rsidR="00E0428C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</w:r>
    </w:p>
    <w:p w:rsidR="003061F6" w:rsidRPr="00F86B92" w:rsidRDefault="00955416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3061F6" w:rsidRPr="00F86B92">
        <w:rPr>
          <w:lang w:eastAsia="en-US"/>
        </w:rPr>
        <w:t xml:space="preserve">Za postizanje ciljane brojnosti i strukture osoblja </w:t>
      </w:r>
      <w:r w:rsidR="00BD7305" w:rsidRPr="00F86B92">
        <w:rPr>
          <w:lang w:eastAsia="en-US"/>
        </w:rPr>
        <w:t xml:space="preserve">potrebno je uspostaviti odgovarajuću </w:t>
      </w:r>
      <w:r w:rsidR="001E49AA" w:rsidRPr="00F86B92">
        <w:rPr>
          <w:lang w:eastAsia="en-US"/>
        </w:rPr>
        <w:t>popunu i veličinu</w:t>
      </w:r>
      <w:r w:rsidR="00BD7305" w:rsidRPr="00F86B92">
        <w:rPr>
          <w:lang w:eastAsia="en-US"/>
        </w:rPr>
        <w:t xml:space="preserve"> obrambenog sustava na što, uz plansko izdvajanj</w:t>
      </w:r>
      <w:r w:rsidR="00D46736">
        <w:rPr>
          <w:lang w:eastAsia="en-US"/>
        </w:rPr>
        <w:t>e i promicanje osoblja, znatno</w:t>
      </w:r>
      <w:r w:rsidR="00BD7305" w:rsidRPr="00F86B92">
        <w:rPr>
          <w:lang w:eastAsia="en-US"/>
        </w:rPr>
        <w:t xml:space="preserve"> utječe učinkovit postupak prijma i odabira osoblja.</w:t>
      </w:r>
    </w:p>
    <w:p w:rsidR="006F2825" w:rsidRDefault="00955416" w:rsidP="00955416">
      <w:pPr>
        <w:jc w:val="both"/>
        <w:rPr>
          <w:lang w:eastAsia="en-US"/>
        </w:rPr>
      </w:pPr>
      <w:r>
        <w:rPr>
          <w:lang w:eastAsia="en-US"/>
        </w:rPr>
        <w:tab/>
      </w:r>
    </w:p>
    <w:p w:rsidR="00BD7305" w:rsidRPr="00F86B92" w:rsidRDefault="00BD7305" w:rsidP="006F2825">
      <w:pPr>
        <w:ind w:firstLine="708"/>
        <w:jc w:val="both"/>
        <w:rPr>
          <w:lang w:eastAsia="en-US"/>
        </w:rPr>
      </w:pPr>
      <w:r w:rsidRPr="00F86B92">
        <w:rPr>
          <w:lang w:eastAsia="en-US"/>
        </w:rPr>
        <w:t xml:space="preserve">Namjera je da se planskim prijmom osoblja u djelatnu vojnu službu </w:t>
      </w:r>
      <w:r w:rsidRPr="00F86B92">
        <w:t xml:space="preserve">poboljša </w:t>
      </w:r>
      <w:r w:rsidRPr="00F86B92">
        <w:rPr>
          <w:lang w:eastAsia="en-US"/>
        </w:rPr>
        <w:t>dobna</w:t>
      </w:r>
      <w:r w:rsidR="003A5B4C" w:rsidRPr="00F86B92">
        <w:rPr>
          <w:lang w:eastAsia="en-US"/>
        </w:rPr>
        <w:t xml:space="preserve"> struktura i održi brojčana veličina osoblja</w:t>
      </w:r>
      <w:r w:rsidRPr="00F86B92">
        <w:rPr>
          <w:lang w:eastAsia="en-US"/>
        </w:rPr>
        <w:t xml:space="preserve">, čime se istodobno oblikuje i </w:t>
      </w:r>
      <w:r w:rsidR="001854BB" w:rsidRPr="00F86B92">
        <w:rPr>
          <w:lang w:eastAsia="en-US"/>
        </w:rPr>
        <w:t>ukupna</w:t>
      </w:r>
      <w:r w:rsidRPr="00F86B92">
        <w:rPr>
          <w:lang w:eastAsia="en-US"/>
        </w:rPr>
        <w:t xml:space="preserve"> struktura</w:t>
      </w:r>
      <w:r w:rsidR="001854BB" w:rsidRPr="00F86B92">
        <w:rPr>
          <w:lang w:eastAsia="en-US"/>
        </w:rPr>
        <w:t xml:space="preserve"> osoblja</w:t>
      </w:r>
      <w:r w:rsidRPr="00F86B92">
        <w:rPr>
          <w:lang w:eastAsia="en-US"/>
        </w:rPr>
        <w:t>.</w:t>
      </w:r>
      <w:bookmarkStart w:id="1" w:name="_Toc471226921"/>
    </w:p>
    <w:bookmarkEnd w:id="1"/>
    <w:p w:rsidR="00BD7305" w:rsidRPr="00F86B92" w:rsidRDefault="00A82969" w:rsidP="00955416">
      <w:pPr>
        <w:pStyle w:val="ListParagraph"/>
        <w:numPr>
          <w:ilvl w:val="0"/>
          <w:numId w:val="8"/>
        </w:numPr>
        <w:ind w:firstLine="0"/>
        <w:jc w:val="both"/>
        <w:rPr>
          <w:b/>
        </w:rPr>
      </w:pPr>
      <w:r w:rsidRPr="00F86B92">
        <w:rPr>
          <w:b/>
        </w:rPr>
        <w:lastRenderedPageBreak/>
        <w:t>BROJČANA VELIČINA I STRUKTURA PRIJMA</w:t>
      </w:r>
    </w:p>
    <w:p w:rsidR="00983413" w:rsidRPr="00F86B92" w:rsidRDefault="00983413" w:rsidP="00955416">
      <w:pPr>
        <w:jc w:val="both"/>
      </w:pPr>
    </w:p>
    <w:p w:rsidR="00BD7305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  <w:t>Planom za 20</w:t>
      </w:r>
      <w:r w:rsidR="009A09D0" w:rsidRPr="00F86B92">
        <w:rPr>
          <w:lang w:eastAsia="en-US"/>
        </w:rPr>
        <w:t>20</w:t>
      </w:r>
      <w:r w:rsidRPr="00F86B92">
        <w:rPr>
          <w:lang w:eastAsia="en-US"/>
        </w:rPr>
        <w:t>. godinu predviđen</w:t>
      </w:r>
      <w:r w:rsidR="000A7069" w:rsidRPr="00F86B92">
        <w:rPr>
          <w:lang w:eastAsia="en-US"/>
        </w:rPr>
        <w:t>i su</w:t>
      </w:r>
      <w:r w:rsidRPr="00F86B92">
        <w:rPr>
          <w:lang w:eastAsia="en-US"/>
        </w:rPr>
        <w:t>:</w:t>
      </w:r>
    </w:p>
    <w:p w:rsidR="00AB1C6B" w:rsidRPr="00F86B92" w:rsidRDefault="00AB1C6B" w:rsidP="00955416">
      <w:pPr>
        <w:jc w:val="both"/>
        <w:rPr>
          <w:lang w:eastAsia="en-US"/>
        </w:rPr>
      </w:pPr>
    </w:p>
    <w:p w:rsidR="00BD7305" w:rsidRPr="00F86B92" w:rsidRDefault="00BD7305" w:rsidP="00955416">
      <w:pPr>
        <w:jc w:val="both"/>
        <w:rPr>
          <w:b/>
          <w:lang w:eastAsia="en-US"/>
        </w:rPr>
      </w:pPr>
      <w:r w:rsidRPr="00F86B92">
        <w:rPr>
          <w:b/>
          <w:lang w:eastAsia="en-US"/>
        </w:rPr>
        <w:t xml:space="preserve">1. </w:t>
      </w:r>
      <w:r w:rsidR="003170DB" w:rsidRPr="00F86B92">
        <w:rPr>
          <w:b/>
          <w:lang w:eastAsia="en-US"/>
        </w:rPr>
        <w:t>prijam s tržišta rada</w:t>
      </w:r>
      <w:r w:rsidRPr="00F86B92">
        <w:rPr>
          <w:b/>
          <w:lang w:eastAsia="en-US"/>
        </w:rPr>
        <w:t>:</w:t>
      </w:r>
    </w:p>
    <w:p w:rsidR="003061F6" w:rsidRPr="00F86B92" w:rsidRDefault="003479B6" w:rsidP="00955416">
      <w:pPr>
        <w:numPr>
          <w:ilvl w:val="0"/>
          <w:numId w:val="2"/>
        </w:numPr>
        <w:ind w:firstLine="0"/>
        <w:jc w:val="both"/>
        <w:rPr>
          <w:lang w:eastAsia="en-US"/>
        </w:rPr>
      </w:pPr>
      <w:r w:rsidRPr="00F86B92">
        <w:rPr>
          <w:lang w:eastAsia="en-US"/>
        </w:rPr>
        <w:t>8</w:t>
      </w:r>
      <w:r w:rsidR="003061F6" w:rsidRPr="00F86B92">
        <w:rPr>
          <w:lang w:eastAsia="en-US"/>
        </w:rPr>
        <w:t>00 vojnika/mornara na temelju javnog natječaja</w:t>
      </w:r>
      <w:r w:rsidR="00654089" w:rsidRPr="00F86B92">
        <w:rPr>
          <w:lang w:eastAsia="en-US"/>
        </w:rPr>
        <w:t>,</w:t>
      </w:r>
      <w:r w:rsidR="003061F6" w:rsidRPr="00F86B92">
        <w:rPr>
          <w:lang w:eastAsia="en-US"/>
        </w:rPr>
        <w:t xml:space="preserve"> s kojima će biti potpisani ugovori o vojničkoj službi</w:t>
      </w:r>
    </w:p>
    <w:p w:rsidR="007A7FB9" w:rsidRPr="00A76744" w:rsidRDefault="003479B6" w:rsidP="00955416">
      <w:pPr>
        <w:numPr>
          <w:ilvl w:val="0"/>
          <w:numId w:val="2"/>
        </w:numPr>
        <w:ind w:firstLine="0"/>
        <w:jc w:val="both"/>
        <w:rPr>
          <w:lang w:eastAsia="en-US"/>
        </w:rPr>
      </w:pPr>
      <w:r w:rsidRPr="00A76744">
        <w:rPr>
          <w:lang w:eastAsia="en-US"/>
        </w:rPr>
        <w:t>50</w:t>
      </w:r>
      <w:r w:rsidR="00A24A00" w:rsidRPr="00A76744">
        <w:rPr>
          <w:lang w:eastAsia="en-US"/>
        </w:rPr>
        <w:t xml:space="preserve"> </w:t>
      </w:r>
      <w:r w:rsidRPr="00A76744">
        <w:rPr>
          <w:lang w:eastAsia="en-US"/>
        </w:rPr>
        <w:t>namještenika</w:t>
      </w:r>
      <w:r w:rsidR="00A24A00" w:rsidRPr="00A76744">
        <w:rPr>
          <w:lang w:eastAsia="en-US"/>
        </w:rPr>
        <w:t xml:space="preserve"> </w:t>
      </w:r>
      <w:r w:rsidR="00AC373B" w:rsidRPr="00A76744">
        <w:rPr>
          <w:lang w:eastAsia="en-US"/>
        </w:rPr>
        <w:t>na temelju javnog natječaja</w:t>
      </w:r>
      <w:r w:rsidR="005931DB" w:rsidRPr="00A76744">
        <w:rPr>
          <w:lang w:eastAsia="en-US"/>
        </w:rPr>
        <w:t xml:space="preserve"> </w:t>
      </w:r>
    </w:p>
    <w:p w:rsidR="005931DB" w:rsidRDefault="00AB1C6B" w:rsidP="00955416">
      <w:pPr>
        <w:numPr>
          <w:ilvl w:val="0"/>
          <w:numId w:val="2"/>
        </w:numPr>
        <w:ind w:firstLine="0"/>
        <w:jc w:val="both"/>
        <w:rPr>
          <w:lang w:eastAsia="en-US"/>
        </w:rPr>
      </w:pPr>
      <w:r>
        <w:rPr>
          <w:lang w:eastAsia="en-US"/>
        </w:rPr>
        <w:t>devet</w:t>
      </w:r>
      <w:r w:rsidR="005931DB" w:rsidRPr="008C65EA">
        <w:rPr>
          <w:lang w:eastAsia="en-US"/>
        </w:rPr>
        <w:t xml:space="preserve"> osoba izabranih u suradnička i znanstveno-nastavna zvanja za provedbu studijskih programa Hrvatskog vojnog učilišta „Dr. Franjo Tuđman“</w:t>
      </w:r>
    </w:p>
    <w:p w:rsidR="00C0372A" w:rsidRDefault="00AB1C6B" w:rsidP="00955416">
      <w:pPr>
        <w:numPr>
          <w:ilvl w:val="0"/>
          <w:numId w:val="2"/>
        </w:numPr>
        <w:ind w:firstLine="0"/>
        <w:jc w:val="both"/>
        <w:rPr>
          <w:lang w:eastAsia="en-US"/>
        </w:rPr>
      </w:pPr>
      <w:r>
        <w:rPr>
          <w:lang w:eastAsia="en-US"/>
        </w:rPr>
        <w:t>devet</w:t>
      </w:r>
      <w:r w:rsidR="00C0372A" w:rsidRPr="008C65EA">
        <w:rPr>
          <w:lang w:eastAsia="en-US"/>
        </w:rPr>
        <w:t xml:space="preserve"> osoba izabranih u znanstvena zvanja za p</w:t>
      </w:r>
      <w:r w:rsidR="00EB04B5">
        <w:rPr>
          <w:lang w:eastAsia="en-US"/>
        </w:rPr>
        <w:t>rovedbu znanstvenog rada u</w:t>
      </w:r>
      <w:r w:rsidR="00C0372A">
        <w:rPr>
          <w:lang w:eastAsia="en-US"/>
        </w:rPr>
        <w:t xml:space="preserve"> </w:t>
      </w:r>
      <w:r w:rsidR="00EB04B5">
        <w:t xml:space="preserve">Centru za </w:t>
      </w:r>
      <w:r>
        <w:t>obrambene i strateške studije „Janko Bobetko“</w:t>
      </w:r>
      <w:r w:rsidR="00EB04B5" w:rsidRPr="00EB04B5">
        <w:rPr>
          <w:lang w:eastAsia="en-US"/>
        </w:rPr>
        <w:t xml:space="preserve"> </w:t>
      </w:r>
      <w:r w:rsidR="00EB04B5" w:rsidRPr="008C65EA">
        <w:rPr>
          <w:lang w:eastAsia="en-US"/>
        </w:rPr>
        <w:t>Hrvatskog</w:t>
      </w:r>
      <w:r>
        <w:rPr>
          <w:lang w:eastAsia="en-US"/>
        </w:rPr>
        <w:t>a</w:t>
      </w:r>
      <w:r w:rsidR="00EB04B5" w:rsidRPr="008C65EA">
        <w:rPr>
          <w:lang w:eastAsia="en-US"/>
        </w:rPr>
        <w:t xml:space="preserve"> vojnog učilišta „Dr. Franjo Tuđman“</w:t>
      </w:r>
    </w:p>
    <w:p w:rsidR="00AB1C6B" w:rsidRPr="008C65EA" w:rsidRDefault="00AB1C6B" w:rsidP="00955416">
      <w:pPr>
        <w:ind w:left="1068"/>
        <w:jc w:val="both"/>
        <w:rPr>
          <w:lang w:eastAsia="en-US"/>
        </w:rPr>
      </w:pPr>
    </w:p>
    <w:p w:rsidR="00BD7305" w:rsidRPr="00F86B92" w:rsidRDefault="002B611B" w:rsidP="00955416">
      <w:pPr>
        <w:jc w:val="both"/>
        <w:rPr>
          <w:b/>
          <w:lang w:eastAsia="en-US"/>
        </w:rPr>
      </w:pPr>
      <w:r w:rsidRPr="00F86B92">
        <w:rPr>
          <w:b/>
          <w:lang w:eastAsia="en-US"/>
        </w:rPr>
        <w:t>2</w:t>
      </w:r>
      <w:r w:rsidR="00BD7305" w:rsidRPr="00F86B92">
        <w:rPr>
          <w:b/>
          <w:lang w:eastAsia="en-US"/>
        </w:rPr>
        <w:t xml:space="preserve">. </w:t>
      </w:r>
      <w:r w:rsidR="00A24A00" w:rsidRPr="00F86B92">
        <w:rPr>
          <w:b/>
          <w:lang w:eastAsia="en-US"/>
        </w:rPr>
        <w:t>prijam promjenom kategorije postojećeg osoblja</w:t>
      </w:r>
      <w:r w:rsidRPr="00F86B92">
        <w:rPr>
          <w:b/>
          <w:lang w:eastAsia="en-US"/>
        </w:rPr>
        <w:t>:</w:t>
      </w:r>
    </w:p>
    <w:p w:rsidR="004B6CFD" w:rsidRPr="00F86B92" w:rsidRDefault="001A430F" w:rsidP="00955416">
      <w:pPr>
        <w:numPr>
          <w:ilvl w:val="0"/>
          <w:numId w:val="2"/>
        </w:numPr>
        <w:ind w:firstLine="0"/>
        <w:jc w:val="both"/>
        <w:rPr>
          <w:lang w:eastAsia="en-US"/>
        </w:rPr>
      </w:pPr>
      <w:r w:rsidRPr="00F86B92">
        <w:rPr>
          <w:lang w:eastAsia="en-US"/>
        </w:rPr>
        <w:t>440</w:t>
      </w:r>
      <w:r w:rsidR="004B6CFD" w:rsidRPr="00F86B92">
        <w:rPr>
          <w:lang w:eastAsia="en-US"/>
        </w:rPr>
        <w:t xml:space="preserve"> dočasnika </w:t>
      </w:r>
      <w:r w:rsidR="004B6CFD" w:rsidRPr="00F86B92">
        <w:rPr>
          <w:bCs/>
          <w:lang w:eastAsia="en-US"/>
        </w:rPr>
        <w:t>koji će se primiti između ugovornih vojnika/mornara</w:t>
      </w:r>
    </w:p>
    <w:p w:rsidR="004A179A" w:rsidRDefault="004A179A" w:rsidP="00955416">
      <w:pPr>
        <w:numPr>
          <w:ilvl w:val="0"/>
          <w:numId w:val="2"/>
        </w:numPr>
        <w:ind w:firstLine="0"/>
        <w:jc w:val="both"/>
        <w:rPr>
          <w:lang w:eastAsia="en-US"/>
        </w:rPr>
      </w:pPr>
      <w:r w:rsidRPr="00F86B92">
        <w:rPr>
          <w:lang w:eastAsia="en-US"/>
        </w:rPr>
        <w:t xml:space="preserve">40 vojnih specijalista </w:t>
      </w:r>
      <w:r w:rsidR="004B6CFD" w:rsidRPr="00F86B92">
        <w:rPr>
          <w:lang w:eastAsia="en-US"/>
        </w:rPr>
        <w:t xml:space="preserve">koji će se primiti između </w:t>
      </w:r>
      <w:r w:rsidR="001407C1" w:rsidRPr="00F86B92">
        <w:rPr>
          <w:lang w:eastAsia="en-US"/>
        </w:rPr>
        <w:t>časnik</w:t>
      </w:r>
      <w:r w:rsidR="00674BA4" w:rsidRPr="00F86B92">
        <w:rPr>
          <w:lang w:eastAsia="en-US"/>
        </w:rPr>
        <w:t>a, dočasnika,</w:t>
      </w:r>
      <w:r w:rsidR="004B6CFD" w:rsidRPr="00F86B92">
        <w:rPr>
          <w:lang w:eastAsia="en-US"/>
        </w:rPr>
        <w:t xml:space="preserve"> ugovornih</w:t>
      </w:r>
      <w:r w:rsidR="00674BA4" w:rsidRPr="00F86B92">
        <w:rPr>
          <w:lang w:eastAsia="en-US"/>
        </w:rPr>
        <w:t xml:space="preserve"> vojnika/mornara</w:t>
      </w:r>
      <w:r w:rsidR="004B6CFD" w:rsidRPr="00F86B92">
        <w:rPr>
          <w:lang w:eastAsia="en-US"/>
        </w:rPr>
        <w:t xml:space="preserve"> i</w:t>
      </w:r>
      <w:r w:rsidR="00674BA4" w:rsidRPr="00F86B92">
        <w:rPr>
          <w:lang w:eastAsia="en-US"/>
        </w:rPr>
        <w:t xml:space="preserve"> državnih službenika i </w:t>
      </w:r>
      <w:r w:rsidR="001407C1" w:rsidRPr="00F86B92">
        <w:rPr>
          <w:lang w:eastAsia="en-US"/>
        </w:rPr>
        <w:t>namještenika</w:t>
      </w:r>
      <w:r w:rsidR="001407C1" w:rsidRPr="00F86B92">
        <w:rPr>
          <w:color w:val="4F81BD" w:themeColor="accent1"/>
          <w:lang w:eastAsia="en-US"/>
        </w:rPr>
        <w:t xml:space="preserve"> </w:t>
      </w:r>
      <w:r w:rsidR="004E532B" w:rsidRPr="00F86B92">
        <w:rPr>
          <w:lang w:eastAsia="en-US"/>
        </w:rPr>
        <w:t xml:space="preserve">iz </w:t>
      </w:r>
      <w:r w:rsidR="00AE31C5" w:rsidRPr="00F86B92">
        <w:rPr>
          <w:lang w:eastAsia="en-US"/>
        </w:rPr>
        <w:t>Hrvatske vojske</w:t>
      </w:r>
    </w:p>
    <w:p w:rsidR="00A01E02" w:rsidRPr="00F86B92" w:rsidRDefault="00A01E02" w:rsidP="00955416">
      <w:pPr>
        <w:ind w:left="1068"/>
        <w:jc w:val="both"/>
        <w:rPr>
          <w:lang w:eastAsia="en-US"/>
        </w:rPr>
      </w:pPr>
    </w:p>
    <w:p w:rsidR="00800D37" w:rsidRPr="00F86B92" w:rsidRDefault="00800D37" w:rsidP="00955416">
      <w:pPr>
        <w:jc w:val="both"/>
        <w:rPr>
          <w:b/>
          <w:lang w:eastAsia="en-US"/>
        </w:rPr>
      </w:pPr>
      <w:r w:rsidRPr="00F86B92">
        <w:rPr>
          <w:b/>
          <w:lang w:eastAsia="en-US"/>
        </w:rPr>
        <w:t>3. prijam kandidata za časnik</w:t>
      </w:r>
      <w:r w:rsidR="001B6B61" w:rsidRPr="00F86B92">
        <w:rPr>
          <w:b/>
          <w:lang w:eastAsia="en-US"/>
        </w:rPr>
        <w:t>e</w:t>
      </w:r>
      <w:r w:rsidRPr="00F86B92">
        <w:rPr>
          <w:b/>
          <w:lang w:eastAsia="en-US"/>
        </w:rPr>
        <w:t>:</w:t>
      </w:r>
    </w:p>
    <w:p w:rsidR="00800D37" w:rsidRPr="00F86B92" w:rsidRDefault="00750AD6" w:rsidP="00955416">
      <w:pPr>
        <w:numPr>
          <w:ilvl w:val="0"/>
          <w:numId w:val="7"/>
        </w:numPr>
        <w:ind w:firstLine="0"/>
        <w:jc w:val="both"/>
        <w:rPr>
          <w:lang w:eastAsia="en-US"/>
        </w:rPr>
      </w:pPr>
      <w:r w:rsidRPr="00F86B92">
        <w:rPr>
          <w:lang w:eastAsia="en-US"/>
        </w:rPr>
        <w:t>76</w:t>
      </w:r>
      <w:r w:rsidR="00800D37" w:rsidRPr="00F86B92">
        <w:rPr>
          <w:lang w:eastAsia="en-US"/>
        </w:rPr>
        <w:t xml:space="preserve"> časnika od kadeta polaznika sveučilišnih studijskih programa „Vojno vođenje i upravljanje“ i „Vojno inženjerstvo“</w:t>
      </w:r>
    </w:p>
    <w:p w:rsidR="00D475D8" w:rsidRPr="00F86B92" w:rsidRDefault="003C170A" w:rsidP="00955416">
      <w:pPr>
        <w:numPr>
          <w:ilvl w:val="0"/>
          <w:numId w:val="7"/>
        </w:numPr>
        <w:ind w:firstLine="0"/>
        <w:jc w:val="both"/>
        <w:rPr>
          <w:lang w:eastAsia="en-US"/>
        </w:rPr>
      </w:pPr>
      <w:r>
        <w:rPr>
          <w:lang w:eastAsia="en-US"/>
        </w:rPr>
        <w:t>91</w:t>
      </w:r>
      <w:r w:rsidR="00816CE3" w:rsidRPr="00F86B92">
        <w:rPr>
          <w:lang w:eastAsia="en-US"/>
        </w:rPr>
        <w:t xml:space="preserve"> </w:t>
      </w:r>
      <w:r w:rsidR="00D475D8" w:rsidRPr="00F86B92">
        <w:rPr>
          <w:lang w:eastAsia="en-US"/>
        </w:rPr>
        <w:t>časnik koji će se primiti između</w:t>
      </w:r>
      <w:r w:rsidR="001B6B61" w:rsidRPr="00F86B92">
        <w:rPr>
          <w:lang w:eastAsia="en-US"/>
        </w:rPr>
        <w:t xml:space="preserve"> kandidata za časnike</w:t>
      </w:r>
      <w:r w:rsidR="00D475D8" w:rsidRPr="00F86B92">
        <w:rPr>
          <w:lang w:eastAsia="en-US"/>
        </w:rPr>
        <w:t xml:space="preserve"> </w:t>
      </w:r>
      <w:r w:rsidR="00895EF4" w:rsidRPr="00F86B92">
        <w:rPr>
          <w:lang w:eastAsia="en-US"/>
        </w:rPr>
        <w:t xml:space="preserve">iz Hrvatske vojske koji su </w:t>
      </w:r>
      <w:r w:rsidR="00960179">
        <w:rPr>
          <w:lang w:eastAsia="en-US"/>
        </w:rPr>
        <w:t xml:space="preserve">kao </w:t>
      </w:r>
      <w:r w:rsidR="00960179" w:rsidRPr="00A76744">
        <w:rPr>
          <w:lang w:eastAsia="en-US"/>
        </w:rPr>
        <w:t>vojnici</w:t>
      </w:r>
      <w:r w:rsidR="00960179">
        <w:rPr>
          <w:lang w:eastAsia="en-US"/>
        </w:rPr>
        <w:t xml:space="preserve"> ili dočasnici u </w:t>
      </w:r>
      <w:r w:rsidR="00895EF4" w:rsidRPr="00F86B92">
        <w:rPr>
          <w:lang w:eastAsia="en-US"/>
        </w:rPr>
        <w:t xml:space="preserve">2018. </w:t>
      </w:r>
      <w:r w:rsidR="00DD74A4" w:rsidRPr="00F86B92">
        <w:rPr>
          <w:lang w:eastAsia="en-US"/>
        </w:rPr>
        <w:t>i</w:t>
      </w:r>
      <w:r w:rsidR="00895EF4" w:rsidRPr="00F86B92">
        <w:rPr>
          <w:lang w:eastAsia="en-US"/>
        </w:rPr>
        <w:t xml:space="preserve"> 2019. godin</w:t>
      </w:r>
      <w:r w:rsidR="00960179">
        <w:rPr>
          <w:lang w:eastAsia="en-US"/>
        </w:rPr>
        <w:t>i</w:t>
      </w:r>
      <w:r w:rsidR="00895EF4" w:rsidRPr="00F86B92">
        <w:rPr>
          <w:lang w:eastAsia="en-US"/>
        </w:rPr>
        <w:t xml:space="preserve"> </w:t>
      </w:r>
      <w:r w:rsidR="00D475D8" w:rsidRPr="00F86B92">
        <w:rPr>
          <w:lang w:eastAsia="en-US"/>
        </w:rPr>
        <w:t>upućeni na prvu razinu slijedno-rastuće časničke izobrazbe</w:t>
      </w:r>
    </w:p>
    <w:p w:rsidR="00DD74A4" w:rsidRDefault="00253C80" w:rsidP="00955416">
      <w:pPr>
        <w:numPr>
          <w:ilvl w:val="0"/>
          <w:numId w:val="7"/>
        </w:numPr>
        <w:ind w:firstLine="0"/>
        <w:jc w:val="both"/>
        <w:rPr>
          <w:lang w:eastAsia="en-US"/>
        </w:rPr>
      </w:pPr>
      <w:r>
        <w:rPr>
          <w:lang w:eastAsia="en-US"/>
        </w:rPr>
        <w:t>14</w:t>
      </w:r>
      <w:r w:rsidR="00DD74A4" w:rsidRPr="00F86B92">
        <w:rPr>
          <w:lang w:eastAsia="en-US"/>
        </w:rPr>
        <w:t xml:space="preserve"> časnika od kandidata za časnike s tržišta rada koji su 2019. godine upućeni na prvu razinu slijedno-rastuće časničke izobrazbe</w:t>
      </w:r>
    </w:p>
    <w:p w:rsidR="00A01E02" w:rsidRPr="00F86B92" w:rsidRDefault="00A01E02" w:rsidP="00955416">
      <w:pPr>
        <w:ind w:left="1068"/>
        <w:jc w:val="both"/>
        <w:rPr>
          <w:lang w:eastAsia="en-US"/>
        </w:rPr>
      </w:pPr>
    </w:p>
    <w:p w:rsidR="004A179A" w:rsidRPr="00F86B92" w:rsidRDefault="00800D37" w:rsidP="00955416">
      <w:pPr>
        <w:jc w:val="both"/>
        <w:rPr>
          <w:b/>
          <w:lang w:eastAsia="en-US"/>
        </w:rPr>
      </w:pPr>
      <w:r w:rsidRPr="00F86B92">
        <w:rPr>
          <w:b/>
          <w:lang w:eastAsia="en-US"/>
        </w:rPr>
        <w:t>4</w:t>
      </w:r>
      <w:r w:rsidR="004A179A" w:rsidRPr="00F86B92">
        <w:rPr>
          <w:b/>
          <w:lang w:eastAsia="en-US"/>
        </w:rPr>
        <w:t xml:space="preserve">. </w:t>
      </w:r>
      <w:r w:rsidR="000A7069" w:rsidRPr="00F86B92">
        <w:rPr>
          <w:b/>
          <w:lang w:eastAsia="en-US"/>
        </w:rPr>
        <w:t>upućivanje na osposobljavanje</w:t>
      </w:r>
      <w:r w:rsidR="004A179A" w:rsidRPr="00F86B92">
        <w:rPr>
          <w:b/>
          <w:lang w:eastAsia="en-US"/>
        </w:rPr>
        <w:t xml:space="preserve"> za časnik</w:t>
      </w:r>
      <w:r w:rsidR="000A7069" w:rsidRPr="00F86B92">
        <w:rPr>
          <w:b/>
          <w:lang w:eastAsia="en-US"/>
        </w:rPr>
        <w:t>a</w:t>
      </w:r>
      <w:r w:rsidR="004A179A" w:rsidRPr="00F86B92">
        <w:rPr>
          <w:b/>
          <w:lang w:eastAsia="en-US"/>
        </w:rPr>
        <w:t>:</w:t>
      </w:r>
    </w:p>
    <w:p w:rsidR="004A179A" w:rsidRPr="00F86B92" w:rsidRDefault="003479B6" w:rsidP="00955416">
      <w:pPr>
        <w:numPr>
          <w:ilvl w:val="0"/>
          <w:numId w:val="2"/>
        </w:numPr>
        <w:ind w:firstLine="0"/>
        <w:jc w:val="both"/>
        <w:rPr>
          <w:lang w:eastAsia="en-US"/>
        </w:rPr>
      </w:pPr>
      <w:r w:rsidRPr="00F86B92">
        <w:rPr>
          <w:lang w:eastAsia="en-US"/>
        </w:rPr>
        <w:t>5</w:t>
      </w:r>
      <w:r w:rsidR="004A179A" w:rsidRPr="00F86B92">
        <w:rPr>
          <w:lang w:eastAsia="en-US"/>
        </w:rPr>
        <w:t xml:space="preserve">0 </w:t>
      </w:r>
      <w:r w:rsidR="000E30E1" w:rsidRPr="00F86B92">
        <w:rPr>
          <w:lang w:eastAsia="en-US"/>
        </w:rPr>
        <w:t>kandidata</w:t>
      </w:r>
      <w:r w:rsidR="00B5162D" w:rsidRPr="00F86B92">
        <w:rPr>
          <w:lang w:eastAsia="en-US"/>
        </w:rPr>
        <w:t xml:space="preserve"> </w:t>
      </w:r>
      <w:r w:rsidR="000E30E1" w:rsidRPr="00F86B92">
        <w:rPr>
          <w:lang w:eastAsia="en-US"/>
        </w:rPr>
        <w:t>za časnik</w:t>
      </w:r>
      <w:r w:rsidR="00B5162D" w:rsidRPr="00F86B92">
        <w:rPr>
          <w:lang w:eastAsia="en-US"/>
        </w:rPr>
        <w:t>e</w:t>
      </w:r>
      <w:r w:rsidR="000E30E1" w:rsidRPr="00F86B92">
        <w:rPr>
          <w:lang w:eastAsia="en-US"/>
        </w:rPr>
        <w:t xml:space="preserve"> između </w:t>
      </w:r>
      <w:r w:rsidR="0054032C" w:rsidRPr="00F86B92">
        <w:rPr>
          <w:lang w:eastAsia="en-US"/>
        </w:rPr>
        <w:t>ugovornih</w:t>
      </w:r>
      <w:r w:rsidR="004A179A" w:rsidRPr="00F86B92">
        <w:rPr>
          <w:lang w:eastAsia="en-US"/>
        </w:rPr>
        <w:t xml:space="preserve"> vojnika/mornara i dočasnika </w:t>
      </w:r>
      <w:r w:rsidR="0054032C" w:rsidRPr="00F86B92">
        <w:rPr>
          <w:lang w:eastAsia="en-US"/>
        </w:rPr>
        <w:t>s kojima će se potpisati ugovori o osposobljavanju za časnika</w:t>
      </w:r>
    </w:p>
    <w:p w:rsidR="004A179A" w:rsidRPr="00F86B92" w:rsidRDefault="004A179A" w:rsidP="00955416">
      <w:pPr>
        <w:numPr>
          <w:ilvl w:val="0"/>
          <w:numId w:val="2"/>
        </w:numPr>
        <w:ind w:firstLine="0"/>
        <w:jc w:val="both"/>
        <w:rPr>
          <w:lang w:eastAsia="en-US"/>
        </w:rPr>
      </w:pPr>
      <w:r w:rsidRPr="00F86B92">
        <w:rPr>
          <w:lang w:eastAsia="en-US"/>
        </w:rPr>
        <w:t>4</w:t>
      </w:r>
      <w:r w:rsidR="003479B6" w:rsidRPr="00F86B92">
        <w:rPr>
          <w:lang w:eastAsia="en-US"/>
        </w:rPr>
        <w:t>7</w:t>
      </w:r>
      <w:r w:rsidRPr="00F86B92">
        <w:rPr>
          <w:lang w:eastAsia="en-US"/>
        </w:rPr>
        <w:t xml:space="preserve"> kandidata</w:t>
      </w:r>
      <w:r w:rsidR="000E30E1" w:rsidRPr="00F86B92">
        <w:rPr>
          <w:lang w:eastAsia="en-US"/>
        </w:rPr>
        <w:t xml:space="preserve"> za časnik</w:t>
      </w:r>
      <w:r w:rsidR="00B5162D" w:rsidRPr="00F86B92">
        <w:rPr>
          <w:lang w:eastAsia="en-US"/>
        </w:rPr>
        <w:t>e</w:t>
      </w:r>
      <w:r w:rsidRPr="00F86B92">
        <w:rPr>
          <w:lang w:eastAsia="en-US"/>
        </w:rPr>
        <w:t xml:space="preserve"> </w:t>
      </w:r>
      <w:r w:rsidR="000A7069" w:rsidRPr="00F86B92">
        <w:rPr>
          <w:lang w:eastAsia="en-US"/>
        </w:rPr>
        <w:t xml:space="preserve">s tržišta rada </w:t>
      </w:r>
      <w:r w:rsidRPr="00F86B92">
        <w:rPr>
          <w:lang w:eastAsia="en-US"/>
        </w:rPr>
        <w:t>na temelju javnog natječaja</w:t>
      </w:r>
      <w:r w:rsidR="0054032C" w:rsidRPr="00F86B92">
        <w:rPr>
          <w:lang w:eastAsia="en-US"/>
        </w:rPr>
        <w:t xml:space="preserve"> s kojima će se potpisati ugovori o osposobljavanju za časnika</w:t>
      </w:r>
    </w:p>
    <w:p w:rsidR="00A01E02" w:rsidRDefault="00A01E02" w:rsidP="00955416">
      <w:pPr>
        <w:jc w:val="both"/>
        <w:rPr>
          <w:lang w:eastAsia="en-US"/>
        </w:rPr>
      </w:pPr>
    </w:p>
    <w:p w:rsidR="00EC5934" w:rsidRPr="00F86B92" w:rsidRDefault="00955416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B03962" w:rsidRPr="00F86B92">
        <w:rPr>
          <w:lang w:eastAsia="en-US"/>
        </w:rPr>
        <w:t xml:space="preserve">Planom za 2020. godinu obuhvaćen je prijam </w:t>
      </w:r>
      <w:r w:rsidR="009E7CC0">
        <w:rPr>
          <w:lang w:eastAsia="en-US"/>
        </w:rPr>
        <w:t xml:space="preserve">915 </w:t>
      </w:r>
      <w:r w:rsidR="00B03962" w:rsidRPr="00F86B92">
        <w:rPr>
          <w:lang w:eastAsia="en-US"/>
        </w:rPr>
        <w:t xml:space="preserve">djelatnika s tržišta rada na temelju javnog natječaja, dok </w:t>
      </w:r>
      <w:r w:rsidR="009E7CC0">
        <w:rPr>
          <w:lang w:eastAsia="en-US"/>
        </w:rPr>
        <w:t>711</w:t>
      </w:r>
      <w:r w:rsidR="00B03962" w:rsidRPr="00F86B92">
        <w:rPr>
          <w:lang w:eastAsia="en-US"/>
        </w:rPr>
        <w:t xml:space="preserve"> osoba predstavlja prijam unutar osoba koje su već zaposlene u Hrvatskoj vojsci i koj</w:t>
      </w:r>
      <w:r w:rsidR="00D31CC6" w:rsidRPr="00F86B92">
        <w:rPr>
          <w:lang w:eastAsia="en-US"/>
        </w:rPr>
        <w:t>e</w:t>
      </w:r>
      <w:r w:rsidR="00B03962" w:rsidRPr="00F86B92">
        <w:rPr>
          <w:lang w:eastAsia="en-US"/>
        </w:rPr>
        <w:t xml:space="preserve"> ovim Planom mijenjaju postojeću statusnu kategoriju.</w:t>
      </w:r>
    </w:p>
    <w:p w:rsidR="00B03962" w:rsidRPr="00F86B92" w:rsidRDefault="00B03962" w:rsidP="00955416">
      <w:pPr>
        <w:jc w:val="both"/>
        <w:rPr>
          <w:lang w:eastAsia="en-US"/>
        </w:rPr>
      </w:pPr>
    </w:p>
    <w:p w:rsidR="00BD7305" w:rsidRPr="00F86B92" w:rsidRDefault="00A82969" w:rsidP="00955416">
      <w:pPr>
        <w:pStyle w:val="ListParagraph"/>
        <w:numPr>
          <w:ilvl w:val="0"/>
          <w:numId w:val="8"/>
        </w:numPr>
        <w:ind w:firstLine="0"/>
        <w:jc w:val="both"/>
        <w:rPr>
          <w:b/>
        </w:rPr>
      </w:pPr>
      <w:r w:rsidRPr="00F86B92">
        <w:rPr>
          <w:b/>
        </w:rPr>
        <w:t>PROVEDBA PLANA</w:t>
      </w:r>
    </w:p>
    <w:p w:rsidR="00A82969" w:rsidRPr="00F86B92" w:rsidRDefault="00A82969" w:rsidP="00955416">
      <w:pPr>
        <w:jc w:val="both"/>
      </w:pPr>
    </w:p>
    <w:p w:rsidR="00BD7305" w:rsidRPr="00F86B92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  <w:t xml:space="preserve">Za prijam kandidata Glavni stožer Oružanih snaga Republike Hrvatske utvrdit će strukturu prema rodu/službi/struci te njihovim specijalnostima u skladu s potrebama </w:t>
      </w:r>
      <w:r w:rsidR="000A4D27" w:rsidRPr="00F86B92">
        <w:rPr>
          <w:lang w:eastAsia="en-US"/>
        </w:rPr>
        <w:t>Hrvatske vojske</w:t>
      </w:r>
      <w:r w:rsidRPr="00F86B92">
        <w:rPr>
          <w:lang w:eastAsia="en-US"/>
        </w:rPr>
        <w:t>. Podatke o utvrđenoj strukturi dostavit će Upravi za ljudske potencijale najkasnije četiri mjeseca prije početka prve razine slijedno-rastuće časničke izobrazbe</w:t>
      </w:r>
      <w:r w:rsidR="00C1654C" w:rsidRPr="00F86B92">
        <w:rPr>
          <w:lang w:eastAsia="en-US"/>
        </w:rPr>
        <w:t>,</w:t>
      </w:r>
      <w:r w:rsidRPr="00F86B92">
        <w:rPr>
          <w:lang w:eastAsia="en-US"/>
        </w:rPr>
        <w:t xml:space="preserve"> </w:t>
      </w:r>
      <w:r w:rsidR="000A4D27" w:rsidRPr="00F86B92">
        <w:rPr>
          <w:lang w:eastAsia="en-US"/>
        </w:rPr>
        <w:t>odnosno</w:t>
      </w:r>
      <w:r w:rsidR="009700F6">
        <w:rPr>
          <w:lang w:eastAsia="en-US"/>
        </w:rPr>
        <w:t xml:space="preserve"> 30</w:t>
      </w:r>
      <w:r w:rsidRPr="00F86B92">
        <w:rPr>
          <w:lang w:eastAsia="en-US"/>
        </w:rPr>
        <w:t xml:space="preserve"> dana prije objavljivanja natječaja za prijam u službu vojnika/mornara</w:t>
      </w:r>
      <w:r w:rsidR="00C1654C" w:rsidRPr="00F86B92">
        <w:rPr>
          <w:lang w:eastAsia="en-US"/>
        </w:rPr>
        <w:t xml:space="preserve"> i vojn</w:t>
      </w:r>
      <w:r w:rsidR="000A4D27" w:rsidRPr="00F86B92">
        <w:rPr>
          <w:lang w:eastAsia="en-US"/>
        </w:rPr>
        <w:t>ih</w:t>
      </w:r>
      <w:r w:rsidR="00C1654C" w:rsidRPr="00F86B92">
        <w:rPr>
          <w:lang w:eastAsia="en-US"/>
        </w:rPr>
        <w:t xml:space="preserve"> specijalist</w:t>
      </w:r>
      <w:r w:rsidR="000A4D27" w:rsidRPr="00F86B92">
        <w:rPr>
          <w:lang w:eastAsia="en-US"/>
        </w:rPr>
        <w:t>a</w:t>
      </w:r>
      <w:r w:rsidRPr="00F86B92">
        <w:rPr>
          <w:lang w:eastAsia="en-US"/>
        </w:rPr>
        <w:t>.</w:t>
      </w:r>
    </w:p>
    <w:p w:rsidR="004C4992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</w:r>
    </w:p>
    <w:p w:rsidR="00BD7305" w:rsidRPr="00F86B92" w:rsidRDefault="00BD7305" w:rsidP="004C4992">
      <w:pPr>
        <w:ind w:firstLine="708"/>
        <w:jc w:val="both"/>
        <w:rPr>
          <w:lang w:eastAsia="en-US"/>
        </w:rPr>
      </w:pPr>
      <w:r w:rsidRPr="00F86B92">
        <w:rPr>
          <w:lang w:eastAsia="en-US"/>
        </w:rPr>
        <w:t>Samostalna služba za odnose s javnošću i izdavaštvo na temelju godišnjeg promidžbenog plana za privlačenje osoblja u 20</w:t>
      </w:r>
      <w:r w:rsidR="000325F7" w:rsidRPr="00F86B92">
        <w:rPr>
          <w:lang w:eastAsia="en-US"/>
        </w:rPr>
        <w:t>20</w:t>
      </w:r>
      <w:r w:rsidRPr="00F86B92">
        <w:rPr>
          <w:lang w:eastAsia="en-US"/>
        </w:rPr>
        <w:t xml:space="preserve">. </w:t>
      </w:r>
      <w:r w:rsidR="009700F6">
        <w:rPr>
          <w:lang w:eastAsia="en-US"/>
        </w:rPr>
        <w:t>godini usmjeravat će promidžbu</w:t>
      </w:r>
      <w:r w:rsidRPr="00F86B92">
        <w:rPr>
          <w:lang w:eastAsia="en-US"/>
        </w:rPr>
        <w:t xml:space="preserve"> radi ispunjenja ovoga Plana.</w:t>
      </w:r>
    </w:p>
    <w:p w:rsidR="00A01E02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</w:r>
    </w:p>
    <w:p w:rsidR="00BD7305" w:rsidRPr="00F86B92" w:rsidRDefault="00955416" w:rsidP="00955416">
      <w:pPr>
        <w:jc w:val="both"/>
        <w:rPr>
          <w:lang w:eastAsia="en-US"/>
        </w:rPr>
      </w:pPr>
      <w:r>
        <w:rPr>
          <w:lang w:eastAsia="en-US"/>
        </w:rPr>
        <w:lastRenderedPageBreak/>
        <w:tab/>
      </w:r>
      <w:r w:rsidR="00BD7305" w:rsidRPr="00F86B92">
        <w:rPr>
          <w:lang w:eastAsia="en-US"/>
        </w:rPr>
        <w:t>Uprava za ljudske potencijale raspisat će javn</w:t>
      </w:r>
      <w:r w:rsidR="00A4485E" w:rsidRPr="00F86B92">
        <w:rPr>
          <w:lang w:eastAsia="en-US"/>
        </w:rPr>
        <w:t>e</w:t>
      </w:r>
      <w:r w:rsidR="00BD7305" w:rsidRPr="00F86B92">
        <w:rPr>
          <w:lang w:eastAsia="en-US"/>
        </w:rPr>
        <w:t xml:space="preserve"> natječaj</w:t>
      </w:r>
      <w:r w:rsidR="00A4485E" w:rsidRPr="00F86B92">
        <w:rPr>
          <w:lang w:eastAsia="en-US"/>
        </w:rPr>
        <w:t>e</w:t>
      </w:r>
      <w:r w:rsidR="00BD7305" w:rsidRPr="00F86B92">
        <w:rPr>
          <w:lang w:eastAsia="en-US"/>
        </w:rPr>
        <w:t xml:space="preserve"> za prijam vojnika/mornara</w:t>
      </w:r>
      <w:r w:rsidR="00A4485E" w:rsidRPr="00F86B92">
        <w:rPr>
          <w:lang w:eastAsia="en-US"/>
        </w:rPr>
        <w:t>, vojnih specijalista</w:t>
      </w:r>
      <w:r w:rsidR="00BD7305" w:rsidRPr="00F86B92">
        <w:rPr>
          <w:lang w:eastAsia="en-US"/>
        </w:rPr>
        <w:t xml:space="preserve"> i kandidata za časnike s tržišta rada</w:t>
      </w:r>
      <w:r w:rsidR="009700F6">
        <w:rPr>
          <w:lang w:eastAsia="en-US"/>
        </w:rPr>
        <w:t xml:space="preserve"> te za namještenike</w:t>
      </w:r>
      <w:r w:rsidR="00254DA4">
        <w:rPr>
          <w:lang w:eastAsia="en-US"/>
        </w:rPr>
        <w:t xml:space="preserve"> i</w:t>
      </w:r>
      <w:r w:rsidR="00BD7305" w:rsidRPr="00F86B92">
        <w:rPr>
          <w:lang w:eastAsia="en-US"/>
        </w:rPr>
        <w:t xml:space="preserve"> intern</w:t>
      </w:r>
      <w:r w:rsidR="00A4485E" w:rsidRPr="00F86B92">
        <w:rPr>
          <w:lang w:eastAsia="en-US"/>
        </w:rPr>
        <w:t>e</w:t>
      </w:r>
      <w:r w:rsidR="00BD7305" w:rsidRPr="00F86B92">
        <w:rPr>
          <w:lang w:eastAsia="en-US"/>
        </w:rPr>
        <w:t xml:space="preserve"> oglas</w:t>
      </w:r>
      <w:r w:rsidR="00A4485E" w:rsidRPr="00F86B92">
        <w:rPr>
          <w:lang w:eastAsia="en-US"/>
        </w:rPr>
        <w:t>e</w:t>
      </w:r>
      <w:r w:rsidR="00BD7305" w:rsidRPr="00F86B92">
        <w:rPr>
          <w:lang w:eastAsia="en-US"/>
        </w:rPr>
        <w:t xml:space="preserve"> za upućivanje djelatnih vojnika/mornara i djelatnih dočasnika na osposobljavanje za časnik</w:t>
      </w:r>
      <w:r w:rsidR="000325F7" w:rsidRPr="00F86B92">
        <w:rPr>
          <w:lang w:eastAsia="en-US"/>
        </w:rPr>
        <w:t>e.</w:t>
      </w:r>
      <w:r w:rsidR="00BD7305" w:rsidRPr="00F86B92">
        <w:rPr>
          <w:lang w:eastAsia="en-US"/>
        </w:rPr>
        <w:t xml:space="preserve"> </w:t>
      </w:r>
    </w:p>
    <w:p w:rsidR="00A01E02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</w:r>
    </w:p>
    <w:p w:rsidR="00BD7305" w:rsidRPr="00F86B92" w:rsidRDefault="00955416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BD7305" w:rsidRPr="00F86B92">
        <w:rPr>
          <w:lang w:eastAsia="en-US"/>
        </w:rPr>
        <w:t>Središnjica za upravljanje osobljem u suradnji s Personalnom upravom Glavnog stožera Oružanih snaga Republike Hrvatske i Upravom za ljudske potencijale provest će postupak provjere propisanih općih i posebnih uvjeta za prijam u djelatnu vojnu službu te provesti vrednovanje kandidata prema propisanim kriterijima.</w:t>
      </w:r>
    </w:p>
    <w:p w:rsidR="00A01E02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</w:r>
    </w:p>
    <w:p w:rsidR="00BD7305" w:rsidRPr="00F86B92" w:rsidRDefault="00955416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BD7305" w:rsidRPr="00F86B92">
        <w:rPr>
          <w:lang w:eastAsia="en-US"/>
        </w:rPr>
        <w:t>Povjerenstva za utvrđivanje prijedloga izbora kandidata za popunu slobodnih ustrojbenih mjesta na temelju javnog natječaja i internog oglasa utvrdit će prijedlog izbora kandidata.</w:t>
      </w:r>
    </w:p>
    <w:p w:rsidR="00A01E02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</w:r>
    </w:p>
    <w:p w:rsidR="00BD7305" w:rsidRPr="00F86B92" w:rsidRDefault="00955416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254DA4">
        <w:rPr>
          <w:lang w:eastAsia="en-US"/>
        </w:rPr>
        <w:t xml:space="preserve">Uprava za ljudske potencijale </w:t>
      </w:r>
      <w:r w:rsidR="00BD7305" w:rsidRPr="00F86B92">
        <w:rPr>
          <w:lang w:eastAsia="en-US"/>
        </w:rPr>
        <w:t>donijet će akte o prijmu u službu, a nadležne ustrojstvene jedinice donijet će akte kojima se uređuje školovanje i raspored na ustrojbenu dužnost.</w:t>
      </w:r>
    </w:p>
    <w:p w:rsidR="00691907" w:rsidRPr="00F86B92" w:rsidRDefault="00691907" w:rsidP="00955416">
      <w:pPr>
        <w:jc w:val="both"/>
        <w:rPr>
          <w:lang w:eastAsia="en-US"/>
        </w:rPr>
      </w:pPr>
    </w:p>
    <w:p w:rsidR="00BD7305" w:rsidRPr="00F86B92" w:rsidRDefault="00A82969" w:rsidP="00955416">
      <w:pPr>
        <w:pStyle w:val="ListParagraph"/>
        <w:numPr>
          <w:ilvl w:val="0"/>
          <w:numId w:val="8"/>
        </w:numPr>
        <w:ind w:firstLine="0"/>
        <w:jc w:val="both"/>
        <w:rPr>
          <w:b/>
        </w:rPr>
      </w:pPr>
      <w:r w:rsidRPr="00F86B92">
        <w:rPr>
          <w:b/>
        </w:rPr>
        <w:t>PRIJAM VOJNIKA/MORNARA</w:t>
      </w:r>
    </w:p>
    <w:p w:rsidR="00A82969" w:rsidRPr="00F86B92" w:rsidRDefault="00A82969" w:rsidP="00955416">
      <w:pPr>
        <w:jc w:val="both"/>
      </w:pPr>
    </w:p>
    <w:p w:rsidR="00BD7305" w:rsidRPr="00F86B92" w:rsidRDefault="00BD7305" w:rsidP="00955416">
      <w:pPr>
        <w:jc w:val="both"/>
        <w:rPr>
          <w:lang w:eastAsia="en-US"/>
        </w:rPr>
      </w:pPr>
      <w:r w:rsidRPr="00F86B92">
        <w:rPr>
          <w:sz w:val="22"/>
          <w:szCs w:val="22"/>
          <w:lang w:eastAsia="en-US"/>
        </w:rPr>
        <w:tab/>
      </w:r>
      <w:r w:rsidR="001854BB" w:rsidRPr="00F86B92">
        <w:rPr>
          <w:lang w:eastAsia="en-US"/>
        </w:rPr>
        <w:t>U 20</w:t>
      </w:r>
      <w:r w:rsidR="00C1654C" w:rsidRPr="00F86B92">
        <w:rPr>
          <w:lang w:eastAsia="en-US"/>
        </w:rPr>
        <w:t>20</w:t>
      </w:r>
      <w:r w:rsidR="00D46736">
        <w:rPr>
          <w:lang w:eastAsia="en-US"/>
        </w:rPr>
        <w:t>. godini</w:t>
      </w:r>
      <w:r w:rsidR="001854BB" w:rsidRPr="00F86B92">
        <w:rPr>
          <w:sz w:val="22"/>
          <w:szCs w:val="22"/>
          <w:lang w:eastAsia="en-US"/>
        </w:rPr>
        <w:t xml:space="preserve"> </w:t>
      </w:r>
      <w:r w:rsidR="001854BB" w:rsidRPr="00F86B92">
        <w:rPr>
          <w:lang w:eastAsia="en-US"/>
        </w:rPr>
        <w:t>p</w:t>
      </w:r>
      <w:r w:rsidRPr="00F86B92">
        <w:rPr>
          <w:lang w:eastAsia="en-US"/>
        </w:rPr>
        <w:t xml:space="preserve">rijam </w:t>
      </w:r>
      <w:r w:rsidR="00C1654C" w:rsidRPr="00F86B92">
        <w:rPr>
          <w:lang w:eastAsia="en-US"/>
        </w:rPr>
        <w:t>8</w:t>
      </w:r>
      <w:r w:rsidRPr="00F86B92">
        <w:rPr>
          <w:lang w:eastAsia="en-US"/>
        </w:rPr>
        <w:t xml:space="preserve">00 kandidata za vojnike/mornare iz </w:t>
      </w:r>
      <w:r w:rsidR="001854BB" w:rsidRPr="00F86B92">
        <w:rPr>
          <w:lang w:eastAsia="en-US"/>
        </w:rPr>
        <w:t xml:space="preserve">dostupnih </w:t>
      </w:r>
      <w:r w:rsidRPr="00F86B92">
        <w:rPr>
          <w:lang w:eastAsia="en-US"/>
        </w:rPr>
        <w:t xml:space="preserve">naraštaja dragovoljnog vojnog osposobljavanja obavit će se u I. </w:t>
      </w:r>
      <w:r w:rsidR="00C1654C" w:rsidRPr="00F86B92">
        <w:rPr>
          <w:lang w:eastAsia="en-US"/>
        </w:rPr>
        <w:t xml:space="preserve">tromjesečju </w:t>
      </w:r>
      <w:r w:rsidRPr="00F86B92">
        <w:rPr>
          <w:lang w:eastAsia="en-US"/>
        </w:rPr>
        <w:t>(</w:t>
      </w:r>
      <w:r w:rsidR="001817ED" w:rsidRPr="00F86B92">
        <w:rPr>
          <w:lang w:eastAsia="en-US"/>
        </w:rPr>
        <w:t>350</w:t>
      </w:r>
      <w:r w:rsidRPr="00F86B92">
        <w:rPr>
          <w:lang w:eastAsia="en-US"/>
        </w:rPr>
        <w:t xml:space="preserve"> kandidata), II.</w:t>
      </w:r>
      <w:r w:rsidR="00C1654C" w:rsidRPr="00F86B92">
        <w:rPr>
          <w:lang w:eastAsia="en-US"/>
        </w:rPr>
        <w:t xml:space="preserve"> tromjesečju</w:t>
      </w:r>
      <w:r w:rsidRPr="00F86B92">
        <w:rPr>
          <w:lang w:eastAsia="en-US"/>
        </w:rPr>
        <w:t xml:space="preserve"> (</w:t>
      </w:r>
      <w:r w:rsidR="001817ED" w:rsidRPr="00F86B92">
        <w:rPr>
          <w:lang w:eastAsia="en-US"/>
        </w:rPr>
        <w:t>2</w:t>
      </w:r>
      <w:r w:rsidR="00D66BCA" w:rsidRPr="00F86B92">
        <w:rPr>
          <w:lang w:eastAsia="en-US"/>
        </w:rPr>
        <w:t>00</w:t>
      </w:r>
      <w:r w:rsidRPr="00F86B92">
        <w:rPr>
          <w:lang w:eastAsia="en-US"/>
        </w:rPr>
        <w:t xml:space="preserve"> kandidata)</w:t>
      </w:r>
      <w:r w:rsidR="00C1654C" w:rsidRPr="00F86B92">
        <w:rPr>
          <w:lang w:eastAsia="en-US"/>
        </w:rPr>
        <w:t xml:space="preserve"> i</w:t>
      </w:r>
      <w:r w:rsidRPr="00F86B92">
        <w:rPr>
          <w:lang w:eastAsia="en-US"/>
        </w:rPr>
        <w:t xml:space="preserve"> I</w:t>
      </w:r>
      <w:r w:rsidR="00B4421E" w:rsidRPr="00F86B92">
        <w:rPr>
          <w:lang w:eastAsia="en-US"/>
        </w:rPr>
        <w:t>II</w:t>
      </w:r>
      <w:r w:rsidRPr="00F86B92">
        <w:rPr>
          <w:lang w:eastAsia="en-US"/>
        </w:rPr>
        <w:t>.</w:t>
      </w:r>
      <w:r w:rsidR="00C1654C" w:rsidRPr="00F86B92">
        <w:rPr>
          <w:lang w:eastAsia="en-US"/>
        </w:rPr>
        <w:t xml:space="preserve"> tromjesečju</w:t>
      </w:r>
      <w:r w:rsidRPr="00F86B92">
        <w:rPr>
          <w:lang w:eastAsia="en-US"/>
        </w:rPr>
        <w:t xml:space="preserve"> (</w:t>
      </w:r>
      <w:r w:rsidR="00B4421E" w:rsidRPr="00F86B92">
        <w:rPr>
          <w:lang w:eastAsia="en-US"/>
        </w:rPr>
        <w:t>2</w:t>
      </w:r>
      <w:r w:rsidR="00C1654C" w:rsidRPr="00F86B92">
        <w:rPr>
          <w:lang w:eastAsia="en-US"/>
        </w:rPr>
        <w:t>5</w:t>
      </w:r>
      <w:r w:rsidR="00D66BCA" w:rsidRPr="00F86B92">
        <w:rPr>
          <w:lang w:eastAsia="en-US"/>
        </w:rPr>
        <w:t>0</w:t>
      </w:r>
      <w:r w:rsidRPr="00F86B92">
        <w:rPr>
          <w:lang w:eastAsia="en-US"/>
        </w:rPr>
        <w:t xml:space="preserve"> kandidata).</w:t>
      </w:r>
      <w:r w:rsidR="00254DA4">
        <w:rPr>
          <w:lang w:eastAsia="en-US"/>
        </w:rPr>
        <w:t xml:space="preserve"> Predviđeni plan</w:t>
      </w:r>
      <w:r w:rsidR="00A4485E" w:rsidRPr="00F86B92">
        <w:rPr>
          <w:lang w:eastAsia="en-US"/>
        </w:rPr>
        <w:t xml:space="preserve"> po </w:t>
      </w:r>
      <w:r w:rsidR="00AA7AF9" w:rsidRPr="00F86B92">
        <w:rPr>
          <w:lang w:eastAsia="en-US"/>
        </w:rPr>
        <w:t>tromjesečjima</w:t>
      </w:r>
      <w:r w:rsidR="00254DA4">
        <w:rPr>
          <w:lang w:eastAsia="en-US"/>
        </w:rPr>
        <w:t xml:space="preserve"> može</w:t>
      </w:r>
      <w:r w:rsidR="00A4485E" w:rsidRPr="00F86B92">
        <w:rPr>
          <w:lang w:eastAsia="en-US"/>
        </w:rPr>
        <w:t xml:space="preserve"> se mijenjati ovisno o broju prij</w:t>
      </w:r>
      <w:r w:rsidR="00D46736">
        <w:rPr>
          <w:lang w:eastAsia="en-US"/>
        </w:rPr>
        <w:t>avljenih kandidata, ali ne više od</w:t>
      </w:r>
      <w:r w:rsidR="00A4485E" w:rsidRPr="00F86B92">
        <w:rPr>
          <w:lang w:eastAsia="en-US"/>
        </w:rPr>
        <w:t xml:space="preserve"> </w:t>
      </w:r>
      <w:r w:rsidR="00C1654C" w:rsidRPr="00F86B92">
        <w:rPr>
          <w:lang w:eastAsia="en-US"/>
        </w:rPr>
        <w:t>8</w:t>
      </w:r>
      <w:r w:rsidR="00A4485E" w:rsidRPr="00F86B92">
        <w:rPr>
          <w:lang w:eastAsia="en-US"/>
        </w:rPr>
        <w:t>00 kandidata na godišnjoj razini.</w:t>
      </w:r>
    </w:p>
    <w:p w:rsidR="00A01E02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</w:r>
    </w:p>
    <w:p w:rsidR="00BD7305" w:rsidRPr="00F86B92" w:rsidRDefault="00955416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BD7305" w:rsidRPr="00F86B92">
        <w:rPr>
          <w:lang w:eastAsia="en-US"/>
        </w:rPr>
        <w:t xml:space="preserve">Dinamika prijma kandidata za vojničke/mornarske dužnosti uskladit će se s dinamikom provedbe dragovoljnoga vojnog osposobljavanja. </w:t>
      </w:r>
    </w:p>
    <w:p w:rsidR="00BD7305" w:rsidRPr="00F86B92" w:rsidRDefault="00BD7305" w:rsidP="00955416">
      <w:pPr>
        <w:rPr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5"/>
        <w:gridCol w:w="695"/>
        <w:gridCol w:w="720"/>
        <w:gridCol w:w="720"/>
        <w:gridCol w:w="720"/>
        <w:gridCol w:w="1034"/>
      </w:tblGrid>
      <w:tr w:rsidR="00BD7305" w:rsidRPr="00156B08" w:rsidTr="00F86B92">
        <w:trPr>
          <w:trHeight w:val="264"/>
          <w:jc w:val="center"/>
        </w:trPr>
        <w:tc>
          <w:tcPr>
            <w:tcW w:w="4885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VOJNICI/MORNARI</w:t>
            </w:r>
          </w:p>
        </w:tc>
        <w:tc>
          <w:tcPr>
            <w:tcW w:w="2855" w:type="dxa"/>
            <w:gridSpan w:val="4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TROMJESEČJE</w:t>
            </w:r>
          </w:p>
        </w:tc>
        <w:tc>
          <w:tcPr>
            <w:tcW w:w="1034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UKUPNO</w:t>
            </w:r>
          </w:p>
        </w:tc>
      </w:tr>
      <w:tr w:rsidR="00BD7305" w:rsidRPr="00156B08" w:rsidTr="00F86B92">
        <w:trPr>
          <w:trHeight w:val="249"/>
          <w:jc w:val="center"/>
        </w:trPr>
        <w:tc>
          <w:tcPr>
            <w:tcW w:w="4885" w:type="dxa"/>
            <w:vMerge/>
            <w:shd w:val="clear" w:color="auto" w:fill="auto"/>
            <w:vAlign w:val="center"/>
          </w:tcPr>
          <w:p w:rsidR="00BD7305" w:rsidRPr="00F86B92" w:rsidRDefault="00BD7305" w:rsidP="0095541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BD7305" w:rsidRPr="00F86B92" w:rsidRDefault="00BD7305" w:rsidP="0095541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BD7305" w:rsidRPr="00156B08" w:rsidTr="00F86B92">
        <w:trPr>
          <w:trHeight w:val="249"/>
          <w:jc w:val="center"/>
        </w:trPr>
        <w:tc>
          <w:tcPr>
            <w:tcW w:w="4885" w:type="dxa"/>
            <w:shd w:val="clear" w:color="auto" w:fill="auto"/>
            <w:vAlign w:val="center"/>
          </w:tcPr>
          <w:p w:rsidR="00BD7305" w:rsidRPr="00F86B92" w:rsidRDefault="00BD7305" w:rsidP="00955416">
            <w:pPr>
              <w:jc w:val="center"/>
              <w:rPr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Vojnici/mornari s tržišta rada</w:t>
            </w:r>
          </w:p>
        </w:tc>
        <w:tc>
          <w:tcPr>
            <w:tcW w:w="69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4421E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72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4421E" w:rsidP="00955416">
            <w:pPr>
              <w:jc w:val="center"/>
              <w:rPr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2</w:t>
            </w:r>
            <w:r w:rsidR="00D66BCA" w:rsidRPr="00F86B92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2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4421E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2</w:t>
            </w:r>
            <w:r w:rsidR="00CE6734" w:rsidRPr="00F86B92">
              <w:rPr>
                <w:sz w:val="22"/>
                <w:szCs w:val="22"/>
                <w:lang w:eastAsia="en-US"/>
              </w:rPr>
              <w:t>5</w:t>
            </w:r>
            <w:r w:rsidR="00D66BCA" w:rsidRPr="00F86B9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CE6734" w:rsidP="00955416">
            <w:pPr>
              <w:jc w:val="center"/>
              <w:rPr>
                <w:b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8</w:t>
            </w:r>
            <w:r w:rsidR="00B4421E" w:rsidRPr="00F86B92">
              <w:rPr>
                <w:b/>
                <w:sz w:val="22"/>
                <w:szCs w:val="22"/>
                <w:lang w:eastAsia="en-US"/>
              </w:rPr>
              <w:t>00</w:t>
            </w:r>
          </w:p>
        </w:tc>
      </w:tr>
    </w:tbl>
    <w:p w:rsidR="00BD7305" w:rsidRPr="00F86B92" w:rsidRDefault="00BD7305" w:rsidP="00955416">
      <w:pPr>
        <w:ind w:left="1080"/>
        <w:rPr>
          <w:sz w:val="22"/>
          <w:szCs w:val="22"/>
          <w:lang w:eastAsia="en-US"/>
        </w:rPr>
      </w:pPr>
    </w:p>
    <w:p w:rsidR="0039666A" w:rsidRDefault="00BD7305" w:rsidP="00955416">
      <w:pPr>
        <w:jc w:val="both"/>
      </w:pPr>
      <w:r w:rsidRPr="00F86B92">
        <w:tab/>
        <w:t xml:space="preserve">Na temelju članka 36. stavka 2. Zakona o službi u Oružanim snagama Republike Hrvatske, u okviru navedenog broja za prijam </w:t>
      </w:r>
      <w:r w:rsidRPr="00A76744">
        <w:t>vojnika</w:t>
      </w:r>
      <w:r w:rsidRPr="00F86B92">
        <w:t xml:space="preserve"> primit će se </w:t>
      </w:r>
      <w:r w:rsidR="001E49AA" w:rsidRPr="00F86B92">
        <w:t xml:space="preserve">i </w:t>
      </w:r>
      <w:r w:rsidR="00753B6C" w:rsidRPr="00F86B92">
        <w:t>2</w:t>
      </w:r>
      <w:r w:rsidR="00750AD6" w:rsidRPr="00F86B92">
        <w:t>1</w:t>
      </w:r>
      <w:r w:rsidR="00753B6C" w:rsidRPr="00F86B92">
        <w:t xml:space="preserve"> </w:t>
      </w:r>
      <w:r w:rsidRPr="00F86B92">
        <w:t>osob</w:t>
      </w:r>
      <w:r w:rsidR="00753B6C" w:rsidRPr="00F86B92">
        <w:t>a</w:t>
      </w:r>
      <w:r w:rsidRPr="00F86B92">
        <w:t xml:space="preserve"> s kojima je sklopljen ugovo</w:t>
      </w:r>
      <w:r w:rsidR="001E49AA" w:rsidRPr="00F86B92">
        <w:t>r o stipendiranju na temelju školovanja</w:t>
      </w:r>
      <w:r w:rsidRPr="00F86B92">
        <w:t xml:space="preserve"> za zvanje zrakoplovnog tehničara u skladu s odredbama ugovora bez provedbe vrednovanja prema kriterijima iz Pravilnika o načinu i postupku privlačenja, oglašavanja i odabira za prijam u djelatnu vojnu službu i kadetsku službu (Narodne novine, br. 158/13, 77/15</w:t>
      </w:r>
      <w:r w:rsidR="003F5AF4" w:rsidRPr="00F86B92">
        <w:t>,</w:t>
      </w:r>
      <w:r w:rsidRPr="00F86B92">
        <w:t xml:space="preserve"> 14/17</w:t>
      </w:r>
      <w:r w:rsidR="003F5AF4" w:rsidRPr="00F86B92">
        <w:t xml:space="preserve"> i 91/18</w:t>
      </w:r>
      <w:r w:rsidRPr="00F86B92">
        <w:t>).</w:t>
      </w:r>
    </w:p>
    <w:p w:rsidR="00A01E02" w:rsidRPr="00F86B92" w:rsidRDefault="00A01E02" w:rsidP="00955416">
      <w:pPr>
        <w:jc w:val="both"/>
      </w:pPr>
    </w:p>
    <w:p w:rsidR="00C17CA1" w:rsidRPr="00F86B92" w:rsidRDefault="00955416" w:rsidP="00955416">
      <w:pPr>
        <w:jc w:val="both"/>
      </w:pPr>
      <w:r>
        <w:tab/>
      </w:r>
      <w:r w:rsidR="00C17CA1" w:rsidRPr="00F86B92">
        <w:t xml:space="preserve">Zakonom o izmjenama i dopunama Zakona o službi u Oružanim snagama Republike Hrvatske (Narodne novine, br. 30/18) ugovorna vojnička </w:t>
      </w:r>
      <w:r w:rsidR="00D46736">
        <w:t>služba uređena je na bitno druk</w:t>
      </w:r>
      <w:r w:rsidR="00C17CA1" w:rsidRPr="00F86B92">
        <w:t>čiji način u odnosu na ranije razdoblje.</w:t>
      </w:r>
      <w:r w:rsidR="00A01E02">
        <w:t xml:space="preserve"> </w:t>
      </w:r>
      <w:r w:rsidR="00C17CA1" w:rsidRPr="00F86B92">
        <w:t xml:space="preserve">Tako je umjesto sklapanja prvog, drugog odnosno trećeg ugovora o vojničkoj službi s maksimalnim trajanjem od 15 godina, predviđena mogućnost da se nakon prvog ugovora </w:t>
      </w:r>
      <w:r w:rsidR="00B179C3">
        <w:t xml:space="preserve">o </w:t>
      </w:r>
      <w:r w:rsidR="00C17CA1" w:rsidRPr="00F86B92">
        <w:t>vojničkoj službi u t</w:t>
      </w:r>
      <w:r w:rsidR="00254DA4">
        <w:t>rajanju od dvije godine sklopi</w:t>
      </w:r>
      <w:r w:rsidR="00C17CA1" w:rsidRPr="00F86B92">
        <w:t xml:space="preserve"> drugi ugovor o vojničkoj službi na neodređeno vrijeme.</w:t>
      </w:r>
    </w:p>
    <w:p w:rsidR="00955416" w:rsidRDefault="00955416" w:rsidP="00955416">
      <w:pPr>
        <w:jc w:val="both"/>
      </w:pPr>
    </w:p>
    <w:p w:rsidR="00C17CA1" w:rsidRDefault="00955416" w:rsidP="00955416">
      <w:pPr>
        <w:jc w:val="both"/>
      </w:pPr>
      <w:r>
        <w:tab/>
      </w:r>
      <w:r w:rsidR="00C17CA1" w:rsidRPr="00F86B92">
        <w:t xml:space="preserve">U skladu s člankom 86. </w:t>
      </w:r>
      <w:r w:rsidR="00B179C3">
        <w:t>t</w:t>
      </w:r>
      <w:r w:rsidR="00C17CA1" w:rsidRPr="00F86B92">
        <w:t xml:space="preserve">oga Zakona tijekom 2018. </w:t>
      </w:r>
      <w:r w:rsidR="00B179C3">
        <w:t>g</w:t>
      </w:r>
      <w:r w:rsidR="00C17CA1" w:rsidRPr="00F86B92">
        <w:t xml:space="preserve">odine </w:t>
      </w:r>
      <w:r w:rsidR="00B179C3">
        <w:t xml:space="preserve">je </w:t>
      </w:r>
      <w:r w:rsidR="00B179C3" w:rsidRPr="00B179C3">
        <w:t>526</w:t>
      </w:r>
      <w:r w:rsidR="00B179C3">
        <w:t xml:space="preserve">, a tijekom 2019. </w:t>
      </w:r>
      <w:r w:rsidR="00B179C3" w:rsidRPr="00D823E1">
        <w:t>1574</w:t>
      </w:r>
      <w:r w:rsidR="00B179C3">
        <w:t xml:space="preserve"> </w:t>
      </w:r>
      <w:r w:rsidR="00C17CA1" w:rsidRPr="00F86B92">
        <w:t>vojnika/mornara sklopilo ugovor o vojničkoj službi na neodređeno vrijeme te se tijekom 20</w:t>
      </w:r>
      <w:r w:rsidR="00B179C3">
        <w:t>20</w:t>
      </w:r>
      <w:r w:rsidR="00C17CA1" w:rsidRPr="00F86B92">
        <w:t xml:space="preserve">. </w:t>
      </w:r>
      <w:r w:rsidR="00B179C3">
        <w:t>g</w:t>
      </w:r>
      <w:r w:rsidR="00C17CA1" w:rsidRPr="00F86B92">
        <w:t xml:space="preserve">odine planira sklapanje ugovora o vojničkoj službi na neodređeno vrijeme za </w:t>
      </w:r>
      <w:r w:rsidR="00D823E1">
        <w:t>1342</w:t>
      </w:r>
      <w:r w:rsidR="00C17CA1" w:rsidRPr="00F86B92">
        <w:t xml:space="preserve"> vojnika/mornara.</w:t>
      </w:r>
    </w:p>
    <w:p w:rsidR="006F2825" w:rsidRDefault="006F2825" w:rsidP="00955416">
      <w:pPr>
        <w:jc w:val="both"/>
      </w:pPr>
    </w:p>
    <w:p w:rsidR="00BD7305" w:rsidRPr="00A01E02" w:rsidRDefault="00A82969" w:rsidP="00955416">
      <w:pPr>
        <w:pStyle w:val="ListParagraph"/>
        <w:numPr>
          <w:ilvl w:val="0"/>
          <w:numId w:val="8"/>
        </w:numPr>
        <w:ind w:firstLine="0"/>
        <w:jc w:val="both"/>
        <w:rPr>
          <w:b/>
          <w:bCs/>
          <w:lang w:eastAsia="en-US"/>
        </w:rPr>
      </w:pPr>
      <w:r w:rsidRPr="00A01E02">
        <w:rPr>
          <w:b/>
        </w:rPr>
        <w:lastRenderedPageBreak/>
        <w:t>PRIJAM DOČASNIKA</w:t>
      </w:r>
    </w:p>
    <w:p w:rsidR="00A82969" w:rsidRPr="00F86B92" w:rsidRDefault="00A82969" w:rsidP="00955416">
      <w:pPr>
        <w:jc w:val="both"/>
      </w:pPr>
    </w:p>
    <w:p w:rsidR="00BD7305" w:rsidRDefault="00BD7305" w:rsidP="00955416">
      <w:pPr>
        <w:jc w:val="both"/>
        <w:rPr>
          <w:bCs/>
          <w:lang w:eastAsia="en-US"/>
        </w:rPr>
      </w:pPr>
      <w:r w:rsidRPr="00F86B92">
        <w:rPr>
          <w:bCs/>
          <w:lang w:eastAsia="en-US"/>
        </w:rPr>
        <w:tab/>
        <w:t xml:space="preserve">U planiranom razdoblju na dočasničke dužnosti primit će se </w:t>
      </w:r>
      <w:r w:rsidR="003C30DC" w:rsidRPr="00F86B92">
        <w:rPr>
          <w:bCs/>
          <w:lang w:eastAsia="en-US"/>
        </w:rPr>
        <w:t>440</w:t>
      </w:r>
      <w:r w:rsidRPr="00F86B92">
        <w:rPr>
          <w:bCs/>
          <w:lang w:eastAsia="en-US"/>
        </w:rPr>
        <w:t xml:space="preserve"> kandidata isključivo među ugovornim vojnicima/mornarima koji su završili prvu razinu dočasničke vojne izobrazbe i s kojima će pri prijmu u djelatnu vojnu službu na neodređeno vrijeme biti raskinuti ugovori o vojničkoj službi.</w:t>
      </w:r>
    </w:p>
    <w:p w:rsidR="00A01E02" w:rsidRPr="00F86B92" w:rsidRDefault="00A01E02" w:rsidP="00955416">
      <w:pPr>
        <w:jc w:val="both"/>
        <w:rPr>
          <w:bCs/>
          <w:lang w:eastAsia="en-US"/>
        </w:rPr>
      </w:pPr>
    </w:p>
    <w:tbl>
      <w:tblPr>
        <w:tblW w:w="92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2"/>
        <w:gridCol w:w="756"/>
        <w:gridCol w:w="756"/>
        <w:gridCol w:w="756"/>
        <w:gridCol w:w="756"/>
        <w:gridCol w:w="1090"/>
      </w:tblGrid>
      <w:tr w:rsidR="00BD7305" w:rsidRPr="00156B08" w:rsidTr="00F86B92">
        <w:trPr>
          <w:cantSplit/>
          <w:trHeight w:val="264"/>
          <w:jc w:val="center"/>
        </w:trPr>
        <w:tc>
          <w:tcPr>
            <w:tcW w:w="5172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86B92">
              <w:rPr>
                <w:bCs/>
                <w:lang w:eastAsia="en-US"/>
              </w:rPr>
              <w:tab/>
            </w:r>
            <w:r w:rsidRPr="00F86B92">
              <w:rPr>
                <w:b/>
                <w:sz w:val="22"/>
                <w:szCs w:val="22"/>
                <w:lang w:eastAsia="en-US"/>
              </w:rPr>
              <w:t>KATEGORIJA</w:t>
            </w:r>
          </w:p>
        </w:tc>
        <w:tc>
          <w:tcPr>
            <w:tcW w:w="3024" w:type="dxa"/>
            <w:gridSpan w:val="4"/>
            <w:tcBorders>
              <w:bottom w:val="double" w:sz="6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TROMJESEČJE</w:t>
            </w:r>
          </w:p>
        </w:tc>
        <w:tc>
          <w:tcPr>
            <w:tcW w:w="1090" w:type="dxa"/>
            <w:vMerge w:val="restart"/>
            <w:tcBorders>
              <w:bottom w:val="double" w:sz="6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UKUPNO</w:t>
            </w:r>
          </w:p>
        </w:tc>
      </w:tr>
      <w:tr w:rsidR="00BD7305" w:rsidRPr="00156B08" w:rsidTr="00F86B92">
        <w:trPr>
          <w:trHeight w:val="249"/>
          <w:jc w:val="center"/>
        </w:trPr>
        <w:tc>
          <w:tcPr>
            <w:tcW w:w="5172" w:type="dxa"/>
            <w:vMerge/>
            <w:tcBorders>
              <w:bottom w:val="double" w:sz="6" w:space="0" w:color="auto"/>
            </w:tcBorders>
            <w:vAlign w:val="center"/>
          </w:tcPr>
          <w:p w:rsidR="00BD7305" w:rsidRPr="00F86B92" w:rsidRDefault="00BD7305" w:rsidP="0095541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5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5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5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BD7305" w:rsidRPr="00F86B92" w:rsidRDefault="00BD7305" w:rsidP="0095541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BD7305" w:rsidRPr="00156B08" w:rsidTr="00F86B92">
        <w:trPr>
          <w:trHeight w:val="264"/>
          <w:jc w:val="center"/>
        </w:trPr>
        <w:tc>
          <w:tcPr>
            <w:tcW w:w="517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7305" w:rsidRPr="00F86B92" w:rsidRDefault="00BD7305" w:rsidP="00955416">
            <w:pPr>
              <w:jc w:val="center"/>
              <w:rPr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Dočasnici – prijam od vojnika/mornara</w:t>
            </w:r>
          </w:p>
        </w:tc>
        <w:tc>
          <w:tcPr>
            <w:tcW w:w="75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1A430F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5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1A430F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5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1A430F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5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1A430F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09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1A430F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440</w:t>
            </w:r>
          </w:p>
        </w:tc>
      </w:tr>
    </w:tbl>
    <w:p w:rsidR="00BD7305" w:rsidRPr="00F86B92" w:rsidRDefault="00BD7305" w:rsidP="00955416">
      <w:pPr>
        <w:jc w:val="both"/>
        <w:rPr>
          <w:bCs/>
          <w:lang w:eastAsia="en-US"/>
        </w:rPr>
      </w:pPr>
    </w:p>
    <w:p w:rsidR="008176D9" w:rsidRDefault="008176D9" w:rsidP="00955416">
      <w:pPr>
        <w:pStyle w:val="ListParagraph"/>
        <w:ind w:left="1068"/>
        <w:jc w:val="both"/>
        <w:rPr>
          <w:b/>
        </w:rPr>
      </w:pPr>
    </w:p>
    <w:p w:rsidR="00BD7305" w:rsidRPr="00A01E02" w:rsidRDefault="00A82969" w:rsidP="00955416">
      <w:pPr>
        <w:pStyle w:val="ListParagraph"/>
        <w:numPr>
          <w:ilvl w:val="0"/>
          <w:numId w:val="8"/>
        </w:numPr>
        <w:ind w:firstLine="0"/>
        <w:rPr>
          <w:b/>
        </w:rPr>
      </w:pPr>
      <w:r w:rsidRPr="00A01E02">
        <w:rPr>
          <w:b/>
        </w:rPr>
        <w:t>PRIJAM ČASNIKA</w:t>
      </w:r>
    </w:p>
    <w:p w:rsidR="00A82969" w:rsidRPr="00F86B92" w:rsidRDefault="00A82969" w:rsidP="00955416">
      <w:pPr>
        <w:jc w:val="both"/>
      </w:pPr>
    </w:p>
    <w:p w:rsidR="003C245B" w:rsidRPr="00F86B92" w:rsidRDefault="00A01E02" w:rsidP="00955416">
      <w:pPr>
        <w:jc w:val="both"/>
        <w:rPr>
          <w:b/>
        </w:rPr>
      </w:pPr>
      <w:r>
        <w:rPr>
          <w:b/>
        </w:rPr>
        <w:tab/>
      </w:r>
      <w:r w:rsidR="00D66BCA" w:rsidRPr="00F86B92">
        <w:rPr>
          <w:b/>
        </w:rPr>
        <w:t>7.1</w:t>
      </w:r>
      <w:r w:rsidR="000F6157" w:rsidRPr="00F86B92">
        <w:rPr>
          <w:b/>
        </w:rPr>
        <w:t>.</w:t>
      </w:r>
      <w:r w:rsidR="00D66BCA" w:rsidRPr="00F86B92">
        <w:rPr>
          <w:b/>
        </w:rPr>
        <w:t xml:space="preserve"> Prijam </w:t>
      </w:r>
      <w:r w:rsidR="006D513E" w:rsidRPr="00F86B92">
        <w:rPr>
          <w:b/>
        </w:rPr>
        <w:t xml:space="preserve">kandidata za časnike </w:t>
      </w:r>
      <w:r w:rsidR="000F6157" w:rsidRPr="00F86B92">
        <w:rPr>
          <w:b/>
          <w:lang w:eastAsia="en-US"/>
        </w:rPr>
        <w:t>s tržišta rada</w:t>
      </w:r>
    </w:p>
    <w:p w:rsidR="00691809" w:rsidRPr="00F86B92" w:rsidRDefault="00BD7305" w:rsidP="00955416">
      <w:pPr>
        <w:jc w:val="both"/>
        <w:rPr>
          <w:lang w:eastAsia="en-US"/>
        </w:rPr>
      </w:pPr>
      <w:r w:rsidRPr="00F86B92">
        <w:tab/>
      </w:r>
      <w:r w:rsidRPr="00F86B92">
        <w:rPr>
          <w:lang w:eastAsia="en-US"/>
        </w:rPr>
        <w:t xml:space="preserve">Na temelju ugovora o školovanju nakon završetka školovanja izvršit će se prijam </w:t>
      </w:r>
      <w:r w:rsidR="00750AD6" w:rsidRPr="00F86B92">
        <w:rPr>
          <w:lang w:eastAsia="en-US"/>
        </w:rPr>
        <w:t>76</w:t>
      </w:r>
      <w:r w:rsidR="00691809" w:rsidRPr="00F86B92">
        <w:rPr>
          <w:lang w:eastAsia="en-US"/>
        </w:rPr>
        <w:t xml:space="preserve"> </w:t>
      </w:r>
      <w:r w:rsidRPr="00F86B92">
        <w:rPr>
          <w:lang w:eastAsia="en-US"/>
        </w:rPr>
        <w:t>kadeta</w:t>
      </w:r>
      <w:r w:rsidR="00813304" w:rsidRPr="00F86B92">
        <w:rPr>
          <w:lang w:eastAsia="en-US"/>
        </w:rPr>
        <w:t xml:space="preserve"> </w:t>
      </w:r>
      <w:r w:rsidRPr="00F86B92">
        <w:rPr>
          <w:lang w:eastAsia="en-US"/>
        </w:rPr>
        <w:t>sa sveučilišnih studijskih programa „Vojno vođenje i upravljanje“ i „Vojno inženjerstvo“</w:t>
      </w:r>
      <w:r w:rsidR="005F03F7" w:rsidRPr="00F86B92">
        <w:rPr>
          <w:lang w:eastAsia="en-US"/>
        </w:rPr>
        <w:t>, ovisno o iskazanom interesu polaznika 1</w:t>
      </w:r>
      <w:r w:rsidR="00750AD6" w:rsidRPr="00F86B92">
        <w:rPr>
          <w:lang w:eastAsia="en-US"/>
        </w:rPr>
        <w:t>4</w:t>
      </w:r>
      <w:r w:rsidR="005F03F7" w:rsidRPr="00F86B92">
        <w:rPr>
          <w:lang w:eastAsia="en-US"/>
        </w:rPr>
        <w:t>. naraštaja kadeta za nastavak školovanja na diplomskom studiju</w:t>
      </w:r>
      <w:r w:rsidRPr="00F86B92">
        <w:rPr>
          <w:lang w:eastAsia="en-US"/>
        </w:rPr>
        <w:t>.</w:t>
      </w:r>
    </w:p>
    <w:p w:rsidR="00254DA4" w:rsidRDefault="00254DA4" w:rsidP="00955416">
      <w:pPr>
        <w:jc w:val="both"/>
        <w:rPr>
          <w:lang w:eastAsia="en-US"/>
        </w:rPr>
      </w:pPr>
      <w:r>
        <w:rPr>
          <w:lang w:eastAsia="en-US"/>
        </w:rPr>
        <w:tab/>
      </w:r>
    </w:p>
    <w:p w:rsidR="00D6654A" w:rsidRPr="00F86B92" w:rsidRDefault="00254DA4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D6654A" w:rsidRPr="00F86B92">
        <w:rPr>
          <w:lang w:eastAsia="en-US"/>
        </w:rPr>
        <w:t>Tijekom 20</w:t>
      </w:r>
      <w:r w:rsidR="009D74BE" w:rsidRPr="00F86B92">
        <w:rPr>
          <w:lang w:eastAsia="en-US"/>
        </w:rPr>
        <w:t>20</w:t>
      </w:r>
      <w:r w:rsidR="00D6654A" w:rsidRPr="00F86B92">
        <w:rPr>
          <w:lang w:eastAsia="en-US"/>
        </w:rPr>
        <w:t xml:space="preserve">. godine završetkom prve razine slijedno-rastuće časničke izobrazbe i dodjelom prve razine čina te rasporedom na časničke dužnosti časnicima će postati </w:t>
      </w:r>
      <w:r w:rsidR="00F40A03">
        <w:rPr>
          <w:lang w:eastAsia="en-US"/>
        </w:rPr>
        <w:t>14</w:t>
      </w:r>
      <w:r w:rsidR="00F40A03" w:rsidRPr="00F86B92">
        <w:rPr>
          <w:lang w:eastAsia="en-US"/>
        </w:rPr>
        <w:t xml:space="preserve"> </w:t>
      </w:r>
      <w:r w:rsidR="00D6654A" w:rsidRPr="00F86B92">
        <w:rPr>
          <w:lang w:eastAsia="en-US"/>
        </w:rPr>
        <w:t xml:space="preserve">kandidata za časnika </w:t>
      </w:r>
      <w:r w:rsidR="00B42255" w:rsidRPr="00F86B92">
        <w:rPr>
          <w:lang w:eastAsia="en-US"/>
        </w:rPr>
        <w:t xml:space="preserve">s tržišta rada </w:t>
      </w:r>
      <w:r w:rsidR="00D6654A" w:rsidRPr="00F86B92">
        <w:rPr>
          <w:lang w:eastAsia="en-US"/>
        </w:rPr>
        <w:t>upućenih na osposobljavanje za časnika u 201</w:t>
      </w:r>
      <w:r w:rsidR="00972D98" w:rsidRPr="00F86B92">
        <w:rPr>
          <w:lang w:eastAsia="en-US"/>
        </w:rPr>
        <w:t>9</w:t>
      </w:r>
      <w:r w:rsidR="00D6654A" w:rsidRPr="00F86B92">
        <w:rPr>
          <w:lang w:eastAsia="en-US"/>
        </w:rPr>
        <w:t>. godini.</w:t>
      </w:r>
    </w:p>
    <w:p w:rsidR="00B70FF0" w:rsidRDefault="00B70FF0" w:rsidP="00955416">
      <w:pPr>
        <w:jc w:val="both"/>
        <w:rPr>
          <w:b/>
        </w:rPr>
      </w:pPr>
    </w:p>
    <w:p w:rsidR="000F6157" w:rsidRPr="00F86B92" w:rsidRDefault="00B70FF0" w:rsidP="00955416">
      <w:pPr>
        <w:jc w:val="both"/>
        <w:rPr>
          <w:b/>
        </w:rPr>
      </w:pPr>
      <w:r>
        <w:rPr>
          <w:b/>
        </w:rPr>
        <w:tab/>
      </w:r>
      <w:r w:rsidR="000F6157" w:rsidRPr="00F86B92">
        <w:rPr>
          <w:b/>
        </w:rPr>
        <w:t>7.2. Prijam kandidata za časnike iz obrambenog sustava</w:t>
      </w:r>
    </w:p>
    <w:p w:rsidR="000F6157" w:rsidRPr="00F86B92" w:rsidRDefault="00B70FF0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0F6157" w:rsidRPr="00F86B92">
        <w:rPr>
          <w:lang w:eastAsia="en-US"/>
        </w:rPr>
        <w:t>Uz navedene kandidate s tržišta rada, tijekom 20</w:t>
      </w:r>
      <w:r w:rsidR="00F40A03">
        <w:rPr>
          <w:lang w:eastAsia="en-US"/>
        </w:rPr>
        <w:t>20</w:t>
      </w:r>
      <w:r w:rsidR="000F6157" w:rsidRPr="00F86B92">
        <w:rPr>
          <w:lang w:eastAsia="en-US"/>
        </w:rPr>
        <w:t>. godine završetkom prve razine sljedno-rastuće časničke izobrazbe i dodjelom prv</w:t>
      </w:r>
      <w:r w:rsidR="004976EE">
        <w:rPr>
          <w:lang w:eastAsia="en-US"/>
        </w:rPr>
        <w:t>og</w:t>
      </w:r>
      <w:r w:rsidR="000F6157" w:rsidRPr="00F86B92">
        <w:rPr>
          <w:lang w:eastAsia="en-US"/>
        </w:rPr>
        <w:t xml:space="preserve"> </w:t>
      </w:r>
      <w:r w:rsidR="004976EE">
        <w:rPr>
          <w:lang w:eastAsia="en-US"/>
        </w:rPr>
        <w:t xml:space="preserve">časničkog </w:t>
      </w:r>
      <w:r w:rsidR="000F6157" w:rsidRPr="00F86B92">
        <w:rPr>
          <w:lang w:eastAsia="en-US"/>
        </w:rPr>
        <w:t xml:space="preserve">čina te rasporedom na časničke dužnosti časnicima će postati </w:t>
      </w:r>
      <w:r w:rsidR="003C170A">
        <w:rPr>
          <w:lang w:eastAsia="en-US"/>
        </w:rPr>
        <w:t>91</w:t>
      </w:r>
      <w:r w:rsidR="000F6157" w:rsidRPr="00F86B92">
        <w:rPr>
          <w:lang w:eastAsia="en-US"/>
        </w:rPr>
        <w:t xml:space="preserve"> kandidat za časnik</w:t>
      </w:r>
      <w:r w:rsidR="00F40A03">
        <w:rPr>
          <w:lang w:eastAsia="en-US"/>
        </w:rPr>
        <w:t>e</w:t>
      </w:r>
      <w:r w:rsidR="000F6157" w:rsidRPr="00F86B92">
        <w:rPr>
          <w:lang w:eastAsia="en-US"/>
        </w:rPr>
        <w:t xml:space="preserve"> koji su </w:t>
      </w:r>
      <w:r w:rsidR="004976EE">
        <w:rPr>
          <w:lang w:eastAsia="en-US"/>
        </w:rPr>
        <w:t xml:space="preserve">kao </w:t>
      </w:r>
      <w:r w:rsidR="000F6157" w:rsidRPr="00F86B92">
        <w:rPr>
          <w:lang w:eastAsia="en-US"/>
        </w:rPr>
        <w:t>vojnici/mornari</w:t>
      </w:r>
      <w:r w:rsidR="00254DA4">
        <w:rPr>
          <w:lang w:eastAsia="en-US"/>
        </w:rPr>
        <w:t xml:space="preserve"> i dočasnici </w:t>
      </w:r>
      <w:r w:rsidR="000F6157" w:rsidRPr="00F86B92">
        <w:rPr>
          <w:lang w:eastAsia="en-US"/>
        </w:rPr>
        <w:t xml:space="preserve">iz sustava upućeni na osposobljavanje za časnika u </w:t>
      </w:r>
      <w:r w:rsidR="003C170A">
        <w:rPr>
          <w:lang w:eastAsia="en-US"/>
        </w:rPr>
        <w:t xml:space="preserve">2018. i </w:t>
      </w:r>
      <w:r w:rsidR="000F6157" w:rsidRPr="00F86B92">
        <w:rPr>
          <w:lang w:eastAsia="en-US"/>
        </w:rPr>
        <w:t>2019. godini.</w:t>
      </w:r>
    </w:p>
    <w:p w:rsidR="00B70FF0" w:rsidRDefault="00B70FF0" w:rsidP="00955416">
      <w:pPr>
        <w:jc w:val="both"/>
        <w:rPr>
          <w:b/>
        </w:rPr>
      </w:pPr>
    </w:p>
    <w:p w:rsidR="003C245B" w:rsidRPr="00F86B92" w:rsidRDefault="00B70FF0" w:rsidP="00955416">
      <w:pPr>
        <w:jc w:val="both"/>
        <w:rPr>
          <w:b/>
        </w:rPr>
      </w:pPr>
      <w:r>
        <w:rPr>
          <w:b/>
        </w:rPr>
        <w:tab/>
      </w:r>
      <w:r w:rsidR="003C245B" w:rsidRPr="00F86B92">
        <w:rPr>
          <w:b/>
        </w:rPr>
        <w:t>7.</w:t>
      </w:r>
      <w:r w:rsidR="00FD3F21">
        <w:rPr>
          <w:b/>
        </w:rPr>
        <w:t>3</w:t>
      </w:r>
      <w:r w:rsidR="003C245B" w:rsidRPr="00F86B92">
        <w:rPr>
          <w:b/>
        </w:rPr>
        <w:t>. Upućivanje na osposobljavanje za časnika</w:t>
      </w:r>
    </w:p>
    <w:p w:rsidR="00BD7305" w:rsidRPr="00F86B92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</w:r>
      <w:r w:rsidR="00813304" w:rsidRPr="00F86B92">
        <w:rPr>
          <w:lang w:eastAsia="en-US"/>
        </w:rPr>
        <w:t xml:space="preserve">Na temelju javnog natječaja </w:t>
      </w:r>
      <w:r w:rsidR="00A4485E" w:rsidRPr="00F86B92">
        <w:rPr>
          <w:lang w:eastAsia="en-US"/>
        </w:rPr>
        <w:t>uputit će se na osposobljavanje za časn</w:t>
      </w:r>
      <w:r w:rsidR="003D11CE" w:rsidRPr="00F86B92">
        <w:rPr>
          <w:lang w:eastAsia="en-US"/>
        </w:rPr>
        <w:t>i</w:t>
      </w:r>
      <w:r w:rsidR="00A4485E" w:rsidRPr="00F86B92">
        <w:rPr>
          <w:lang w:eastAsia="en-US"/>
        </w:rPr>
        <w:t>ka 4</w:t>
      </w:r>
      <w:r w:rsidR="00972D98" w:rsidRPr="00F86B92">
        <w:rPr>
          <w:lang w:eastAsia="en-US"/>
        </w:rPr>
        <w:t>7</w:t>
      </w:r>
      <w:r w:rsidR="00A4485E" w:rsidRPr="00F86B92">
        <w:rPr>
          <w:lang w:eastAsia="en-US"/>
        </w:rPr>
        <w:t xml:space="preserve"> </w:t>
      </w:r>
      <w:r w:rsidRPr="00F86B92">
        <w:rPr>
          <w:lang w:eastAsia="en-US"/>
        </w:rPr>
        <w:t xml:space="preserve">kandidata s tržišta rada </w:t>
      </w:r>
      <w:r w:rsidR="001854BB" w:rsidRPr="00F86B92">
        <w:rPr>
          <w:lang w:eastAsia="en-US"/>
        </w:rPr>
        <w:t xml:space="preserve">za </w:t>
      </w:r>
      <w:r w:rsidR="00CA30AE" w:rsidRPr="00F86B92">
        <w:rPr>
          <w:lang w:eastAsia="en-US"/>
        </w:rPr>
        <w:t xml:space="preserve">kritične </w:t>
      </w:r>
      <w:r w:rsidR="001854BB" w:rsidRPr="00F86B92">
        <w:rPr>
          <w:lang w:eastAsia="en-US"/>
        </w:rPr>
        <w:t xml:space="preserve">kategorije osoblja </w:t>
      </w:r>
      <w:r w:rsidRPr="00F86B92">
        <w:rPr>
          <w:lang w:eastAsia="en-US"/>
        </w:rPr>
        <w:t>(doktori medicine,</w:t>
      </w:r>
      <w:r w:rsidR="00972D98" w:rsidRPr="00F86B92">
        <w:rPr>
          <w:lang w:eastAsia="en-US"/>
        </w:rPr>
        <w:t xml:space="preserve"> doktori dentalne medicine, doktori veterinarske medicine, </w:t>
      </w:r>
      <w:r w:rsidR="000159A5" w:rsidRPr="00F86B92">
        <w:rPr>
          <w:lang w:eastAsia="en-US"/>
        </w:rPr>
        <w:t xml:space="preserve">magistri inženjeri </w:t>
      </w:r>
      <w:r w:rsidR="00813304" w:rsidRPr="00F86B92">
        <w:rPr>
          <w:lang w:eastAsia="en-US"/>
        </w:rPr>
        <w:t xml:space="preserve">iz područja </w:t>
      </w:r>
      <w:r w:rsidR="000159A5" w:rsidRPr="00F86B92">
        <w:rPr>
          <w:lang w:eastAsia="en-US"/>
        </w:rPr>
        <w:t>kiber</w:t>
      </w:r>
      <w:r w:rsidR="00813304" w:rsidRPr="00F86B92">
        <w:rPr>
          <w:lang w:eastAsia="en-US"/>
        </w:rPr>
        <w:t>netičke</w:t>
      </w:r>
      <w:r w:rsidR="000159A5" w:rsidRPr="00F86B92">
        <w:rPr>
          <w:lang w:eastAsia="en-US"/>
        </w:rPr>
        <w:t>/IT stru</w:t>
      </w:r>
      <w:r w:rsidR="00813304" w:rsidRPr="00F86B92">
        <w:rPr>
          <w:lang w:eastAsia="en-US"/>
        </w:rPr>
        <w:t>ke</w:t>
      </w:r>
      <w:r w:rsidR="000159A5" w:rsidRPr="00F86B92">
        <w:rPr>
          <w:lang w:eastAsia="en-US"/>
        </w:rPr>
        <w:t>,</w:t>
      </w:r>
      <w:r w:rsidRPr="00F86B92">
        <w:rPr>
          <w:lang w:eastAsia="en-US"/>
        </w:rPr>
        <w:t xml:space="preserve"> prvostupnici </w:t>
      </w:r>
      <w:r w:rsidR="000159A5" w:rsidRPr="00F86B92">
        <w:rPr>
          <w:lang w:eastAsia="en-US"/>
        </w:rPr>
        <w:t xml:space="preserve">inženjeri </w:t>
      </w:r>
      <w:r w:rsidRPr="00F86B92">
        <w:rPr>
          <w:lang w:eastAsia="en-US"/>
        </w:rPr>
        <w:t>aeronautike</w:t>
      </w:r>
      <w:r w:rsidR="00972D98" w:rsidRPr="00F86B92">
        <w:rPr>
          <w:lang w:eastAsia="en-US"/>
        </w:rPr>
        <w:t>,</w:t>
      </w:r>
      <w:r w:rsidR="000159A5" w:rsidRPr="00F86B92">
        <w:rPr>
          <w:lang w:eastAsia="en-US"/>
        </w:rPr>
        <w:t xml:space="preserve"> magistr</w:t>
      </w:r>
      <w:r w:rsidR="00972D98" w:rsidRPr="00F86B92">
        <w:rPr>
          <w:lang w:eastAsia="en-US"/>
        </w:rPr>
        <w:t>i</w:t>
      </w:r>
      <w:r w:rsidR="000159A5" w:rsidRPr="00F86B92">
        <w:rPr>
          <w:lang w:eastAsia="en-US"/>
        </w:rPr>
        <w:t xml:space="preserve"> psihologije</w:t>
      </w:r>
      <w:r w:rsidR="00972D98" w:rsidRPr="00F86B92">
        <w:rPr>
          <w:lang w:eastAsia="en-US"/>
        </w:rPr>
        <w:t xml:space="preserve"> i magistri prava</w:t>
      </w:r>
      <w:r w:rsidRPr="00F86B92">
        <w:rPr>
          <w:lang w:eastAsia="en-US"/>
        </w:rPr>
        <w:t>).</w:t>
      </w:r>
    </w:p>
    <w:p w:rsidR="00055C8D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</w:r>
    </w:p>
    <w:p w:rsidR="00BD7305" w:rsidRPr="00F86B92" w:rsidRDefault="00055C8D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3C245B" w:rsidRPr="00F86B92">
        <w:rPr>
          <w:lang w:eastAsia="en-US"/>
        </w:rPr>
        <w:t>N</w:t>
      </w:r>
      <w:r w:rsidR="003D11CE" w:rsidRPr="00F86B92">
        <w:rPr>
          <w:lang w:eastAsia="en-US"/>
        </w:rPr>
        <w:t xml:space="preserve">a temelju internog oglasa </w:t>
      </w:r>
      <w:r w:rsidR="002C4CB3">
        <w:rPr>
          <w:lang w:eastAsia="en-US"/>
        </w:rPr>
        <w:t>50</w:t>
      </w:r>
      <w:r w:rsidR="002C4CB3" w:rsidRPr="00F86B92">
        <w:rPr>
          <w:lang w:eastAsia="en-US"/>
        </w:rPr>
        <w:t xml:space="preserve"> </w:t>
      </w:r>
      <w:r w:rsidR="00254DA4" w:rsidRPr="00F86B92">
        <w:rPr>
          <w:lang w:eastAsia="en-US"/>
        </w:rPr>
        <w:t xml:space="preserve">vojnika/mornara </w:t>
      </w:r>
      <w:r w:rsidR="00254DA4">
        <w:rPr>
          <w:lang w:eastAsia="en-US"/>
        </w:rPr>
        <w:t xml:space="preserve">i dočasnika </w:t>
      </w:r>
      <w:r w:rsidR="003D11CE" w:rsidRPr="00F86B92">
        <w:rPr>
          <w:lang w:eastAsia="en-US"/>
        </w:rPr>
        <w:t xml:space="preserve">uputit će se </w:t>
      </w:r>
      <w:r w:rsidR="00674BA4" w:rsidRPr="00F86B92">
        <w:rPr>
          <w:lang w:eastAsia="en-US"/>
        </w:rPr>
        <w:t>kao kandidati za časnika</w:t>
      </w:r>
      <w:r w:rsidR="003D11CE" w:rsidRPr="00F86B92">
        <w:rPr>
          <w:lang w:eastAsia="en-US"/>
        </w:rPr>
        <w:t xml:space="preserve"> na prvu razinu slijedno-rastuće časničke izobrazbe</w:t>
      </w:r>
      <w:r w:rsidR="00BD7305" w:rsidRPr="00F86B92">
        <w:rPr>
          <w:lang w:eastAsia="en-US"/>
        </w:rPr>
        <w:t>.</w:t>
      </w:r>
    </w:p>
    <w:p w:rsidR="00567ED8" w:rsidRDefault="00567ED8" w:rsidP="00955416">
      <w:pPr>
        <w:jc w:val="both"/>
        <w:rPr>
          <w:lang w:eastAsia="en-US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7"/>
        <w:gridCol w:w="709"/>
        <w:gridCol w:w="708"/>
        <w:gridCol w:w="837"/>
        <w:gridCol w:w="723"/>
        <w:gridCol w:w="1120"/>
      </w:tblGrid>
      <w:tr w:rsidR="00BD7305" w:rsidRPr="00156B08" w:rsidTr="00F86B92">
        <w:trPr>
          <w:trHeight w:val="264"/>
          <w:jc w:val="center"/>
        </w:trPr>
        <w:tc>
          <w:tcPr>
            <w:tcW w:w="4667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6D513E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KANDIDAT</w:t>
            </w:r>
            <w:r w:rsidR="00BD49FF" w:rsidRPr="00F86B92">
              <w:rPr>
                <w:b/>
                <w:sz w:val="22"/>
                <w:szCs w:val="22"/>
                <w:lang w:eastAsia="en-US"/>
              </w:rPr>
              <w:t>I</w:t>
            </w:r>
            <w:r w:rsidR="00BD7305" w:rsidRPr="00F86B9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86B92">
              <w:rPr>
                <w:b/>
                <w:sz w:val="22"/>
                <w:szCs w:val="22"/>
                <w:lang w:eastAsia="en-US"/>
              </w:rPr>
              <w:t xml:space="preserve">ZA ČASNIKE </w:t>
            </w:r>
            <w:r w:rsidR="00BD49FF" w:rsidRPr="00F86B92">
              <w:rPr>
                <w:b/>
                <w:sz w:val="22"/>
                <w:szCs w:val="22"/>
                <w:lang w:eastAsia="en-US"/>
              </w:rPr>
              <w:t>S TRŽIŠTA RADA</w:t>
            </w:r>
          </w:p>
        </w:tc>
        <w:tc>
          <w:tcPr>
            <w:tcW w:w="2977" w:type="dxa"/>
            <w:gridSpan w:val="4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TROMJESEČJE</w:t>
            </w:r>
          </w:p>
        </w:tc>
        <w:tc>
          <w:tcPr>
            <w:tcW w:w="1120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UKUPNO</w:t>
            </w:r>
          </w:p>
        </w:tc>
      </w:tr>
      <w:tr w:rsidR="00BD7305" w:rsidRPr="00156B08" w:rsidTr="00F86B92">
        <w:trPr>
          <w:trHeight w:val="249"/>
          <w:jc w:val="center"/>
        </w:trPr>
        <w:tc>
          <w:tcPr>
            <w:tcW w:w="4667" w:type="dxa"/>
            <w:vMerge/>
            <w:shd w:val="clear" w:color="auto" w:fill="auto"/>
            <w:vAlign w:val="center"/>
          </w:tcPr>
          <w:p w:rsidR="00BD7305" w:rsidRPr="00F86B92" w:rsidRDefault="00BD7305" w:rsidP="0095541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0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837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6B92">
              <w:rPr>
                <w:b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D7305" w:rsidRPr="00F86B92" w:rsidRDefault="00BD7305" w:rsidP="0095541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BD7305" w:rsidRPr="00156B08" w:rsidTr="00F86B92">
        <w:trPr>
          <w:trHeight w:val="249"/>
          <w:jc w:val="center"/>
        </w:trPr>
        <w:tc>
          <w:tcPr>
            <w:tcW w:w="4667" w:type="dxa"/>
            <w:shd w:val="clear" w:color="auto" w:fill="auto"/>
            <w:vAlign w:val="center"/>
          </w:tcPr>
          <w:p w:rsidR="00BD7305" w:rsidRPr="00F86B92" w:rsidRDefault="00BD7305" w:rsidP="00955416">
            <w:pPr>
              <w:jc w:val="center"/>
              <w:rPr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Kadeti</w:t>
            </w: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946B2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37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F40A03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3F007E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76</w:t>
            </w:r>
          </w:p>
        </w:tc>
      </w:tr>
      <w:tr w:rsidR="00BD7305" w:rsidRPr="00156B08" w:rsidTr="00F86B92">
        <w:trPr>
          <w:trHeight w:val="249"/>
          <w:jc w:val="center"/>
        </w:trPr>
        <w:tc>
          <w:tcPr>
            <w:tcW w:w="4667" w:type="dxa"/>
            <w:shd w:val="clear" w:color="auto" w:fill="auto"/>
            <w:vAlign w:val="center"/>
          </w:tcPr>
          <w:p w:rsidR="00BD7305" w:rsidRPr="00F86B92" w:rsidRDefault="00BD49FF" w:rsidP="00955416">
            <w:pPr>
              <w:jc w:val="center"/>
              <w:rPr>
                <w:lang w:eastAsia="en-US"/>
              </w:rPr>
            </w:pPr>
            <w:r w:rsidRPr="00F86B92">
              <w:rPr>
                <w:lang w:eastAsia="en-US"/>
              </w:rPr>
              <w:t xml:space="preserve">Kritične </w:t>
            </w:r>
            <w:r w:rsidR="00952F64" w:rsidRPr="00F86B92">
              <w:rPr>
                <w:lang w:eastAsia="en-US"/>
              </w:rPr>
              <w:t>kategorije osoblja</w:t>
            </w: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F40A03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37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lang w:eastAsia="en-US"/>
              </w:rPr>
            </w:pPr>
          </w:p>
        </w:tc>
        <w:tc>
          <w:tcPr>
            <w:tcW w:w="7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BD7305" w:rsidP="00955416">
            <w:pPr>
              <w:jc w:val="center"/>
              <w:rPr>
                <w:lang w:eastAsia="en-US"/>
              </w:rPr>
            </w:pPr>
          </w:p>
        </w:tc>
        <w:tc>
          <w:tcPr>
            <w:tcW w:w="112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7305" w:rsidRPr="00F86B92" w:rsidRDefault="00F40A03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14</w:t>
            </w:r>
          </w:p>
        </w:tc>
      </w:tr>
    </w:tbl>
    <w:p w:rsidR="00BD7305" w:rsidRPr="00156B08" w:rsidRDefault="00BD7305" w:rsidP="00955416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7"/>
        <w:gridCol w:w="709"/>
        <w:gridCol w:w="708"/>
        <w:gridCol w:w="837"/>
        <w:gridCol w:w="723"/>
        <w:gridCol w:w="1120"/>
      </w:tblGrid>
      <w:tr w:rsidR="00BD49FF" w:rsidRPr="00156B08" w:rsidTr="00F86B92">
        <w:trPr>
          <w:trHeight w:val="264"/>
          <w:jc w:val="center"/>
        </w:trPr>
        <w:tc>
          <w:tcPr>
            <w:tcW w:w="4667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46736" w:rsidRDefault="00D46736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KANDIDAT</w:t>
            </w:r>
            <w:r w:rsidR="002C36C9">
              <w:rPr>
                <w:b/>
                <w:sz w:val="22"/>
                <w:szCs w:val="22"/>
                <w:lang w:eastAsia="en-US"/>
              </w:rPr>
              <w:t>I</w:t>
            </w:r>
            <w:r w:rsidR="00BD49FF" w:rsidRPr="007D7D2E">
              <w:rPr>
                <w:b/>
                <w:sz w:val="22"/>
                <w:szCs w:val="22"/>
                <w:lang w:eastAsia="en-US"/>
              </w:rPr>
              <w:t xml:space="preserve"> ZA ČASNIKE IZ </w:t>
            </w:r>
          </w:p>
          <w:p w:rsidR="00BD49FF" w:rsidRPr="007D7D2E" w:rsidRDefault="00254DA4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OBRAMBENOG </w:t>
            </w:r>
            <w:r w:rsidR="00BD49FF" w:rsidRPr="007D7D2E">
              <w:rPr>
                <w:b/>
                <w:sz w:val="22"/>
                <w:szCs w:val="22"/>
                <w:lang w:eastAsia="en-US"/>
              </w:rPr>
              <w:t>SUSTAVA</w:t>
            </w:r>
          </w:p>
        </w:tc>
        <w:tc>
          <w:tcPr>
            <w:tcW w:w="2977" w:type="dxa"/>
            <w:gridSpan w:val="4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49FF" w:rsidRPr="007D7D2E" w:rsidRDefault="00BD49FF" w:rsidP="00955416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7D7D2E">
              <w:rPr>
                <w:b/>
                <w:sz w:val="22"/>
                <w:szCs w:val="22"/>
                <w:lang w:eastAsia="en-US"/>
              </w:rPr>
              <w:t>TROMJESEČJE</w:t>
            </w:r>
          </w:p>
        </w:tc>
        <w:tc>
          <w:tcPr>
            <w:tcW w:w="1120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49FF" w:rsidRPr="007D7D2E" w:rsidRDefault="00BD49FF" w:rsidP="00955416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7D7D2E">
              <w:rPr>
                <w:b/>
                <w:sz w:val="22"/>
                <w:szCs w:val="22"/>
                <w:lang w:eastAsia="en-US"/>
              </w:rPr>
              <w:t>UKUPNO</w:t>
            </w:r>
          </w:p>
        </w:tc>
      </w:tr>
      <w:tr w:rsidR="00C8776D" w:rsidRPr="00156B08" w:rsidTr="00F86B92">
        <w:trPr>
          <w:trHeight w:val="249"/>
          <w:jc w:val="center"/>
        </w:trPr>
        <w:tc>
          <w:tcPr>
            <w:tcW w:w="4667" w:type="dxa"/>
            <w:vMerge/>
            <w:shd w:val="clear" w:color="auto" w:fill="auto"/>
            <w:vAlign w:val="center"/>
          </w:tcPr>
          <w:p w:rsidR="00BD49FF" w:rsidRPr="00F86B92" w:rsidRDefault="00BD49FF" w:rsidP="0095541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49FF" w:rsidRPr="007D7D2E" w:rsidRDefault="00BD49FF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7D2E">
              <w:rPr>
                <w:b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0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49FF" w:rsidRPr="007D7D2E" w:rsidRDefault="00BD49FF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7D2E">
              <w:rPr>
                <w:b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837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D49FF" w:rsidRPr="007D7D2E" w:rsidRDefault="00BD49FF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7D2E">
              <w:rPr>
                <w:b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49FF" w:rsidRPr="007D7D2E" w:rsidRDefault="00BD49FF" w:rsidP="009554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D7D2E">
              <w:rPr>
                <w:b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D49FF" w:rsidRPr="00F86B92" w:rsidRDefault="00BD49FF" w:rsidP="0095541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BD49FF" w:rsidRPr="00156B08" w:rsidTr="00F86B92">
        <w:trPr>
          <w:trHeight w:val="357"/>
          <w:jc w:val="center"/>
        </w:trPr>
        <w:tc>
          <w:tcPr>
            <w:tcW w:w="4667" w:type="dxa"/>
            <w:shd w:val="clear" w:color="auto" w:fill="auto"/>
            <w:vAlign w:val="center"/>
          </w:tcPr>
          <w:p w:rsidR="006A27DE" w:rsidRPr="007D7D2E" w:rsidRDefault="00BD49FF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7D7D2E">
              <w:rPr>
                <w:sz w:val="22"/>
                <w:szCs w:val="22"/>
                <w:lang w:eastAsia="en-US"/>
              </w:rPr>
              <w:t>Dočasnici i vojnici/mornari</w:t>
            </w:r>
          </w:p>
          <w:p w:rsidR="00BD49FF" w:rsidRPr="007D7D2E" w:rsidRDefault="00BD49FF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7D7D2E">
              <w:rPr>
                <w:sz w:val="22"/>
                <w:szCs w:val="22"/>
                <w:lang w:eastAsia="en-US"/>
              </w:rPr>
              <w:t>na osposobljavanju za časnike</w:t>
            </w: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49FF" w:rsidRPr="007D7D2E" w:rsidRDefault="00BD49FF" w:rsidP="0095541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49FF" w:rsidRPr="007D7D2E" w:rsidRDefault="00BD49FF" w:rsidP="0095541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49FF" w:rsidRPr="00F40A03" w:rsidRDefault="0053510A" w:rsidP="009554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7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49FF" w:rsidRPr="00F40A03" w:rsidRDefault="00BD49FF" w:rsidP="0095541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49FF" w:rsidRPr="00F86B92" w:rsidRDefault="0053510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91</w:t>
            </w:r>
          </w:p>
        </w:tc>
      </w:tr>
    </w:tbl>
    <w:p w:rsidR="007D7D2E" w:rsidRPr="00F86B92" w:rsidRDefault="007D7D2E" w:rsidP="00955416">
      <w:pPr>
        <w:jc w:val="both"/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709"/>
        <w:gridCol w:w="708"/>
        <w:gridCol w:w="851"/>
        <w:gridCol w:w="709"/>
        <w:gridCol w:w="1122"/>
      </w:tblGrid>
      <w:tr w:rsidR="008A27F3" w:rsidRPr="00156B08" w:rsidTr="00F86B92">
        <w:trPr>
          <w:trHeight w:val="360"/>
          <w:jc w:val="center"/>
        </w:trPr>
        <w:tc>
          <w:tcPr>
            <w:tcW w:w="4669" w:type="dxa"/>
            <w:vMerge w:val="restart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lastRenderedPageBreak/>
              <w:t xml:space="preserve">UPUĆIVANJE NA OSPOSOBLJAVANJE </w:t>
            </w:r>
          </w:p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 xml:space="preserve">ZA ČASNIKA </w:t>
            </w:r>
          </w:p>
        </w:tc>
        <w:tc>
          <w:tcPr>
            <w:tcW w:w="2977" w:type="dxa"/>
            <w:gridSpan w:val="4"/>
            <w:tcBorders>
              <w:bottom w:val="double" w:sz="6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TROMJESEČJE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UKUPNO</w:t>
            </w:r>
          </w:p>
        </w:tc>
      </w:tr>
      <w:tr w:rsidR="00567ED8" w:rsidRPr="00156B08" w:rsidTr="00F86B92">
        <w:trPr>
          <w:trHeight w:val="360"/>
          <w:jc w:val="center"/>
        </w:trPr>
        <w:tc>
          <w:tcPr>
            <w:tcW w:w="4669" w:type="dxa"/>
            <w:vMerge/>
            <w:tcBorders>
              <w:bottom w:val="double" w:sz="6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bottom w:val="double" w:sz="6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70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III.</w:t>
            </w:r>
          </w:p>
        </w:tc>
        <w:tc>
          <w:tcPr>
            <w:tcW w:w="709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IV.</w:t>
            </w: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56A6A" w:rsidRPr="00156B08" w:rsidTr="00F86B92">
        <w:trPr>
          <w:trHeight w:val="249"/>
          <w:jc w:val="center"/>
        </w:trPr>
        <w:tc>
          <w:tcPr>
            <w:tcW w:w="466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D6654A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Kandidati s</w:t>
            </w:r>
            <w:r w:rsidR="00156A6A" w:rsidRPr="00F86B92">
              <w:rPr>
                <w:sz w:val="22"/>
                <w:szCs w:val="22"/>
                <w:lang w:eastAsia="en-US"/>
              </w:rPr>
              <w:t xml:space="preserve"> tržišta rada</w:t>
            </w: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4</w:t>
            </w:r>
            <w:r w:rsidR="00FF5DEC" w:rsidRPr="00F86B9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lang w:eastAsia="en-US"/>
              </w:rPr>
            </w:pPr>
          </w:p>
        </w:tc>
        <w:tc>
          <w:tcPr>
            <w:tcW w:w="112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>4</w:t>
            </w:r>
            <w:r w:rsidR="00FF5DEC" w:rsidRPr="00F86B92"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  <w:tr w:rsidR="00156A6A" w:rsidRPr="00156B08" w:rsidTr="00F86B92">
        <w:trPr>
          <w:trHeight w:val="249"/>
          <w:jc w:val="center"/>
        </w:trPr>
        <w:tc>
          <w:tcPr>
            <w:tcW w:w="466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D6654A" w:rsidP="00955416">
            <w:pPr>
              <w:jc w:val="center"/>
              <w:rPr>
                <w:sz w:val="22"/>
                <w:szCs w:val="22"/>
                <w:lang w:eastAsia="en-US"/>
              </w:rPr>
            </w:pPr>
            <w:r w:rsidRPr="00F86B92">
              <w:rPr>
                <w:sz w:val="22"/>
                <w:szCs w:val="22"/>
                <w:lang w:eastAsia="en-US"/>
              </w:rPr>
              <w:t>Kandidati i</w:t>
            </w:r>
            <w:r w:rsidR="00156A6A" w:rsidRPr="00F86B92">
              <w:rPr>
                <w:sz w:val="22"/>
                <w:szCs w:val="22"/>
                <w:lang w:eastAsia="en-US"/>
              </w:rPr>
              <w:t xml:space="preserve">z </w:t>
            </w:r>
            <w:r w:rsidR="00254DA4">
              <w:rPr>
                <w:sz w:val="22"/>
                <w:szCs w:val="22"/>
                <w:lang w:eastAsia="en-US"/>
              </w:rPr>
              <w:t xml:space="preserve">obrambenog </w:t>
            </w:r>
            <w:r w:rsidR="00156A6A" w:rsidRPr="00F86B92">
              <w:rPr>
                <w:sz w:val="22"/>
                <w:szCs w:val="22"/>
                <w:lang w:eastAsia="en-US"/>
              </w:rPr>
              <w:t>sustava</w:t>
            </w: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D85212" w:rsidP="009554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lang w:eastAsia="en-US"/>
              </w:rPr>
            </w:pPr>
          </w:p>
        </w:tc>
        <w:tc>
          <w:tcPr>
            <w:tcW w:w="112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D85212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</w:t>
            </w:r>
          </w:p>
        </w:tc>
      </w:tr>
      <w:tr w:rsidR="00156A6A" w:rsidRPr="00156B08" w:rsidTr="00F86B92">
        <w:trPr>
          <w:trHeight w:val="249"/>
          <w:jc w:val="center"/>
        </w:trPr>
        <w:tc>
          <w:tcPr>
            <w:tcW w:w="466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b/>
                <w:lang w:eastAsia="en-US"/>
              </w:rPr>
            </w:pPr>
            <w:r w:rsidRPr="00F86B92">
              <w:rPr>
                <w:b/>
                <w:sz w:val="22"/>
                <w:szCs w:val="22"/>
                <w:lang w:eastAsia="en-US"/>
              </w:rPr>
              <w:t xml:space="preserve">ČASNICI UKUPNO </w:t>
            </w: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8D3D4B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8D3D4B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70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156A6A" w:rsidP="00955416">
            <w:pPr>
              <w:jc w:val="center"/>
              <w:rPr>
                <w:lang w:eastAsia="en-US"/>
              </w:rPr>
            </w:pPr>
          </w:p>
        </w:tc>
        <w:tc>
          <w:tcPr>
            <w:tcW w:w="112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56A6A" w:rsidRPr="00F86B92" w:rsidRDefault="00E10315" w:rsidP="009554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D3D4B">
              <w:rPr>
                <w:b/>
                <w:sz w:val="22"/>
                <w:szCs w:val="22"/>
                <w:lang w:eastAsia="en-US"/>
              </w:rPr>
              <w:t>278</w:t>
            </w:r>
          </w:p>
        </w:tc>
      </w:tr>
    </w:tbl>
    <w:p w:rsidR="00567ED8" w:rsidRPr="00F86B92" w:rsidRDefault="00567ED8" w:rsidP="00955416">
      <w:pPr>
        <w:jc w:val="both"/>
        <w:rPr>
          <w:bCs/>
          <w:lang w:eastAsia="en-US"/>
        </w:rPr>
      </w:pPr>
    </w:p>
    <w:p w:rsidR="00BD7305" w:rsidRPr="00F86B92" w:rsidRDefault="00055C8D" w:rsidP="00955416">
      <w:pPr>
        <w:jc w:val="both"/>
      </w:pPr>
      <w:r>
        <w:tab/>
      </w:r>
      <w:r w:rsidR="00BD7305" w:rsidRPr="00F86B92">
        <w:t>Dinamika prijma kandidata za časničke dužnosti</w:t>
      </w:r>
      <w:r w:rsidR="00847F04" w:rsidRPr="00F86B92">
        <w:t xml:space="preserve"> s tržišta rada</w:t>
      </w:r>
      <w:r w:rsidR="00BD7305" w:rsidRPr="00F86B92">
        <w:t xml:space="preserve"> uskladit će se s početkom osposobljavanja za časnike.</w:t>
      </w:r>
    </w:p>
    <w:p w:rsidR="00055C8D" w:rsidRDefault="00055C8D" w:rsidP="00955416">
      <w:pPr>
        <w:jc w:val="both"/>
        <w:rPr>
          <w:lang w:eastAsia="en-US"/>
        </w:rPr>
      </w:pPr>
    </w:p>
    <w:p w:rsidR="00A82969" w:rsidRPr="00055C8D" w:rsidRDefault="00A82969" w:rsidP="00955416">
      <w:pPr>
        <w:pStyle w:val="ListParagraph"/>
        <w:numPr>
          <w:ilvl w:val="0"/>
          <w:numId w:val="8"/>
        </w:numPr>
        <w:ind w:firstLine="0"/>
        <w:jc w:val="both"/>
        <w:rPr>
          <w:bCs/>
          <w:u w:val="single"/>
          <w:lang w:eastAsia="en-US"/>
        </w:rPr>
      </w:pPr>
      <w:r w:rsidRPr="00055C8D">
        <w:rPr>
          <w:b/>
        </w:rPr>
        <w:t>PRIJAM VOJNIH SPECIJALISTA</w:t>
      </w:r>
    </w:p>
    <w:p w:rsidR="00DA2AC0" w:rsidRDefault="00DA2AC0" w:rsidP="00955416">
      <w:pPr>
        <w:jc w:val="both"/>
      </w:pPr>
    </w:p>
    <w:p w:rsidR="00BD7305" w:rsidRDefault="00055C8D" w:rsidP="00955416">
      <w:pPr>
        <w:pStyle w:val="t-9-8"/>
        <w:spacing w:before="0" w:beforeAutospacing="0" w:after="0" w:afterAutospacing="0"/>
        <w:jc w:val="both"/>
      </w:pPr>
      <w:r>
        <w:tab/>
      </w:r>
      <w:r w:rsidR="00BD7305" w:rsidRPr="00983413">
        <w:t xml:space="preserve">Ustrojbena mjesta vojnih specijalista popunjavat će se putem internog oglasa kandidatima iz </w:t>
      </w:r>
      <w:r w:rsidR="00254DA4">
        <w:t>Ministarstva obrane odnosno</w:t>
      </w:r>
      <w:r w:rsidR="00847F04" w:rsidRPr="00983413">
        <w:t xml:space="preserve"> </w:t>
      </w:r>
      <w:r w:rsidR="00980428" w:rsidRPr="00983413">
        <w:t>Hrvatske vojske</w:t>
      </w:r>
      <w:r w:rsidR="00BD7305" w:rsidRPr="00983413">
        <w:t xml:space="preserve">. Ako </w:t>
      </w:r>
      <w:r w:rsidR="00955416">
        <w:t xml:space="preserve">se </w:t>
      </w:r>
      <w:r w:rsidR="00BD7305" w:rsidRPr="00983413">
        <w:t xml:space="preserve">ustrojbena </w:t>
      </w:r>
      <w:r w:rsidR="00955416">
        <w:t>mjesta neće moći</w:t>
      </w:r>
      <w:r w:rsidR="00BD7305" w:rsidRPr="00983413">
        <w:t xml:space="preserve"> popuniti putem internog oglasa, prijam vojnih specijalista provest će se putem javnog natječaja.</w:t>
      </w:r>
    </w:p>
    <w:p w:rsidR="00055C8D" w:rsidRPr="00983413" w:rsidRDefault="00055C8D" w:rsidP="00955416">
      <w:pPr>
        <w:pStyle w:val="t-9-8"/>
        <w:spacing w:before="0" w:beforeAutospacing="0" w:after="0" w:afterAutospacing="0"/>
        <w:jc w:val="both"/>
      </w:pPr>
    </w:p>
    <w:p w:rsidR="00980428" w:rsidRDefault="00BD7305" w:rsidP="00955416">
      <w:pPr>
        <w:pStyle w:val="t-9-8"/>
        <w:spacing w:before="0" w:beforeAutospacing="0" w:after="0" w:afterAutospacing="0"/>
        <w:jc w:val="both"/>
      </w:pPr>
      <w:r w:rsidRPr="00983413">
        <w:tab/>
        <w:t xml:space="preserve">Na temelju internog oglasa kandidatima iz </w:t>
      </w:r>
      <w:r w:rsidR="00847F04" w:rsidRPr="00983413">
        <w:t xml:space="preserve">Ministarstva obrane </w:t>
      </w:r>
      <w:r w:rsidR="00254DA4">
        <w:t>odnosno</w:t>
      </w:r>
      <w:r w:rsidR="00847F04" w:rsidRPr="00983413">
        <w:t xml:space="preserve"> </w:t>
      </w:r>
      <w:r w:rsidR="00980428" w:rsidRPr="00983413">
        <w:t>Hrvatske vojske</w:t>
      </w:r>
      <w:r w:rsidRPr="00983413">
        <w:t xml:space="preserve"> popunit će se </w:t>
      </w:r>
      <w:r w:rsidR="00594888" w:rsidRPr="00983413">
        <w:t>4</w:t>
      </w:r>
      <w:r w:rsidRPr="00983413">
        <w:t xml:space="preserve">0 ustrojbenih mjesta vojnih specijalista. Točnu strukturu potreba </w:t>
      </w:r>
      <w:r w:rsidR="00980428" w:rsidRPr="00983413">
        <w:t>Hrvatske vojske</w:t>
      </w:r>
      <w:r w:rsidR="00980428" w:rsidRPr="00983413" w:rsidDel="00980428">
        <w:t xml:space="preserve"> </w:t>
      </w:r>
      <w:r w:rsidRPr="00983413">
        <w:t>Personalna uprava Glavnog stožera Oružanih snaga Republike Hrvatske dostavit će Upravi za ljudske potencijale najkasnije 90 dana prije raspisivanja internog oglasa za prijam vojnih specijalista.</w:t>
      </w:r>
    </w:p>
    <w:p w:rsidR="00055C8D" w:rsidRPr="00983413" w:rsidRDefault="00055C8D" w:rsidP="00955416">
      <w:pPr>
        <w:pStyle w:val="t-9-8"/>
        <w:spacing w:before="0" w:beforeAutospacing="0" w:after="0" w:afterAutospacing="0"/>
        <w:jc w:val="both"/>
      </w:pPr>
    </w:p>
    <w:p w:rsidR="00BD7305" w:rsidRPr="00983413" w:rsidRDefault="00055C8D" w:rsidP="00955416">
      <w:pPr>
        <w:pStyle w:val="t-9-8"/>
        <w:spacing w:before="0" w:beforeAutospacing="0" w:after="0" w:afterAutospacing="0"/>
        <w:jc w:val="both"/>
      </w:pPr>
      <w:r>
        <w:tab/>
      </w:r>
      <w:r w:rsidR="00BD7305" w:rsidRPr="00983413">
        <w:t xml:space="preserve">Prijam planiranog broja kandidata za popunu ustrojbenih mjesta vojnih specijalista  provest će se na temelju pravilnika kojim se uređuju pitanja o vojnim specijalistima i popisa posebnih specijalističkih zvanja vojnih specijalista u </w:t>
      </w:r>
      <w:r w:rsidR="00980428" w:rsidRPr="00983413">
        <w:t>Hrvatskoj vojsci</w:t>
      </w:r>
      <w:r w:rsidR="00BD7305" w:rsidRPr="00983413">
        <w:t>.</w:t>
      </w:r>
    </w:p>
    <w:p w:rsidR="00055C8D" w:rsidRPr="00A76744" w:rsidRDefault="00055C8D" w:rsidP="00955416">
      <w:pPr>
        <w:jc w:val="both"/>
        <w:rPr>
          <w:b/>
          <w:lang w:eastAsia="en-US"/>
        </w:rPr>
      </w:pPr>
    </w:p>
    <w:p w:rsidR="00BD7305" w:rsidRPr="00A76744" w:rsidRDefault="00A82969" w:rsidP="00955416">
      <w:pPr>
        <w:pStyle w:val="ListParagraph"/>
        <w:numPr>
          <w:ilvl w:val="0"/>
          <w:numId w:val="8"/>
        </w:numPr>
        <w:ind w:firstLine="0"/>
        <w:jc w:val="both"/>
        <w:rPr>
          <w:b/>
          <w:lang w:eastAsia="en-US"/>
        </w:rPr>
      </w:pPr>
      <w:r w:rsidRPr="00A76744">
        <w:rPr>
          <w:b/>
          <w:bCs/>
          <w:lang w:eastAsia="en-US"/>
        </w:rPr>
        <w:t>PRIJAM NAMJEŠTENIKA TE OSOBA IZAB</w:t>
      </w:r>
      <w:r w:rsidR="00955416">
        <w:rPr>
          <w:b/>
          <w:bCs/>
          <w:lang w:eastAsia="en-US"/>
        </w:rPr>
        <w:t>RANIH U SURADNIČKA I ZNANSTVENO-</w:t>
      </w:r>
      <w:r w:rsidRPr="00A76744">
        <w:rPr>
          <w:b/>
          <w:bCs/>
          <w:lang w:eastAsia="en-US"/>
        </w:rPr>
        <w:t>NASTAVNA ZVANJA U HRVATSKU VOJSKU</w:t>
      </w:r>
    </w:p>
    <w:p w:rsidR="00A82969" w:rsidRPr="00F86B92" w:rsidRDefault="00A82969" w:rsidP="00955416">
      <w:pPr>
        <w:jc w:val="both"/>
      </w:pPr>
    </w:p>
    <w:p w:rsidR="00BD7305" w:rsidRDefault="00BD7305" w:rsidP="00955416">
      <w:pPr>
        <w:pStyle w:val="t-9-8"/>
        <w:spacing w:before="0" w:beforeAutospacing="0" w:after="0" w:afterAutospacing="0"/>
        <w:jc w:val="both"/>
      </w:pPr>
      <w:r w:rsidRPr="00F86B92">
        <w:tab/>
        <w:t xml:space="preserve">U skladu s člankom 47. stavkom 2. Zakona o službi u Oružanim snagama Republike Hrvatske prijam namještenika u službu u </w:t>
      </w:r>
      <w:r w:rsidR="00804B80" w:rsidRPr="00F86B92">
        <w:t>Hrvatsku vojsku</w:t>
      </w:r>
      <w:r w:rsidR="00804B80" w:rsidRPr="00F86B92" w:rsidDel="00804B80">
        <w:t xml:space="preserve"> </w:t>
      </w:r>
      <w:r w:rsidRPr="00F86B92">
        <w:t>provodi se u skladu s potrebama utvrđenim ovim Planom.</w:t>
      </w:r>
    </w:p>
    <w:p w:rsidR="00955416" w:rsidRPr="00F86B92" w:rsidRDefault="00955416" w:rsidP="00955416">
      <w:pPr>
        <w:pStyle w:val="t-9-8"/>
        <w:spacing w:before="0" w:beforeAutospacing="0" w:after="0" w:afterAutospacing="0"/>
        <w:jc w:val="both"/>
      </w:pPr>
    </w:p>
    <w:p w:rsidR="00055C8D" w:rsidRDefault="00BD7305" w:rsidP="00955416">
      <w:pPr>
        <w:pStyle w:val="t-9-8"/>
        <w:spacing w:before="0" w:beforeAutospacing="0" w:after="0" w:afterAutospacing="0"/>
        <w:jc w:val="both"/>
      </w:pPr>
      <w:r w:rsidRPr="00F86B92">
        <w:tab/>
      </w:r>
      <w:r w:rsidRPr="00A76744">
        <w:t>U 20</w:t>
      </w:r>
      <w:r w:rsidR="00B02E6C" w:rsidRPr="00A76744">
        <w:t>20</w:t>
      </w:r>
      <w:r w:rsidRPr="00A76744">
        <w:t xml:space="preserve">. godini planiran je prijam </w:t>
      </w:r>
      <w:r w:rsidR="00A76744" w:rsidRPr="00A76744">
        <w:t xml:space="preserve">50 </w:t>
      </w:r>
      <w:r w:rsidR="00B02E6C" w:rsidRPr="00A76744">
        <w:t>namještenika</w:t>
      </w:r>
      <w:r w:rsidR="00B33606" w:rsidRPr="00A76744">
        <w:t xml:space="preserve"> </w:t>
      </w:r>
      <w:r w:rsidR="002C36C9">
        <w:t>u Hrvatsku vojsku</w:t>
      </w:r>
      <w:r w:rsidR="00EC18A0" w:rsidRPr="00A76744">
        <w:t>. Sustavno popunjavanje ove kategorije osob</w:t>
      </w:r>
      <w:r w:rsidR="002C36C9">
        <w:t>lj</w:t>
      </w:r>
      <w:r w:rsidR="00EC18A0" w:rsidRPr="00A76744">
        <w:t>a nije provođeno godinama</w:t>
      </w:r>
      <w:r w:rsidR="00722F3D" w:rsidRPr="00A76744">
        <w:t xml:space="preserve"> te je njihova prosječna dob iznad 50 godina, a</w:t>
      </w:r>
      <w:r w:rsidR="00EC18A0" w:rsidRPr="00A76744">
        <w:t xml:space="preserve"> broj ustrojbenih mjesta </w:t>
      </w:r>
      <w:r w:rsidR="00722F3D" w:rsidRPr="00A76744">
        <w:t xml:space="preserve">je u </w:t>
      </w:r>
      <w:r w:rsidR="00EC18A0" w:rsidRPr="00A76744">
        <w:t xml:space="preserve">proteklih </w:t>
      </w:r>
      <w:r w:rsidR="006F2825">
        <w:t>deset</w:t>
      </w:r>
      <w:r w:rsidR="00722F3D" w:rsidRPr="00A76744">
        <w:t xml:space="preserve"> </w:t>
      </w:r>
      <w:r w:rsidR="00EC18A0" w:rsidRPr="00A76744">
        <w:t xml:space="preserve">godina </w:t>
      </w:r>
      <w:r w:rsidR="00254DA4">
        <w:t>znatno smanjen</w:t>
      </w:r>
      <w:r w:rsidR="00EC18A0" w:rsidRPr="00A76744">
        <w:t>.</w:t>
      </w:r>
      <w:r w:rsidR="00EC18A0">
        <w:t xml:space="preserve"> </w:t>
      </w:r>
    </w:p>
    <w:p w:rsidR="00955416" w:rsidRDefault="00055C8D" w:rsidP="00955416">
      <w:pPr>
        <w:pStyle w:val="t-9-8"/>
        <w:spacing w:before="0" w:beforeAutospacing="0" w:after="0" w:afterAutospacing="0"/>
        <w:jc w:val="both"/>
      </w:pPr>
      <w:r>
        <w:tab/>
      </w:r>
    </w:p>
    <w:p w:rsidR="00EC18A0" w:rsidRDefault="00955416" w:rsidP="00955416">
      <w:pPr>
        <w:pStyle w:val="t-9-8"/>
        <w:spacing w:before="0" w:beforeAutospacing="0" w:after="0" w:afterAutospacing="0"/>
        <w:jc w:val="both"/>
      </w:pPr>
      <w:r>
        <w:tab/>
      </w:r>
      <w:r w:rsidR="00EC18A0" w:rsidRPr="00A76744">
        <w:t xml:space="preserve">Sada je nepopunjeno </w:t>
      </w:r>
      <w:r w:rsidR="00254DA4">
        <w:t xml:space="preserve">oko </w:t>
      </w:r>
      <w:r w:rsidR="00EC18A0" w:rsidRPr="00A76744">
        <w:t xml:space="preserve">150 ustrojbenih mjesta </w:t>
      </w:r>
      <w:r w:rsidR="00722F3D" w:rsidRPr="00A76744">
        <w:t>te je prijam početak sustavnog obnavljanja ove kategorije osoblja</w:t>
      </w:r>
      <w:r w:rsidR="00EC18A0" w:rsidRPr="00A76744">
        <w:t>.</w:t>
      </w:r>
      <w:r w:rsidR="0052517E" w:rsidRPr="00A76744">
        <w:t xml:space="preserve"> Rije</w:t>
      </w:r>
      <w:r>
        <w:t xml:space="preserve">č je o namješteničkim mjestima koje će po </w:t>
      </w:r>
      <w:r w:rsidR="0052517E" w:rsidRPr="00A76744">
        <w:t>zanimanjima Personalna uprava Glavnog stožera Oružanih snaga Republike Hrvatske dostavit</w:t>
      </w:r>
      <w:r>
        <w:t>i</w:t>
      </w:r>
      <w:r w:rsidR="0052517E" w:rsidRPr="00A76744">
        <w:t xml:space="preserve"> Upravi za ljudske potencijale najkasnije 90 dana prije raspisivanja javnog natječaja.</w:t>
      </w:r>
    </w:p>
    <w:p w:rsidR="00437D63" w:rsidRDefault="00B002CF" w:rsidP="00955416">
      <w:pPr>
        <w:pStyle w:val="t-9-8"/>
        <w:spacing w:before="0" w:beforeAutospacing="0" w:after="0" w:afterAutospacing="0"/>
        <w:jc w:val="both"/>
      </w:pPr>
      <w:r>
        <w:tab/>
      </w:r>
    </w:p>
    <w:p w:rsidR="00BD7305" w:rsidRPr="00F86B92" w:rsidRDefault="00437D63" w:rsidP="00955416">
      <w:pPr>
        <w:pStyle w:val="t-9-8"/>
        <w:spacing w:before="0" w:beforeAutospacing="0" w:after="0" w:afterAutospacing="0"/>
        <w:jc w:val="both"/>
      </w:pPr>
      <w:r>
        <w:tab/>
        <w:t xml:space="preserve">Planira se i prijam </w:t>
      </w:r>
      <w:r w:rsidR="00804B80" w:rsidRPr="00F86B92">
        <w:t xml:space="preserve">devet </w:t>
      </w:r>
      <w:r w:rsidR="00BD7305" w:rsidRPr="00F86B92">
        <w:t>osob</w:t>
      </w:r>
      <w:r w:rsidR="00B33606" w:rsidRPr="00F86B92">
        <w:t>a</w:t>
      </w:r>
      <w:r w:rsidR="00BD7305" w:rsidRPr="00F86B92">
        <w:t xml:space="preserve"> izabran</w:t>
      </w:r>
      <w:r w:rsidR="00B33606" w:rsidRPr="00F86B92">
        <w:t>ih</w:t>
      </w:r>
      <w:r w:rsidR="00BD7305" w:rsidRPr="00F86B92">
        <w:t xml:space="preserve"> u suradnička i znanstveno-nastavna zvanja za potrebe provođenja studijskih programa Hrvatskoga vojnog učilišta „Dr. Franjo Tuđman“</w:t>
      </w:r>
      <w:r w:rsidR="00A76744">
        <w:t>,</w:t>
      </w:r>
      <w:r w:rsidR="00B002CF">
        <w:t xml:space="preserve"> </w:t>
      </w:r>
      <w:r w:rsidR="00A0765A">
        <w:t>kao i</w:t>
      </w:r>
      <w:r w:rsidR="00A76744">
        <w:t xml:space="preserve"> devet</w:t>
      </w:r>
      <w:r w:rsidR="00B002CF">
        <w:t xml:space="preserve"> osoba izabranih u znanstvena zvanja za potrebe </w:t>
      </w:r>
      <w:r w:rsidR="00A0765A">
        <w:t xml:space="preserve">znanstvenog rada u </w:t>
      </w:r>
      <w:r w:rsidR="00B002CF">
        <w:t>Centr</w:t>
      </w:r>
      <w:r w:rsidR="00A0765A">
        <w:t>u</w:t>
      </w:r>
      <w:r w:rsidR="00B002CF">
        <w:t xml:space="preserve"> za </w:t>
      </w:r>
      <w:r w:rsidR="00A76744">
        <w:t>obrambene i strateške studije „Janko Bobetko“</w:t>
      </w:r>
      <w:r w:rsidR="00B002CF">
        <w:t xml:space="preserve"> </w:t>
      </w:r>
      <w:r w:rsidR="00B002CF" w:rsidRPr="0033227F">
        <w:t>Hrvatskoga vojnog učilišta „Dr. Franjo Tuđman“</w:t>
      </w:r>
      <w:r w:rsidR="00B002CF">
        <w:t>.</w:t>
      </w:r>
    </w:p>
    <w:p w:rsidR="008176D9" w:rsidRDefault="008176D9" w:rsidP="00955416">
      <w:pPr>
        <w:pStyle w:val="ListParagraph"/>
        <w:ind w:left="1068"/>
        <w:jc w:val="both"/>
        <w:rPr>
          <w:b/>
        </w:rPr>
      </w:pPr>
    </w:p>
    <w:p w:rsidR="00BD7305" w:rsidRPr="00055C8D" w:rsidRDefault="00A82969" w:rsidP="00955416">
      <w:pPr>
        <w:pStyle w:val="ListParagraph"/>
        <w:numPr>
          <w:ilvl w:val="0"/>
          <w:numId w:val="8"/>
        </w:numPr>
        <w:ind w:firstLine="0"/>
        <w:rPr>
          <w:b/>
        </w:rPr>
      </w:pPr>
      <w:r w:rsidRPr="00055C8D">
        <w:rPr>
          <w:b/>
        </w:rPr>
        <w:lastRenderedPageBreak/>
        <w:t>PRAĆENJE I IZVJEŠĆIVANJE</w:t>
      </w:r>
    </w:p>
    <w:p w:rsidR="00A82969" w:rsidRPr="00F86B92" w:rsidRDefault="00A82969" w:rsidP="00955416">
      <w:pPr>
        <w:jc w:val="both"/>
      </w:pPr>
    </w:p>
    <w:p w:rsidR="00BD7305" w:rsidRPr="00F86B92" w:rsidRDefault="00BD7305" w:rsidP="00955416">
      <w:pPr>
        <w:pStyle w:val="BodyText"/>
        <w:jc w:val="both"/>
        <w:rPr>
          <w:szCs w:val="24"/>
        </w:rPr>
      </w:pPr>
      <w:r w:rsidRPr="00F86B92">
        <w:rPr>
          <w:szCs w:val="24"/>
        </w:rPr>
        <w:tab/>
        <w:t>Uprava za ljudske potencijale odgovorna je za provedbu Plana koji će nadzirati i usmjeravati te o tome izvješćivati ministra obrane.</w:t>
      </w:r>
    </w:p>
    <w:p w:rsidR="00055C8D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</w:r>
    </w:p>
    <w:p w:rsidR="00055C8D" w:rsidRDefault="00055C8D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BD7305" w:rsidRPr="00F86B92">
        <w:rPr>
          <w:lang w:eastAsia="en-US"/>
        </w:rPr>
        <w:t xml:space="preserve">Na zahtjev Uprave za ljudske potencijale sve ustrojstvene </w:t>
      </w:r>
      <w:r>
        <w:rPr>
          <w:lang w:eastAsia="en-US"/>
        </w:rPr>
        <w:t>jedinice</w:t>
      </w:r>
      <w:r w:rsidR="008F4124" w:rsidRPr="00F86B92">
        <w:rPr>
          <w:lang w:eastAsia="en-US"/>
        </w:rPr>
        <w:t xml:space="preserve"> </w:t>
      </w:r>
      <w:r w:rsidR="00BD7305" w:rsidRPr="00F86B92">
        <w:rPr>
          <w:lang w:eastAsia="en-US"/>
        </w:rPr>
        <w:t xml:space="preserve">Ministarstva obrane i </w:t>
      </w:r>
      <w:r w:rsidR="008F4124" w:rsidRPr="00F86B92">
        <w:t>Hrvatske vojske</w:t>
      </w:r>
      <w:r w:rsidR="008F4124" w:rsidRPr="00F86B92" w:rsidDel="008F4124">
        <w:rPr>
          <w:lang w:eastAsia="en-US"/>
        </w:rPr>
        <w:t xml:space="preserve"> </w:t>
      </w:r>
      <w:r w:rsidR="00437D63">
        <w:rPr>
          <w:lang w:eastAsia="en-US"/>
        </w:rPr>
        <w:t>obvezne</w:t>
      </w:r>
      <w:r w:rsidR="00BD7305" w:rsidRPr="00F86B92">
        <w:rPr>
          <w:lang w:eastAsia="en-US"/>
        </w:rPr>
        <w:t xml:space="preserve"> su dostavljati izvješća iz svoje nadležnosti.</w:t>
      </w:r>
    </w:p>
    <w:p w:rsidR="00055C8D" w:rsidRDefault="00055C8D" w:rsidP="00955416">
      <w:pPr>
        <w:jc w:val="both"/>
        <w:rPr>
          <w:lang w:eastAsia="en-US"/>
        </w:rPr>
      </w:pPr>
    </w:p>
    <w:p w:rsidR="00BD7305" w:rsidRPr="00055C8D" w:rsidRDefault="00A82969" w:rsidP="00955416">
      <w:pPr>
        <w:pStyle w:val="ListParagraph"/>
        <w:numPr>
          <w:ilvl w:val="0"/>
          <w:numId w:val="8"/>
        </w:numPr>
        <w:ind w:firstLine="0"/>
        <w:jc w:val="both"/>
        <w:rPr>
          <w:lang w:eastAsia="en-US"/>
        </w:rPr>
      </w:pPr>
      <w:r w:rsidRPr="00055C8D">
        <w:rPr>
          <w:b/>
        </w:rPr>
        <w:t>FINANCIJSKI TROŠKOVI ZA PROVEDBU PLANA</w:t>
      </w:r>
    </w:p>
    <w:p w:rsidR="00A82969" w:rsidRPr="00F86B92" w:rsidRDefault="00A82969" w:rsidP="00955416">
      <w:pPr>
        <w:jc w:val="both"/>
      </w:pPr>
    </w:p>
    <w:p w:rsidR="00055C8D" w:rsidRDefault="00BD7305" w:rsidP="00955416">
      <w:pPr>
        <w:jc w:val="both"/>
        <w:rPr>
          <w:lang w:eastAsia="en-US"/>
        </w:rPr>
      </w:pPr>
      <w:r w:rsidRPr="00F86B92">
        <w:rPr>
          <w:lang w:eastAsia="en-US"/>
        </w:rPr>
        <w:tab/>
        <w:t>U Financijskom planu Ministarstva obrane za 20</w:t>
      </w:r>
      <w:r w:rsidR="00B02E6C" w:rsidRPr="00F86B92">
        <w:rPr>
          <w:lang w:eastAsia="en-US"/>
        </w:rPr>
        <w:t>20</w:t>
      </w:r>
      <w:r w:rsidRPr="00F86B92">
        <w:rPr>
          <w:lang w:eastAsia="en-US"/>
        </w:rPr>
        <w:t xml:space="preserve">. godinu u okviru Programa </w:t>
      </w:r>
      <w:r w:rsidR="007A5D31" w:rsidRPr="00F86B92">
        <w:rPr>
          <w:lang w:eastAsia="en-US"/>
        </w:rPr>
        <w:t>2505</w:t>
      </w:r>
      <w:r w:rsidRPr="00F86B92">
        <w:rPr>
          <w:lang w:eastAsia="en-US"/>
        </w:rPr>
        <w:t xml:space="preserve"> – Upravljanje i potpora osoblju u Aktivnosti </w:t>
      </w:r>
      <w:r w:rsidR="007A5D31" w:rsidRPr="00F86B92">
        <w:rPr>
          <w:lang w:eastAsia="en-US"/>
        </w:rPr>
        <w:t>A545053</w:t>
      </w:r>
      <w:r w:rsidRPr="00F86B92">
        <w:rPr>
          <w:lang w:eastAsia="en-US"/>
        </w:rPr>
        <w:t xml:space="preserve"> – Pribavljanje osoblja i izobrazba osigurano je </w:t>
      </w:r>
      <w:r w:rsidR="000B34F4">
        <w:rPr>
          <w:lang w:eastAsia="en-US"/>
        </w:rPr>
        <w:t>755</w:t>
      </w:r>
      <w:r w:rsidR="008003F2" w:rsidRPr="00F86B92">
        <w:rPr>
          <w:lang w:eastAsia="en-US"/>
        </w:rPr>
        <w:t>.</w:t>
      </w:r>
      <w:r w:rsidR="000B34F4">
        <w:rPr>
          <w:lang w:eastAsia="en-US"/>
        </w:rPr>
        <w:t>790</w:t>
      </w:r>
      <w:r w:rsidRPr="00F86B92">
        <w:rPr>
          <w:lang w:eastAsia="en-US"/>
        </w:rPr>
        <w:t>,00 kuna za sve aktivnosti do prijma kandidata za časnike, dočasnike</w:t>
      </w:r>
      <w:r w:rsidR="00847F04" w:rsidRPr="00F86B92">
        <w:rPr>
          <w:lang w:eastAsia="en-US"/>
        </w:rPr>
        <w:t>, vojne specijaliste</w:t>
      </w:r>
      <w:r w:rsidRPr="00F86B92">
        <w:rPr>
          <w:lang w:eastAsia="en-US"/>
        </w:rPr>
        <w:t xml:space="preserve"> i vojnike/</w:t>
      </w:r>
      <w:r w:rsidR="00055C8D">
        <w:rPr>
          <w:lang w:eastAsia="en-US"/>
        </w:rPr>
        <w:t>mornare u djelatnu vojnu službu</w:t>
      </w:r>
      <w:r w:rsidRPr="00F86B92">
        <w:rPr>
          <w:lang w:eastAsia="en-US"/>
        </w:rPr>
        <w:t xml:space="preserve"> </w:t>
      </w:r>
      <w:r w:rsidRPr="00A76744">
        <w:rPr>
          <w:lang w:eastAsia="en-US"/>
        </w:rPr>
        <w:t xml:space="preserve">te </w:t>
      </w:r>
      <w:r w:rsidR="00437D63">
        <w:rPr>
          <w:lang w:eastAsia="en-US"/>
        </w:rPr>
        <w:t xml:space="preserve">za </w:t>
      </w:r>
      <w:r w:rsidRPr="00A76744">
        <w:rPr>
          <w:lang w:eastAsia="en-US"/>
        </w:rPr>
        <w:t xml:space="preserve">prijam </w:t>
      </w:r>
      <w:r w:rsidR="00D2172E" w:rsidRPr="00A76744">
        <w:rPr>
          <w:lang w:eastAsia="en-US"/>
        </w:rPr>
        <w:t>namještenika.</w:t>
      </w:r>
      <w:r w:rsidRPr="00F86B92">
        <w:rPr>
          <w:lang w:eastAsia="en-US"/>
        </w:rPr>
        <w:t xml:space="preserve"> </w:t>
      </w:r>
      <w:r w:rsidR="00055C8D">
        <w:rPr>
          <w:lang w:eastAsia="en-US"/>
        </w:rPr>
        <w:t xml:space="preserve"> </w:t>
      </w:r>
      <w:r w:rsidRPr="00F86B92">
        <w:rPr>
          <w:lang w:eastAsia="en-US"/>
        </w:rPr>
        <w:t>Prema planiranoj dinamici prijma i strukturi osoblja procijenjen je bruto trošak rashoda za no</w:t>
      </w:r>
      <w:r w:rsidR="00055C8D">
        <w:rPr>
          <w:lang w:eastAsia="en-US"/>
        </w:rPr>
        <w:t xml:space="preserve">vozaposlene u iznosu od </w:t>
      </w:r>
      <w:r w:rsidR="00386622" w:rsidRPr="00F86B92">
        <w:rPr>
          <w:lang w:eastAsia="en-US"/>
        </w:rPr>
        <w:t>5</w:t>
      </w:r>
      <w:r w:rsidR="000B34F4">
        <w:rPr>
          <w:lang w:eastAsia="en-US"/>
        </w:rPr>
        <w:t>1</w:t>
      </w:r>
      <w:r w:rsidR="00386622" w:rsidRPr="00F86B92">
        <w:rPr>
          <w:lang w:eastAsia="en-US"/>
        </w:rPr>
        <w:t>.</w:t>
      </w:r>
      <w:r w:rsidR="000B34F4">
        <w:rPr>
          <w:lang w:eastAsia="en-US"/>
        </w:rPr>
        <w:t>360</w:t>
      </w:r>
      <w:r w:rsidR="00386622" w:rsidRPr="00F86B92">
        <w:rPr>
          <w:lang w:eastAsia="en-US"/>
        </w:rPr>
        <w:t>.</w:t>
      </w:r>
      <w:r w:rsidR="000B34F4">
        <w:rPr>
          <w:lang w:eastAsia="en-US"/>
        </w:rPr>
        <w:t>715</w:t>
      </w:r>
      <w:r w:rsidR="00386622" w:rsidRPr="00F86B92">
        <w:rPr>
          <w:lang w:eastAsia="en-US"/>
        </w:rPr>
        <w:t>,00</w:t>
      </w:r>
      <w:r w:rsidR="00750AD6" w:rsidRPr="00F86B92">
        <w:rPr>
          <w:lang w:eastAsia="en-US"/>
        </w:rPr>
        <w:t xml:space="preserve"> </w:t>
      </w:r>
      <w:r w:rsidRPr="00F86B92">
        <w:rPr>
          <w:lang w:eastAsia="en-US"/>
        </w:rPr>
        <w:t>kuna. Navedeni iznos osiguran je u Financijskom planu Ministarstva obrane za 20</w:t>
      </w:r>
      <w:r w:rsidR="008B0F2B" w:rsidRPr="00F86B92">
        <w:rPr>
          <w:lang w:eastAsia="en-US"/>
        </w:rPr>
        <w:t>20</w:t>
      </w:r>
      <w:r w:rsidRPr="00F86B92">
        <w:rPr>
          <w:lang w:eastAsia="en-US"/>
        </w:rPr>
        <w:t xml:space="preserve">. godinu u okviru Programa </w:t>
      </w:r>
      <w:r w:rsidR="007A5D31" w:rsidRPr="00F86B92">
        <w:rPr>
          <w:lang w:eastAsia="en-US"/>
        </w:rPr>
        <w:t>2505</w:t>
      </w:r>
      <w:r w:rsidRPr="00F86B92">
        <w:rPr>
          <w:lang w:eastAsia="en-US"/>
        </w:rPr>
        <w:t xml:space="preserve"> – Upravljanje i potpora osoblju, Aktivnosti </w:t>
      </w:r>
      <w:r w:rsidR="007A5D31" w:rsidRPr="00F86B92">
        <w:rPr>
          <w:lang w:eastAsia="en-US"/>
        </w:rPr>
        <w:t>A545052</w:t>
      </w:r>
      <w:r w:rsidRPr="00F86B92">
        <w:rPr>
          <w:lang w:eastAsia="en-US"/>
        </w:rPr>
        <w:t xml:space="preserve"> – Troškovi osoblja i personalna potpora i Aktivnosti </w:t>
      </w:r>
      <w:r w:rsidR="00875DB8" w:rsidRPr="00F86B92">
        <w:rPr>
          <w:lang w:eastAsia="en-US"/>
        </w:rPr>
        <w:t>A545053</w:t>
      </w:r>
      <w:r w:rsidRPr="00F86B92">
        <w:rPr>
          <w:lang w:eastAsia="en-US"/>
        </w:rPr>
        <w:t xml:space="preserve"> – Pribavljanje osoblja i izobrazba.</w:t>
      </w:r>
    </w:p>
    <w:p w:rsidR="00055C8D" w:rsidRDefault="00055C8D" w:rsidP="00955416">
      <w:pPr>
        <w:jc w:val="both"/>
        <w:rPr>
          <w:lang w:eastAsia="en-US"/>
        </w:rPr>
      </w:pPr>
    </w:p>
    <w:p w:rsidR="00BD7305" w:rsidRPr="00055C8D" w:rsidRDefault="00D93CF8" w:rsidP="00955416">
      <w:pPr>
        <w:pStyle w:val="ListParagraph"/>
        <w:numPr>
          <w:ilvl w:val="0"/>
          <w:numId w:val="8"/>
        </w:numPr>
        <w:ind w:firstLine="0"/>
        <w:jc w:val="both"/>
        <w:rPr>
          <w:lang w:eastAsia="en-US"/>
        </w:rPr>
      </w:pPr>
      <w:r w:rsidRPr="00055C8D">
        <w:rPr>
          <w:b/>
        </w:rPr>
        <w:t>UPRAVLJANJE RIZICIMA</w:t>
      </w:r>
    </w:p>
    <w:p w:rsidR="00DA2AC0" w:rsidRDefault="00DA2AC0" w:rsidP="00955416">
      <w:pPr>
        <w:jc w:val="both"/>
      </w:pPr>
    </w:p>
    <w:p w:rsidR="00BD7305" w:rsidRPr="00F86B92" w:rsidRDefault="00055C8D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BD7305" w:rsidRPr="00F86B92">
        <w:rPr>
          <w:lang w:eastAsia="en-US"/>
        </w:rPr>
        <w:t>Rizici za ostvarenje ovoga Plana su:</w:t>
      </w:r>
    </w:p>
    <w:p w:rsidR="00BD7305" w:rsidRPr="00F86B92" w:rsidRDefault="00BD7305" w:rsidP="006F2825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ind w:left="1701" w:hanging="1701"/>
        <w:jc w:val="both"/>
        <w:rPr>
          <w:szCs w:val="24"/>
        </w:rPr>
      </w:pPr>
      <w:r w:rsidRPr="00F86B92">
        <w:rPr>
          <w:szCs w:val="24"/>
        </w:rPr>
        <w:t>nedostatan odaziv kandidata za popunu</w:t>
      </w:r>
      <w:r w:rsidR="00C24748" w:rsidRPr="00F86B92">
        <w:rPr>
          <w:szCs w:val="24"/>
        </w:rPr>
        <w:t xml:space="preserve"> kritičnih kategorija osoblja</w:t>
      </w:r>
      <w:r w:rsidRPr="00F86B92">
        <w:rPr>
          <w:szCs w:val="24"/>
        </w:rPr>
        <w:t xml:space="preserve"> kao kandidata za prijam</w:t>
      </w:r>
    </w:p>
    <w:p w:rsidR="00BD7305" w:rsidRPr="00F86B92" w:rsidRDefault="00BD7305" w:rsidP="006F2825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ind w:hanging="1440"/>
        <w:jc w:val="both"/>
        <w:rPr>
          <w:szCs w:val="24"/>
        </w:rPr>
      </w:pPr>
      <w:r w:rsidRPr="00F86B92">
        <w:rPr>
          <w:szCs w:val="24"/>
        </w:rPr>
        <w:t>nedostatan odaziv kandidata za prijam na vojničke dužnosti</w:t>
      </w:r>
    </w:p>
    <w:p w:rsidR="00BD7305" w:rsidRPr="00F86B92" w:rsidRDefault="004C1882" w:rsidP="006F2825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ind w:hanging="1440"/>
        <w:jc w:val="both"/>
        <w:rPr>
          <w:szCs w:val="24"/>
        </w:rPr>
      </w:pPr>
      <w:r w:rsidRPr="00F86B92">
        <w:rPr>
          <w:szCs w:val="24"/>
        </w:rPr>
        <w:t xml:space="preserve">nedostatan </w:t>
      </w:r>
      <w:r w:rsidR="00BD7305" w:rsidRPr="00F86B92">
        <w:rPr>
          <w:szCs w:val="24"/>
        </w:rPr>
        <w:t xml:space="preserve">broj kandidata za časnike iz </w:t>
      </w:r>
      <w:r w:rsidR="00437D63">
        <w:rPr>
          <w:szCs w:val="24"/>
        </w:rPr>
        <w:t xml:space="preserve">obrambenog </w:t>
      </w:r>
      <w:r w:rsidR="00BD7305" w:rsidRPr="00F86B92">
        <w:rPr>
          <w:szCs w:val="24"/>
        </w:rPr>
        <w:t>sustava</w:t>
      </w:r>
    </w:p>
    <w:p w:rsidR="00BD7305" w:rsidRPr="00F86B92" w:rsidRDefault="00BD7305" w:rsidP="006F2825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ind w:hanging="1440"/>
        <w:jc w:val="both"/>
        <w:rPr>
          <w:szCs w:val="24"/>
        </w:rPr>
      </w:pPr>
      <w:r w:rsidRPr="00F86B92">
        <w:rPr>
          <w:szCs w:val="24"/>
        </w:rPr>
        <w:t>drugi rizici koji se mogu pojaviti tijekom realizacije ovoga Plana.</w:t>
      </w:r>
    </w:p>
    <w:p w:rsidR="00055C8D" w:rsidRDefault="00055C8D" w:rsidP="006F2825">
      <w:pPr>
        <w:pStyle w:val="BodyText"/>
        <w:tabs>
          <w:tab w:val="num" w:pos="284"/>
          <w:tab w:val="left" w:pos="567"/>
        </w:tabs>
        <w:ind w:hanging="1440"/>
        <w:jc w:val="both"/>
        <w:rPr>
          <w:szCs w:val="24"/>
        </w:rPr>
      </w:pPr>
    </w:p>
    <w:p w:rsidR="00BD7305" w:rsidRPr="00F86B92" w:rsidRDefault="00BD7305" w:rsidP="006F2825">
      <w:pPr>
        <w:pStyle w:val="BodyText"/>
        <w:tabs>
          <w:tab w:val="num" w:pos="0"/>
          <w:tab w:val="left" w:pos="709"/>
        </w:tabs>
        <w:ind w:firstLine="709"/>
        <w:jc w:val="both"/>
        <w:rPr>
          <w:szCs w:val="24"/>
        </w:rPr>
      </w:pPr>
      <w:r w:rsidRPr="00F86B92">
        <w:rPr>
          <w:szCs w:val="24"/>
        </w:rPr>
        <w:t>Mjere kojima će se smanjiti utjecaj rizika na ostvarenje Plana su:</w:t>
      </w:r>
    </w:p>
    <w:p w:rsidR="00BD7305" w:rsidRPr="00F86B92" w:rsidRDefault="00BD7305" w:rsidP="006F2825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ind w:left="1434" w:hanging="1434"/>
        <w:jc w:val="both"/>
        <w:rPr>
          <w:szCs w:val="24"/>
        </w:rPr>
      </w:pPr>
      <w:r w:rsidRPr="00F86B92">
        <w:rPr>
          <w:szCs w:val="24"/>
        </w:rPr>
        <w:t>dosljedna provedba ovoga Plana</w:t>
      </w:r>
    </w:p>
    <w:p w:rsidR="00BD7305" w:rsidRPr="00F86B92" w:rsidRDefault="00BD7305" w:rsidP="006F2825">
      <w:pPr>
        <w:pStyle w:val="BodyText"/>
        <w:numPr>
          <w:ilvl w:val="1"/>
          <w:numId w:val="1"/>
        </w:numPr>
        <w:tabs>
          <w:tab w:val="clear" w:pos="1440"/>
          <w:tab w:val="num" w:pos="284"/>
        </w:tabs>
        <w:ind w:hanging="1434"/>
        <w:jc w:val="both"/>
        <w:rPr>
          <w:szCs w:val="24"/>
        </w:rPr>
      </w:pPr>
      <w:r w:rsidRPr="00F86B92">
        <w:rPr>
          <w:szCs w:val="24"/>
        </w:rPr>
        <w:t>usmjeravanje promidžbe prema ciljanim skupinama</w:t>
      </w:r>
    </w:p>
    <w:p w:rsidR="00BD7305" w:rsidRPr="00955416" w:rsidRDefault="00BD7305" w:rsidP="006F2825">
      <w:pPr>
        <w:pStyle w:val="BodyText"/>
        <w:numPr>
          <w:ilvl w:val="1"/>
          <w:numId w:val="1"/>
        </w:numPr>
        <w:tabs>
          <w:tab w:val="clear" w:pos="1440"/>
          <w:tab w:val="num" w:pos="0"/>
        </w:tabs>
        <w:ind w:left="284" w:hanging="284"/>
        <w:jc w:val="both"/>
        <w:rPr>
          <w:b/>
          <w:szCs w:val="24"/>
        </w:rPr>
      </w:pPr>
      <w:r w:rsidRPr="00F86B92">
        <w:rPr>
          <w:szCs w:val="24"/>
        </w:rPr>
        <w:t>redovito praćenje i razmatranje izvješća o provedbi ovoga Plana te prilagođavanje i poduzimanje provedben</w:t>
      </w:r>
      <w:r w:rsidR="008B0F2B" w:rsidRPr="00F86B92">
        <w:rPr>
          <w:szCs w:val="24"/>
        </w:rPr>
        <w:t>ih</w:t>
      </w:r>
      <w:r w:rsidRPr="00F86B92">
        <w:rPr>
          <w:szCs w:val="24"/>
        </w:rPr>
        <w:t xml:space="preserve"> mjer</w:t>
      </w:r>
      <w:r w:rsidR="008B0F2B" w:rsidRPr="00F86B92">
        <w:rPr>
          <w:szCs w:val="24"/>
        </w:rPr>
        <w:t>a</w:t>
      </w:r>
      <w:r w:rsidRPr="00F86B92">
        <w:rPr>
          <w:szCs w:val="24"/>
        </w:rPr>
        <w:t>.</w:t>
      </w:r>
    </w:p>
    <w:p w:rsidR="00955416" w:rsidRPr="00F86B92" w:rsidRDefault="00955416" w:rsidP="00EE5AD6">
      <w:pPr>
        <w:pStyle w:val="BodyText"/>
        <w:tabs>
          <w:tab w:val="num" w:pos="1701"/>
        </w:tabs>
        <w:ind w:left="1440"/>
        <w:jc w:val="both"/>
        <w:rPr>
          <w:b/>
          <w:szCs w:val="24"/>
        </w:rPr>
      </w:pPr>
    </w:p>
    <w:p w:rsidR="00952193" w:rsidRDefault="00952193" w:rsidP="00952193">
      <w:pPr>
        <w:pStyle w:val="BodyText"/>
        <w:jc w:val="both"/>
        <w:rPr>
          <w:szCs w:val="24"/>
        </w:rPr>
      </w:pPr>
      <w:r>
        <w:rPr>
          <w:szCs w:val="24"/>
        </w:rPr>
        <w:t xml:space="preserve">Klasa: </w:t>
      </w:r>
    </w:p>
    <w:p w:rsidR="00952193" w:rsidRDefault="00952193" w:rsidP="00952193">
      <w:pPr>
        <w:pStyle w:val="BodyText"/>
        <w:jc w:val="both"/>
        <w:rPr>
          <w:szCs w:val="24"/>
        </w:rPr>
      </w:pPr>
      <w:r>
        <w:rPr>
          <w:szCs w:val="24"/>
        </w:rPr>
        <w:t>Urbroj:</w:t>
      </w:r>
    </w:p>
    <w:p w:rsidR="00952193" w:rsidRDefault="00952193" w:rsidP="00952193">
      <w:pPr>
        <w:pStyle w:val="BodyText"/>
        <w:jc w:val="both"/>
        <w:rPr>
          <w:szCs w:val="24"/>
        </w:rPr>
      </w:pPr>
    </w:p>
    <w:p w:rsidR="00952193" w:rsidRDefault="00952193" w:rsidP="00952193">
      <w:pPr>
        <w:pStyle w:val="BodyText"/>
        <w:jc w:val="both"/>
        <w:rPr>
          <w:szCs w:val="24"/>
        </w:rPr>
      </w:pPr>
      <w:r>
        <w:rPr>
          <w:szCs w:val="24"/>
        </w:rPr>
        <w:t xml:space="preserve">Zagreb, </w:t>
      </w:r>
    </w:p>
    <w:p w:rsidR="00952193" w:rsidRPr="000F5CCD" w:rsidRDefault="00952193" w:rsidP="00952193">
      <w:pPr>
        <w:pStyle w:val="BodyText"/>
        <w:jc w:val="both"/>
        <w:rPr>
          <w:szCs w:val="24"/>
        </w:rPr>
      </w:pPr>
    </w:p>
    <w:p w:rsidR="00952193" w:rsidRPr="000F5CCD" w:rsidRDefault="00952193" w:rsidP="00952193">
      <w:pPr>
        <w:pStyle w:val="BodyText"/>
        <w:ind w:left="4248" w:firstLine="708"/>
        <w:jc w:val="center"/>
        <w:rPr>
          <w:szCs w:val="24"/>
        </w:rPr>
      </w:pPr>
      <w:r w:rsidRPr="000F5CCD">
        <w:rPr>
          <w:szCs w:val="24"/>
        </w:rPr>
        <w:t xml:space="preserve">PREDSJEDNIK </w:t>
      </w:r>
    </w:p>
    <w:p w:rsidR="00952193" w:rsidRPr="000F5CCD" w:rsidRDefault="00952193" w:rsidP="00952193">
      <w:pPr>
        <w:pStyle w:val="BodyText"/>
        <w:ind w:left="4248"/>
        <w:jc w:val="center"/>
        <w:rPr>
          <w:szCs w:val="24"/>
        </w:rPr>
      </w:pPr>
    </w:p>
    <w:p w:rsidR="00952193" w:rsidRPr="000F5CCD" w:rsidRDefault="00952193" w:rsidP="00952193">
      <w:pPr>
        <w:pStyle w:val="BodyText"/>
        <w:ind w:left="4248"/>
        <w:jc w:val="center"/>
        <w:rPr>
          <w:szCs w:val="24"/>
        </w:rPr>
      </w:pPr>
    </w:p>
    <w:p w:rsidR="00952193" w:rsidRDefault="00952193" w:rsidP="00952193">
      <w:pPr>
        <w:pStyle w:val="BodyText"/>
        <w:ind w:left="4248" w:firstLine="708"/>
        <w:jc w:val="center"/>
        <w:rPr>
          <w:szCs w:val="24"/>
        </w:rPr>
      </w:pPr>
      <w:r w:rsidRPr="000F5CCD">
        <w:rPr>
          <w:szCs w:val="24"/>
        </w:rPr>
        <w:t>mr. sc. Andrej Plenković</w:t>
      </w:r>
    </w:p>
    <w:p w:rsidR="00952193" w:rsidRDefault="00952193" w:rsidP="00955416">
      <w:pPr>
        <w:pStyle w:val="BodyText"/>
        <w:ind w:left="4248"/>
        <w:jc w:val="center"/>
        <w:rPr>
          <w:szCs w:val="24"/>
        </w:rPr>
      </w:pPr>
    </w:p>
    <w:p w:rsidR="00952193" w:rsidRDefault="00952193" w:rsidP="00955416">
      <w:pPr>
        <w:pStyle w:val="BodyText"/>
        <w:ind w:left="4248"/>
        <w:jc w:val="center"/>
        <w:rPr>
          <w:szCs w:val="24"/>
        </w:rPr>
      </w:pPr>
    </w:p>
    <w:p w:rsidR="00AF7EC3" w:rsidRDefault="00AF7EC3" w:rsidP="00955416">
      <w:pPr>
        <w:jc w:val="center"/>
        <w:rPr>
          <w:b/>
          <w:lang w:eastAsia="en-US"/>
        </w:rPr>
      </w:pPr>
    </w:p>
    <w:p w:rsidR="006F2825" w:rsidRDefault="006F2825" w:rsidP="00955416">
      <w:pPr>
        <w:jc w:val="center"/>
        <w:rPr>
          <w:b/>
          <w:lang w:eastAsia="en-US"/>
        </w:rPr>
      </w:pPr>
    </w:p>
    <w:p w:rsidR="001715FC" w:rsidRDefault="001715FC" w:rsidP="00955416">
      <w:pPr>
        <w:jc w:val="center"/>
        <w:rPr>
          <w:b/>
          <w:lang w:eastAsia="en-US"/>
        </w:rPr>
      </w:pPr>
    </w:p>
    <w:p w:rsidR="001715FC" w:rsidRDefault="001715FC" w:rsidP="00955416">
      <w:pPr>
        <w:jc w:val="center"/>
        <w:rPr>
          <w:b/>
          <w:lang w:eastAsia="en-US"/>
        </w:rPr>
      </w:pPr>
    </w:p>
    <w:p w:rsidR="006F2825" w:rsidRDefault="006F2825" w:rsidP="00955416">
      <w:pPr>
        <w:jc w:val="center"/>
        <w:rPr>
          <w:b/>
          <w:lang w:eastAsia="en-US"/>
        </w:rPr>
      </w:pPr>
    </w:p>
    <w:p w:rsidR="006F2825" w:rsidRDefault="006F2825" w:rsidP="00955416">
      <w:pPr>
        <w:jc w:val="center"/>
        <w:rPr>
          <w:b/>
          <w:lang w:eastAsia="en-US"/>
        </w:rPr>
      </w:pPr>
    </w:p>
    <w:p w:rsidR="008C0612" w:rsidRDefault="008C0612" w:rsidP="00955416">
      <w:pPr>
        <w:jc w:val="center"/>
        <w:rPr>
          <w:b/>
          <w:sz w:val="28"/>
          <w:szCs w:val="28"/>
          <w:lang w:eastAsia="en-US"/>
        </w:rPr>
      </w:pPr>
      <w:r>
        <w:rPr>
          <w:b/>
          <w:lang w:eastAsia="en-US"/>
        </w:rPr>
        <w:t>O B R A Z L O Ž E NJ E</w:t>
      </w:r>
    </w:p>
    <w:p w:rsidR="008C0612" w:rsidRDefault="008C0612" w:rsidP="00955416">
      <w:pPr>
        <w:jc w:val="both"/>
      </w:pPr>
    </w:p>
    <w:p w:rsidR="008C0612" w:rsidRDefault="008C0612" w:rsidP="00955416">
      <w:pPr>
        <w:jc w:val="both"/>
        <w:rPr>
          <w:lang w:eastAsia="en-US"/>
        </w:rPr>
      </w:pPr>
      <w:r>
        <w:rPr>
          <w:lang w:eastAsia="en-US"/>
        </w:rPr>
        <w:tab/>
        <w:t>U skladu sa Zakonom o službi u Oružanim snagama Republike Hrvatske (Narodne novine, br. 73/13, 75/15, 50/16, 30/18 i 125/19) Ministarstvo obrane obvezno je svake godine izraditi godišnji plan prijma osoblja kojim se utvrđuje broj i struktura djelatnih vojnih osoba za prijam, a koji u skladu s potrebama Hrvatske vojske na prijedlog ministra obrane donosi Vlada Republike Hrvatske.</w:t>
      </w:r>
    </w:p>
    <w:p w:rsidR="008C0612" w:rsidRDefault="008C0612" w:rsidP="00955416">
      <w:pPr>
        <w:spacing w:before="120" w:after="120"/>
        <w:jc w:val="both"/>
      </w:pPr>
      <w:r>
        <w:rPr>
          <w:lang w:eastAsia="en-US"/>
        </w:rPr>
        <w:tab/>
        <w:t xml:space="preserve">Prijam osoblja stalni je proces </w:t>
      </w:r>
      <w:r>
        <w:t xml:space="preserve">privlačenja, odabira i prijma </w:t>
      </w:r>
      <w:r>
        <w:rPr>
          <w:lang w:eastAsia="en-US"/>
        </w:rPr>
        <w:t xml:space="preserve">kojim se osigurava </w:t>
      </w:r>
      <w:r>
        <w:t>popuna ustrojbenih mjesta u Hrvatskoj vojsci najboljim kandidatima u skladu s obrambenim potrebama.</w:t>
      </w:r>
    </w:p>
    <w:p w:rsidR="008C0612" w:rsidRDefault="008C0612" w:rsidP="00955416">
      <w:pPr>
        <w:spacing w:after="120"/>
        <w:jc w:val="both"/>
        <w:rPr>
          <w:lang w:eastAsia="en-US"/>
        </w:rPr>
      </w:pPr>
      <w:r>
        <w:rPr>
          <w:lang w:eastAsia="en-US"/>
        </w:rPr>
        <w:tab/>
        <w:t>Suradnjom sa srednjoškolskim i visokoškolskim ustanovama, Hrvatskim zavodom za zapošljavanje, promidžbom putem medija i sudjelovanjem na vojnim i civilnim manifestacijama te drugim djelatnostima predviđenima godišnjim promidžbenim planom javnosti se pružaju podaci o vojnom pozivu. Ministarstvo obrane i Hrvatska vojska žele se predstaviti poželjnim poslodavcem i privlačnim mjestom za početak radne karijere.</w:t>
      </w:r>
    </w:p>
    <w:p w:rsidR="008C0612" w:rsidRDefault="008C0612" w:rsidP="00955416">
      <w:pPr>
        <w:spacing w:after="120"/>
        <w:jc w:val="both"/>
        <w:rPr>
          <w:bCs/>
          <w:lang w:eastAsia="en-US"/>
        </w:rPr>
      </w:pPr>
      <w:r>
        <w:tab/>
        <w:t>Ovim Planom nastavlja</w:t>
      </w:r>
      <w:r>
        <w:rPr>
          <w:bCs/>
          <w:lang w:eastAsia="en-US"/>
        </w:rPr>
        <w:t xml:space="preserve"> se trajni proces planskog prijma vojnika/mornara i visokoobrazovanih časnika u službu radi uravnoteženja dobne strukture i održavanja brojčane veličine. Plan obuhvaća i prijam dočasnika koji se, osim dočasnika vojnih specijalista, primaju isključivo </w:t>
      </w:r>
      <w:r w:rsidR="00955416">
        <w:rPr>
          <w:bCs/>
          <w:lang w:eastAsia="en-US"/>
        </w:rPr>
        <w:t>ugovornim vojnicima</w:t>
      </w:r>
      <w:r>
        <w:rPr>
          <w:bCs/>
          <w:lang w:eastAsia="en-US"/>
        </w:rPr>
        <w:t>/</w:t>
      </w:r>
      <w:r w:rsidR="00955416">
        <w:rPr>
          <w:bCs/>
          <w:lang w:eastAsia="en-US"/>
        </w:rPr>
        <w:t>mornarima</w:t>
      </w:r>
      <w:r>
        <w:rPr>
          <w:bCs/>
          <w:lang w:eastAsia="en-US"/>
        </w:rPr>
        <w:t xml:space="preserve"> kada dodjelom prvog</w:t>
      </w:r>
      <w:r w:rsidR="00955416">
        <w:rPr>
          <w:bCs/>
          <w:lang w:eastAsia="en-US"/>
        </w:rPr>
        <w:t>a</w:t>
      </w:r>
      <w:r>
        <w:rPr>
          <w:bCs/>
          <w:lang w:eastAsia="en-US"/>
        </w:rPr>
        <w:t xml:space="preserve"> dočasničkog čina mijenjaju kategoriju.</w:t>
      </w:r>
    </w:p>
    <w:p w:rsidR="008C0612" w:rsidRDefault="008C0612" w:rsidP="00955416">
      <w:pPr>
        <w:spacing w:after="120"/>
        <w:jc w:val="both"/>
        <w:rPr>
          <w:lang w:eastAsia="en-US"/>
        </w:rPr>
      </w:pPr>
      <w:r>
        <w:rPr>
          <w:lang w:eastAsia="en-US"/>
        </w:rPr>
        <w:tab/>
        <w:t>Za postizanje ciljane brojnosti i strukture osoblja potrebno je uspostaviti odgovarajuću popunu i veličinu obrambenog sustava na što, uz plansko izdvajanj</w:t>
      </w:r>
      <w:r w:rsidR="00955416">
        <w:rPr>
          <w:lang w:eastAsia="en-US"/>
        </w:rPr>
        <w:t>e i promicanje osoblja, znatno</w:t>
      </w:r>
      <w:r>
        <w:rPr>
          <w:lang w:eastAsia="en-US"/>
        </w:rPr>
        <w:t xml:space="preserve"> utječe učinkovit postupak prijma i odabira osoblja. </w:t>
      </w:r>
    </w:p>
    <w:p w:rsidR="008C0612" w:rsidRDefault="00955416" w:rsidP="00955416">
      <w:pPr>
        <w:jc w:val="both"/>
        <w:rPr>
          <w:lang w:eastAsia="en-US"/>
        </w:rPr>
      </w:pPr>
      <w:r>
        <w:rPr>
          <w:lang w:eastAsia="en-US"/>
        </w:rPr>
        <w:tab/>
      </w:r>
      <w:r w:rsidR="008C0612">
        <w:rPr>
          <w:lang w:eastAsia="en-US"/>
        </w:rPr>
        <w:t xml:space="preserve">Namjera je da se planskim prijmom osoblja u djelatnu vojnu službu </w:t>
      </w:r>
      <w:r w:rsidR="008C0612">
        <w:t xml:space="preserve">poboljša </w:t>
      </w:r>
      <w:r w:rsidR="008C0612">
        <w:rPr>
          <w:lang w:eastAsia="en-US"/>
        </w:rPr>
        <w:t>dobna struktura i održi brojčana veličina osoblja, čime se istodobno oblikuje i ukupna struktura osoblja.</w:t>
      </w:r>
    </w:p>
    <w:p w:rsidR="008C0612" w:rsidRDefault="008C0612" w:rsidP="00955416">
      <w:pPr>
        <w:pStyle w:val="BodyText"/>
        <w:spacing w:before="120" w:after="120"/>
        <w:ind w:left="4248"/>
        <w:jc w:val="center"/>
        <w:rPr>
          <w:b/>
          <w:szCs w:val="24"/>
        </w:rPr>
      </w:pPr>
    </w:p>
    <w:p w:rsidR="008C0612" w:rsidRDefault="008C0612" w:rsidP="00955416">
      <w:pPr>
        <w:pStyle w:val="BodyText"/>
        <w:spacing w:before="120" w:after="120"/>
        <w:ind w:left="4248"/>
        <w:jc w:val="center"/>
        <w:rPr>
          <w:b/>
          <w:szCs w:val="24"/>
        </w:rPr>
      </w:pPr>
    </w:p>
    <w:p w:rsidR="008C0612" w:rsidRPr="00F86B92" w:rsidRDefault="008C0612" w:rsidP="00955416">
      <w:pPr>
        <w:pStyle w:val="BodyText"/>
        <w:ind w:left="4248"/>
        <w:jc w:val="center"/>
        <w:rPr>
          <w:b/>
          <w:szCs w:val="24"/>
        </w:rPr>
      </w:pPr>
    </w:p>
    <w:sectPr w:rsidR="008C0612" w:rsidRPr="00F86B92" w:rsidSect="00253C80">
      <w:footerReference w:type="even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33" w:rsidRDefault="00436433" w:rsidP="005A2B83">
      <w:r>
        <w:separator/>
      </w:r>
    </w:p>
  </w:endnote>
  <w:endnote w:type="continuationSeparator" w:id="0">
    <w:p w:rsidR="00436433" w:rsidRDefault="00436433" w:rsidP="005A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05" w:rsidRDefault="00BD7305" w:rsidP="003C26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305" w:rsidRDefault="00BD7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05" w:rsidRDefault="00BD7305" w:rsidP="003C26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068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305" w:rsidRDefault="00BD7305" w:rsidP="004A2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05" w:rsidRDefault="00BD7305" w:rsidP="002A0C5A">
    <w:pPr>
      <w:pStyle w:val="Footer"/>
      <w:framePr w:wrap="around" w:vAnchor="text" w:hAnchor="margin" w:xAlign="center" w:y="1"/>
      <w:rPr>
        <w:rStyle w:val="PageNumber"/>
      </w:rPr>
    </w:pPr>
  </w:p>
  <w:p w:rsidR="00BD7305" w:rsidRDefault="00BD7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33" w:rsidRDefault="00436433" w:rsidP="005A2B83">
      <w:r>
        <w:separator/>
      </w:r>
    </w:p>
  </w:footnote>
  <w:footnote w:type="continuationSeparator" w:id="0">
    <w:p w:rsidR="00436433" w:rsidRDefault="00436433" w:rsidP="005A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072D"/>
    <w:multiLevelType w:val="hybridMultilevel"/>
    <w:tmpl w:val="B8366672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D136CD"/>
    <w:multiLevelType w:val="hybridMultilevel"/>
    <w:tmpl w:val="A8322B5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E16BBC"/>
    <w:multiLevelType w:val="hybridMultilevel"/>
    <w:tmpl w:val="AED46CF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284ADB"/>
    <w:multiLevelType w:val="hybridMultilevel"/>
    <w:tmpl w:val="4B0EF0EE"/>
    <w:lvl w:ilvl="0" w:tplc="7E74CA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052E90"/>
    <w:multiLevelType w:val="hybridMultilevel"/>
    <w:tmpl w:val="F1CCAB8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1850AA"/>
    <w:multiLevelType w:val="hybridMultilevel"/>
    <w:tmpl w:val="6AB4E94C"/>
    <w:lvl w:ilvl="0" w:tplc="8784646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A46142"/>
    <w:multiLevelType w:val="hybridMultilevel"/>
    <w:tmpl w:val="C582A72C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7CEA62BF"/>
    <w:multiLevelType w:val="hybridMultilevel"/>
    <w:tmpl w:val="D870FA58"/>
    <w:lvl w:ilvl="0" w:tplc="14B4B5B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0BED8D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83"/>
    <w:rsid w:val="000159A5"/>
    <w:rsid w:val="00032514"/>
    <w:rsid w:val="000325F7"/>
    <w:rsid w:val="00041E97"/>
    <w:rsid w:val="00053B2D"/>
    <w:rsid w:val="00055C8D"/>
    <w:rsid w:val="00070467"/>
    <w:rsid w:val="00073A39"/>
    <w:rsid w:val="000814BE"/>
    <w:rsid w:val="00090328"/>
    <w:rsid w:val="00093001"/>
    <w:rsid w:val="000A2A0C"/>
    <w:rsid w:val="000A4D27"/>
    <w:rsid w:val="000A7069"/>
    <w:rsid w:val="000B34F4"/>
    <w:rsid w:val="000C52AC"/>
    <w:rsid w:val="000E0E32"/>
    <w:rsid w:val="000E212A"/>
    <w:rsid w:val="000E30E1"/>
    <w:rsid w:val="000E5334"/>
    <w:rsid w:val="000F29E5"/>
    <w:rsid w:val="000F6157"/>
    <w:rsid w:val="00100432"/>
    <w:rsid w:val="0012224F"/>
    <w:rsid w:val="00122983"/>
    <w:rsid w:val="00131421"/>
    <w:rsid w:val="00137888"/>
    <w:rsid w:val="001407C1"/>
    <w:rsid w:val="0015422D"/>
    <w:rsid w:val="00156A6A"/>
    <w:rsid w:val="00156B08"/>
    <w:rsid w:val="00157452"/>
    <w:rsid w:val="00163EBA"/>
    <w:rsid w:val="001715FC"/>
    <w:rsid w:val="001817ED"/>
    <w:rsid w:val="001854BB"/>
    <w:rsid w:val="00190ECC"/>
    <w:rsid w:val="00191A9C"/>
    <w:rsid w:val="00192CB9"/>
    <w:rsid w:val="001A430F"/>
    <w:rsid w:val="001B1D4C"/>
    <w:rsid w:val="001B6B61"/>
    <w:rsid w:val="001C3C8D"/>
    <w:rsid w:val="001C6504"/>
    <w:rsid w:val="001E49AA"/>
    <w:rsid w:val="001E7AF8"/>
    <w:rsid w:val="00203E60"/>
    <w:rsid w:val="00211D79"/>
    <w:rsid w:val="00253C80"/>
    <w:rsid w:val="00254DA4"/>
    <w:rsid w:val="002A0C5A"/>
    <w:rsid w:val="002B611B"/>
    <w:rsid w:val="002C256C"/>
    <w:rsid w:val="002C36C9"/>
    <w:rsid w:val="002C3BB3"/>
    <w:rsid w:val="002C4CB3"/>
    <w:rsid w:val="002D3811"/>
    <w:rsid w:val="002E0364"/>
    <w:rsid w:val="002F7908"/>
    <w:rsid w:val="0030446F"/>
    <w:rsid w:val="003059FF"/>
    <w:rsid w:val="003061F6"/>
    <w:rsid w:val="00314171"/>
    <w:rsid w:val="003170DB"/>
    <w:rsid w:val="00323C55"/>
    <w:rsid w:val="00331A51"/>
    <w:rsid w:val="00343A9A"/>
    <w:rsid w:val="003479B6"/>
    <w:rsid w:val="00347E95"/>
    <w:rsid w:val="00371DCB"/>
    <w:rsid w:val="00386622"/>
    <w:rsid w:val="003927A3"/>
    <w:rsid w:val="00393101"/>
    <w:rsid w:val="0039666A"/>
    <w:rsid w:val="003A5B4C"/>
    <w:rsid w:val="003B2FF7"/>
    <w:rsid w:val="003B3009"/>
    <w:rsid w:val="003B73E9"/>
    <w:rsid w:val="003C170A"/>
    <w:rsid w:val="003C245B"/>
    <w:rsid w:val="003C26A9"/>
    <w:rsid w:val="003C30DC"/>
    <w:rsid w:val="003D11CE"/>
    <w:rsid w:val="003D33AB"/>
    <w:rsid w:val="003F007E"/>
    <w:rsid w:val="003F5AF4"/>
    <w:rsid w:val="00405727"/>
    <w:rsid w:val="00423EB7"/>
    <w:rsid w:val="00432D73"/>
    <w:rsid w:val="00432ECA"/>
    <w:rsid w:val="00436433"/>
    <w:rsid w:val="00437D63"/>
    <w:rsid w:val="00467A67"/>
    <w:rsid w:val="00484692"/>
    <w:rsid w:val="00495761"/>
    <w:rsid w:val="004976EE"/>
    <w:rsid w:val="004A179A"/>
    <w:rsid w:val="004A1B87"/>
    <w:rsid w:val="004A219C"/>
    <w:rsid w:val="004B07D2"/>
    <w:rsid w:val="004B208F"/>
    <w:rsid w:val="004B6CFD"/>
    <w:rsid w:val="004C1882"/>
    <w:rsid w:val="004C4992"/>
    <w:rsid w:val="004C68DC"/>
    <w:rsid w:val="004D223C"/>
    <w:rsid w:val="004E50C5"/>
    <w:rsid w:val="004E532B"/>
    <w:rsid w:val="004E7D10"/>
    <w:rsid w:val="004F0B17"/>
    <w:rsid w:val="0050450E"/>
    <w:rsid w:val="0052517E"/>
    <w:rsid w:val="00532115"/>
    <w:rsid w:val="0053510A"/>
    <w:rsid w:val="00537005"/>
    <w:rsid w:val="0054032C"/>
    <w:rsid w:val="005508CE"/>
    <w:rsid w:val="00567ED8"/>
    <w:rsid w:val="005739DE"/>
    <w:rsid w:val="00584A2F"/>
    <w:rsid w:val="005931DB"/>
    <w:rsid w:val="005945D6"/>
    <w:rsid w:val="00594888"/>
    <w:rsid w:val="00595CEF"/>
    <w:rsid w:val="005A04E2"/>
    <w:rsid w:val="005A2B83"/>
    <w:rsid w:val="005B0145"/>
    <w:rsid w:val="005C5CF3"/>
    <w:rsid w:val="005F03F7"/>
    <w:rsid w:val="005F0EE1"/>
    <w:rsid w:val="005F7C91"/>
    <w:rsid w:val="0060389A"/>
    <w:rsid w:val="00610058"/>
    <w:rsid w:val="006114EE"/>
    <w:rsid w:val="0061169F"/>
    <w:rsid w:val="00643A33"/>
    <w:rsid w:val="00654089"/>
    <w:rsid w:val="0066483E"/>
    <w:rsid w:val="006737F2"/>
    <w:rsid w:val="00674BA4"/>
    <w:rsid w:val="006776BC"/>
    <w:rsid w:val="0068085F"/>
    <w:rsid w:val="00681FEA"/>
    <w:rsid w:val="00683467"/>
    <w:rsid w:val="00683A9D"/>
    <w:rsid w:val="00685140"/>
    <w:rsid w:val="00691809"/>
    <w:rsid w:val="00691907"/>
    <w:rsid w:val="006920E4"/>
    <w:rsid w:val="006A27DE"/>
    <w:rsid w:val="006B7B66"/>
    <w:rsid w:val="006C05E8"/>
    <w:rsid w:val="006C2BBB"/>
    <w:rsid w:val="006D513E"/>
    <w:rsid w:val="006F2825"/>
    <w:rsid w:val="00722F3D"/>
    <w:rsid w:val="007271EC"/>
    <w:rsid w:val="00750AD6"/>
    <w:rsid w:val="00753B6C"/>
    <w:rsid w:val="00765F1C"/>
    <w:rsid w:val="00766DEE"/>
    <w:rsid w:val="00777687"/>
    <w:rsid w:val="007938FB"/>
    <w:rsid w:val="00794BA0"/>
    <w:rsid w:val="007A1734"/>
    <w:rsid w:val="007A5D31"/>
    <w:rsid w:val="007A7FB9"/>
    <w:rsid w:val="007B7BDA"/>
    <w:rsid w:val="007D7D2E"/>
    <w:rsid w:val="007D7FEB"/>
    <w:rsid w:val="007E213B"/>
    <w:rsid w:val="007E77D0"/>
    <w:rsid w:val="007F709E"/>
    <w:rsid w:val="008003F2"/>
    <w:rsid w:val="00800D37"/>
    <w:rsid w:val="00804B80"/>
    <w:rsid w:val="00805C71"/>
    <w:rsid w:val="00813304"/>
    <w:rsid w:val="00816CE3"/>
    <w:rsid w:val="008176D9"/>
    <w:rsid w:val="00832A41"/>
    <w:rsid w:val="0084345C"/>
    <w:rsid w:val="00847F04"/>
    <w:rsid w:val="00875DB8"/>
    <w:rsid w:val="00877CA8"/>
    <w:rsid w:val="008833CF"/>
    <w:rsid w:val="008852EF"/>
    <w:rsid w:val="008935A7"/>
    <w:rsid w:val="00895EF4"/>
    <w:rsid w:val="0089764B"/>
    <w:rsid w:val="008A13B8"/>
    <w:rsid w:val="008A27F3"/>
    <w:rsid w:val="008B0F2B"/>
    <w:rsid w:val="008B3BAB"/>
    <w:rsid w:val="008B5429"/>
    <w:rsid w:val="008C0264"/>
    <w:rsid w:val="008C0612"/>
    <w:rsid w:val="008C65EA"/>
    <w:rsid w:val="008D3D4B"/>
    <w:rsid w:val="008E49EB"/>
    <w:rsid w:val="008F4124"/>
    <w:rsid w:val="00946AEB"/>
    <w:rsid w:val="00950046"/>
    <w:rsid w:val="00952193"/>
    <w:rsid w:val="00952F64"/>
    <w:rsid w:val="009550E0"/>
    <w:rsid w:val="00955416"/>
    <w:rsid w:val="00960179"/>
    <w:rsid w:val="00965562"/>
    <w:rsid w:val="009700F6"/>
    <w:rsid w:val="00972D98"/>
    <w:rsid w:val="00976EFA"/>
    <w:rsid w:val="00977E38"/>
    <w:rsid w:val="00980428"/>
    <w:rsid w:val="00983413"/>
    <w:rsid w:val="00984C04"/>
    <w:rsid w:val="00986C0F"/>
    <w:rsid w:val="009A09D0"/>
    <w:rsid w:val="009B2FA0"/>
    <w:rsid w:val="009B6301"/>
    <w:rsid w:val="009B7547"/>
    <w:rsid w:val="009D70A1"/>
    <w:rsid w:val="009D74BE"/>
    <w:rsid w:val="009E1E2C"/>
    <w:rsid w:val="009E6510"/>
    <w:rsid w:val="009E7CC0"/>
    <w:rsid w:val="009F3191"/>
    <w:rsid w:val="009F4E15"/>
    <w:rsid w:val="00A01E02"/>
    <w:rsid w:val="00A0765A"/>
    <w:rsid w:val="00A177F0"/>
    <w:rsid w:val="00A17B4C"/>
    <w:rsid w:val="00A24A00"/>
    <w:rsid w:val="00A24D11"/>
    <w:rsid w:val="00A40530"/>
    <w:rsid w:val="00A43388"/>
    <w:rsid w:val="00A4485E"/>
    <w:rsid w:val="00A53AF7"/>
    <w:rsid w:val="00A60111"/>
    <w:rsid w:val="00A7018D"/>
    <w:rsid w:val="00A73BCE"/>
    <w:rsid w:val="00A76744"/>
    <w:rsid w:val="00A82969"/>
    <w:rsid w:val="00AA7AF9"/>
    <w:rsid w:val="00AB1C6B"/>
    <w:rsid w:val="00AB46DD"/>
    <w:rsid w:val="00AB77D5"/>
    <w:rsid w:val="00AC373B"/>
    <w:rsid w:val="00AC4411"/>
    <w:rsid w:val="00AE078D"/>
    <w:rsid w:val="00AE31C5"/>
    <w:rsid w:val="00AE4B16"/>
    <w:rsid w:val="00AF7EC3"/>
    <w:rsid w:val="00B002CF"/>
    <w:rsid w:val="00B02E6C"/>
    <w:rsid w:val="00B03962"/>
    <w:rsid w:val="00B06762"/>
    <w:rsid w:val="00B117C9"/>
    <w:rsid w:val="00B1560E"/>
    <w:rsid w:val="00B179C3"/>
    <w:rsid w:val="00B33606"/>
    <w:rsid w:val="00B35C52"/>
    <w:rsid w:val="00B42255"/>
    <w:rsid w:val="00B4421E"/>
    <w:rsid w:val="00B5162D"/>
    <w:rsid w:val="00B53695"/>
    <w:rsid w:val="00B574F2"/>
    <w:rsid w:val="00B605EF"/>
    <w:rsid w:val="00B60F9B"/>
    <w:rsid w:val="00B61219"/>
    <w:rsid w:val="00B657C8"/>
    <w:rsid w:val="00B70FF0"/>
    <w:rsid w:val="00B73B97"/>
    <w:rsid w:val="00B946B2"/>
    <w:rsid w:val="00BB53C8"/>
    <w:rsid w:val="00BD49FF"/>
    <w:rsid w:val="00BD6915"/>
    <w:rsid w:val="00BD7305"/>
    <w:rsid w:val="00BE79B1"/>
    <w:rsid w:val="00C00EE4"/>
    <w:rsid w:val="00C0372A"/>
    <w:rsid w:val="00C06FCC"/>
    <w:rsid w:val="00C1476C"/>
    <w:rsid w:val="00C1654C"/>
    <w:rsid w:val="00C17CA1"/>
    <w:rsid w:val="00C24748"/>
    <w:rsid w:val="00C26FD6"/>
    <w:rsid w:val="00C33089"/>
    <w:rsid w:val="00C54F2D"/>
    <w:rsid w:val="00C715AD"/>
    <w:rsid w:val="00C81758"/>
    <w:rsid w:val="00C853C7"/>
    <w:rsid w:val="00C8776D"/>
    <w:rsid w:val="00CA30AE"/>
    <w:rsid w:val="00CC2A72"/>
    <w:rsid w:val="00CE0D1A"/>
    <w:rsid w:val="00CE41D3"/>
    <w:rsid w:val="00CE6734"/>
    <w:rsid w:val="00CF7C60"/>
    <w:rsid w:val="00D06068"/>
    <w:rsid w:val="00D103DA"/>
    <w:rsid w:val="00D2172E"/>
    <w:rsid w:val="00D2194D"/>
    <w:rsid w:val="00D23624"/>
    <w:rsid w:val="00D31CC6"/>
    <w:rsid w:val="00D46736"/>
    <w:rsid w:val="00D475D8"/>
    <w:rsid w:val="00D52883"/>
    <w:rsid w:val="00D533EF"/>
    <w:rsid w:val="00D53CF2"/>
    <w:rsid w:val="00D55C06"/>
    <w:rsid w:val="00D6654A"/>
    <w:rsid w:val="00D66BCA"/>
    <w:rsid w:val="00D73562"/>
    <w:rsid w:val="00D7694A"/>
    <w:rsid w:val="00D772EC"/>
    <w:rsid w:val="00D823E1"/>
    <w:rsid w:val="00D8374D"/>
    <w:rsid w:val="00D85212"/>
    <w:rsid w:val="00D87526"/>
    <w:rsid w:val="00D87B98"/>
    <w:rsid w:val="00D93CF8"/>
    <w:rsid w:val="00D95C34"/>
    <w:rsid w:val="00DA1EC4"/>
    <w:rsid w:val="00DA2AC0"/>
    <w:rsid w:val="00DA52AF"/>
    <w:rsid w:val="00DB0431"/>
    <w:rsid w:val="00DC7439"/>
    <w:rsid w:val="00DD04D3"/>
    <w:rsid w:val="00DD74A4"/>
    <w:rsid w:val="00E00208"/>
    <w:rsid w:val="00E00C6B"/>
    <w:rsid w:val="00E0428C"/>
    <w:rsid w:val="00E10315"/>
    <w:rsid w:val="00E1522C"/>
    <w:rsid w:val="00E26330"/>
    <w:rsid w:val="00E2734B"/>
    <w:rsid w:val="00E45904"/>
    <w:rsid w:val="00E5206B"/>
    <w:rsid w:val="00E90554"/>
    <w:rsid w:val="00EA2DEF"/>
    <w:rsid w:val="00EB04B5"/>
    <w:rsid w:val="00EC0073"/>
    <w:rsid w:val="00EC18A0"/>
    <w:rsid w:val="00EC5934"/>
    <w:rsid w:val="00EC61A8"/>
    <w:rsid w:val="00ED0EDA"/>
    <w:rsid w:val="00ED476F"/>
    <w:rsid w:val="00ED54F3"/>
    <w:rsid w:val="00EE17B0"/>
    <w:rsid w:val="00EE1DB3"/>
    <w:rsid w:val="00EE26EC"/>
    <w:rsid w:val="00EE5AD6"/>
    <w:rsid w:val="00EF2882"/>
    <w:rsid w:val="00EF28B5"/>
    <w:rsid w:val="00F1545D"/>
    <w:rsid w:val="00F21B61"/>
    <w:rsid w:val="00F40A03"/>
    <w:rsid w:val="00F660D8"/>
    <w:rsid w:val="00F775E2"/>
    <w:rsid w:val="00F84563"/>
    <w:rsid w:val="00F86B92"/>
    <w:rsid w:val="00F870A0"/>
    <w:rsid w:val="00FA66B3"/>
    <w:rsid w:val="00FC0D07"/>
    <w:rsid w:val="00FD3757"/>
    <w:rsid w:val="00FD3F21"/>
    <w:rsid w:val="00FE7722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C021A9-DFD1-46AE-A12A-366CC149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A6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5A2B83"/>
    <w:pPr>
      <w:keepNext/>
      <w:numPr>
        <w:numId w:val="4"/>
      </w:numPr>
      <w:spacing w:before="120" w:after="120"/>
      <w:outlineLvl w:val="0"/>
    </w:pPr>
    <w:rPr>
      <w:rFonts w:ascii="Calibri" w:hAnsi="Calibri" w:cs="Arial"/>
      <w:b/>
      <w:bCs/>
      <w:kern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2B83"/>
    <w:rPr>
      <w:rFonts w:ascii="Calibri" w:hAnsi="Calibri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A2B83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A2B8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A2B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2B83"/>
    <w:rPr>
      <w:rFonts w:ascii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uiPriority w:val="99"/>
    <w:rsid w:val="005A2B83"/>
    <w:rPr>
      <w:rFonts w:cs="Times New Roman"/>
    </w:rPr>
  </w:style>
  <w:style w:type="paragraph" w:customStyle="1" w:styleId="t-9-8">
    <w:name w:val="t-9-8"/>
    <w:basedOn w:val="Normal"/>
    <w:uiPriority w:val="99"/>
    <w:rsid w:val="005A2B83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99"/>
    <w:semiHidden/>
    <w:rsid w:val="005A2B83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rsid w:val="005A2B8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5A2B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2B83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21B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5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9A5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9A5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A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56A6A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AF7EC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E2DE-CA4B-4881-A6DA-34D18B6390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7495C21-9D8B-4B05-B379-949DDB793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2AC48-55C5-464C-A089-84B33F4627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1C0B1A-9817-41A0-8C28-242BF18E0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71C0FF-9BBA-420C-9463-FF49A64D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</vt:lpstr>
    </vt:vector>
  </TitlesOfParts>
  <Company>MO i OS RH</Company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creator>rvucic</dc:creator>
  <cp:lastModifiedBy>Vlatka Šelimber</cp:lastModifiedBy>
  <cp:revision>2</cp:revision>
  <cp:lastPrinted>2020-02-24T13:31:00Z</cp:lastPrinted>
  <dcterms:created xsi:type="dcterms:W3CDTF">2020-02-26T13:42:00Z</dcterms:created>
  <dcterms:modified xsi:type="dcterms:W3CDTF">2020-02-26T13:42:00Z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