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C2AF" w14:textId="77777777" w:rsidR="00276402" w:rsidRPr="00997CFC" w:rsidRDefault="00276402" w:rsidP="00276402">
      <w:pPr>
        <w:pStyle w:val="t-9-8"/>
        <w:spacing w:before="0" w:beforeAutospacing="0" w:after="0" w:afterAutospacing="0"/>
        <w:jc w:val="right"/>
        <w:textAlignment w:val="baseline"/>
        <w:rPr>
          <w:b/>
          <w:i/>
          <w:color w:val="000000"/>
          <w:spacing w:val="50"/>
        </w:rPr>
      </w:pPr>
    </w:p>
    <w:p w14:paraId="1F8D8F5D" w14:textId="77777777" w:rsidR="00276402" w:rsidRPr="00997CFC" w:rsidRDefault="00276402" w:rsidP="00276402">
      <w:pPr>
        <w:jc w:val="center"/>
        <w:rPr>
          <w:rFonts w:ascii="Calibri" w:eastAsia="Calibri" w:hAnsi="Calibri" w:cstheme="minorBidi"/>
          <w:sz w:val="22"/>
          <w:szCs w:val="22"/>
        </w:rPr>
      </w:pPr>
      <w:r w:rsidRPr="00997CFC">
        <w:rPr>
          <w:rFonts w:ascii="Calibri" w:eastAsia="Calibri" w:hAnsi="Calibri" w:cstheme="minorBidi"/>
          <w:noProof/>
          <w:sz w:val="22"/>
          <w:szCs w:val="22"/>
          <w:lang w:eastAsia="hr-HR"/>
        </w:rPr>
        <w:drawing>
          <wp:inline distT="0" distB="0" distL="0" distR="0" wp14:anchorId="132FEE4B" wp14:editId="30D55C02">
            <wp:extent cx="504190" cy="687070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1A9D2" w14:textId="77777777" w:rsidR="00276402" w:rsidRPr="00997CFC" w:rsidRDefault="00276402" w:rsidP="00276402">
      <w:pPr>
        <w:spacing w:before="60" w:after="1680"/>
        <w:jc w:val="center"/>
        <w:rPr>
          <w:rFonts w:eastAsia="Calibri"/>
        </w:rPr>
      </w:pPr>
      <w:r w:rsidRPr="00997CFC">
        <w:rPr>
          <w:rFonts w:eastAsia="Calibri"/>
        </w:rPr>
        <w:t>VLADA REPUBLIKE HRVATSKE</w:t>
      </w:r>
    </w:p>
    <w:p w14:paraId="649C9841" w14:textId="77777777" w:rsidR="00276402" w:rsidRPr="00997CFC" w:rsidRDefault="00276402" w:rsidP="00276402">
      <w:pPr>
        <w:jc w:val="both"/>
        <w:rPr>
          <w:rFonts w:eastAsia="Calibri"/>
        </w:rPr>
      </w:pPr>
    </w:p>
    <w:p w14:paraId="6689F3F1" w14:textId="77777777" w:rsidR="00276402" w:rsidRPr="00997CFC" w:rsidRDefault="00276402" w:rsidP="00276402">
      <w:pPr>
        <w:jc w:val="right"/>
        <w:rPr>
          <w:rFonts w:eastAsia="Calibri"/>
        </w:rPr>
      </w:pPr>
      <w:r w:rsidRPr="00997CFC">
        <w:rPr>
          <w:rFonts w:eastAsia="Calibri"/>
        </w:rPr>
        <w:t xml:space="preserve">Zagreb, </w:t>
      </w:r>
      <w:r>
        <w:rPr>
          <w:rFonts w:eastAsia="Calibri"/>
        </w:rPr>
        <w:t xml:space="preserve">19. kolovoza </w:t>
      </w:r>
      <w:r w:rsidRPr="00997CFC">
        <w:rPr>
          <w:rFonts w:eastAsia="Calibri"/>
        </w:rPr>
        <w:t>2021.</w:t>
      </w:r>
    </w:p>
    <w:p w14:paraId="556047D4" w14:textId="77777777" w:rsidR="00276402" w:rsidRPr="00997CFC" w:rsidRDefault="00276402" w:rsidP="00276402">
      <w:pPr>
        <w:jc w:val="right"/>
        <w:rPr>
          <w:rFonts w:eastAsia="Calibri"/>
        </w:rPr>
      </w:pPr>
    </w:p>
    <w:p w14:paraId="69B083B4" w14:textId="77777777" w:rsidR="00276402" w:rsidRPr="00997CFC" w:rsidRDefault="00276402" w:rsidP="00276402">
      <w:pPr>
        <w:jc w:val="right"/>
        <w:rPr>
          <w:rFonts w:eastAsia="Calibri"/>
        </w:rPr>
      </w:pPr>
    </w:p>
    <w:p w14:paraId="33B97B9D" w14:textId="77777777" w:rsidR="00276402" w:rsidRPr="00997CFC" w:rsidRDefault="00276402" w:rsidP="00276402">
      <w:pPr>
        <w:jc w:val="both"/>
        <w:rPr>
          <w:rFonts w:eastAsia="Calibri"/>
        </w:rPr>
      </w:pPr>
      <w:r w:rsidRPr="00997CFC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276402" w:rsidRPr="00997CFC" w14:paraId="6317D357" w14:textId="77777777" w:rsidTr="0053495D">
        <w:tc>
          <w:tcPr>
            <w:tcW w:w="1951" w:type="dxa"/>
            <w:hideMark/>
          </w:tcPr>
          <w:p w14:paraId="6DC80D19" w14:textId="77777777" w:rsidR="00276402" w:rsidRPr="00997CFC" w:rsidRDefault="00276402" w:rsidP="0053495D">
            <w:pPr>
              <w:spacing w:line="256" w:lineRule="auto"/>
            </w:pPr>
            <w:r w:rsidRPr="00997CFC">
              <w:rPr>
                <w:smallCaps/>
              </w:rPr>
              <w:t>Predlagatelj</w:t>
            </w:r>
            <w:r w:rsidRPr="00997CFC">
              <w:t>:</w:t>
            </w:r>
          </w:p>
        </w:tc>
        <w:tc>
          <w:tcPr>
            <w:tcW w:w="7229" w:type="dxa"/>
          </w:tcPr>
          <w:p w14:paraId="2EAB7AD5" w14:textId="4763D57A" w:rsidR="00276402" w:rsidRPr="00997CFC" w:rsidRDefault="00276402" w:rsidP="0053495D">
            <w:pPr>
              <w:spacing w:line="256" w:lineRule="auto"/>
            </w:pPr>
            <w:r w:rsidRPr="00997CFC">
              <w:t xml:space="preserve">Ministarstvo </w:t>
            </w:r>
            <w:r>
              <w:t>vanjskih i europskih poslova</w:t>
            </w:r>
          </w:p>
          <w:p w14:paraId="039415E0" w14:textId="77777777" w:rsidR="00276402" w:rsidRPr="00997CFC" w:rsidRDefault="00276402" w:rsidP="0053495D">
            <w:pPr>
              <w:spacing w:line="256" w:lineRule="auto"/>
            </w:pPr>
          </w:p>
        </w:tc>
      </w:tr>
    </w:tbl>
    <w:p w14:paraId="2413ADD0" w14:textId="77777777" w:rsidR="00276402" w:rsidRPr="00997CFC" w:rsidRDefault="00276402" w:rsidP="00276402">
      <w:pPr>
        <w:jc w:val="both"/>
        <w:rPr>
          <w:rFonts w:eastAsia="Calibri"/>
        </w:rPr>
      </w:pPr>
      <w:r w:rsidRPr="00997CFC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276402" w:rsidRPr="00997CFC" w14:paraId="5761DF88" w14:textId="77777777" w:rsidTr="0053495D">
        <w:tc>
          <w:tcPr>
            <w:tcW w:w="1951" w:type="dxa"/>
            <w:hideMark/>
          </w:tcPr>
          <w:p w14:paraId="21FFCC0C" w14:textId="77777777" w:rsidR="00276402" w:rsidRPr="00997CFC" w:rsidRDefault="00276402" w:rsidP="0053495D">
            <w:pPr>
              <w:spacing w:line="256" w:lineRule="auto"/>
            </w:pPr>
            <w:r w:rsidRPr="00997CFC">
              <w:rPr>
                <w:smallCaps/>
              </w:rPr>
              <w:t>Predmet</w:t>
            </w:r>
            <w:r w:rsidRPr="00997CFC">
              <w:t>:</w:t>
            </w:r>
          </w:p>
        </w:tc>
        <w:tc>
          <w:tcPr>
            <w:tcW w:w="7229" w:type="dxa"/>
            <w:hideMark/>
          </w:tcPr>
          <w:p w14:paraId="6D43A6C6" w14:textId="589E9BC3" w:rsidR="00276402" w:rsidRPr="00997CFC" w:rsidRDefault="00276402" w:rsidP="0053495D">
            <w:pPr>
              <w:spacing w:line="256" w:lineRule="auto"/>
              <w:jc w:val="both"/>
            </w:pPr>
            <w:r>
              <w:t>Izvješće o provedbi službene razvojne pomoći Republike Hrvatske inozemstvu za 2020.</w:t>
            </w:r>
          </w:p>
        </w:tc>
      </w:tr>
    </w:tbl>
    <w:p w14:paraId="60C949EF" w14:textId="77777777" w:rsidR="00276402" w:rsidRPr="00997CFC" w:rsidRDefault="00276402" w:rsidP="00276402">
      <w:pPr>
        <w:jc w:val="both"/>
        <w:rPr>
          <w:rFonts w:eastAsia="Calibri"/>
        </w:rPr>
      </w:pPr>
      <w:r w:rsidRPr="00997CFC">
        <w:rPr>
          <w:rFonts w:eastAsia="Calibri"/>
        </w:rPr>
        <w:t>_________________________________________________________________________</w:t>
      </w:r>
    </w:p>
    <w:p w14:paraId="25263463" w14:textId="77777777" w:rsidR="00276402" w:rsidRPr="00997CFC" w:rsidRDefault="00276402" w:rsidP="00276402">
      <w:pPr>
        <w:jc w:val="both"/>
        <w:rPr>
          <w:rFonts w:eastAsia="Calibri"/>
        </w:rPr>
      </w:pPr>
    </w:p>
    <w:p w14:paraId="45B47648" w14:textId="77777777" w:rsidR="00276402" w:rsidRPr="00997CFC" w:rsidRDefault="00276402" w:rsidP="00276402">
      <w:pPr>
        <w:jc w:val="both"/>
        <w:rPr>
          <w:rFonts w:eastAsia="Calibri"/>
        </w:rPr>
      </w:pPr>
    </w:p>
    <w:p w14:paraId="372A8A77" w14:textId="77777777" w:rsidR="00276402" w:rsidRPr="00997CFC" w:rsidRDefault="00276402" w:rsidP="00276402">
      <w:pPr>
        <w:jc w:val="both"/>
        <w:rPr>
          <w:rFonts w:eastAsia="Calibri"/>
        </w:rPr>
      </w:pPr>
    </w:p>
    <w:p w14:paraId="760EB6B1" w14:textId="07192F2A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6C330B83" w14:textId="7D4D95B3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2474F0A3" w14:textId="35405364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7FCBE350" w14:textId="4BDC78E9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64175E6E" w14:textId="5A5A7DD9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5C9AC63F" w14:textId="16A7312F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27169392" w14:textId="2828040F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223079E2" w14:textId="38C0A30D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513BFC4B" w14:textId="054AA988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1C56898B" w14:textId="3EE769BF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4ED08C78" w14:textId="31A9A765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54879253" w14:textId="700562AD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19A76F9A" w14:textId="47711806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58B3770B" w14:textId="77EACB2B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0581193A" w14:textId="44B16910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65185DFB" w14:textId="72DA57D9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3D690EBA" w14:textId="0266C8D2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3C32CC33" w14:textId="5822CC17" w:rsidR="00276402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5FF6133E" w14:textId="6E677787" w:rsidR="00276402" w:rsidRPr="00997CFC" w:rsidRDefault="00276402" w:rsidP="00276402">
      <w:pPr>
        <w:tabs>
          <w:tab w:val="center" w:pos="4536"/>
          <w:tab w:val="right" w:pos="9072"/>
        </w:tabs>
        <w:rPr>
          <w:rFonts w:eastAsia="Calibri"/>
        </w:rPr>
      </w:pPr>
    </w:p>
    <w:p w14:paraId="2D839EBC" w14:textId="5DFAACC8" w:rsidR="00276402" w:rsidRDefault="00276402" w:rsidP="00276402">
      <w:pPr>
        <w:rPr>
          <w:rFonts w:eastAsia="Calibri"/>
        </w:rPr>
      </w:pPr>
    </w:p>
    <w:p w14:paraId="74C354B6" w14:textId="77777777" w:rsidR="00276402" w:rsidRDefault="00276402" w:rsidP="00276402">
      <w:pPr>
        <w:rPr>
          <w:rFonts w:eastAsia="Calibri"/>
        </w:rPr>
      </w:pPr>
    </w:p>
    <w:p w14:paraId="2D6D64A5" w14:textId="77777777" w:rsidR="00276402" w:rsidRPr="00FF2D27" w:rsidRDefault="00276402" w:rsidP="00276402">
      <w:pPr>
        <w:rPr>
          <w:rFonts w:eastAsia="Calibri"/>
          <w:sz w:val="22"/>
          <w:szCs w:val="22"/>
        </w:rPr>
      </w:pPr>
    </w:p>
    <w:p w14:paraId="06AD25D3" w14:textId="10916F22" w:rsidR="00276402" w:rsidRDefault="00276402" w:rsidP="00276402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2"/>
          <w:szCs w:val="22"/>
        </w:rPr>
      </w:pPr>
      <w:r w:rsidRPr="00FF2D27">
        <w:rPr>
          <w:rFonts w:eastAsia="Calibri"/>
          <w:color w:val="404040"/>
          <w:spacing w:val="20"/>
          <w:sz w:val="22"/>
          <w:szCs w:val="22"/>
        </w:rPr>
        <w:t>Banski dvori | Trg Sv. Marka 2 | 10000 Zagreb | tel. 01 4569 222 | vlada.gov.hr</w:t>
      </w:r>
    </w:p>
    <w:p w14:paraId="36612679" w14:textId="77777777" w:rsidR="00276402" w:rsidRPr="00276402" w:rsidRDefault="00276402" w:rsidP="00276402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Style w:val="longtext1"/>
          <w:rFonts w:eastAsia="Calibri"/>
          <w:color w:val="404040"/>
          <w:spacing w:val="20"/>
          <w:sz w:val="22"/>
          <w:szCs w:val="22"/>
        </w:rPr>
      </w:pPr>
    </w:p>
    <w:p w14:paraId="631AC8D1" w14:textId="56F68394" w:rsidR="00CC221E" w:rsidRPr="008225B5" w:rsidRDefault="00CC221E" w:rsidP="00CC221E">
      <w:pPr>
        <w:tabs>
          <w:tab w:val="left" w:pos="709"/>
          <w:tab w:val="left" w:pos="1560"/>
          <w:tab w:val="left" w:pos="2127"/>
          <w:tab w:val="left" w:pos="9072"/>
        </w:tabs>
        <w:rPr>
          <w:rStyle w:val="longtext1"/>
          <w:b/>
          <w:sz w:val="32"/>
          <w:szCs w:val="32"/>
          <w:u w:val="single"/>
          <w:shd w:val="clear" w:color="auto" w:fill="FFFFFF"/>
        </w:rPr>
      </w:pPr>
      <w:r w:rsidRPr="008225B5">
        <w:rPr>
          <w:rStyle w:val="longtext1"/>
          <w:b/>
          <w:sz w:val="32"/>
          <w:szCs w:val="32"/>
          <w:u w:val="single"/>
          <w:shd w:val="clear" w:color="auto" w:fill="FFFFFF"/>
        </w:rPr>
        <w:tab/>
      </w:r>
      <w:r w:rsidRPr="008225B5">
        <w:rPr>
          <w:rStyle w:val="longtext1"/>
          <w:b/>
          <w:sz w:val="32"/>
          <w:szCs w:val="32"/>
          <w:u w:val="single"/>
          <w:shd w:val="clear" w:color="auto" w:fill="FFFFFF"/>
        </w:rPr>
        <w:tab/>
      </w:r>
      <w:r w:rsidRPr="008225B5">
        <w:rPr>
          <w:rStyle w:val="longtext1"/>
          <w:b/>
          <w:sz w:val="32"/>
          <w:szCs w:val="32"/>
          <w:u w:val="single"/>
          <w:shd w:val="clear" w:color="auto" w:fill="FFFFFF"/>
        </w:rPr>
        <w:tab/>
        <w:t>VLADA REPUBLIKE HRVATSKE</w:t>
      </w:r>
      <w:r w:rsidRPr="008225B5">
        <w:rPr>
          <w:rStyle w:val="longtext1"/>
          <w:b/>
          <w:sz w:val="32"/>
          <w:szCs w:val="32"/>
          <w:u w:val="single"/>
          <w:shd w:val="clear" w:color="auto" w:fill="FFFFFF"/>
        </w:rPr>
        <w:tab/>
      </w:r>
    </w:p>
    <w:p w14:paraId="1596EA3F" w14:textId="77777777" w:rsidR="00CC221E" w:rsidRPr="008225B5" w:rsidRDefault="00CC221E" w:rsidP="00CC221E"/>
    <w:p w14:paraId="59A53113" w14:textId="77777777" w:rsidR="00CC221E" w:rsidRPr="008225B5" w:rsidRDefault="00CC221E" w:rsidP="00CC221E"/>
    <w:p w14:paraId="31589CF7" w14:textId="77777777" w:rsidR="00CC221E" w:rsidRPr="008225B5" w:rsidRDefault="00CC221E" w:rsidP="00CC221E"/>
    <w:p w14:paraId="2F8A7B42" w14:textId="77777777" w:rsidR="00CC221E" w:rsidRPr="008225B5" w:rsidRDefault="00CC221E" w:rsidP="00CC221E"/>
    <w:p w14:paraId="6EA77069" w14:textId="77777777" w:rsidR="00CC221E" w:rsidRPr="008225B5" w:rsidRDefault="00CC221E" w:rsidP="00CC221E"/>
    <w:p w14:paraId="28905964" w14:textId="77777777" w:rsidR="00CC221E" w:rsidRPr="008225B5" w:rsidRDefault="00CC221E" w:rsidP="00CC221E"/>
    <w:p w14:paraId="44C224E0" w14:textId="77777777" w:rsidR="00CC221E" w:rsidRPr="008225B5" w:rsidRDefault="00CC221E" w:rsidP="00CC221E"/>
    <w:p w14:paraId="670D6D27" w14:textId="77777777" w:rsidR="00CC221E" w:rsidRPr="008225B5" w:rsidRDefault="00CC221E" w:rsidP="00CC221E"/>
    <w:p w14:paraId="092171D3" w14:textId="77777777" w:rsidR="00CC221E" w:rsidRPr="008225B5" w:rsidRDefault="00CC221E" w:rsidP="00CC221E"/>
    <w:p w14:paraId="63185A68" w14:textId="77777777" w:rsidR="00CC221E" w:rsidRPr="008225B5" w:rsidRDefault="00CC221E" w:rsidP="00CC221E"/>
    <w:p w14:paraId="38512ECF" w14:textId="77777777" w:rsidR="00CC221E" w:rsidRPr="008225B5" w:rsidRDefault="00CC221E" w:rsidP="00CC221E"/>
    <w:p w14:paraId="1D7D8BAD" w14:textId="77777777" w:rsidR="00CC221E" w:rsidRPr="008225B5" w:rsidRDefault="00CC221E" w:rsidP="00CC221E"/>
    <w:p w14:paraId="74642278" w14:textId="77777777" w:rsidR="00CC221E" w:rsidRPr="008225B5" w:rsidRDefault="00CC221E" w:rsidP="00CC221E"/>
    <w:p w14:paraId="408B3F65" w14:textId="77777777" w:rsidR="00CC221E" w:rsidRPr="008225B5" w:rsidRDefault="00CC221E" w:rsidP="00CC221E"/>
    <w:p w14:paraId="390BCB73" w14:textId="77777777" w:rsidR="00CC221E" w:rsidRPr="008225B5" w:rsidRDefault="00CC221E" w:rsidP="00CC221E"/>
    <w:p w14:paraId="1488D8BE" w14:textId="77777777" w:rsidR="00CC221E" w:rsidRPr="008225B5" w:rsidRDefault="00CC221E" w:rsidP="00CC221E"/>
    <w:p w14:paraId="60EF9BF5" w14:textId="77777777" w:rsidR="00CC221E" w:rsidRPr="008225B5" w:rsidRDefault="00CC221E" w:rsidP="00CC221E"/>
    <w:p w14:paraId="633EE2EA" w14:textId="77777777" w:rsidR="00CC221E" w:rsidRPr="008225B5" w:rsidRDefault="00CC221E" w:rsidP="00CC221E"/>
    <w:p w14:paraId="7E940DD6" w14:textId="77777777" w:rsidR="00CC221E" w:rsidRPr="008225B5" w:rsidRDefault="00CC221E" w:rsidP="00CC221E"/>
    <w:p w14:paraId="10E3BAFD" w14:textId="01B7399A" w:rsidR="00CC221E" w:rsidRPr="008225B5" w:rsidRDefault="00CC221E" w:rsidP="00CC221E">
      <w:pPr>
        <w:jc w:val="center"/>
        <w:rPr>
          <w:rStyle w:val="longtext1"/>
          <w:b/>
          <w:sz w:val="32"/>
          <w:szCs w:val="32"/>
          <w:shd w:val="clear" w:color="auto" w:fill="FFFFFF"/>
        </w:rPr>
      </w:pPr>
      <w:r w:rsidRPr="008225B5">
        <w:rPr>
          <w:rStyle w:val="longtext1"/>
          <w:b/>
          <w:sz w:val="32"/>
          <w:szCs w:val="32"/>
          <w:shd w:val="clear" w:color="auto" w:fill="FFFFFF"/>
        </w:rPr>
        <w:t xml:space="preserve">IZVJEŠĆE O PROVEDBI SLUŽBENE RAZVOJNE POMOĆI REPUBLIKE HRVATSKE </w:t>
      </w:r>
      <w:r w:rsidR="00F20C88">
        <w:rPr>
          <w:rStyle w:val="longtext1"/>
          <w:b/>
          <w:sz w:val="32"/>
          <w:szCs w:val="32"/>
          <w:shd w:val="clear" w:color="auto" w:fill="FFFFFF"/>
        </w:rPr>
        <w:t xml:space="preserve">INOZEMSTVU </w:t>
      </w:r>
      <w:r w:rsidRPr="008225B5">
        <w:rPr>
          <w:rStyle w:val="longtext1"/>
          <w:b/>
          <w:sz w:val="32"/>
          <w:szCs w:val="32"/>
          <w:shd w:val="clear" w:color="auto" w:fill="FFFFFF"/>
        </w:rPr>
        <w:t>ZA 20</w:t>
      </w:r>
      <w:r>
        <w:rPr>
          <w:rStyle w:val="longtext1"/>
          <w:b/>
          <w:sz w:val="32"/>
          <w:szCs w:val="32"/>
          <w:shd w:val="clear" w:color="auto" w:fill="FFFFFF"/>
        </w:rPr>
        <w:t>20</w:t>
      </w:r>
      <w:r w:rsidRPr="008225B5">
        <w:rPr>
          <w:rStyle w:val="longtext1"/>
          <w:b/>
          <w:sz w:val="32"/>
          <w:szCs w:val="32"/>
          <w:shd w:val="clear" w:color="auto" w:fill="FFFFFF"/>
        </w:rPr>
        <w:t xml:space="preserve">. </w:t>
      </w:r>
    </w:p>
    <w:p w14:paraId="0B893349" w14:textId="77777777" w:rsidR="00CC221E" w:rsidRPr="008225B5" w:rsidRDefault="00CC221E" w:rsidP="00CC221E"/>
    <w:p w14:paraId="298133EA" w14:textId="77777777" w:rsidR="000C2522" w:rsidRPr="008225B5" w:rsidRDefault="000C2522" w:rsidP="000C2522"/>
    <w:p w14:paraId="5CB15AEB" w14:textId="77777777" w:rsidR="000C2522" w:rsidRPr="008225B5" w:rsidRDefault="000C2522" w:rsidP="000C2522"/>
    <w:p w14:paraId="1AF9CB15" w14:textId="77777777" w:rsidR="00CC221E" w:rsidRPr="008225B5" w:rsidRDefault="00CC221E" w:rsidP="00CC221E"/>
    <w:p w14:paraId="7BF092B5" w14:textId="77777777" w:rsidR="00CC221E" w:rsidRPr="008225B5" w:rsidRDefault="00CC221E" w:rsidP="00CC221E"/>
    <w:p w14:paraId="57391ECA" w14:textId="77777777" w:rsidR="00CC221E" w:rsidRPr="008225B5" w:rsidRDefault="00CC221E" w:rsidP="00CC221E"/>
    <w:p w14:paraId="455F2118" w14:textId="77777777" w:rsidR="00CC221E" w:rsidRPr="008225B5" w:rsidRDefault="00CC221E" w:rsidP="00CC221E"/>
    <w:p w14:paraId="6D857D44" w14:textId="77777777" w:rsidR="00CC221E" w:rsidRPr="008225B5" w:rsidRDefault="00CC221E" w:rsidP="00CC221E"/>
    <w:p w14:paraId="35239AF5" w14:textId="77777777" w:rsidR="00CC221E" w:rsidRPr="008225B5" w:rsidRDefault="00CC221E" w:rsidP="00CC221E"/>
    <w:p w14:paraId="31FC6938" w14:textId="77777777" w:rsidR="00CC221E" w:rsidRPr="008225B5" w:rsidRDefault="00CC221E" w:rsidP="00CC221E"/>
    <w:p w14:paraId="3B5D565F" w14:textId="77777777" w:rsidR="00CC221E" w:rsidRPr="008225B5" w:rsidRDefault="00CC221E" w:rsidP="00CC221E"/>
    <w:p w14:paraId="06C749DD" w14:textId="77777777" w:rsidR="00CC221E" w:rsidRPr="008225B5" w:rsidRDefault="00CC221E" w:rsidP="00CC221E"/>
    <w:p w14:paraId="2669647A" w14:textId="77777777" w:rsidR="00CC221E" w:rsidRPr="008225B5" w:rsidRDefault="00CC221E" w:rsidP="00CC221E"/>
    <w:p w14:paraId="344050D9" w14:textId="77777777" w:rsidR="00CC221E" w:rsidRPr="008225B5" w:rsidRDefault="00CC221E" w:rsidP="00CC221E"/>
    <w:p w14:paraId="226A54F9" w14:textId="77777777" w:rsidR="00CC221E" w:rsidRPr="008225B5" w:rsidRDefault="00CC221E" w:rsidP="00CC221E"/>
    <w:p w14:paraId="644A9A83" w14:textId="77777777" w:rsidR="00CC221E" w:rsidRPr="008225B5" w:rsidRDefault="00CC221E" w:rsidP="00CC221E"/>
    <w:p w14:paraId="1D168D6D" w14:textId="77777777" w:rsidR="00CC221E" w:rsidRPr="008225B5" w:rsidRDefault="00CC221E" w:rsidP="00CC221E"/>
    <w:p w14:paraId="053C4F6A" w14:textId="77777777" w:rsidR="00CC221E" w:rsidRPr="008225B5" w:rsidRDefault="00CC221E" w:rsidP="00CC221E"/>
    <w:p w14:paraId="75BF4D8D" w14:textId="77777777" w:rsidR="00CC221E" w:rsidRPr="008225B5" w:rsidRDefault="00CC221E" w:rsidP="00CC221E"/>
    <w:p w14:paraId="470F1554" w14:textId="77777777" w:rsidR="00CC221E" w:rsidRPr="008225B5" w:rsidRDefault="00CC221E" w:rsidP="00CC221E"/>
    <w:p w14:paraId="28B22224" w14:textId="77777777" w:rsidR="00CC221E" w:rsidRPr="008225B5" w:rsidRDefault="00CC221E" w:rsidP="00CC221E"/>
    <w:p w14:paraId="54D484C3" w14:textId="77777777" w:rsidR="00CC221E" w:rsidRPr="008225B5" w:rsidRDefault="00CC221E" w:rsidP="00CC221E"/>
    <w:p w14:paraId="77F603D4" w14:textId="77777777" w:rsidR="00CC221E" w:rsidRPr="008225B5" w:rsidRDefault="00CC221E" w:rsidP="00CC221E"/>
    <w:p w14:paraId="33FDD7CC" w14:textId="77777777" w:rsidR="00CC221E" w:rsidRPr="008225B5" w:rsidRDefault="00CC221E" w:rsidP="00CC221E"/>
    <w:p w14:paraId="2C4C89A6" w14:textId="77777777" w:rsidR="00CC221E" w:rsidRPr="008225B5" w:rsidRDefault="00CC221E" w:rsidP="00CC221E"/>
    <w:p w14:paraId="0F49654C" w14:textId="77777777" w:rsidR="00CC221E" w:rsidRPr="008225B5" w:rsidRDefault="00CC221E" w:rsidP="00CC221E">
      <w:pPr>
        <w:tabs>
          <w:tab w:val="left" w:pos="9072"/>
        </w:tabs>
        <w:rPr>
          <w:b/>
          <w:u w:val="thick"/>
        </w:rPr>
      </w:pPr>
      <w:r w:rsidRPr="008225B5">
        <w:rPr>
          <w:b/>
          <w:u w:val="thick"/>
        </w:rPr>
        <w:tab/>
      </w:r>
    </w:p>
    <w:p w14:paraId="0DBFCCBC" w14:textId="5B467BDF" w:rsidR="00CC221E" w:rsidRPr="008225B5" w:rsidRDefault="00CC221E" w:rsidP="00CC221E">
      <w:pPr>
        <w:jc w:val="center"/>
        <w:rPr>
          <w:rStyle w:val="longtext1"/>
          <w:b/>
          <w:sz w:val="32"/>
          <w:szCs w:val="32"/>
          <w:shd w:val="clear" w:color="auto" w:fill="FFFFFF"/>
        </w:rPr>
      </w:pPr>
      <w:r w:rsidRPr="008225B5">
        <w:rPr>
          <w:rStyle w:val="longtext1"/>
          <w:b/>
          <w:sz w:val="32"/>
          <w:szCs w:val="32"/>
          <w:shd w:val="clear" w:color="auto" w:fill="FFFFFF"/>
        </w:rPr>
        <w:t xml:space="preserve">Zagreb, </w:t>
      </w:r>
      <w:r w:rsidR="00C56B98">
        <w:rPr>
          <w:rStyle w:val="longtext1"/>
          <w:b/>
          <w:sz w:val="32"/>
          <w:szCs w:val="32"/>
          <w:shd w:val="clear" w:color="auto" w:fill="FFFFFF"/>
        </w:rPr>
        <w:t>kolovoz</w:t>
      </w:r>
      <w:r w:rsidRPr="008225B5">
        <w:rPr>
          <w:rStyle w:val="longtext1"/>
          <w:b/>
          <w:sz w:val="32"/>
          <w:szCs w:val="32"/>
          <w:shd w:val="clear" w:color="auto" w:fill="FFFFFF"/>
        </w:rPr>
        <w:t xml:space="preserve"> 202</w:t>
      </w:r>
      <w:r>
        <w:rPr>
          <w:rStyle w:val="longtext1"/>
          <w:b/>
          <w:sz w:val="32"/>
          <w:szCs w:val="32"/>
          <w:shd w:val="clear" w:color="auto" w:fill="FFFFFF"/>
        </w:rPr>
        <w:t>1</w:t>
      </w:r>
      <w:r w:rsidRPr="008225B5">
        <w:rPr>
          <w:rStyle w:val="longtext1"/>
          <w:b/>
          <w:sz w:val="32"/>
          <w:szCs w:val="32"/>
          <w:shd w:val="clear" w:color="auto" w:fill="FFFFFF"/>
        </w:rPr>
        <w:t>.</w:t>
      </w:r>
      <w:r w:rsidRPr="008225B5">
        <w:rPr>
          <w:rStyle w:val="longtext1"/>
          <w:b/>
          <w:sz w:val="32"/>
          <w:szCs w:val="32"/>
          <w:shd w:val="clear" w:color="auto" w:fill="FFFFFF"/>
        </w:rPr>
        <w:br w:type="page"/>
      </w:r>
    </w:p>
    <w:p w14:paraId="121DFDA6" w14:textId="77777777" w:rsidR="00CC221E" w:rsidRPr="008225B5" w:rsidRDefault="00CC221E" w:rsidP="00CC221E">
      <w:pPr>
        <w:rPr>
          <w:b/>
          <w:sz w:val="32"/>
          <w:szCs w:val="32"/>
        </w:rPr>
      </w:pPr>
      <w:r w:rsidRPr="008225B5">
        <w:rPr>
          <w:b/>
          <w:sz w:val="32"/>
          <w:szCs w:val="32"/>
        </w:rPr>
        <w:lastRenderedPageBreak/>
        <w:t>SADRŽAJ:</w:t>
      </w:r>
    </w:p>
    <w:p w14:paraId="2398895F" w14:textId="77777777" w:rsidR="00CC221E" w:rsidRPr="008225B5" w:rsidRDefault="00CC221E" w:rsidP="00CC221E">
      <w:pPr>
        <w:rPr>
          <w:b/>
          <w:sz w:val="32"/>
          <w:szCs w:val="32"/>
        </w:rPr>
      </w:pPr>
    </w:p>
    <w:sdt>
      <w:sdtPr>
        <w:rPr>
          <w:b/>
          <w:bCs/>
        </w:rPr>
        <w:id w:val="86749113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DDAC09A" w14:textId="77777777" w:rsidR="00CC221E" w:rsidRPr="008225B5" w:rsidRDefault="00CC221E" w:rsidP="00CC221E">
          <w:pPr>
            <w:rPr>
              <w:b/>
            </w:rPr>
          </w:pPr>
        </w:p>
        <w:p w14:paraId="3C1BAB89" w14:textId="77777777" w:rsidR="00E2075B" w:rsidRDefault="00CC221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8225B5">
            <w:rPr>
              <w:b/>
            </w:rPr>
            <w:fldChar w:fldCharType="begin"/>
          </w:r>
          <w:r w:rsidRPr="008225B5">
            <w:rPr>
              <w:b/>
            </w:rPr>
            <w:instrText xml:space="preserve"> TOC \o "1-3" \h \z \u </w:instrText>
          </w:r>
          <w:r w:rsidRPr="008225B5">
            <w:rPr>
              <w:b/>
            </w:rPr>
            <w:fldChar w:fldCharType="separate"/>
          </w:r>
          <w:hyperlink w:anchor="_Toc74738840" w:history="1">
            <w:r w:rsidR="00E2075B" w:rsidRPr="00E31538">
              <w:rPr>
                <w:rStyle w:val="Hyperlink"/>
                <w:noProof/>
              </w:rPr>
              <w:t>1.</w:t>
            </w:r>
            <w:r w:rsidR="00E2075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2075B" w:rsidRPr="00E31538">
              <w:rPr>
                <w:rStyle w:val="Hyperlink"/>
                <w:noProof/>
              </w:rPr>
              <w:t>Institucionalni okvir službene razvojne pomoći</w:t>
            </w:r>
            <w:r w:rsidR="00E2075B">
              <w:rPr>
                <w:noProof/>
                <w:webHidden/>
              </w:rPr>
              <w:tab/>
            </w:r>
            <w:r w:rsidR="00E2075B">
              <w:rPr>
                <w:noProof/>
                <w:webHidden/>
              </w:rPr>
              <w:fldChar w:fldCharType="begin"/>
            </w:r>
            <w:r w:rsidR="00E2075B">
              <w:rPr>
                <w:noProof/>
                <w:webHidden/>
              </w:rPr>
              <w:instrText xml:space="preserve"> PAGEREF _Toc74738840 \h </w:instrText>
            </w:r>
            <w:r w:rsidR="00E2075B">
              <w:rPr>
                <w:noProof/>
                <w:webHidden/>
              </w:rPr>
            </w:r>
            <w:r w:rsidR="00E2075B">
              <w:rPr>
                <w:noProof/>
                <w:webHidden/>
              </w:rPr>
              <w:fldChar w:fldCharType="separate"/>
            </w:r>
            <w:r w:rsidR="00200BC8">
              <w:rPr>
                <w:noProof/>
                <w:webHidden/>
              </w:rPr>
              <w:t>3</w:t>
            </w:r>
            <w:r w:rsidR="00E2075B">
              <w:rPr>
                <w:noProof/>
                <w:webHidden/>
              </w:rPr>
              <w:fldChar w:fldCharType="end"/>
            </w:r>
          </w:hyperlink>
        </w:p>
        <w:p w14:paraId="0C908D93" w14:textId="77777777" w:rsidR="00E2075B" w:rsidRDefault="00276402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4738841" w:history="1">
            <w:r w:rsidR="00E2075B" w:rsidRPr="00E31538">
              <w:rPr>
                <w:rStyle w:val="Hyperlink"/>
                <w:noProof/>
              </w:rPr>
              <w:t>2.</w:t>
            </w:r>
            <w:r w:rsidR="00E2075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2075B" w:rsidRPr="00E31538">
              <w:rPr>
                <w:rStyle w:val="Hyperlink"/>
                <w:noProof/>
              </w:rPr>
              <w:t>Kontekst</w:t>
            </w:r>
            <w:r w:rsidR="00E2075B">
              <w:rPr>
                <w:noProof/>
                <w:webHidden/>
              </w:rPr>
              <w:tab/>
            </w:r>
            <w:r w:rsidR="00E2075B">
              <w:rPr>
                <w:noProof/>
                <w:webHidden/>
              </w:rPr>
              <w:fldChar w:fldCharType="begin"/>
            </w:r>
            <w:r w:rsidR="00E2075B">
              <w:rPr>
                <w:noProof/>
                <w:webHidden/>
              </w:rPr>
              <w:instrText xml:space="preserve"> PAGEREF _Toc74738841 \h </w:instrText>
            </w:r>
            <w:r w:rsidR="00E2075B">
              <w:rPr>
                <w:noProof/>
                <w:webHidden/>
              </w:rPr>
            </w:r>
            <w:r w:rsidR="00E2075B">
              <w:rPr>
                <w:noProof/>
                <w:webHidden/>
              </w:rPr>
              <w:fldChar w:fldCharType="separate"/>
            </w:r>
            <w:r w:rsidR="00200BC8">
              <w:rPr>
                <w:noProof/>
                <w:webHidden/>
              </w:rPr>
              <w:t>4</w:t>
            </w:r>
            <w:r w:rsidR="00E2075B">
              <w:rPr>
                <w:noProof/>
                <w:webHidden/>
              </w:rPr>
              <w:fldChar w:fldCharType="end"/>
            </w:r>
          </w:hyperlink>
        </w:p>
        <w:p w14:paraId="2093FBF9" w14:textId="77777777" w:rsidR="00E2075B" w:rsidRDefault="00276402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4738842" w:history="1">
            <w:r w:rsidR="00E2075B" w:rsidRPr="00E31538">
              <w:rPr>
                <w:rStyle w:val="Hyperlink"/>
                <w:noProof/>
              </w:rPr>
              <w:t>3.</w:t>
            </w:r>
            <w:r w:rsidR="00E2075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2075B" w:rsidRPr="00E31538">
              <w:rPr>
                <w:rStyle w:val="Hyperlink"/>
                <w:noProof/>
              </w:rPr>
              <w:t>Dionici u provedbi</w:t>
            </w:r>
            <w:r w:rsidR="00E2075B">
              <w:rPr>
                <w:noProof/>
                <w:webHidden/>
              </w:rPr>
              <w:tab/>
            </w:r>
            <w:r w:rsidR="00E2075B">
              <w:rPr>
                <w:noProof/>
                <w:webHidden/>
              </w:rPr>
              <w:fldChar w:fldCharType="begin"/>
            </w:r>
            <w:r w:rsidR="00E2075B">
              <w:rPr>
                <w:noProof/>
                <w:webHidden/>
              </w:rPr>
              <w:instrText xml:space="preserve"> PAGEREF _Toc74738842 \h </w:instrText>
            </w:r>
            <w:r w:rsidR="00E2075B">
              <w:rPr>
                <w:noProof/>
                <w:webHidden/>
              </w:rPr>
            </w:r>
            <w:r w:rsidR="00E2075B">
              <w:rPr>
                <w:noProof/>
                <w:webHidden/>
              </w:rPr>
              <w:fldChar w:fldCharType="separate"/>
            </w:r>
            <w:r w:rsidR="00200BC8">
              <w:rPr>
                <w:noProof/>
                <w:webHidden/>
              </w:rPr>
              <w:t>4</w:t>
            </w:r>
            <w:r w:rsidR="00E2075B">
              <w:rPr>
                <w:noProof/>
                <w:webHidden/>
              </w:rPr>
              <w:fldChar w:fldCharType="end"/>
            </w:r>
          </w:hyperlink>
        </w:p>
        <w:p w14:paraId="68364271" w14:textId="77777777" w:rsidR="00E2075B" w:rsidRDefault="00276402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4738843" w:history="1">
            <w:r w:rsidR="00E2075B" w:rsidRPr="00E31538">
              <w:rPr>
                <w:rStyle w:val="Hyperlink"/>
                <w:noProof/>
              </w:rPr>
              <w:t>4.</w:t>
            </w:r>
            <w:r w:rsidR="00E2075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2075B" w:rsidRPr="00E31538">
              <w:rPr>
                <w:rStyle w:val="Hyperlink"/>
                <w:noProof/>
              </w:rPr>
              <w:t>Struktura službene razvojne pomoći Republike Hrvatske u 2020. godini</w:t>
            </w:r>
            <w:r w:rsidR="00E2075B">
              <w:rPr>
                <w:noProof/>
                <w:webHidden/>
              </w:rPr>
              <w:tab/>
            </w:r>
            <w:r w:rsidR="00E2075B">
              <w:rPr>
                <w:noProof/>
                <w:webHidden/>
              </w:rPr>
              <w:fldChar w:fldCharType="begin"/>
            </w:r>
            <w:r w:rsidR="00E2075B">
              <w:rPr>
                <w:noProof/>
                <w:webHidden/>
              </w:rPr>
              <w:instrText xml:space="preserve"> PAGEREF _Toc74738843 \h </w:instrText>
            </w:r>
            <w:r w:rsidR="00E2075B">
              <w:rPr>
                <w:noProof/>
                <w:webHidden/>
              </w:rPr>
            </w:r>
            <w:r w:rsidR="00E2075B">
              <w:rPr>
                <w:noProof/>
                <w:webHidden/>
              </w:rPr>
              <w:fldChar w:fldCharType="separate"/>
            </w:r>
            <w:r w:rsidR="00200BC8">
              <w:rPr>
                <w:noProof/>
                <w:webHidden/>
              </w:rPr>
              <w:t>4</w:t>
            </w:r>
            <w:r w:rsidR="00E2075B">
              <w:rPr>
                <w:noProof/>
                <w:webHidden/>
              </w:rPr>
              <w:fldChar w:fldCharType="end"/>
            </w:r>
          </w:hyperlink>
        </w:p>
        <w:p w14:paraId="049FD1BB" w14:textId="77777777" w:rsidR="00E2075B" w:rsidRDefault="00276402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4738844" w:history="1">
            <w:r w:rsidR="00E2075B" w:rsidRPr="00E31538">
              <w:rPr>
                <w:rStyle w:val="Hyperlink"/>
                <w:noProof/>
              </w:rPr>
              <w:t>5.</w:t>
            </w:r>
            <w:r w:rsidR="00E2075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2075B" w:rsidRPr="00E31538">
              <w:rPr>
                <w:rStyle w:val="Hyperlink"/>
                <w:noProof/>
              </w:rPr>
              <w:t>Bilateralna službena razvojna pomoć</w:t>
            </w:r>
            <w:r w:rsidR="00E2075B">
              <w:rPr>
                <w:noProof/>
                <w:webHidden/>
              </w:rPr>
              <w:tab/>
            </w:r>
            <w:r w:rsidR="00E2075B">
              <w:rPr>
                <w:noProof/>
                <w:webHidden/>
              </w:rPr>
              <w:fldChar w:fldCharType="begin"/>
            </w:r>
            <w:r w:rsidR="00E2075B">
              <w:rPr>
                <w:noProof/>
                <w:webHidden/>
              </w:rPr>
              <w:instrText xml:space="preserve"> PAGEREF _Toc74738844 \h </w:instrText>
            </w:r>
            <w:r w:rsidR="00E2075B">
              <w:rPr>
                <w:noProof/>
                <w:webHidden/>
              </w:rPr>
            </w:r>
            <w:r w:rsidR="00E2075B">
              <w:rPr>
                <w:noProof/>
                <w:webHidden/>
              </w:rPr>
              <w:fldChar w:fldCharType="separate"/>
            </w:r>
            <w:r w:rsidR="00200BC8">
              <w:rPr>
                <w:noProof/>
                <w:webHidden/>
              </w:rPr>
              <w:t>8</w:t>
            </w:r>
            <w:r w:rsidR="00E2075B">
              <w:rPr>
                <w:noProof/>
                <w:webHidden/>
              </w:rPr>
              <w:fldChar w:fldCharType="end"/>
            </w:r>
          </w:hyperlink>
        </w:p>
        <w:p w14:paraId="023D9CE6" w14:textId="77777777" w:rsidR="00E2075B" w:rsidRDefault="00276402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4738845" w:history="1">
            <w:r w:rsidR="00E2075B" w:rsidRPr="00E31538">
              <w:rPr>
                <w:rStyle w:val="Hyperlink"/>
                <w:noProof/>
              </w:rPr>
              <w:t>6.</w:t>
            </w:r>
            <w:r w:rsidR="00E2075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2075B" w:rsidRPr="00E31538">
              <w:rPr>
                <w:rStyle w:val="Hyperlink"/>
                <w:noProof/>
              </w:rPr>
              <w:t>Multilateralna službena razvojna pomoć</w:t>
            </w:r>
            <w:r w:rsidR="00E2075B">
              <w:rPr>
                <w:noProof/>
                <w:webHidden/>
              </w:rPr>
              <w:tab/>
            </w:r>
            <w:r w:rsidR="00E2075B">
              <w:rPr>
                <w:noProof/>
                <w:webHidden/>
              </w:rPr>
              <w:fldChar w:fldCharType="begin"/>
            </w:r>
            <w:r w:rsidR="00E2075B">
              <w:rPr>
                <w:noProof/>
                <w:webHidden/>
              </w:rPr>
              <w:instrText xml:space="preserve"> PAGEREF _Toc74738845 \h </w:instrText>
            </w:r>
            <w:r w:rsidR="00E2075B">
              <w:rPr>
                <w:noProof/>
                <w:webHidden/>
              </w:rPr>
            </w:r>
            <w:r w:rsidR="00E2075B">
              <w:rPr>
                <w:noProof/>
                <w:webHidden/>
              </w:rPr>
              <w:fldChar w:fldCharType="separate"/>
            </w:r>
            <w:r w:rsidR="00200BC8">
              <w:rPr>
                <w:noProof/>
                <w:webHidden/>
              </w:rPr>
              <w:t>11</w:t>
            </w:r>
            <w:r w:rsidR="00E2075B">
              <w:rPr>
                <w:noProof/>
                <w:webHidden/>
              </w:rPr>
              <w:fldChar w:fldCharType="end"/>
            </w:r>
          </w:hyperlink>
        </w:p>
        <w:p w14:paraId="10B8CC3E" w14:textId="77777777" w:rsidR="00E2075B" w:rsidRDefault="00276402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4738846" w:history="1">
            <w:r w:rsidR="00E2075B" w:rsidRPr="00E31538">
              <w:rPr>
                <w:rStyle w:val="Hyperlink"/>
                <w:noProof/>
              </w:rPr>
              <w:t>7.</w:t>
            </w:r>
            <w:r w:rsidR="00E2075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2075B" w:rsidRPr="00E31538">
              <w:rPr>
                <w:rStyle w:val="Hyperlink"/>
                <w:noProof/>
              </w:rPr>
              <w:t>Humanitarna pomoć</w:t>
            </w:r>
            <w:r w:rsidR="00E2075B">
              <w:rPr>
                <w:noProof/>
                <w:webHidden/>
              </w:rPr>
              <w:tab/>
            </w:r>
            <w:r w:rsidR="00E2075B">
              <w:rPr>
                <w:noProof/>
                <w:webHidden/>
              </w:rPr>
              <w:fldChar w:fldCharType="begin"/>
            </w:r>
            <w:r w:rsidR="00E2075B">
              <w:rPr>
                <w:noProof/>
                <w:webHidden/>
              </w:rPr>
              <w:instrText xml:space="preserve"> PAGEREF _Toc74738846 \h </w:instrText>
            </w:r>
            <w:r w:rsidR="00E2075B">
              <w:rPr>
                <w:noProof/>
                <w:webHidden/>
              </w:rPr>
            </w:r>
            <w:r w:rsidR="00E2075B">
              <w:rPr>
                <w:noProof/>
                <w:webHidden/>
              </w:rPr>
              <w:fldChar w:fldCharType="separate"/>
            </w:r>
            <w:r w:rsidR="00200BC8">
              <w:rPr>
                <w:noProof/>
                <w:webHidden/>
              </w:rPr>
              <w:t>12</w:t>
            </w:r>
            <w:r w:rsidR="00E2075B">
              <w:rPr>
                <w:noProof/>
                <w:webHidden/>
              </w:rPr>
              <w:fldChar w:fldCharType="end"/>
            </w:r>
          </w:hyperlink>
        </w:p>
        <w:p w14:paraId="1C803235" w14:textId="77777777" w:rsidR="00E2075B" w:rsidRDefault="00276402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4738847" w:history="1">
            <w:r w:rsidR="00E2075B" w:rsidRPr="00E31538">
              <w:rPr>
                <w:rStyle w:val="Hyperlink"/>
                <w:noProof/>
              </w:rPr>
              <w:t>8.</w:t>
            </w:r>
            <w:r w:rsidR="00E2075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2075B" w:rsidRPr="00E31538">
              <w:rPr>
                <w:rStyle w:val="Hyperlink"/>
                <w:noProof/>
              </w:rPr>
              <w:t>Zaključak</w:t>
            </w:r>
            <w:r w:rsidR="00E2075B">
              <w:rPr>
                <w:noProof/>
                <w:webHidden/>
              </w:rPr>
              <w:tab/>
            </w:r>
            <w:r w:rsidR="00E2075B">
              <w:rPr>
                <w:noProof/>
                <w:webHidden/>
              </w:rPr>
              <w:fldChar w:fldCharType="begin"/>
            </w:r>
            <w:r w:rsidR="00E2075B">
              <w:rPr>
                <w:noProof/>
                <w:webHidden/>
              </w:rPr>
              <w:instrText xml:space="preserve"> PAGEREF _Toc74738847 \h </w:instrText>
            </w:r>
            <w:r w:rsidR="00E2075B">
              <w:rPr>
                <w:noProof/>
                <w:webHidden/>
              </w:rPr>
            </w:r>
            <w:r w:rsidR="00E2075B">
              <w:rPr>
                <w:noProof/>
                <w:webHidden/>
              </w:rPr>
              <w:fldChar w:fldCharType="separate"/>
            </w:r>
            <w:r w:rsidR="00200BC8">
              <w:rPr>
                <w:noProof/>
                <w:webHidden/>
              </w:rPr>
              <w:t>13</w:t>
            </w:r>
            <w:r w:rsidR="00E2075B">
              <w:rPr>
                <w:noProof/>
                <w:webHidden/>
              </w:rPr>
              <w:fldChar w:fldCharType="end"/>
            </w:r>
          </w:hyperlink>
        </w:p>
        <w:p w14:paraId="7D12D0E6" w14:textId="77777777" w:rsidR="00E2075B" w:rsidRDefault="00276402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4738848" w:history="1">
            <w:r w:rsidR="00E2075B" w:rsidRPr="00E31538">
              <w:rPr>
                <w:rStyle w:val="Hyperlink"/>
                <w:noProof/>
              </w:rPr>
              <w:t>9.</w:t>
            </w:r>
            <w:r w:rsidR="00E2075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2075B" w:rsidRPr="00E31538">
              <w:rPr>
                <w:rStyle w:val="Hyperlink"/>
                <w:noProof/>
              </w:rPr>
              <w:t>Prilozi</w:t>
            </w:r>
            <w:r w:rsidR="00E2075B">
              <w:rPr>
                <w:noProof/>
                <w:webHidden/>
              </w:rPr>
              <w:tab/>
            </w:r>
            <w:r w:rsidR="00E2075B">
              <w:rPr>
                <w:noProof/>
                <w:webHidden/>
              </w:rPr>
              <w:fldChar w:fldCharType="begin"/>
            </w:r>
            <w:r w:rsidR="00E2075B">
              <w:rPr>
                <w:noProof/>
                <w:webHidden/>
              </w:rPr>
              <w:instrText xml:space="preserve"> PAGEREF _Toc74738848 \h </w:instrText>
            </w:r>
            <w:r w:rsidR="00E2075B">
              <w:rPr>
                <w:noProof/>
                <w:webHidden/>
              </w:rPr>
            </w:r>
            <w:r w:rsidR="00E2075B">
              <w:rPr>
                <w:noProof/>
                <w:webHidden/>
              </w:rPr>
              <w:fldChar w:fldCharType="separate"/>
            </w:r>
            <w:r w:rsidR="00200BC8">
              <w:rPr>
                <w:noProof/>
                <w:webHidden/>
              </w:rPr>
              <w:t>13</w:t>
            </w:r>
            <w:r w:rsidR="00E2075B">
              <w:rPr>
                <w:noProof/>
                <w:webHidden/>
              </w:rPr>
              <w:fldChar w:fldCharType="end"/>
            </w:r>
          </w:hyperlink>
        </w:p>
        <w:p w14:paraId="55E509DB" w14:textId="77777777" w:rsidR="00E2075B" w:rsidRDefault="0027640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74738849" w:history="1">
            <w:r w:rsidR="00E2075B" w:rsidRPr="00E31538">
              <w:rPr>
                <w:rStyle w:val="Hyperlink"/>
                <w:noProof/>
              </w:rPr>
              <w:t>9.1. Popis provedenih projekata u 2020. godini</w:t>
            </w:r>
            <w:r w:rsidR="00E2075B">
              <w:rPr>
                <w:noProof/>
                <w:webHidden/>
              </w:rPr>
              <w:tab/>
            </w:r>
            <w:r w:rsidR="00E2075B">
              <w:rPr>
                <w:noProof/>
                <w:webHidden/>
              </w:rPr>
              <w:fldChar w:fldCharType="begin"/>
            </w:r>
            <w:r w:rsidR="00E2075B">
              <w:rPr>
                <w:noProof/>
                <w:webHidden/>
              </w:rPr>
              <w:instrText xml:space="preserve"> PAGEREF _Toc74738849 \h </w:instrText>
            </w:r>
            <w:r w:rsidR="00E2075B">
              <w:rPr>
                <w:noProof/>
                <w:webHidden/>
              </w:rPr>
            </w:r>
            <w:r w:rsidR="00E2075B">
              <w:rPr>
                <w:noProof/>
                <w:webHidden/>
              </w:rPr>
              <w:fldChar w:fldCharType="separate"/>
            </w:r>
            <w:r w:rsidR="00200BC8">
              <w:rPr>
                <w:noProof/>
                <w:webHidden/>
              </w:rPr>
              <w:t>13</w:t>
            </w:r>
            <w:r w:rsidR="00E2075B">
              <w:rPr>
                <w:noProof/>
                <w:webHidden/>
              </w:rPr>
              <w:fldChar w:fldCharType="end"/>
            </w:r>
          </w:hyperlink>
        </w:p>
        <w:p w14:paraId="4EB7EB9A" w14:textId="77777777" w:rsidR="00CC221E" w:rsidRPr="008225B5" w:rsidRDefault="00CC221E" w:rsidP="00CC221E">
          <w:r w:rsidRPr="008225B5">
            <w:rPr>
              <w:b/>
              <w:bCs/>
            </w:rPr>
            <w:fldChar w:fldCharType="end"/>
          </w:r>
        </w:p>
      </w:sdtContent>
    </w:sdt>
    <w:p w14:paraId="00D65302" w14:textId="77777777" w:rsidR="00CC221E" w:rsidRPr="008225B5" w:rsidRDefault="00CC221E" w:rsidP="00CC221E">
      <w:pPr>
        <w:spacing w:after="200" w:line="276" w:lineRule="auto"/>
      </w:pPr>
      <w:r w:rsidRPr="008225B5">
        <w:br w:type="page"/>
      </w:r>
    </w:p>
    <w:p w14:paraId="393B21F5" w14:textId="77777777" w:rsidR="00CC221E" w:rsidRPr="008225B5" w:rsidRDefault="00CC221E" w:rsidP="00CC221E">
      <w:pPr>
        <w:pStyle w:val="Heading1"/>
        <w:ind w:left="502"/>
        <w:sectPr w:rsidR="00CC221E" w:rsidRPr="008225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2C92909E" w14:textId="77777777" w:rsidR="00CC221E" w:rsidRPr="00F948CA" w:rsidRDefault="00CC221E" w:rsidP="00CC221E">
      <w:pPr>
        <w:pStyle w:val="Heading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1" w:name="_Toc74738840"/>
      <w:r w:rsidRPr="00F948CA">
        <w:rPr>
          <w:rFonts w:ascii="Times New Roman" w:hAnsi="Times New Roman" w:cs="Times New Roman"/>
        </w:rPr>
        <w:lastRenderedPageBreak/>
        <w:t>Institucionalni okvir službene razvojne pomoći</w:t>
      </w:r>
      <w:bookmarkEnd w:id="1"/>
    </w:p>
    <w:p w14:paraId="0DC2CFD3" w14:textId="77777777" w:rsidR="00CC221E" w:rsidRPr="00F948CA" w:rsidRDefault="00CC221E" w:rsidP="00CC221E">
      <w:pPr>
        <w:jc w:val="both"/>
      </w:pPr>
    </w:p>
    <w:p w14:paraId="05AB7DA4" w14:textId="77777777" w:rsidR="00CC221E" w:rsidRPr="00F948CA" w:rsidRDefault="00CC221E" w:rsidP="00CC221E">
      <w:pPr>
        <w:spacing w:after="120"/>
        <w:jc w:val="both"/>
      </w:pPr>
      <w:r w:rsidRPr="00F948CA">
        <w:rPr>
          <w:b/>
        </w:rPr>
        <w:t>Sukladno Zakonu o razvojnoj suradnji i humanitarnoj pomoći inozemstvu</w:t>
      </w:r>
      <w:r w:rsidRPr="00F948CA">
        <w:t xml:space="preserve"> (Narodne novine, broj 146/08) (u daljnjem tekstu: Zakon) Ministarstvo vanjskih i europskih poslova kao nacionalno koordinacijsko </w:t>
      </w:r>
      <w:r w:rsidR="007C48AD">
        <w:t xml:space="preserve">tijelo </w:t>
      </w:r>
      <w:r w:rsidRPr="00F948CA">
        <w:t xml:space="preserve">izrađuje </w:t>
      </w:r>
      <w:r w:rsidR="007C48AD">
        <w:t xml:space="preserve">prijedlog godišnjeg </w:t>
      </w:r>
      <w:r w:rsidRPr="00F948CA">
        <w:t>Izvješć</w:t>
      </w:r>
      <w:r w:rsidR="007C48AD">
        <w:t>a</w:t>
      </w:r>
      <w:r w:rsidRPr="00F948CA">
        <w:t xml:space="preserve"> o provedbi službene razvojne pomoći</w:t>
      </w:r>
      <w:r w:rsidR="007C48AD">
        <w:t>. Na temelju članka 10. stavka 3. Zakona, Vlada Republike Hrvatske podnosi Izvješće o provedbi službene razvojne pomoći (dalje u tekstu: Izvješće) Hrvatskom saboru</w:t>
      </w:r>
      <w:r w:rsidRPr="00F948CA">
        <w:t xml:space="preserve">. </w:t>
      </w:r>
    </w:p>
    <w:p w14:paraId="1EFFA198" w14:textId="77777777" w:rsidR="00CC221E" w:rsidRPr="00F948CA" w:rsidRDefault="00CC221E" w:rsidP="00CC221E">
      <w:pPr>
        <w:spacing w:after="120"/>
        <w:jc w:val="both"/>
      </w:pPr>
      <w:r w:rsidRPr="00F948CA">
        <w:rPr>
          <w:b/>
        </w:rPr>
        <w:t>Nacionaln</w:t>
      </w:r>
      <w:r w:rsidR="00523D53">
        <w:rPr>
          <w:b/>
        </w:rPr>
        <w:t>a</w:t>
      </w:r>
      <w:r w:rsidRPr="00F948CA">
        <w:rPr>
          <w:b/>
        </w:rPr>
        <w:t xml:space="preserve"> strategij</w:t>
      </w:r>
      <w:r w:rsidR="00523D53">
        <w:rPr>
          <w:b/>
        </w:rPr>
        <w:t>a</w:t>
      </w:r>
      <w:r w:rsidRPr="00F948CA">
        <w:rPr>
          <w:b/>
        </w:rPr>
        <w:t xml:space="preserve"> razvojne suradnje za razdoblje od 2017. do 2021. godine</w:t>
      </w:r>
      <w:r w:rsidRPr="00F948CA">
        <w:t xml:space="preserve"> (Narodne novine, broj 107/17) (u daljnjem tekstu: Nacionalna strategija) određuje sektorske i zemljopisne prioritete </w:t>
      </w:r>
      <w:r w:rsidR="003E7123">
        <w:t xml:space="preserve">provedbe međunarodne razvojne suradnje, </w:t>
      </w:r>
      <w:r w:rsidRPr="00F948CA">
        <w:t xml:space="preserve">na osnovu strateških ciljeva vanjske politike, hrvatskih specifičnih prednosti u donatorskoj zajednici te obveza i preporuka proizašlih iz ključnih međunarodnih dokumenata. </w:t>
      </w:r>
    </w:p>
    <w:p w14:paraId="4FE713B8" w14:textId="77777777" w:rsidR="00CC221E" w:rsidRPr="00F948CA" w:rsidRDefault="00CC221E" w:rsidP="00CC221E">
      <w:pPr>
        <w:spacing w:after="120"/>
        <w:jc w:val="both"/>
        <w:rPr>
          <w:b/>
        </w:rPr>
      </w:pPr>
      <w:r w:rsidRPr="00F948CA">
        <w:t>Oblikovanje politik</w:t>
      </w:r>
      <w:r w:rsidR="003E7123">
        <w:t>a</w:t>
      </w:r>
      <w:r w:rsidRPr="00F948CA">
        <w:t xml:space="preserve"> međunarodne razvojne suradnje i humanitarne pomoći inozemstvu</w:t>
      </w:r>
      <w:r w:rsidR="007C48AD">
        <w:t xml:space="preserve"> te</w:t>
      </w:r>
      <w:r w:rsidRPr="00F948CA">
        <w:t xml:space="preserve"> koordinacija, provedba i izvještavanje </w:t>
      </w:r>
      <w:r w:rsidR="007C48AD">
        <w:t xml:space="preserve">na tom planu, uvršteni su u provedbene </w:t>
      </w:r>
      <w:r w:rsidRPr="00F948CA">
        <w:t>ciljev</w:t>
      </w:r>
      <w:r w:rsidR="007C48AD">
        <w:t>e</w:t>
      </w:r>
      <w:r w:rsidRPr="00F948CA">
        <w:t xml:space="preserve"> vanjske politike </w:t>
      </w:r>
      <w:r w:rsidR="007C48AD">
        <w:t xml:space="preserve">sukladno </w:t>
      </w:r>
      <w:r w:rsidRPr="00F948CA">
        <w:rPr>
          <w:b/>
        </w:rPr>
        <w:t>Strateško</w:t>
      </w:r>
      <w:r w:rsidR="007C48AD">
        <w:rPr>
          <w:b/>
        </w:rPr>
        <w:t>m</w:t>
      </w:r>
      <w:r w:rsidRPr="00F948CA">
        <w:rPr>
          <w:b/>
        </w:rPr>
        <w:t xml:space="preserve"> plan</w:t>
      </w:r>
      <w:r w:rsidR="007C48AD">
        <w:rPr>
          <w:b/>
        </w:rPr>
        <w:t>u</w:t>
      </w:r>
      <w:r w:rsidRPr="00F948CA">
        <w:rPr>
          <w:b/>
        </w:rPr>
        <w:t xml:space="preserve"> Ministarstva vanjskih i europskih poslova za razdoblje od 20</w:t>
      </w:r>
      <w:r w:rsidR="00F948CA" w:rsidRPr="00F948CA">
        <w:rPr>
          <w:b/>
        </w:rPr>
        <w:t>20</w:t>
      </w:r>
      <w:r w:rsidRPr="00F948CA">
        <w:rPr>
          <w:b/>
        </w:rPr>
        <w:t>. do 202</w:t>
      </w:r>
      <w:r w:rsidR="00F948CA" w:rsidRPr="00F948CA">
        <w:rPr>
          <w:b/>
        </w:rPr>
        <w:t>2</w:t>
      </w:r>
      <w:r w:rsidRPr="00F948CA">
        <w:rPr>
          <w:b/>
        </w:rPr>
        <w:t xml:space="preserve">. godine. </w:t>
      </w:r>
    </w:p>
    <w:p w14:paraId="6EEC48F7" w14:textId="77777777" w:rsidR="00CC221E" w:rsidRPr="00F948CA" w:rsidRDefault="00CC221E" w:rsidP="00CC221E">
      <w:pPr>
        <w:spacing w:after="120"/>
        <w:jc w:val="both"/>
      </w:pPr>
      <w:r w:rsidRPr="00F948CA">
        <w:rPr>
          <w:b/>
        </w:rPr>
        <w:t>Sektorski prioriteti</w:t>
      </w:r>
      <w:r w:rsidRPr="00F948CA">
        <w:t xml:space="preserve"> </w:t>
      </w:r>
      <w:r w:rsidR="007C48AD">
        <w:t xml:space="preserve">Nacionalne strategije u prvom redu usmjeravaju provedbu službene razvojne pomoći (dalje u tekstu: SRP) u područje jačanja </w:t>
      </w:r>
      <w:r w:rsidRPr="00F948CA">
        <w:t>dostojanstv</w:t>
      </w:r>
      <w:r w:rsidR="007C48AD">
        <w:t>a</w:t>
      </w:r>
      <w:r w:rsidRPr="00F948CA">
        <w:t xml:space="preserve"> svake ljudske osobe</w:t>
      </w:r>
      <w:r w:rsidR="007C48AD">
        <w:t>,</w:t>
      </w:r>
      <w:r w:rsidRPr="00F948CA">
        <w:t xml:space="preserve"> kroz </w:t>
      </w:r>
      <w:r w:rsidR="007C48AD">
        <w:t>aktivnosti u sektor</w:t>
      </w:r>
      <w:r w:rsidR="003E7123">
        <w:t>ima</w:t>
      </w:r>
      <w:r w:rsidR="007C48AD">
        <w:t xml:space="preserve"> </w:t>
      </w:r>
      <w:r w:rsidRPr="00F948CA">
        <w:t>obrazovanj</w:t>
      </w:r>
      <w:r w:rsidR="007C48AD">
        <w:t>a</w:t>
      </w:r>
      <w:r w:rsidRPr="00F948CA">
        <w:t>, zdravlj</w:t>
      </w:r>
      <w:r w:rsidR="007C48AD">
        <w:t>a</w:t>
      </w:r>
      <w:r w:rsidRPr="00F948CA">
        <w:t>, promocij</w:t>
      </w:r>
      <w:r w:rsidR="007C48AD">
        <w:t xml:space="preserve">e </w:t>
      </w:r>
      <w:r w:rsidRPr="00F948CA">
        <w:t>ljudskih prava, zaštit</w:t>
      </w:r>
      <w:r w:rsidR="003E7123">
        <w:t>e</w:t>
      </w:r>
      <w:r w:rsidRPr="00F948CA">
        <w:t xml:space="preserve"> i osnaživanje žena, djece i mladih</w:t>
      </w:r>
      <w:r w:rsidR="007C48AD">
        <w:t xml:space="preserve">. Drugi sektorski prioritet određuje područje </w:t>
      </w:r>
      <w:r w:rsidRPr="00F948CA">
        <w:t>mira, sigurnosti i razvoja te izgradnju demokratskih institucija</w:t>
      </w:r>
      <w:r w:rsidR="007C48AD">
        <w:t>,</w:t>
      </w:r>
      <w:r w:rsidRPr="00F948CA">
        <w:t xml:space="preserve"> </w:t>
      </w:r>
      <w:r w:rsidR="003E7123">
        <w:t xml:space="preserve">s naglaskom na </w:t>
      </w:r>
      <w:r w:rsidRPr="00F948CA">
        <w:t>dijeljenj</w:t>
      </w:r>
      <w:r w:rsidR="003E7123">
        <w:t>u</w:t>
      </w:r>
      <w:r w:rsidRPr="00F948CA">
        <w:t xml:space="preserve"> hrvatskih specifičnih iskustava u ratnoj i poslijeratnoj stabilizaciji</w:t>
      </w:r>
      <w:r w:rsidR="007C48AD">
        <w:t xml:space="preserve">. Treći sektorski prioritet usmjerava službenu razvojnu pomoć u aktivnosti potpore </w:t>
      </w:r>
      <w:r w:rsidRPr="00F948CA">
        <w:t xml:space="preserve">odgovornom gospodarskom razvoju. </w:t>
      </w:r>
    </w:p>
    <w:p w14:paraId="79B824BD" w14:textId="77777777" w:rsidR="00CC221E" w:rsidRPr="00F948CA" w:rsidRDefault="00CC221E" w:rsidP="00CC221E">
      <w:pPr>
        <w:spacing w:after="120"/>
        <w:jc w:val="both"/>
        <w:rPr>
          <w:rStyle w:val="longtext1"/>
          <w:strike/>
          <w:sz w:val="24"/>
        </w:rPr>
      </w:pPr>
      <w:r w:rsidRPr="00F948CA">
        <w:rPr>
          <w:b/>
        </w:rPr>
        <w:t>Zemljopisni prioriteti</w:t>
      </w:r>
      <w:r w:rsidRPr="00F948CA">
        <w:t xml:space="preserve"> uvažavaju vanjskopolitičku, sigurnosnu, razvojnu i gospodarsku dimenziju</w:t>
      </w:r>
      <w:r w:rsidR="007C48AD">
        <w:t xml:space="preserve"> </w:t>
      </w:r>
      <w:r w:rsidR="00523D53">
        <w:t>t</w:t>
      </w:r>
      <w:r w:rsidR="00F473AE">
        <w:t xml:space="preserve">e </w:t>
      </w:r>
      <w:r w:rsidRPr="00F948CA">
        <w:t>usmjerava</w:t>
      </w:r>
      <w:r w:rsidR="00F473AE">
        <w:t xml:space="preserve">ju aktivnosti </w:t>
      </w:r>
      <w:r w:rsidRPr="00F948CA">
        <w:t xml:space="preserve">na područje </w:t>
      </w:r>
      <w:r w:rsidR="00E85ABD">
        <w:t>j</w:t>
      </w:r>
      <w:r w:rsidRPr="00F948CA">
        <w:t>ugoistočne Europe</w:t>
      </w:r>
      <w:r w:rsidR="00F473AE">
        <w:t>, uz B</w:t>
      </w:r>
      <w:r w:rsidRPr="00F948CA">
        <w:t>osnu i Hercegovinu</w:t>
      </w:r>
      <w:r w:rsidR="00F473AE">
        <w:t xml:space="preserve"> kao programsku državu. Drugi zemljopisni prioritet usmjerava SRP</w:t>
      </w:r>
      <w:r w:rsidR="003E7123">
        <w:t xml:space="preserve"> prema </w:t>
      </w:r>
      <w:r w:rsidRPr="00F948CA">
        <w:t>europsko</w:t>
      </w:r>
      <w:r w:rsidR="003E7123">
        <w:t>m</w:t>
      </w:r>
      <w:r w:rsidRPr="00F948CA">
        <w:t xml:space="preserve"> Istočno</w:t>
      </w:r>
      <w:r w:rsidR="003E7123">
        <w:t>m</w:t>
      </w:r>
      <w:r w:rsidRPr="00F948CA">
        <w:t xml:space="preserve"> i Južno</w:t>
      </w:r>
      <w:r w:rsidR="003E7123">
        <w:t>m</w:t>
      </w:r>
      <w:r w:rsidRPr="00F948CA">
        <w:t xml:space="preserve"> susjedstv</w:t>
      </w:r>
      <w:r w:rsidR="003E7123">
        <w:t>u,</w:t>
      </w:r>
      <w:r w:rsidRPr="00F948CA">
        <w:t xml:space="preserve"> s Ukrajin</w:t>
      </w:r>
      <w:r w:rsidR="00F473AE">
        <w:t>om</w:t>
      </w:r>
      <w:r w:rsidRPr="00F948CA">
        <w:t xml:space="preserve"> i Jordan</w:t>
      </w:r>
      <w:r w:rsidR="00F473AE">
        <w:t xml:space="preserve">om kao programskim državama, dok treći zemljopisni prioritet obuhvaća </w:t>
      </w:r>
      <w:r w:rsidRPr="00F948CA">
        <w:t xml:space="preserve">države u razvoju </w:t>
      </w:r>
      <w:r w:rsidR="00F473AE">
        <w:t>prema popisu Odbora za razvojnu suradnju Organizacije za gospodarsku suradnju i razvoj (dalje u tekstu: OECD DAC)</w:t>
      </w:r>
      <w:r w:rsidRPr="00F948CA">
        <w:t xml:space="preserve">. </w:t>
      </w:r>
    </w:p>
    <w:p w14:paraId="28664DFD" w14:textId="77777777" w:rsidR="005C2424" w:rsidRPr="003E28A8" w:rsidRDefault="00F15AFD" w:rsidP="005C2424">
      <w:pPr>
        <w:spacing w:before="120"/>
        <w:jc w:val="both"/>
      </w:pPr>
      <w:r w:rsidRPr="00F15AFD">
        <w:rPr>
          <w:bCs/>
        </w:rPr>
        <w:t>S obzirom na decentralizirani model provedbe SRP Republike Hrvatske, sukladno kojem</w:t>
      </w:r>
      <w:r>
        <w:rPr>
          <w:b/>
          <w:bCs/>
        </w:rPr>
        <w:t xml:space="preserve"> </w:t>
      </w:r>
      <w:r w:rsidRPr="00F948CA">
        <w:rPr>
          <w:bCs/>
        </w:rPr>
        <w:t>svak</w:t>
      </w:r>
      <w:r>
        <w:rPr>
          <w:bCs/>
        </w:rPr>
        <w:t>i nositelj provedbe temeljem svojih nadležnosti</w:t>
      </w:r>
      <w:r w:rsidRPr="00F948CA">
        <w:rPr>
          <w:bCs/>
        </w:rPr>
        <w:t xml:space="preserve"> </w:t>
      </w:r>
      <w:r>
        <w:rPr>
          <w:bCs/>
        </w:rPr>
        <w:t>planira,</w:t>
      </w:r>
      <w:r w:rsidRPr="00F948CA">
        <w:rPr>
          <w:bCs/>
        </w:rPr>
        <w:t xml:space="preserve"> provodi </w:t>
      </w:r>
      <w:r>
        <w:rPr>
          <w:bCs/>
        </w:rPr>
        <w:t xml:space="preserve">i financira </w:t>
      </w:r>
      <w:r w:rsidRPr="00F948CA">
        <w:rPr>
          <w:bCs/>
        </w:rPr>
        <w:t>svoje projekte u skladu s Nacionalnom strategijom</w:t>
      </w:r>
      <w:r>
        <w:rPr>
          <w:bCs/>
        </w:rPr>
        <w:t xml:space="preserve">, u cilju jačanja koherentnosti provedbe i općenito ujednačene </w:t>
      </w:r>
      <w:r>
        <w:rPr>
          <w:bCs/>
        </w:rPr>
        <w:lastRenderedPageBreak/>
        <w:t xml:space="preserve">primjene standarda i smjernica razvojne pomoći, Vlada Republike Hrvatske je u </w:t>
      </w:r>
      <w:r w:rsidR="00CC221E" w:rsidRPr="00F948CA">
        <w:t xml:space="preserve">listopadu 2018. godine osnovala </w:t>
      </w:r>
      <w:r w:rsidR="00CC221E" w:rsidRPr="00F948CA">
        <w:rPr>
          <w:b/>
        </w:rPr>
        <w:t>Povjerenstvo za razvojnu suradnju i humanitarnu pomoć inozemstvu</w:t>
      </w:r>
      <w:r>
        <w:t xml:space="preserve">, kojim predsjeda </w:t>
      </w:r>
      <w:r w:rsidR="00CC221E" w:rsidRPr="00F948CA">
        <w:t>ministar vanjskih i europskih</w:t>
      </w:r>
      <w:r w:rsidR="00CC221E" w:rsidRPr="00F948CA">
        <w:rPr>
          <w:b/>
          <w:bCs/>
        </w:rPr>
        <w:t xml:space="preserve"> </w:t>
      </w:r>
      <w:r w:rsidR="00CC221E" w:rsidRPr="00F948CA">
        <w:rPr>
          <w:bCs/>
        </w:rPr>
        <w:t>poslova</w:t>
      </w:r>
      <w:r w:rsidR="005C2424">
        <w:rPr>
          <w:bCs/>
        </w:rPr>
        <w:t xml:space="preserve">. </w:t>
      </w:r>
      <w:r w:rsidR="00CC221E" w:rsidRPr="00F948CA">
        <w:rPr>
          <w:bCs/>
        </w:rPr>
        <w:t>Povjerenstvo okuplja predstavnike 33</w:t>
      </w:r>
      <w:r w:rsidR="00CC221E" w:rsidRPr="00F948CA">
        <w:t xml:space="preserve"> resorna tijela</w:t>
      </w:r>
      <w:r w:rsidR="00142E09">
        <w:t xml:space="preserve"> te</w:t>
      </w:r>
      <w:r w:rsidR="00CC221E" w:rsidRPr="00F948CA">
        <w:t xml:space="preserve"> </w:t>
      </w:r>
      <w:r w:rsidR="00142E09">
        <w:t xml:space="preserve">predstavnike </w:t>
      </w:r>
      <w:r w:rsidR="00CC221E" w:rsidRPr="00F948CA">
        <w:t xml:space="preserve">regionalnih i lokalnih vlasti, </w:t>
      </w:r>
      <w:r w:rsidR="00CC221E" w:rsidRPr="007671D2">
        <w:t>organizacija c</w:t>
      </w:r>
      <w:r w:rsidR="00CC221E" w:rsidRPr="007671D2">
        <w:rPr>
          <w:bCs/>
        </w:rPr>
        <w:t>ivilnog društva, privatnog sektora i akademske zajednice.</w:t>
      </w:r>
      <w:r w:rsidR="002506A6">
        <w:rPr>
          <w:bCs/>
        </w:rPr>
        <w:t xml:space="preserve"> </w:t>
      </w:r>
      <w:r w:rsidR="005C2424">
        <w:t xml:space="preserve">Ministarstvo vanjskih i europskih poslova zaduženo je i za podnošenje </w:t>
      </w:r>
      <w:r w:rsidR="00523D53">
        <w:t>godišnjih</w:t>
      </w:r>
      <w:r w:rsidR="005C2424">
        <w:t xml:space="preserve"> izvještaja o SRP </w:t>
      </w:r>
      <w:r w:rsidR="00AC2344">
        <w:t xml:space="preserve">Republike Hrvatske </w:t>
      </w:r>
      <w:r w:rsidR="00BF6F43">
        <w:t>OECD DAC</w:t>
      </w:r>
      <w:r w:rsidR="005C2424">
        <w:t xml:space="preserve"> kao </w:t>
      </w:r>
      <w:r w:rsidR="005C2424" w:rsidRPr="00B22554">
        <w:t>referentno</w:t>
      </w:r>
      <w:r w:rsidR="005C2424">
        <w:t xml:space="preserve">j </w:t>
      </w:r>
      <w:r w:rsidR="005C2424" w:rsidRPr="003E28A8">
        <w:t xml:space="preserve">međunarodnoj organizaciji za metodologiju i statistiku razvojne suradnje. </w:t>
      </w:r>
    </w:p>
    <w:p w14:paraId="77CAA8F7" w14:textId="77777777" w:rsidR="00CC221E" w:rsidRDefault="00CC221E" w:rsidP="00CC221E">
      <w:pPr>
        <w:spacing w:before="120"/>
        <w:jc w:val="both"/>
      </w:pPr>
      <w:r w:rsidRPr="003E28A8">
        <w:rPr>
          <w:rStyle w:val="longtext1"/>
          <w:sz w:val="24"/>
        </w:rPr>
        <w:t xml:space="preserve">Djelovanje Republike Hrvatske </w:t>
      </w:r>
      <w:r w:rsidR="005C2424" w:rsidRPr="003E28A8">
        <w:rPr>
          <w:rStyle w:val="longtext1"/>
          <w:sz w:val="24"/>
        </w:rPr>
        <w:t>na</w:t>
      </w:r>
      <w:r w:rsidRPr="003E28A8">
        <w:rPr>
          <w:rStyle w:val="longtext1"/>
          <w:sz w:val="24"/>
        </w:rPr>
        <w:t xml:space="preserve"> području međunarodne razvojne suradnje i humanitarne pomoći odražava </w:t>
      </w:r>
      <w:r w:rsidRPr="003E28A8">
        <w:rPr>
          <w:rStyle w:val="longtext1"/>
          <w:b/>
          <w:sz w:val="24"/>
        </w:rPr>
        <w:t>politike Europske unije</w:t>
      </w:r>
      <w:r w:rsidRPr="003E28A8">
        <w:rPr>
          <w:rStyle w:val="longtext1"/>
          <w:sz w:val="24"/>
        </w:rPr>
        <w:t xml:space="preserve"> koja razvojnoj</w:t>
      </w:r>
      <w:r w:rsidRPr="00F948CA">
        <w:rPr>
          <w:rStyle w:val="longtext1"/>
          <w:sz w:val="24"/>
        </w:rPr>
        <w:t xml:space="preserve"> suradnji i humanitarnoj pomoći pridaje istaknuto mjesto u svom vanjskom djelovanju. </w:t>
      </w:r>
      <w:r w:rsidRPr="00F948CA">
        <w:t>Tradicionalni koncept međudržavne službene razvojne pomoći (jednosmjeran odnos dviju zemalja u kojem postoje davatelj i primatelj financijske pomoći) sve se više prilagođava novim okolnostima u kojima se prednost daje odnosima dvaju partnera, a isključivo financijsku pomoć zamjenjuju često djelotvorniji tehnički i dru</w:t>
      </w:r>
      <w:r w:rsidR="00F6641F">
        <w:t>gi nefinancijski oblici podrške</w:t>
      </w:r>
      <w:r w:rsidRPr="00F948CA">
        <w:t xml:space="preserve"> kojima se potiče razmjena znanja i iskustava. </w:t>
      </w:r>
    </w:p>
    <w:p w14:paraId="34C10591" w14:textId="77777777" w:rsidR="00B22554" w:rsidRPr="00F948CA" w:rsidRDefault="00B22554" w:rsidP="00CC221E">
      <w:pPr>
        <w:spacing w:before="120"/>
        <w:jc w:val="both"/>
        <w:rPr>
          <w:rFonts w:eastAsiaTheme="minorHAnsi"/>
        </w:rPr>
      </w:pPr>
    </w:p>
    <w:p w14:paraId="6BFF4CA3" w14:textId="77777777" w:rsidR="005E39E1" w:rsidRDefault="005E39E1" w:rsidP="00357A5E">
      <w:pPr>
        <w:pStyle w:val="Heading1"/>
        <w:numPr>
          <w:ilvl w:val="0"/>
          <w:numId w:val="2"/>
        </w:numPr>
        <w:spacing w:after="120"/>
        <w:ind w:left="357" w:hanging="357"/>
        <w:rPr>
          <w:rStyle w:val="longtext1"/>
          <w:rFonts w:ascii="Times New Roman" w:hAnsi="Times New Roman" w:cs="Times New Roman"/>
          <w:sz w:val="32"/>
        </w:rPr>
      </w:pPr>
      <w:bookmarkStart w:id="2" w:name="_Toc74738841"/>
      <w:r w:rsidRPr="005E39E1">
        <w:rPr>
          <w:rStyle w:val="longtext1"/>
          <w:rFonts w:ascii="Times New Roman" w:hAnsi="Times New Roman" w:cs="Times New Roman"/>
          <w:sz w:val="32"/>
        </w:rPr>
        <w:t>Kontekst</w:t>
      </w:r>
      <w:bookmarkEnd w:id="2"/>
    </w:p>
    <w:p w14:paraId="3C2BF590" w14:textId="77777777" w:rsidR="008150D4" w:rsidRPr="00450014" w:rsidRDefault="008150D4" w:rsidP="008150D4">
      <w:pPr>
        <w:spacing w:after="120"/>
        <w:jc w:val="both"/>
      </w:pPr>
      <w:r w:rsidRPr="00450014">
        <w:t xml:space="preserve">Protekla 2020. godina je za Republiku Hrvatsku započela prvim predsjedanjem Vijećem Europske unije. </w:t>
      </w:r>
      <w:r w:rsidR="00142E09">
        <w:t>Na</w:t>
      </w:r>
      <w:r w:rsidRPr="00450014">
        <w:t xml:space="preserve"> području politike međunarodne razvojne suradnje i humanitarne pomoći Republika Hrvatska je predsjedala s ukupno šest radnih skupina Vijeća EU. </w:t>
      </w:r>
    </w:p>
    <w:p w14:paraId="7D7861F6" w14:textId="77777777" w:rsidR="005C2424" w:rsidRDefault="005E39E1" w:rsidP="00142E09">
      <w:pPr>
        <w:spacing w:after="120"/>
        <w:jc w:val="both"/>
      </w:pPr>
      <w:r w:rsidRPr="005E39E1">
        <w:t xml:space="preserve">Pandemija bolesti COVID-19 u 2020. godini u bitnom je </w:t>
      </w:r>
      <w:r>
        <w:t xml:space="preserve">odredila djelovanje međunarodnih razvojnih </w:t>
      </w:r>
      <w:r w:rsidR="005C2424">
        <w:t>dionika</w:t>
      </w:r>
      <w:r>
        <w:t xml:space="preserve"> </w:t>
      </w:r>
      <w:r w:rsidRPr="005E39E1">
        <w:t>i usmjerila njihove razvojno-humanitarne aktivnosti u mobilizaciju znanja, iskustava i financijskih sredstava u pružanje pomoći državama u suzbijanju višeslojnih posljedica pandemije bolesti COVID-19.</w:t>
      </w:r>
      <w:r>
        <w:t xml:space="preserve"> </w:t>
      </w:r>
      <w:r w:rsidRPr="005E39E1">
        <w:t>Posljedice su osobito vidljive u zdravstvenim sustavima i gospodarskim kretanjima</w:t>
      </w:r>
      <w:r w:rsidR="00142E09">
        <w:t>, a njima su bile p</w:t>
      </w:r>
      <w:r w:rsidRPr="005E39E1">
        <w:t>ogođene najrazvijenije države svijeta jednako kao i one najnerazvijenije.</w:t>
      </w:r>
      <w:r w:rsidR="00142E09">
        <w:t xml:space="preserve"> </w:t>
      </w:r>
      <w:r w:rsidR="008150D4" w:rsidRPr="008150D4">
        <w:t>U t</w:t>
      </w:r>
      <w:r w:rsidR="00142E09">
        <w:t>akvom kontekstu, p</w:t>
      </w:r>
      <w:r w:rsidR="008150D4" w:rsidRPr="008150D4">
        <w:t xml:space="preserve">rioritet Europske unije bio </w:t>
      </w:r>
      <w:r w:rsidR="00142E09">
        <w:t xml:space="preserve">je </w:t>
      </w:r>
      <w:r w:rsidR="008150D4" w:rsidRPr="008150D4">
        <w:t>usmjeren na humanitarno djelovanje prema najugroženijima, kao iskaz solidarnosti s partnerima osobito u vidu dostave nužn</w:t>
      </w:r>
      <w:r w:rsidR="005C2424">
        <w:t>e zaštitne medicinske opreme, dok se u</w:t>
      </w:r>
      <w:r w:rsidR="008150D4" w:rsidRPr="008150D4">
        <w:t xml:space="preserve">sporedno djelovalo </w:t>
      </w:r>
      <w:r w:rsidR="005C2424">
        <w:t>n</w:t>
      </w:r>
      <w:r w:rsidR="008150D4" w:rsidRPr="008150D4">
        <w:t>a osmišljavanju dugoročni</w:t>
      </w:r>
      <w:r w:rsidR="005C2424">
        <w:t>ji</w:t>
      </w:r>
      <w:r w:rsidR="008150D4" w:rsidRPr="008150D4">
        <w:t xml:space="preserve">h </w:t>
      </w:r>
      <w:r w:rsidR="005C2424">
        <w:t xml:space="preserve">društveno-gospodarskih programa namijenjenih jačanju otpornosti na vanjske uzročnike nestabilnosti. </w:t>
      </w:r>
      <w:r w:rsidR="008150D4" w:rsidRPr="008150D4">
        <w:t xml:space="preserve">Istovremeno, Europska unija kreirala je inicijativu pod nazivom „Tim Europa“ koja će dugoročno omogućiti državama članicama da </w:t>
      </w:r>
      <w:r w:rsidR="005C2424">
        <w:t xml:space="preserve">kroz koordinirani pristup razvijaju </w:t>
      </w:r>
      <w:r w:rsidR="008150D4" w:rsidRPr="008150D4">
        <w:t>partnerstva s državama širom svijeta i putem te platforme stvaraju uvjete za osnaživanje i izgradnju otpornosti društava na gospodarske i druge izazove.</w:t>
      </w:r>
    </w:p>
    <w:p w14:paraId="0E53139B" w14:textId="77777777" w:rsidR="005E39E1" w:rsidRPr="005E39E1" w:rsidRDefault="005C2424" w:rsidP="00D768DC">
      <w:pPr>
        <w:spacing w:before="120"/>
        <w:jc w:val="both"/>
      </w:pPr>
      <w:r w:rsidRPr="008150D4">
        <w:t xml:space="preserve">U okolnostima opisanih izazova, Republika Hrvatska iskazala je </w:t>
      </w:r>
      <w:r w:rsidR="00142E09">
        <w:t xml:space="preserve">u prvom redu </w:t>
      </w:r>
      <w:r w:rsidRPr="008150D4">
        <w:t>spremnost nužnog humanitarnog djelovanja i solidarnosti u pomoći drugim zemljama.</w:t>
      </w:r>
      <w:r>
        <w:t xml:space="preserve"> </w:t>
      </w:r>
      <w:r w:rsidR="00523D53">
        <w:t>R</w:t>
      </w:r>
      <w:r w:rsidR="00D768DC">
        <w:t>epublik</w:t>
      </w:r>
      <w:r w:rsidR="00523D53">
        <w:t>a</w:t>
      </w:r>
      <w:r w:rsidR="00D768DC">
        <w:t xml:space="preserve"> Hrvatsk</w:t>
      </w:r>
      <w:r w:rsidR="00523D53">
        <w:t>a osigurala je kontinuitet djelovanja</w:t>
      </w:r>
      <w:r w:rsidR="00D768DC">
        <w:t xml:space="preserve"> </w:t>
      </w:r>
      <w:r w:rsidR="005E39E1" w:rsidRPr="005E39E1">
        <w:t xml:space="preserve">na </w:t>
      </w:r>
      <w:r w:rsidR="00D768DC">
        <w:t xml:space="preserve">području </w:t>
      </w:r>
      <w:r w:rsidR="005E39E1" w:rsidRPr="005E39E1">
        <w:t>međunarodne razvojne</w:t>
      </w:r>
      <w:r w:rsidR="00523D53">
        <w:t xml:space="preserve"> kroz projekte bilateralne i multilateralne razvojne pomoći koje su provela nadležna</w:t>
      </w:r>
      <w:r w:rsidR="005E39E1" w:rsidRPr="005E39E1">
        <w:t xml:space="preserve"> </w:t>
      </w:r>
      <w:r w:rsidR="00523D53">
        <w:t>resorna tijela</w:t>
      </w:r>
      <w:r w:rsidR="005E39E1" w:rsidRPr="005E39E1">
        <w:t xml:space="preserve">. </w:t>
      </w:r>
    </w:p>
    <w:p w14:paraId="2423D0E4" w14:textId="77777777" w:rsidR="005E39E1" w:rsidRDefault="005E39E1" w:rsidP="00357A5E">
      <w:pPr>
        <w:pStyle w:val="Heading1"/>
        <w:numPr>
          <w:ilvl w:val="0"/>
          <w:numId w:val="2"/>
        </w:numPr>
        <w:spacing w:after="120"/>
        <w:ind w:left="357" w:hanging="357"/>
        <w:rPr>
          <w:rStyle w:val="longtext1"/>
          <w:rFonts w:ascii="Times New Roman" w:hAnsi="Times New Roman" w:cs="Times New Roman"/>
          <w:sz w:val="32"/>
        </w:rPr>
      </w:pPr>
      <w:bookmarkStart w:id="3" w:name="_Toc73975017"/>
      <w:bookmarkStart w:id="4" w:name="_Toc74738842"/>
      <w:r w:rsidRPr="005E39E1">
        <w:rPr>
          <w:rStyle w:val="longtext1"/>
          <w:rFonts w:ascii="Times New Roman" w:hAnsi="Times New Roman" w:cs="Times New Roman"/>
          <w:sz w:val="32"/>
        </w:rPr>
        <w:t xml:space="preserve">Dionici </w:t>
      </w:r>
      <w:r w:rsidR="00920908">
        <w:rPr>
          <w:rStyle w:val="longtext1"/>
          <w:rFonts w:ascii="Times New Roman" w:hAnsi="Times New Roman" w:cs="Times New Roman"/>
          <w:sz w:val="32"/>
        </w:rPr>
        <w:t xml:space="preserve">u </w:t>
      </w:r>
      <w:r w:rsidRPr="005E39E1">
        <w:rPr>
          <w:rStyle w:val="longtext1"/>
          <w:rFonts w:ascii="Times New Roman" w:hAnsi="Times New Roman" w:cs="Times New Roman"/>
          <w:sz w:val="32"/>
        </w:rPr>
        <w:t>provedb</w:t>
      </w:r>
      <w:bookmarkEnd w:id="3"/>
      <w:r w:rsidR="00920908">
        <w:rPr>
          <w:rStyle w:val="longtext1"/>
          <w:rFonts w:ascii="Times New Roman" w:hAnsi="Times New Roman" w:cs="Times New Roman"/>
          <w:sz w:val="32"/>
        </w:rPr>
        <w:t>i</w:t>
      </w:r>
      <w:bookmarkEnd w:id="4"/>
    </w:p>
    <w:p w14:paraId="0D117B6B" w14:textId="77777777" w:rsidR="001D4A15" w:rsidRDefault="00D768DC" w:rsidP="00566AC8">
      <w:pPr>
        <w:spacing w:before="120"/>
        <w:jc w:val="both"/>
      </w:pPr>
      <w:r w:rsidRPr="00D60439">
        <w:t xml:space="preserve">Tijekom 2020. godine </w:t>
      </w:r>
      <w:r w:rsidR="001D4A15" w:rsidRPr="00D60439">
        <w:t xml:space="preserve">ukupno je dvadeset </w:t>
      </w:r>
      <w:r w:rsidR="00D84B1B">
        <w:t xml:space="preserve">i jedan </w:t>
      </w:r>
      <w:r w:rsidR="001D4A15" w:rsidRPr="00D60439">
        <w:t xml:space="preserve">dionik </w:t>
      </w:r>
      <w:r w:rsidR="003366B0">
        <w:t xml:space="preserve">proveo </w:t>
      </w:r>
      <w:r w:rsidR="001D4A15" w:rsidRPr="00D60439">
        <w:t>razvojne i</w:t>
      </w:r>
      <w:r w:rsidR="001D4A15" w:rsidRPr="005E39E1">
        <w:t xml:space="preserve"> humanitarne projekte</w:t>
      </w:r>
      <w:r w:rsidR="00F6641F">
        <w:t>, odnosno</w:t>
      </w:r>
      <w:r w:rsidR="003366B0">
        <w:t xml:space="preserve"> uplaćivao redovite godišnje članarine međunarodnim organizacijama i drugim multilateralnim institucijama</w:t>
      </w:r>
      <w:r w:rsidR="008E0F9F">
        <w:t xml:space="preserve"> slijedom članstva u istima, koje članarine se evidentiraju kao razvojna pomoć u post</w:t>
      </w:r>
      <w:r w:rsidR="00E37147">
        <w:t>otku</w:t>
      </w:r>
      <w:r w:rsidR="008E0F9F">
        <w:t xml:space="preserve"> kojeg za svaku pojedinu organizaciju propisuje </w:t>
      </w:r>
      <w:r w:rsidR="00E37147">
        <w:t>OECD</w:t>
      </w:r>
      <w:r w:rsidR="00523D53">
        <w:t xml:space="preserve"> DAC</w:t>
      </w:r>
      <w:r w:rsidR="001D4A15" w:rsidRPr="005E39E1">
        <w:t>.</w:t>
      </w:r>
      <w:r w:rsidR="001D4A15">
        <w:t xml:space="preserve"> </w:t>
      </w:r>
      <w:r w:rsidR="005E39E1" w:rsidRPr="005E39E1">
        <w:t xml:space="preserve">U </w:t>
      </w:r>
      <w:r>
        <w:t xml:space="preserve">provedbi </w:t>
      </w:r>
      <w:r w:rsidRPr="004C1791">
        <w:t>projekata</w:t>
      </w:r>
      <w:r w:rsidR="005E39E1" w:rsidRPr="004C1791">
        <w:t xml:space="preserve"> sudjeluj</w:t>
      </w:r>
      <w:r w:rsidR="00B84AAA" w:rsidRPr="004C1791">
        <w:t>u</w:t>
      </w:r>
      <w:r w:rsidR="005E39E1" w:rsidRPr="004C1791">
        <w:t xml:space="preserve"> </w:t>
      </w:r>
      <w:r w:rsidR="008E0F9F">
        <w:t>središnja tijela državne uprave</w:t>
      </w:r>
      <w:r w:rsidR="00F541C4">
        <w:t xml:space="preserve">, jedinice </w:t>
      </w:r>
      <w:bookmarkStart w:id="5" w:name="_Hlk74822939"/>
      <w:r w:rsidR="00F541C4">
        <w:t xml:space="preserve">područne (regionalne) samouprave, </w:t>
      </w:r>
      <w:bookmarkEnd w:id="5"/>
      <w:r w:rsidR="00B84AAA" w:rsidRPr="00B84AAA">
        <w:t>financijske institucije</w:t>
      </w:r>
      <w:r w:rsidR="00B84AAA">
        <w:t xml:space="preserve"> </w:t>
      </w:r>
      <w:r w:rsidR="00F541C4">
        <w:t>i drugi institucionalni dionici. Riječ je o M</w:t>
      </w:r>
      <w:r w:rsidR="005E39E1" w:rsidRPr="005E39E1">
        <w:t>inistarstv</w:t>
      </w:r>
      <w:r w:rsidR="00F541C4">
        <w:t>u</w:t>
      </w:r>
      <w:r w:rsidR="005E39E1" w:rsidRPr="005E39E1">
        <w:t xml:space="preserve"> vanjskih i europskih poslova, Ministarstv</w:t>
      </w:r>
      <w:r w:rsidR="00F541C4">
        <w:t>u</w:t>
      </w:r>
      <w:r w:rsidR="005E39E1" w:rsidRPr="005E39E1">
        <w:t xml:space="preserve"> financija, Ministarstv</w:t>
      </w:r>
      <w:r w:rsidR="00F541C4">
        <w:t>u</w:t>
      </w:r>
      <w:r w:rsidR="005E39E1" w:rsidRPr="005E39E1">
        <w:t xml:space="preserve"> gospodarstva i održivog razvoja, Ministarstv</w:t>
      </w:r>
      <w:r w:rsidR="00F541C4">
        <w:t>u</w:t>
      </w:r>
      <w:r w:rsidR="005E39E1" w:rsidRPr="005E39E1">
        <w:t xml:space="preserve"> hrvatskih branitelja, Ministarstv</w:t>
      </w:r>
      <w:r w:rsidR="00F541C4">
        <w:t>u</w:t>
      </w:r>
      <w:r w:rsidR="005E39E1" w:rsidRPr="005E39E1">
        <w:t xml:space="preserve"> kulture i medija, Ministarstv</w:t>
      </w:r>
      <w:r w:rsidR="00F541C4">
        <w:t>u</w:t>
      </w:r>
      <w:r w:rsidR="005E39E1" w:rsidRPr="005E39E1">
        <w:t xml:space="preserve"> poljoprivrede, Ministarstv</w:t>
      </w:r>
      <w:r w:rsidR="00F541C4">
        <w:t>u</w:t>
      </w:r>
      <w:r w:rsidR="005E39E1" w:rsidRPr="005E39E1">
        <w:t xml:space="preserve"> turizma i sporta, Ministarstv</w:t>
      </w:r>
      <w:r w:rsidR="00F541C4">
        <w:t>u</w:t>
      </w:r>
      <w:r w:rsidR="005E39E1" w:rsidRPr="005E39E1">
        <w:t xml:space="preserve"> unutarnjih p</w:t>
      </w:r>
      <w:r>
        <w:t>oslova, Ministarstv</w:t>
      </w:r>
      <w:r w:rsidR="00F541C4">
        <w:t>u</w:t>
      </w:r>
      <w:r>
        <w:t xml:space="preserve"> zdravstva te</w:t>
      </w:r>
      <w:r w:rsidR="005E39E1" w:rsidRPr="005E39E1">
        <w:t xml:space="preserve"> Ministarstv</w:t>
      </w:r>
      <w:r w:rsidR="00F541C4">
        <w:t>u</w:t>
      </w:r>
      <w:r w:rsidR="005E39E1" w:rsidRPr="005E39E1">
        <w:t xml:space="preserve"> znanosti i obrazovanja</w:t>
      </w:r>
      <w:r w:rsidR="001D4A15">
        <w:t xml:space="preserve">, </w:t>
      </w:r>
      <w:r w:rsidR="005E39E1" w:rsidRPr="005E39E1">
        <w:t>Središnj</w:t>
      </w:r>
      <w:r w:rsidR="00F541C4">
        <w:t>em</w:t>
      </w:r>
      <w:r w:rsidR="005E39E1" w:rsidRPr="005E39E1">
        <w:t xml:space="preserve"> državn</w:t>
      </w:r>
      <w:r w:rsidR="00F541C4">
        <w:t>om</w:t>
      </w:r>
      <w:r w:rsidR="005E39E1" w:rsidRPr="005E39E1">
        <w:t xml:space="preserve"> ured</w:t>
      </w:r>
      <w:r w:rsidR="00F541C4">
        <w:t>u</w:t>
      </w:r>
      <w:r w:rsidR="005E39E1" w:rsidRPr="005E39E1">
        <w:t xml:space="preserve"> za Hrvate izvan Republike Hrvatske, Središnj</w:t>
      </w:r>
      <w:r w:rsidR="00F541C4">
        <w:t>em</w:t>
      </w:r>
      <w:r w:rsidR="005E39E1" w:rsidRPr="005E39E1">
        <w:t xml:space="preserve"> državn</w:t>
      </w:r>
      <w:r w:rsidR="00F541C4">
        <w:t>om</w:t>
      </w:r>
      <w:r w:rsidR="005E39E1" w:rsidRPr="005E39E1">
        <w:t xml:space="preserve"> ured</w:t>
      </w:r>
      <w:r w:rsidR="00F541C4">
        <w:t>u</w:t>
      </w:r>
      <w:r w:rsidR="005E39E1" w:rsidRPr="005E39E1">
        <w:t xml:space="preserve"> za obnovu i stambeno zbrinjavanje</w:t>
      </w:r>
      <w:r w:rsidR="001D4A15">
        <w:t>,</w:t>
      </w:r>
      <w:r w:rsidR="001D4A15" w:rsidRPr="001D4A15">
        <w:t xml:space="preserve"> Nacionaln</w:t>
      </w:r>
      <w:r w:rsidR="00F541C4">
        <w:t>oj</w:t>
      </w:r>
      <w:r w:rsidR="001D4A15" w:rsidRPr="001D4A15">
        <w:t xml:space="preserve"> zakl</w:t>
      </w:r>
      <w:r w:rsidR="00566AC8">
        <w:t>ad</w:t>
      </w:r>
      <w:r w:rsidR="00F541C4">
        <w:t>i</w:t>
      </w:r>
      <w:r w:rsidR="00566AC8">
        <w:t xml:space="preserve"> za razvoj civilnog društva, </w:t>
      </w:r>
      <w:r w:rsidR="00566AC8" w:rsidRPr="00566AC8">
        <w:t>Državn</w:t>
      </w:r>
      <w:r w:rsidR="00F541C4">
        <w:t>om</w:t>
      </w:r>
      <w:r w:rsidR="00566AC8" w:rsidRPr="00566AC8">
        <w:t xml:space="preserve"> hidrometeorološk</w:t>
      </w:r>
      <w:r w:rsidR="00F541C4">
        <w:t>om</w:t>
      </w:r>
      <w:r w:rsidR="00566AC8" w:rsidRPr="00566AC8">
        <w:t xml:space="preserve"> zavod</w:t>
      </w:r>
      <w:r w:rsidR="00F541C4">
        <w:t>u</w:t>
      </w:r>
      <w:r w:rsidR="00566AC8">
        <w:t xml:space="preserve">, </w:t>
      </w:r>
      <w:r w:rsidR="00566AC8" w:rsidRPr="00566AC8">
        <w:t>Hrvatsk</w:t>
      </w:r>
      <w:r w:rsidR="00F541C4">
        <w:t>oj</w:t>
      </w:r>
      <w:r w:rsidR="00566AC8" w:rsidRPr="00566AC8">
        <w:t xml:space="preserve"> narodn</w:t>
      </w:r>
      <w:r w:rsidR="00F541C4">
        <w:t>oj</w:t>
      </w:r>
      <w:r w:rsidR="00566AC8" w:rsidRPr="00566AC8">
        <w:t xml:space="preserve"> ban</w:t>
      </w:r>
      <w:r w:rsidR="00F541C4">
        <w:t>ci</w:t>
      </w:r>
      <w:r w:rsidR="00566AC8" w:rsidRPr="00566AC8">
        <w:t>, Hrvatsk</w:t>
      </w:r>
      <w:r w:rsidR="00F541C4">
        <w:t>oj</w:t>
      </w:r>
      <w:r w:rsidR="00566AC8" w:rsidRPr="00566AC8">
        <w:t xml:space="preserve"> ban</w:t>
      </w:r>
      <w:r w:rsidR="00F541C4">
        <w:t>ci</w:t>
      </w:r>
      <w:r w:rsidR="00566AC8" w:rsidRPr="00566AC8">
        <w:t xml:space="preserve"> za obnovu i razvitak</w:t>
      </w:r>
      <w:r w:rsidR="00F541C4">
        <w:t xml:space="preserve"> te</w:t>
      </w:r>
      <w:r w:rsidR="00566AC8">
        <w:t xml:space="preserve"> Dubrovačko-neretvansk</w:t>
      </w:r>
      <w:r w:rsidR="00F541C4">
        <w:t>oj,</w:t>
      </w:r>
      <w:r w:rsidR="00566AC8">
        <w:t xml:space="preserve"> Osječko-baranjsk</w:t>
      </w:r>
      <w:r w:rsidR="00F541C4">
        <w:t>oj</w:t>
      </w:r>
      <w:r w:rsidR="00566AC8">
        <w:t>, Istarsk</w:t>
      </w:r>
      <w:r w:rsidR="00F541C4">
        <w:t>oj</w:t>
      </w:r>
      <w:r w:rsidR="00D84B1B">
        <w:t>,</w:t>
      </w:r>
      <w:r w:rsidR="00F541C4">
        <w:t xml:space="preserve"> </w:t>
      </w:r>
      <w:r w:rsidR="00566AC8">
        <w:t>Zagrebačk</w:t>
      </w:r>
      <w:r w:rsidR="00F541C4">
        <w:t>oj</w:t>
      </w:r>
      <w:r w:rsidR="00566AC8">
        <w:t xml:space="preserve"> </w:t>
      </w:r>
      <w:r w:rsidR="00D84B1B">
        <w:t xml:space="preserve">i Zadarskoj </w:t>
      </w:r>
      <w:r w:rsidR="00566AC8">
        <w:t>županij</w:t>
      </w:r>
      <w:r w:rsidR="00F541C4">
        <w:t>i</w:t>
      </w:r>
      <w:r w:rsidR="00566AC8">
        <w:t>.</w:t>
      </w:r>
    </w:p>
    <w:p w14:paraId="72B8815F" w14:textId="77777777" w:rsidR="00CC221E" w:rsidRPr="00F948CA" w:rsidRDefault="00B84AAA" w:rsidP="00357A5E">
      <w:pPr>
        <w:pStyle w:val="Heading1"/>
        <w:numPr>
          <w:ilvl w:val="0"/>
          <w:numId w:val="2"/>
        </w:numPr>
        <w:spacing w:after="120"/>
        <w:ind w:left="357" w:hanging="357"/>
        <w:rPr>
          <w:rStyle w:val="longtext1"/>
          <w:rFonts w:ascii="Times New Roman" w:hAnsi="Times New Roman" w:cs="Times New Roman"/>
          <w:sz w:val="32"/>
        </w:rPr>
      </w:pPr>
      <w:bookmarkStart w:id="6" w:name="_Toc74738843"/>
      <w:r w:rsidRPr="00B84AAA">
        <w:rPr>
          <w:rStyle w:val="longtext1"/>
          <w:rFonts w:ascii="Times New Roman" w:hAnsi="Times New Roman" w:cs="Times New Roman"/>
          <w:sz w:val="32"/>
        </w:rPr>
        <w:t>Struktura službene razvojne pomoći Republike Hrvatske u 2020. godini</w:t>
      </w:r>
      <w:bookmarkEnd w:id="6"/>
    </w:p>
    <w:p w14:paraId="2B4820FC" w14:textId="77777777" w:rsidR="00307B7A" w:rsidRDefault="00307B7A" w:rsidP="00D53A0C">
      <w:pPr>
        <w:spacing w:after="120"/>
        <w:jc w:val="both"/>
      </w:pPr>
      <w:r w:rsidRPr="00307B7A">
        <w:t>Europska unija se zajedno sa svojim držav</w:t>
      </w:r>
      <w:r w:rsidR="00142E09">
        <w:t>a</w:t>
      </w:r>
      <w:r w:rsidRPr="00307B7A">
        <w:t>ma članicama obvezala na ostvarivanje kolektivnog cilja izdvajanja za SRP u iznosu od 0,7% bruto nacionalnog dohotka (u daljnjem tekstu BND) do 2030. godine. Države članice koje su EU pristupile nakon 20</w:t>
      </w:r>
      <w:r w:rsidR="00F541C4">
        <w:t>0</w:t>
      </w:r>
      <w:r w:rsidR="00523D53">
        <w:t>4</w:t>
      </w:r>
      <w:r w:rsidRPr="00307B7A">
        <w:t xml:space="preserve">. godine, uključujući Republiku Hrvatsku, </w:t>
      </w:r>
      <w:r w:rsidR="00F541C4">
        <w:t xml:space="preserve">obvezale su se na </w:t>
      </w:r>
      <w:r w:rsidR="0099640C">
        <w:t xml:space="preserve">podizanje </w:t>
      </w:r>
      <w:r w:rsidRPr="00307B7A">
        <w:t>izdvajanj</w:t>
      </w:r>
      <w:r w:rsidR="00F541C4">
        <w:t>a</w:t>
      </w:r>
      <w:r w:rsidRPr="00307B7A">
        <w:t xml:space="preserve"> za SRP </w:t>
      </w:r>
      <w:r w:rsidR="00F541C4">
        <w:t xml:space="preserve">u zadanom razdoblju </w:t>
      </w:r>
      <w:r w:rsidRPr="00307B7A">
        <w:t xml:space="preserve">od 0,33% BND. </w:t>
      </w:r>
    </w:p>
    <w:p w14:paraId="0926269D" w14:textId="77777777" w:rsidR="00D53A0C" w:rsidRPr="00D53A0C" w:rsidRDefault="00307B7A" w:rsidP="00D53A0C">
      <w:pPr>
        <w:spacing w:after="120"/>
        <w:jc w:val="both"/>
      </w:pPr>
      <w:r w:rsidRPr="00307B7A">
        <w:t xml:space="preserve">Ukupna izdvajanja Republike Hrvatske za SRP u razdoblju od 2009. do 2020. godine pokazuju stabilan trend rasta na godišnjoj razini. </w:t>
      </w:r>
      <w:r w:rsidR="00E37147">
        <w:t>T</w:t>
      </w:r>
      <w:r w:rsidRPr="00307B7A">
        <w:t xml:space="preserve">o </w:t>
      </w:r>
      <w:r w:rsidR="002506A6">
        <w:t xml:space="preserve">je </w:t>
      </w:r>
      <w:r w:rsidRPr="00307B7A">
        <w:t xml:space="preserve">pokazatelj kako aktivno djelovanje Republike Hrvatske </w:t>
      </w:r>
      <w:r w:rsidR="00E37147">
        <w:t>na</w:t>
      </w:r>
      <w:r w:rsidRPr="00307B7A">
        <w:t xml:space="preserve"> p</w:t>
      </w:r>
      <w:r w:rsidR="00E37147">
        <w:t xml:space="preserve">lanu </w:t>
      </w:r>
      <w:r w:rsidRPr="00307B7A">
        <w:t>politika međunarodne razvojne suradnje i humanitarne pomoći dobiva sve značajniju ulogu u hrvatskoj vanjskoj politici</w:t>
      </w:r>
      <w:r w:rsidR="00E37147">
        <w:t xml:space="preserve">. </w:t>
      </w:r>
    </w:p>
    <w:p w14:paraId="17A3F7F4" w14:textId="77777777" w:rsidR="00D53A0C" w:rsidRPr="00E37147" w:rsidRDefault="00E37147" w:rsidP="00D53A0C">
      <w:pPr>
        <w:jc w:val="both"/>
        <w:rPr>
          <w:rStyle w:val="longtext1"/>
          <w:b/>
          <w:sz w:val="24"/>
        </w:rPr>
      </w:pPr>
      <w:r>
        <w:rPr>
          <w:rStyle w:val="longtext1"/>
          <w:b/>
          <w:sz w:val="24"/>
        </w:rPr>
        <w:t>Financijski pokazatelji i s</w:t>
      </w:r>
      <w:r w:rsidR="00D53A0C" w:rsidRPr="00E37147">
        <w:rPr>
          <w:rStyle w:val="longtext1"/>
          <w:b/>
          <w:sz w:val="24"/>
        </w:rPr>
        <w:t>truktura SR</w:t>
      </w:r>
      <w:r w:rsidR="00C61F6B">
        <w:rPr>
          <w:rStyle w:val="longtext1"/>
          <w:b/>
          <w:sz w:val="24"/>
        </w:rPr>
        <w:t>P</w:t>
      </w:r>
    </w:p>
    <w:p w14:paraId="086C17D9" w14:textId="77777777" w:rsidR="00D53A0C" w:rsidRPr="00E2075B" w:rsidRDefault="00E37147" w:rsidP="00D53A0C">
      <w:pPr>
        <w:jc w:val="both"/>
        <w:rPr>
          <w:rStyle w:val="longtext1"/>
          <w:sz w:val="24"/>
        </w:rPr>
      </w:pPr>
      <w:r>
        <w:rPr>
          <w:rStyle w:val="longtext1"/>
          <w:sz w:val="24"/>
        </w:rPr>
        <w:t xml:space="preserve">Ukupna izdvajanja </w:t>
      </w:r>
      <w:r w:rsidR="00CC221E" w:rsidRPr="00E2075B">
        <w:rPr>
          <w:rStyle w:val="longtext1"/>
          <w:sz w:val="24"/>
        </w:rPr>
        <w:t>Republik</w:t>
      </w:r>
      <w:r>
        <w:rPr>
          <w:rStyle w:val="longtext1"/>
          <w:sz w:val="24"/>
        </w:rPr>
        <w:t>e</w:t>
      </w:r>
      <w:r w:rsidR="00CC221E" w:rsidRPr="00E2075B">
        <w:rPr>
          <w:rStyle w:val="longtext1"/>
          <w:sz w:val="24"/>
        </w:rPr>
        <w:t xml:space="preserve"> Hrvatsk</w:t>
      </w:r>
      <w:r>
        <w:rPr>
          <w:rStyle w:val="longtext1"/>
          <w:sz w:val="24"/>
        </w:rPr>
        <w:t>e za SRP</w:t>
      </w:r>
      <w:r w:rsidR="00CC221E" w:rsidRPr="00E2075B">
        <w:rPr>
          <w:rStyle w:val="longtext1"/>
          <w:sz w:val="24"/>
        </w:rPr>
        <w:t xml:space="preserve"> </w:t>
      </w:r>
      <w:r>
        <w:rPr>
          <w:rStyle w:val="longtext1"/>
          <w:sz w:val="24"/>
        </w:rPr>
        <w:t xml:space="preserve">u 2020. godini iznosila su </w:t>
      </w:r>
      <w:r w:rsidRPr="002506A6">
        <w:rPr>
          <w:rStyle w:val="longtext1"/>
          <w:b/>
          <w:sz w:val="24"/>
        </w:rPr>
        <w:t>5</w:t>
      </w:r>
      <w:r w:rsidR="004E530B">
        <w:rPr>
          <w:rStyle w:val="longtext1"/>
          <w:b/>
          <w:sz w:val="24"/>
        </w:rPr>
        <w:t>16,89</w:t>
      </w:r>
      <w:r w:rsidRPr="002506A6">
        <w:rPr>
          <w:rStyle w:val="longtext1"/>
          <w:b/>
          <w:sz w:val="24"/>
        </w:rPr>
        <w:t xml:space="preserve"> milijuna kuna</w:t>
      </w:r>
      <w:r>
        <w:rPr>
          <w:rStyle w:val="longtext1"/>
          <w:sz w:val="24"/>
        </w:rPr>
        <w:t>.</w:t>
      </w:r>
    </w:p>
    <w:p w14:paraId="35DB88E5" w14:textId="77777777" w:rsidR="00D53A0C" w:rsidRPr="00E2075B" w:rsidRDefault="00D53A0C" w:rsidP="00D53A0C">
      <w:pPr>
        <w:jc w:val="both"/>
        <w:rPr>
          <w:rStyle w:val="longtext1"/>
          <w:sz w:val="24"/>
        </w:rPr>
      </w:pPr>
    </w:p>
    <w:p w14:paraId="421F8159" w14:textId="77777777" w:rsidR="00D53A0C" w:rsidRPr="00E2075B" w:rsidRDefault="00831ACE" w:rsidP="00643BB4">
      <w:pPr>
        <w:spacing w:after="240"/>
        <w:jc w:val="center"/>
        <w:rPr>
          <w:rStyle w:val="longtext1"/>
          <w:sz w:val="24"/>
        </w:rPr>
      </w:pPr>
      <w:r>
        <w:rPr>
          <w:noProof/>
          <w:lang w:eastAsia="hr-HR"/>
        </w:rPr>
        <w:drawing>
          <wp:inline distT="0" distB="0" distL="0" distR="0" wp14:anchorId="34AC3AF6" wp14:editId="74EE501A">
            <wp:extent cx="4876801" cy="277177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B20A19" w14:textId="77777777" w:rsidR="00D53A0C" w:rsidRPr="00E2075B" w:rsidRDefault="0064587E" w:rsidP="00135659">
      <w:pPr>
        <w:spacing w:after="120"/>
        <w:ind w:left="1843" w:right="1984"/>
        <w:jc w:val="center"/>
        <w:rPr>
          <w:sz w:val="20"/>
          <w:szCs w:val="20"/>
        </w:rPr>
      </w:pPr>
      <w:r>
        <w:rPr>
          <w:sz w:val="20"/>
          <w:szCs w:val="20"/>
        </w:rPr>
        <w:t>Grafički prikaz 1</w:t>
      </w:r>
      <w:r w:rsidR="00D53A0C" w:rsidRPr="00E2075B">
        <w:rPr>
          <w:sz w:val="20"/>
          <w:szCs w:val="20"/>
        </w:rPr>
        <w:t>. Izdvajanja za SRP Republike Hrvatske u ukupnim iznosima (u mil. HRK)</w:t>
      </w:r>
    </w:p>
    <w:p w14:paraId="423A47F5" w14:textId="77777777" w:rsidR="00D53A0C" w:rsidRPr="00E2075B" w:rsidRDefault="00D53A0C" w:rsidP="005E0FCB">
      <w:pPr>
        <w:spacing w:after="120"/>
        <w:jc w:val="both"/>
      </w:pPr>
    </w:p>
    <w:p w14:paraId="50E76AE7" w14:textId="77777777" w:rsidR="00D53A0C" w:rsidRPr="00EF1D29" w:rsidRDefault="00C90FA0" w:rsidP="00D60439">
      <w:pPr>
        <w:spacing w:after="120"/>
        <w:jc w:val="both"/>
      </w:pPr>
      <w:r w:rsidRPr="00E2075B">
        <w:t xml:space="preserve">Najveći udio u ukupnom iznosu odnosi se na doprinos </w:t>
      </w:r>
      <w:r w:rsidR="00523D53">
        <w:t>O</w:t>
      </w:r>
      <w:r w:rsidRPr="00E2075B">
        <w:t>pćem proračunu E</w:t>
      </w:r>
      <w:r w:rsidR="00E37147">
        <w:t>uropske unije</w:t>
      </w:r>
      <w:r w:rsidRPr="00E2075B">
        <w:t xml:space="preserve"> iz kojeg se financiraju razvojni instrumenti </w:t>
      </w:r>
      <w:r w:rsidR="00E37147">
        <w:t>EU</w:t>
      </w:r>
      <w:r w:rsidR="00291CDF" w:rsidRPr="00E2075B">
        <w:t xml:space="preserve">. </w:t>
      </w:r>
      <w:r w:rsidR="00E37147">
        <w:t xml:space="preserve">U </w:t>
      </w:r>
      <w:r w:rsidR="00291CDF" w:rsidRPr="00E2075B">
        <w:t>20</w:t>
      </w:r>
      <w:r w:rsidR="00E2174D" w:rsidRPr="00E2075B">
        <w:t>20</w:t>
      </w:r>
      <w:r w:rsidR="00291CDF" w:rsidRPr="00E2075B">
        <w:t>. godin</w:t>
      </w:r>
      <w:r w:rsidR="00E37147">
        <w:t xml:space="preserve">i iznos </w:t>
      </w:r>
      <w:r w:rsidR="00291CDF" w:rsidRPr="00E2075B">
        <w:t xml:space="preserve">koji se na </w:t>
      </w:r>
      <w:r w:rsidR="00E37147">
        <w:t>im</w:t>
      </w:r>
      <w:r w:rsidR="002506A6">
        <w:t>e</w:t>
      </w:r>
      <w:r w:rsidR="00E37147">
        <w:t xml:space="preserve"> plaćanja navedenog doprinosa </w:t>
      </w:r>
      <w:r w:rsidR="00291CDF" w:rsidRPr="00E2075B">
        <w:t xml:space="preserve">bilježi kao SRP iznosi </w:t>
      </w:r>
      <w:r w:rsidR="00E2174D" w:rsidRPr="00E2075B">
        <w:t>269,1</w:t>
      </w:r>
      <w:r w:rsidR="008150D4" w:rsidRPr="00E2075B">
        <w:t>5</w:t>
      </w:r>
      <w:r w:rsidR="00E2174D" w:rsidRPr="00E2075B">
        <w:t xml:space="preserve"> </w:t>
      </w:r>
      <w:r w:rsidR="00291CDF" w:rsidRPr="00E2075B">
        <w:t>milijuna</w:t>
      </w:r>
      <w:r w:rsidR="003236A2" w:rsidRPr="003236A2">
        <w:rPr>
          <w:noProof/>
          <w:lang w:eastAsia="hr-HR"/>
        </w:rPr>
        <w:t xml:space="preserve"> </w:t>
      </w:r>
      <w:r w:rsidR="00291CDF" w:rsidRPr="00E2075B">
        <w:t xml:space="preserve"> kuna</w:t>
      </w:r>
      <w:r w:rsidR="00401CC8" w:rsidRPr="00E2075B">
        <w:t>,</w:t>
      </w:r>
      <w:r w:rsidR="00291CDF" w:rsidRPr="00E2075B">
        <w:t xml:space="preserve"> </w:t>
      </w:r>
      <w:r w:rsidR="00E37147">
        <w:t xml:space="preserve">što čini </w:t>
      </w:r>
      <w:r w:rsidR="003B50AC">
        <w:t>52,07</w:t>
      </w:r>
      <w:r w:rsidR="00291CDF" w:rsidRPr="00E2075B">
        <w:t>%</w:t>
      </w:r>
      <w:r w:rsidR="00E37147">
        <w:t xml:space="preserve"> ukupnog SRP u 2020. godini</w:t>
      </w:r>
      <w:r w:rsidR="00291CDF" w:rsidRPr="00E2075B">
        <w:t>.</w:t>
      </w:r>
      <w:r w:rsidR="006B1077">
        <w:t xml:space="preserve"> </w:t>
      </w:r>
      <w:r w:rsidR="00135659" w:rsidRPr="00E2075B">
        <w:t xml:space="preserve">Drugi najveći udio odnosi se na doprinos Republike Hrvatske u Europski razvojni fond, koji u 2020. godini iznosi </w:t>
      </w:r>
      <w:r w:rsidR="00D60439" w:rsidRPr="00E2075B">
        <w:t>74,32 milijuna kuna</w:t>
      </w:r>
      <w:r w:rsidR="00CD48ED">
        <w:t xml:space="preserve"> i ima pojedinačni udio u </w:t>
      </w:r>
      <w:r w:rsidR="00523D53">
        <w:t>ukupnom</w:t>
      </w:r>
      <w:r w:rsidR="00CD48ED">
        <w:t xml:space="preserve"> SRP od 1</w:t>
      </w:r>
      <w:r w:rsidR="009B4DD8">
        <w:t>4,38</w:t>
      </w:r>
      <w:r w:rsidR="00401CC8" w:rsidRPr="00E2075B">
        <w:t>%.</w:t>
      </w:r>
    </w:p>
    <w:p w14:paraId="58FD0525" w14:textId="77777777" w:rsidR="00D34ABE" w:rsidRPr="00EF1D29" w:rsidRDefault="006B1077" w:rsidP="00CC221E">
      <w:pPr>
        <w:jc w:val="both"/>
        <w:rPr>
          <w:rStyle w:val="longtext1"/>
          <w:sz w:val="24"/>
        </w:rPr>
      </w:pPr>
      <w:r w:rsidRPr="00BF6F43">
        <w:t xml:space="preserve">U odnosu na kriterije multilateralnog i bilateralnog usmjeravanja </w:t>
      </w:r>
      <w:r w:rsidR="00CD48ED" w:rsidRPr="00BF6F43">
        <w:t>SRP</w:t>
      </w:r>
      <w:r w:rsidRPr="00BF6F43">
        <w:t xml:space="preserve">, </w:t>
      </w:r>
      <w:r w:rsidR="003236A2" w:rsidRPr="00BF6F43">
        <w:rPr>
          <w:rStyle w:val="longtext1"/>
          <w:sz w:val="24"/>
        </w:rPr>
        <w:t>39</w:t>
      </w:r>
      <w:r w:rsidR="00E02356">
        <w:rPr>
          <w:rStyle w:val="longtext1"/>
          <w:sz w:val="24"/>
        </w:rPr>
        <w:t>4,22</w:t>
      </w:r>
      <w:r w:rsidRPr="00BF6F43">
        <w:rPr>
          <w:rStyle w:val="longtext1"/>
          <w:sz w:val="24"/>
        </w:rPr>
        <w:t xml:space="preserve"> milijuna kuna</w:t>
      </w:r>
      <w:r w:rsidRPr="00BF6F43">
        <w:t xml:space="preserve"> u</w:t>
      </w:r>
      <w:r w:rsidR="00CD48ED" w:rsidRPr="00BF6F43">
        <w:rPr>
          <w:rStyle w:val="longtext1"/>
          <w:sz w:val="24"/>
        </w:rPr>
        <w:t>smjeren</w:t>
      </w:r>
      <w:r w:rsidRPr="00BF6F43">
        <w:rPr>
          <w:rStyle w:val="longtext1"/>
          <w:sz w:val="24"/>
        </w:rPr>
        <w:t xml:space="preserve">o je  putem </w:t>
      </w:r>
      <w:r w:rsidR="00CC221E" w:rsidRPr="00BF6F43">
        <w:rPr>
          <w:rStyle w:val="longtext1"/>
          <w:sz w:val="24"/>
        </w:rPr>
        <w:t>međunarodni</w:t>
      </w:r>
      <w:r w:rsidRPr="00BF6F43">
        <w:rPr>
          <w:rStyle w:val="longtext1"/>
          <w:sz w:val="24"/>
        </w:rPr>
        <w:t>h</w:t>
      </w:r>
      <w:r w:rsidR="00CC221E" w:rsidRPr="00BF6F43">
        <w:rPr>
          <w:rStyle w:val="longtext1"/>
          <w:sz w:val="24"/>
        </w:rPr>
        <w:t xml:space="preserve"> organizacija</w:t>
      </w:r>
      <w:r w:rsidR="00CD48ED" w:rsidRPr="00BF6F43">
        <w:rPr>
          <w:rStyle w:val="longtext1"/>
          <w:sz w:val="24"/>
        </w:rPr>
        <w:t xml:space="preserve"> i drugi</w:t>
      </w:r>
      <w:r w:rsidRPr="00BF6F43">
        <w:rPr>
          <w:rStyle w:val="longtext1"/>
          <w:sz w:val="24"/>
        </w:rPr>
        <w:t>h</w:t>
      </w:r>
      <w:r w:rsidR="00CD48ED" w:rsidRPr="00BF6F43">
        <w:rPr>
          <w:rStyle w:val="longtext1"/>
          <w:sz w:val="24"/>
        </w:rPr>
        <w:t xml:space="preserve"> multilateralni</w:t>
      </w:r>
      <w:r w:rsidRPr="00BF6F43">
        <w:rPr>
          <w:rStyle w:val="longtext1"/>
          <w:sz w:val="24"/>
        </w:rPr>
        <w:t>h</w:t>
      </w:r>
      <w:r w:rsidR="00CD48ED" w:rsidRPr="00BF6F43">
        <w:rPr>
          <w:rStyle w:val="longtext1"/>
          <w:sz w:val="24"/>
        </w:rPr>
        <w:t xml:space="preserve"> institucija</w:t>
      </w:r>
      <w:r w:rsidRPr="00BF6F43">
        <w:rPr>
          <w:rStyle w:val="longtext1"/>
          <w:sz w:val="24"/>
        </w:rPr>
        <w:t xml:space="preserve">, </w:t>
      </w:r>
      <w:r w:rsidR="002506A6" w:rsidRPr="00BF6F43">
        <w:rPr>
          <w:rStyle w:val="longtext1"/>
          <w:sz w:val="24"/>
        </w:rPr>
        <w:t xml:space="preserve">što je udio od </w:t>
      </w:r>
      <w:r w:rsidR="00CC221E" w:rsidRPr="00BF6F43">
        <w:rPr>
          <w:rStyle w:val="longtext1"/>
          <w:sz w:val="24"/>
        </w:rPr>
        <w:t>7</w:t>
      </w:r>
      <w:r w:rsidR="00B64176" w:rsidRPr="00BF6F43">
        <w:rPr>
          <w:rStyle w:val="longtext1"/>
          <w:sz w:val="24"/>
        </w:rPr>
        <w:t>6</w:t>
      </w:r>
      <w:r w:rsidR="00CC221E" w:rsidRPr="00BF6F43">
        <w:rPr>
          <w:rStyle w:val="longtext1"/>
          <w:sz w:val="24"/>
        </w:rPr>
        <w:t>,</w:t>
      </w:r>
      <w:r w:rsidR="00E02356">
        <w:rPr>
          <w:rStyle w:val="longtext1"/>
          <w:sz w:val="24"/>
        </w:rPr>
        <w:t>2</w:t>
      </w:r>
      <w:r w:rsidR="0082008F">
        <w:rPr>
          <w:rStyle w:val="longtext1"/>
          <w:sz w:val="24"/>
        </w:rPr>
        <w:t>7</w:t>
      </w:r>
      <w:r w:rsidR="00CC221E" w:rsidRPr="00BF6F43">
        <w:rPr>
          <w:rStyle w:val="longtext1"/>
          <w:sz w:val="24"/>
        </w:rPr>
        <w:t>%</w:t>
      </w:r>
      <w:r w:rsidR="00CD48ED" w:rsidRPr="00BF6F43">
        <w:rPr>
          <w:rStyle w:val="longtext1"/>
          <w:sz w:val="24"/>
        </w:rPr>
        <w:t xml:space="preserve"> u ukupnom SRP</w:t>
      </w:r>
      <w:r w:rsidR="00CC221E" w:rsidRPr="00BF6F43">
        <w:rPr>
          <w:rStyle w:val="longtext1"/>
          <w:sz w:val="24"/>
        </w:rPr>
        <w:t xml:space="preserve">. Za </w:t>
      </w:r>
      <w:r w:rsidR="00CD48ED" w:rsidRPr="00BF6F43">
        <w:rPr>
          <w:rStyle w:val="longtext1"/>
          <w:sz w:val="24"/>
        </w:rPr>
        <w:t xml:space="preserve">projekte </w:t>
      </w:r>
      <w:r w:rsidR="00CC221E" w:rsidRPr="00BF6F43">
        <w:rPr>
          <w:rStyle w:val="longtext1"/>
          <w:sz w:val="24"/>
        </w:rPr>
        <w:t>bilateraln</w:t>
      </w:r>
      <w:r w:rsidR="00CD48ED" w:rsidRPr="00BF6F43">
        <w:rPr>
          <w:rStyle w:val="longtext1"/>
          <w:sz w:val="24"/>
        </w:rPr>
        <w:t xml:space="preserve">og SRP koji </w:t>
      </w:r>
      <w:r w:rsidRPr="00BF6F43">
        <w:rPr>
          <w:rStyle w:val="longtext1"/>
          <w:sz w:val="24"/>
        </w:rPr>
        <w:t>s</w:t>
      </w:r>
      <w:r w:rsidR="00CD48ED" w:rsidRPr="00BF6F43">
        <w:rPr>
          <w:rStyle w:val="longtext1"/>
          <w:sz w:val="24"/>
        </w:rPr>
        <w:t>e usmjer</w:t>
      </w:r>
      <w:r w:rsidRPr="00BF6F43">
        <w:rPr>
          <w:rStyle w:val="longtext1"/>
          <w:sz w:val="24"/>
        </w:rPr>
        <w:t xml:space="preserve">ava </w:t>
      </w:r>
      <w:r w:rsidR="00CD48ED" w:rsidRPr="00BF6F43">
        <w:rPr>
          <w:rStyle w:val="longtext1"/>
          <w:sz w:val="24"/>
        </w:rPr>
        <w:t xml:space="preserve">krajnjim državama korisnicama, </w:t>
      </w:r>
      <w:r w:rsidR="00CC221E" w:rsidRPr="00BF6F43">
        <w:rPr>
          <w:rStyle w:val="longtext1"/>
          <w:sz w:val="24"/>
        </w:rPr>
        <w:t>izdvojeno je 1</w:t>
      </w:r>
      <w:r w:rsidR="00B64176" w:rsidRPr="00BF6F43">
        <w:rPr>
          <w:rStyle w:val="longtext1"/>
          <w:sz w:val="24"/>
        </w:rPr>
        <w:t>2</w:t>
      </w:r>
      <w:r w:rsidR="00BE3F82" w:rsidRPr="00BF6F43">
        <w:rPr>
          <w:rStyle w:val="longtext1"/>
          <w:sz w:val="24"/>
        </w:rPr>
        <w:t>2</w:t>
      </w:r>
      <w:r w:rsidR="00CC221E" w:rsidRPr="00BF6F43">
        <w:rPr>
          <w:rStyle w:val="longtext1"/>
          <w:sz w:val="24"/>
        </w:rPr>
        <w:t>,</w:t>
      </w:r>
      <w:r w:rsidR="00E02356">
        <w:rPr>
          <w:rStyle w:val="longtext1"/>
          <w:sz w:val="24"/>
        </w:rPr>
        <w:t>67</w:t>
      </w:r>
      <w:r w:rsidR="00B64176" w:rsidRPr="00BF6F43">
        <w:rPr>
          <w:rStyle w:val="longtext1"/>
          <w:sz w:val="24"/>
        </w:rPr>
        <w:t xml:space="preserve"> </w:t>
      </w:r>
      <w:r w:rsidR="00CC221E" w:rsidRPr="00BF6F43">
        <w:rPr>
          <w:rStyle w:val="longtext1"/>
          <w:sz w:val="24"/>
        </w:rPr>
        <w:t>milijuna kuna, odnosno 2</w:t>
      </w:r>
      <w:r w:rsidR="00B64176" w:rsidRPr="00BF6F43">
        <w:rPr>
          <w:rStyle w:val="longtext1"/>
          <w:sz w:val="24"/>
        </w:rPr>
        <w:t>3</w:t>
      </w:r>
      <w:r w:rsidR="00E02356">
        <w:rPr>
          <w:rStyle w:val="longtext1"/>
          <w:sz w:val="24"/>
        </w:rPr>
        <w:t>,73</w:t>
      </w:r>
      <w:r w:rsidR="00CC221E" w:rsidRPr="00BF6F43">
        <w:rPr>
          <w:rStyle w:val="longtext1"/>
          <w:sz w:val="24"/>
        </w:rPr>
        <w:t>%.</w:t>
      </w:r>
      <w:r w:rsidR="00CC221E" w:rsidRPr="00DD0C51">
        <w:rPr>
          <w:rStyle w:val="longtext1"/>
          <w:sz w:val="24"/>
        </w:rPr>
        <w:t xml:space="preserve"> </w:t>
      </w:r>
    </w:p>
    <w:p w14:paraId="7DBB457D" w14:textId="77777777" w:rsidR="00523D53" w:rsidRPr="00EF1D29" w:rsidRDefault="00523D53" w:rsidP="00CC221E">
      <w:pPr>
        <w:jc w:val="both"/>
        <w:rPr>
          <w:rStyle w:val="longtext1"/>
          <w:sz w:val="24"/>
        </w:rPr>
      </w:pPr>
    </w:p>
    <w:p w14:paraId="1465BF94" w14:textId="77777777" w:rsidR="00643BB4" w:rsidRPr="00EF1D29" w:rsidRDefault="006B1077" w:rsidP="00CC221E">
      <w:pPr>
        <w:jc w:val="both"/>
        <w:rPr>
          <w:rStyle w:val="longtext1"/>
          <w:sz w:val="24"/>
        </w:rPr>
      </w:pPr>
      <w:r w:rsidRPr="00EF1D29">
        <w:rPr>
          <w:rStyle w:val="longtext1"/>
          <w:sz w:val="24"/>
        </w:rPr>
        <w:t xml:space="preserve">Prema </w:t>
      </w:r>
      <w:r w:rsidRPr="00AB3E3B">
        <w:rPr>
          <w:rStyle w:val="longtext1"/>
          <w:sz w:val="24"/>
        </w:rPr>
        <w:t>podjeli SRP temeljem kriterija razvojne i humanitarne pomoći, n</w:t>
      </w:r>
      <w:r w:rsidR="00CC221E" w:rsidRPr="00AB3E3B">
        <w:rPr>
          <w:rStyle w:val="longtext1"/>
          <w:sz w:val="24"/>
        </w:rPr>
        <w:t xml:space="preserve">ajviše sredstava usmjereno je na </w:t>
      </w:r>
      <w:r w:rsidR="00B64176" w:rsidRPr="00AB3E3B">
        <w:rPr>
          <w:rStyle w:val="longtext1"/>
          <w:sz w:val="24"/>
        </w:rPr>
        <w:t>razvojn</w:t>
      </w:r>
      <w:r w:rsidRPr="00AB3E3B">
        <w:rPr>
          <w:rStyle w:val="longtext1"/>
          <w:sz w:val="24"/>
        </w:rPr>
        <w:t>u</w:t>
      </w:r>
      <w:r w:rsidR="00CC221E" w:rsidRPr="00AB3E3B">
        <w:rPr>
          <w:rStyle w:val="longtext1"/>
          <w:sz w:val="24"/>
        </w:rPr>
        <w:t xml:space="preserve"> suradnj</w:t>
      </w:r>
      <w:r w:rsidRPr="00AB3E3B">
        <w:rPr>
          <w:rStyle w:val="longtext1"/>
          <w:sz w:val="24"/>
        </w:rPr>
        <w:t>u</w:t>
      </w:r>
      <w:r w:rsidR="00CC221E" w:rsidRPr="00AB3E3B">
        <w:rPr>
          <w:rStyle w:val="longtext1"/>
          <w:sz w:val="24"/>
        </w:rPr>
        <w:t xml:space="preserve"> </w:t>
      </w:r>
      <w:r w:rsidR="00B64176" w:rsidRPr="00AB3E3B">
        <w:rPr>
          <w:rStyle w:val="longtext1"/>
          <w:sz w:val="24"/>
        </w:rPr>
        <w:t>s</w:t>
      </w:r>
      <w:r w:rsidR="00CC221E" w:rsidRPr="00AB3E3B">
        <w:rPr>
          <w:rStyle w:val="longtext1"/>
          <w:sz w:val="24"/>
        </w:rPr>
        <w:t xml:space="preserve"> ukupn</w:t>
      </w:r>
      <w:r w:rsidR="00B64176" w:rsidRPr="00AB3E3B">
        <w:rPr>
          <w:rStyle w:val="longtext1"/>
          <w:sz w:val="24"/>
        </w:rPr>
        <w:t>im</w:t>
      </w:r>
      <w:r w:rsidR="00CC221E" w:rsidRPr="00AB3E3B">
        <w:rPr>
          <w:rStyle w:val="longtext1"/>
          <w:sz w:val="24"/>
        </w:rPr>
        <w:t xml:space="preserve"> </w:t>
      </w:r>
      <w:r w:rsidR="00B64176" w:rsidRPr="00AB3E3B">
        <w:rPr>
          <w:rStyle w:val="longtext1"/>
          <w:sz w:val="24"/>
        </w:rPr>
        <w:t>iznosom</w:t>
      </w:r>
      <w:r w:rsidR="00D34ABE" w:rsidRPr="00AB3E3B">
        <w:rPr>
          <w:rStyle w:val="longtext1"/>
          <w:sz w:val="24"/>
        </w:rPr>
        <w:t xml:space="preserve"> od 4</w:t>
      </w:r>
      <w:r w:rsidR="00E02356">
        <w:rPr>
          <w:rStyle w:val="longtext1"/>
          <w:sz w:val="24"/>
        </w:rPr>
        <w:t>34,65</w:t>
      </w:r>
      <w:r w:rsidR="00D34ABE" w:rsidRPr="00AB3E3B">
        <w:rPr>
          <w:rStyle w:val="longtext1"/>
          <w:sz w:val="24"/>
        </w:rPr>
        <w:t xml:space="preserve"> milijuna kuna</w:t>
      </w:r>
      <w:r w:rsidR="00CD48ED" w:rsidRPr="00AB3E3B">
        <w:rPr>
          <w:rStyle w:val="longtext1"/>
          <w:sz w:val="24"/>
        </w:rPr>
        <w:t>,</w:t>
      </w:r>
      <w:r w:rsidR="00B64176" w:rsidRPr="00AB3E3B">
        <w:rPr>
          <w:rStyle w:val="longtext1"/>
          <w:sz w:val="24"/>
        </w:rPr>
        <w:t xml:space="preserve"> što je </w:t>
      </w:r>
      <w:r w:rsidR="00CD48ED" w:rsidRPr="00AB3E3B">
        <w:rPr>
          <w:rStyle w:val="longtext1"/>
          <w:sz w:val="24"/>
        </w:rPr>
        <w:t xml:space="preserve">udio od </w:t>
      </w:r>
      <w:r w:rsidR="0082008F">
        <w:rPr>
          <w:rStyle w:val="longtext1"/>
          <w:sz w:val="24"/>
        </w:rPr>
        <w:t>84,09</w:t>
      </w:r>
      <w:r w:rsidR="00B64176" w:rsidRPr="00AB3E3B">
        <w:rPr>
          <w:rStyle w:val="longtext1"/>
          <w:sz w:val="24"/>
        </w:rPr>
        <w:t xml:space="preserve">% unutar </w:t>
      </w:r>
      <w:r w:rsidR="00CD48ED" w:rsidRPr="00AB3E3B">
        <w:rPr>
          <w:rStyle w:val="longtext1"/>
          <w:sz w:val="24"/>
        </w:rPr>
        <w:t xml:space="preserve">ukupnog </w:t>
      </w:r>
      <w:r w:rsidR="00B64176" w:rsidRPr="00AB3E3B">
        <w:rPr>
          <w:rStyle w:val="longtext1"/>
          <w:sz w:val="24"/>
        </w:rPr>
        <w:t xml:space="preserve">SRP. </w:t>
      </w:r>
      <w:r w:rsidR="00CD48ED" w:rsidRPr="00AB3E3B">
        <w:rPr>
          <w:rStyle w:val="longtext1"/>
          <w:sz w:val="24"/>
        </w:rPr>
        <w:t xml:space="preserve">Vrijednost humanitarne pomoći inozemstvu iznosi </w:t>
      </w:r>
      <w:r w:rsidR="00880AEB" w:rsidRPr="00AB3E3B">
        <w:rPr>
          <w:rStyle w:val="longtext1"/>
          <w:sz w:val="24"/>
        </w:rPr>
        <w:t>8</w:t>
      </w:r>
      <w:r w:rsidR="00BE3F82" w:rsidRPr="00AB3E3B">
        <w:rPr>
          <w:rStyle w:val="longtext1"/>
          <w:sz w:val="24"/>
        </w:rPr>
        <w:t>2</w:t>
      </w:r>
      <w:r w:rsidR="00880AEB" w:rsidRPr="00AB3E3B">
        <w:rPr>
          <w:rStyle w:val="longtext1"/>
          <w:sz w:val="24"/>
        </w:rPr>
        <w:t>,</w:t>
      </w:r>
      <w:r w:rsidR="00E02356">
        <w:rPr>
          <w:rStyle w:val="longtext1"/>
          <w:sz w:val="24"/>
        </w:rPr>
        <w:t>24</w:t>
      </w:r>
      <w:r w:rsidR="00880AEB" w:rsidRPr="00AB3E3B">
        <w:rPr>
          <w:rStyle w:val="longtext1"/>
          <w:sz w:val="24"/>
        </w:rPr>
        <w:t xml:space="preserve"> </w:t>
      </w:r>
      <w:r w:rsidR="00CD48ED" w:rsidRPr="00AB3E3B">
        <w:rPr>
          <w:rStyle w:val="longtext1"/>
          <w:sz w:val="24"/>
        </w:rPr>
        <w:t xml:space="preserve">milijuna kuna i čini udio od </w:t>
      </w:r>
      <w:r w:rsidR="00B64176" w:rsidRPr="00AB3E3B">
        <w:rPr>
          <w:rStyle w:val="longtext1"/>
          <w:sz w:val="24"/>
        </w:rPr>
        <w:t>15,</w:t>
      </w:r>
      <w:r w:rsidR="0082008F">
        <w:rPr>
          <w:rStyle w:val="longtext1"/>
          <w:sz w:val="24"/>
        </w:rPr>
        <w:t>91</w:t>
      </w:r>
      <w:r w:rsidR="00D34ABE" w:rsidRPr="00AB3E3B">
        <w:rPr>
          <w:rStyle w:val="longtext1"/>
          <w:sz w:val="24"/>
        </w:rPr>
        <w:t>%</w:t>
      </w:r>
      <w:r w:rsidR="00CC221E" w:rsidRPr="00AB3E3B">
        <w:rPr>
          <w:rStyle w:val="longtext1"/>
          <w:sz w:val="24"/>
        </w:rPr>
        <w:t>.</w:t>
      </w:r>
      <w:r w:rsidR="00CC221E" w:rsidRPr="00DD0C51">
        <w:rPr>
          <w:rStyle w:val="longtext1"/>
          <w:sz w:val="24"/>
        </w:rPr>
        <w:t xml:space="preserve"> </w:t>
      </w:r>
    </w:p>
    <w:p w14:paraId="1E734B49" w14:textId="77777777" w:rsidR="00D70120" w:rsidRPr="00E2075B" w:rsidRDefault="002C05E9" w:rsidP="00643BB4">
      <w:pPr>
        <w:tabs>
          <w:tab w:val="left" w:pos="7371"/>
        </w:tabs>
        <w:spacing w:after="120"/>
        <w:jc w:val="center"/>
        <w:rPr>
          <w:rStyle w:val="longtext1"/>
          <w:szCs w:val="20"/>
        </w:rPr>
      </w:pPr>
      <w:r>
        <w:rPr>
          <w:noProof/>
          <w:lang w:eastAsia="hr-HR"/>
        </w:rPr>
        <w:drawing>
          <wp:inline distT="0" distB="0" distL="0" distR="0" wp14:anchorId="2B963AF9" wp14:editId="10E6EA85">
            <wp:extent cx="5719764" cy="3114675"/>
            <wp:effectExtent l="0" t="0" r="1460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1C040A" w14:textId="77777777" w:rsidR="00004A81" w:rsidRPr="00E2075B" w:rsidRDefault="0064587E" w:rsidP="00D70120">
      <w:pPr>
        <w:tabs>
          <w:tab w:val="left" w:pos="7371"/>
        </w:tabs>
        <w:spacing w:after="60"/>
        <w:jc w:val="center"/>
        <w:rPr>
          <w:rStyle w:val="longtext1"/>
          <w:szCs w:val="20"/>
        </w:rPr>
      </w:pPr>
      <w:r>
        <w:rPr>
          <w:rStyle w:val="longtext1"/>
          <w:szCs w:val="20"/>
        </w:rPr>
        <w:t>Grafički prikaz 2</w:t>
      </w:r>
      <w:r w:rsidR="00004A81" w:rsidRPr="00E2075B">
        <w:rPr>
          <w:rStyle w:val="longtext1"/>
          <w:szCs w:val="20"/>
        </w:rPr>
        <w:t>. Struktura službene razvojne pomoći Republike Hrvatske u 20</w:t>
      </w:r>
      <w:r w:rsidR="00643BB4" w:rsidRPr="00E2075B">
        <w:rPr>
          <w:rStyle w:val="longtext1"/>
          <w:szCs w:val="20"/>
        </w:rPr>
        <w:t>20</w:t>
      </w:r>
      <w:r w:rsidR="00004A81" w:rsidRPr="00E2075B">
        <w:rPr>
          <w:rStyle w:val="longtext1"/>
          <w:szCs w:val="20"/>
        </w:rPr>
        <w:t xml:space="preserve">. godini </w:t>
      </w:r>
      <w:r w:rsidR="00004A81" w:rsidRPr="00E2075B">
        <w:rPr>
          <w:sz w:val="20"/>
          <w:szCs w:val="20"/>
        </w:rPr>
        <w:t>(u mil. HRK)</w:t>
      </w:r>
    </w:p>
    <w:p w14:paraId="75D3C946" w14:textId="77777777" w:rsidR="00CC221E" w:rsidRPr="00E2075B" w:rsidRDefault="00CC221E" w:rsidP="00B932A7">
      <w:pPr>
        <w:tabs>
          <w:tab w:val="left" w:pos="9072"/>
        </w:tabs>
        <w:jc w:val="both"/>
      </w:pPr>
      <w:bookmarkStart w:id="7" w:name="_Toc418601617"/>
      <w:bookmarkStart w:id="8" w:name="_Toc450126465"/>
      <w:bookmarkStart w:id="9" w:name="_Toc275869890"/>
      <w:bookmarkStart w:id="10" w:name="_Toc339883633"/>
    </w:p>
    <w:p w14:paraId="58DD73DF" w14:textId="77777777" w:rsidR="00B932A7" w:rsidRPr="00CD48ED" w:rsidRDefault="00B932A7" w:rsidP="00B932A7">
      <w:pPr>
        <w:tabs>
          <w:tab w:val="left" w:pos="9072"/>
        </w:tabs>
        <w:jc w:val="both"/>
        <w:rPr>
          <w:b/>
        </w:rPr>
      </w:pPr>
      <w:r w:rsidRPr="00CD48ED">
        <w:rPr>
          <w:b/>
        </w:rPr>
        <w:t>Struktura dionika</w:t>
      </w:r>
    </w:p>
    <w:p w14:paraId="42B30C27" w14:textId="77777777" w:rsidR="00B932A7" w:rsidRPr="00E2075B" w:rsidRDefault="00CD48ED" w:rsidP="00135659">
      <w:pPr>
        <w:tabs>
          <w:tab w:val="left" w:pos="9072"/>
        </w:tabs>
        <w:jc w:val="both"/>
        <w:rPr>
          <w:szCs w:val="20"/>
        </w:rPr>
      </w:pPr>
      <w:r>
        <w:rPr>
          <w:szCs w:val="20"/>
        </w:rPr>
        <w:t xml:space="preserve">U </w:t>
      </w:r>
      <w:r w:rsidR="00135659" w:rsidRPr="00E2075B">
        <w:rPr>
          <w:szCs w:val="20"/>
        </w:rPr>
        <w:t>2020. godin</w:t>
      </w:r>
      <w:r>
        <w:rPr>
          <w:szCs w:val="20"/>
        </w:rPr>
        <w:t>i</w:t>
      </w:r>
      <w:r w:rsidR="00135659" w:rsidRPr="00E2075B">
        <w:rPr>
          <w:szCs w:val="20"/>
        </w:rPr>
        <w:t xml:space="preserve"> </w:t>
      </w:r>
      <w:r w:rsidR="00B932A7" w:rsidRPr="00E2075B">
        <w:rPr>
          <w:szCs w:val="20"/>
        </w:rPr>
        <w:t xml:space="preserve">ukupno </w:t>
      </w:r>
      <w:r w:rsidR="00135659" w:rsidRPr="00E2075B">
        <w:rPr>
          <w:szCs w:val="20"/>
        </w:rPr>
        <w:t xml:space="preserve">je </w:t>
      </w:r>
      <w:r w:rsidR="00B932A7" w:rsidRPr="00E2075B">
        <w:rPr>
          <w:szCs w:val="20"/>
        </w:rPr>
        <w:t>2</w:t>
      </w:r>
      <w:r w:rsidR="00522C9F">
        <w:rPr>
          <w:szCs w:val="20"/>
        </w:rPr>
        <w:t>1</w:t>
      </w:r>
      <w:r w:rsidR="00B932A7" w:rsidRPr="00E2075B">
        <w:rPr>
          <w:szCs w:val="20"/>
        </w:rPr>
        <w:t xml:space="preserve"> resorn</w:t>
      </w:r>
      <w:r w:rsidR="00522C9F">
        <w:rPr>
          <w:szCs w:val="20"/>
        </w:rPr>
        <w:t>o</w:t>
      </w:r>
      <w:r w:rsidR="00B932A7" w:rsidRPr="00E2075B">
        <w:rPr>
          <w:szCs w:val="20"/>
        </w:rPr>
        <w:t xml:space="preserve"> </w:t>
      </w:r>
      <w:r w:rsidR="00135659" w:rsidRPr="00E2075B">
        <w:rPr>
          <w:szCs w:val="20"/>
        </w:rPr>
        <w:t>tijel</w:t>
      </w:r>
      <w:r w:rsidR="00522C9F">
        <w:rPr>
          <w:szCs w:val="20"/>
        </w:rPr>
        <w:t>o</w:t>
      </w:r>
      <w:r w:rsidR="00135659" w:rsidRPr="00E2075B">
        <w:rPr>
          <w:szCs w:val="20"/>
        </w:rPr>
        <w:t xml:space="preserve"> </w:t>
      </w:r>
      <w:r>
        <w:rPr>
          <w:szCs w:val="20"/>
        </w:rPr>
        <w:t xml:space="preserve">provelo </w:t>
      </w:r>
      <w:r w:rsidR="00B932A7" w:rsidRPr="00E2075B">
        <w:rPr>
          <w:szCs w:val="20"/>
        </w:rPr>
        <w:t>razvojne i humanitarne projekte</w:t>
      </w:r>
      <w:r w:rsidR="00135659" w:rsidRPr="00E2075B">
        <w:rPr>
          <w:szCs w:val="20"/>
        </w:rPr>
        <w:t xml:space="preserve"> iz svojih nadležnosti. </w:t>
      </w:r>
      <w:r w:rsidR="00121420" w:rsidRPr="00E2075B">
        <w:rPr>
          <w:szCs w:val="20"/>
        </w:rPr>
        <w:t>Naj</w:t>
      </w:r>
      <w:r>
        <w:rPr>
          <w:szCs w:val="20"/>
        </w:rPr>
        <w:t xml:space="preserve">veći pojedinačni </w:t>
      </w:r>
      <w:r w:rsidR="00D53A0C" w:rsidRPr="00E2075B">
        <w:rPr>
          <w:szCs w:val="20"/>
        </w:rPr>
        <w:t xml:space="preserve">pružatelji </w:t>
      </w:r>
      <w:r w:rsidR="00121420" w:rsidRPr="00E2075B">
        <w:rPr>
          <w:szCs w:val="20"/>
        </w:rPr>
        <w:t>SRP</w:t>
      </w:r>
      <w:r w:rsidR="00AC2344">
        <w:rPr>
          <w:szCs w:val="20"/>
        </w:rPr>
        <w:t xml:space="preserve"> je Ministarstvo financija s obzirom na nadležnosti u plaćanju godišnjeg doprinosa Republike Hrvatske Općem proračunu Europske unije. Slijede</w:t>
      </w:r>
      <w:r>
        <w:rPr>
          <w:szCs w:val="20"/>
        </w:rPr>
        <w:t xml:space="preserve"> </w:t>
      </w:r>
      <w:r w:rsidR="00B932A7" w:rsidRPr="00E2075B">
        <w:rPr>
          <w:szCs w:val="20"/>
        </w:rPr>
        <w:t>Ministarstvo vanjskih i europskih poslova</w:t>
      </w:r>
      <w:r>
        <w:rPr>
          <w:szCs w:val="20"/>
        </w:rPr>
        <w:t>,</w:t>
      </w:r>
      <w:r w:rsidR="00D53A0C" w:rsidRPr="00E2075B">
        <w:rPr>
          <w:szCs w:val="20"/>
        </w:rPr>
        <w:t xml:space="preserve"> </w:t>
      </w:r>
      <w:r w:rsidR="00174F8B" w:rsidRPr="00E2075B">
        <w:rPr>
          <w:szCs w:val="20"/>
        </w:rPr>
        <w:t>Ministarstvo zdravstva i Središnji državni ured za Hrvate izvan Republike Hrvatske.</w:t>
      </w:r>
    </w:p>
    <w:p w14:paraId="69E5FB59" w14:textId="77777777" w:rsidR="00CC221E" w:rsidRPr="00E2075B" w:rsidRDefault="00CD48ED" w:rsidP="00DA4FB1">
      <w:pPr>
        <w:spacing w:before="120"/>
        <w:jc w:val="both"/>
      </w:pPr>
      <w:r>
        <w:t xml:space="preserve">Ministarstvo vanjskih i europskih poslova (dalje u tekstu: MVEP) </w:t>
      </w:r>
      <w:r w:rsidR="00B932A7" w:rsidRPr="00E2075B">
        <w:t xml:space="preserve">sudjelovalo </w:t>
      </w:r>
      <w:r>
        <w:t xml:space="preserve">je </w:t>
      </w:r>
      <w:r w:rsidR="00B932A7" w:rsidRPr="00E2075B">
        <w:t xml:space="preserve">u SRP s </w:t>
      </w:r>
      <w:r w:rsidR="00B932A7" w:rsidRPr="00EF1D29">
        <w:t xml:space="preserve">iznosom </w:t>
      </w:r>
      <w:r w:rsidRPr="00EF1D29">
        <w:t>od</w:t>
      </w:r>
      <w:r w:rsidR="00B932A7" w:rsidRPr="00EF1D29">
        <w:t xml:space="preserve"> </w:t>
      </w:r>
      <w:r w:rsidR="00833F2C" w:rsidRPr="00EF1D29">
        <w:t>11</w:t>
      </w:r>
      <w:r w:rsidR="002D033F" w:rsidRPr="00EF1D29">
        <w:t>6</w:t>
      </w:r>
      <w:r w:rsidR="00833F2C" w:rsidRPr="00EF1D29">
        <w:t>.</w:t>
      </w:r>
      <w:r w:rsidR="002D033F" w:rsidRPr="00EF1D29">
        <w:t>246</w:t>
      </w:r>
      <w:r w:rsidR="00833F2C" w:rsidRPr="00EF1D29">
        <w:t>.</w:t>
      </w:r>
      <w:r w:rsidR="002D033F" w:rsidRPr="00EF1D29">
        <w:t>888</w:t>
      </w:r>
      <w:r w:rsidR="00833F2C" w:rsidRPr="00EF1D29">
        <w:t>,</w:t>
      </w:r>
      <w:r w:rsidR="002D033F" w:rsidRPr="00EF1D29">
        <w:t>26</w:t>
      </w:r>
      <w:r w:rsidR="00D34ABE" w:rsidRPr="00EF1D29">
        <w:t xml:space="preserve"> </w:t>
      </w:r>
      <w:r w:rsidR="00B932A7" w:rsidRPr="00EF1D29">
        <w:t xml:space="preserve">kuna. </w:t>
      </w:r>
      <w:r w:rsidR="00DA4FB1" w:rsidRPr="00EF1D29">
        <w:t xml:space="preserve">Uz redovito podmirivanje međunarodnih članarina </w:t>
      </w:r>
      <w:r w:rsidR="00135659" w:rsidRPr="00EF1D29">
        <w:t xml:space="preserve">Republike Hrvatske </w:t>
      </w:r>
      <w:r w:rsidR="00DA4FB1" w:rsidRPr="00EF1D29">
        <w:t>u međunarodnim organizacijama</w:t>
      </w:r>
      <w:r w:rsidR="00DA4FB1" w:rsidRPr="00E2075B">
        <w:t xml:space="preserve">, </w:t>
      </w:r>
      <w:r>
        <w:t xml:space="preserve">uključujući </w:t>
      </w:r>
      <w:r w:rsidR="00DA4FB1" w:rsidRPr="00E2075B">
        <w:t>obvez</w:t>
      </w:r>
      <w:r>
        <w:t>u</w:t>
      </w:r>
      <w:r w:rsidR="00DA4FB1" w:rsidRPr="00E2075B">
        <w:t xml:space="preserve"> </w:t>
      </w:r>
      <w:r>
        <w:t xml:space="preserve">plaćanja godišnjeg </w:t>
      </w:r>
      <w:r w:rsidR="00DA4FB1" w:rsidRPr="00E2075B">
        <w:t>doprinosa Republike Hrvatske u Europski razvojni fond</w:t>
      </w:r>
      <w:r>
        <w:t xml:space="preserve"> te </w:t>
      </w:r>
      <w:r w:rsidR="00135659" w:rsidRPr="00E2075B">
        <w:t>provedbu razvojnih i humanitarnih projekata</w:t>
      </w:r>
      <w:r>
        <w:t xml:space="preserve"> iz nadležnosti Ministarstva</w:t>
      </w:r>
      <w:r w:rsidR="00DA4FB1" w:rsidRPr="00E2075B">
        <w:t xml:space="preserve">, </w:t>
      </w:r>
      <w:r w:rsidR="00174F8B" w:rsidRPr="00E2075B">
        <w:t xml:space="preserve">vrijedi istaknuti najveći pojedinačni bilateralni projekt Vlade </w:t>
      </w:r>
      <w:r w:rsidR="00174F8B" w:rsidRPr="00E2075B">
        <w:rPr>
          <w:szCs w:val="20"/>
        </w:rPr>
        <w:t xml:space="preserve">Republike Hrvatske </w:t>
      </w:r>
      <w:r w:rsidR="00DD0C51">
        <w:rPr>
          <w:szCs w:val="20"/>
        </w:rPr>
        <w:t>koji</w:t>
      </w:r>
      <w:r w:rsidR="00174F8B" w:rsidRPr="00E2075B">
        <w:rPr>
          <w:szCs w:val="20"/>
        </w:rPr>
        <w:t xml:space="preserve"> provodi MVEP</w:t>
      </w:r>
      <w:r w:rsidR="000A06CA">
        <w:rPr>
          <w:szCs w:val="20"/>
        </w:rPr>
        <w:t>. Riječ je o humanitarnom projektu obnove u potresu uništene osnovne škole u Rep</w:t>
      </w:r>
      <w:r w:rsidR="00174F8B" w:rsidRPr="00E2075B">
        <w:t>ublici Albaniji</w:t>
      </w:r>
      <w:r w:rsidR="00590E83">
        <w:t xml:space="preserve"> u vrijednosti od </w:t>
      </w:r>
      <w:r w:rsidR="009E4252">
        <w:t>7.535.850,00 kuna</w:t>
      </w:r>
      <w:r w:rsidR="008B064C">
        <w:t xml:space="preserve"> koji </w:t>
      </w:r>
      <w:r w:rsidR="000A06CA">
        <w:t xml:space="preserve">se uspješno provodi </w:t>
      </w:r>
      <w:r w:rsidR="00174F8B" w:rsidRPr="00E2075B">
        <w:t xml:space="preserve">u suradnji s </w:t>
      </w:r>
      <w:r w:rsidR="006B1B9E">
        <w:t xml:space="preserve">Programom ujedinjenih naroda za razvoj (dalje u tekstu: </w:t>
      </w:r>
      <w:r w:rsidR="00174F8B" w:rsidRPr="00E2075B">
        <w:t>UNDP</w:t>
      </w:r>
      <w:r w:rsidR="006B1B9E">
        <w:t>)</w:t>
      </w:r>
      <w:r w:rsidR="00174F8B" w:rsidRPr="00E2075B">
        <w:t xml:space="preserve">. </w:t>
      </w:r>
      <w:r w:rsidR="000A06CA">
        <w:t>Na planu suzbijanja posljedica pandemije bolesti COVID-19 koja je obilježila 2020. godinu, u</w:t>
      </w:r>
      <w:r w:rsidR="00B932A7" w:rsidRPr="00E2075B">
        <w:t xml:space="preserve"> suradnji s Ministarstvom zdravstva </w:t>
      </w:r>
      <w:r w:rsidR="00DA4FB1" w:rsidRPr="00E2075B">
        <w:t>MVEP je pr</w:t>
      </w:r>
      <w:r w:rsidR="006B1077">
        <w:t>užilo</w:t>
      </w:r>
      <w:r w:rsidR="00B932A7" w:rsidRPr="00E2075B">
        <w:t xml:space="preserve"> financijsk</w:t>
      </w:r>
      <w:r w:rsidR="000A06CA">
        <w:t>u potporu</w:t>
      </w:r>
      <w:r w:rsidR="00B932A7" w:rsidRPr="00E2075B">
        <w:t xml:space="preserve"> </w:t>
      </w:r>
      <w:r w:rsidR="000A06CA">
        <w:t>posebno uspostavljenom mehanizmu Ujedinjenih naroda za globalnu borbu protiv bolesti COVID-19 te Svjetskoj zdravstvenoj organizaciji,</w:t>
      </w:r>
      <w:r w:rsidR="00B932A7" w:rsidRPr="00E2075B">
        <w:t xml:space="preserve"> u </w:t>
      </w:r>
      <w:r w:rsidR="002506A6">
        <w:t xml:space="preserve">ukupnom </w:t>
      </w:r>
      <w:r w:rsidR="00B932A7" w:rsidRPr="003E28A8">
        <w:t xml:space="preserve">iznosu </w:t>
      </w:r>
      <w:r w:rsidR="000A06CA" w:rsidRPr="003E28A8">
        <w:t xml:space="preserve">od </w:t>
      </w:r>
      <w:r w:rsidR="00B932A7" w:rsidRPr="003E28A8">
        <w:t>7.</w:t>
      </w:r>
      <w:r w:rsidR="003E28A8" w:rsidRPr="003E28A8">
        <w:t>460</w:t>
      </w:r>
      <w:r w:rsidR="00DD0C51" w:rsidRPr="003E28A8">
        <w:t>.</w:t>
      </w:r>
      <w:r w:rsidR="003E28A8" w:rsidRPr="003E28A8">
        <w:t>000</w:t>
      </w:r>
      <w:r w:rsidR="00DD0C51" w:rsidRPr="003E28A8">
        <w:t>,00</w:t>
      </w:r>
      <w:r w:rsidR="00B932A7" w:rsidRPr="003E28A8">
        <w:t xml:space="preserve"> kuna</w:t>
      </w:r>
      <w:r w:rsidR="000A06CA" w:rsidRPr="003E28A8">
        <w:t xml:space="preserve">, dok je u </w:t>
      </w:r>
      <w:r w:rsidR="00B932A7" w:rsidRPr="003E28A8">
        <w:t>suradnji</w:t>
      </w:r>
      <w:r w:rsidR="00B932A7" w:rsidRPr="00E2075B">
        <w:t xml:space="preserve"> s Ministarstvom unutarnjih poslova </w:t>
      </w:r>
      <w:r w:rsidR="000A06CA">
        <w:t xml:space="preserve">proveden </w:t>
      </w:r>
      <w:r w:rsidR="00B932A7" w:rsidRPr="00E2075B">
        <w:t xml:space="preserve">projekt dostave humanitarne pomoći za borbu protiv </w:t>
      </w:r>
      <w:r w:rsidR="000A06CA">
        <w:t xml:space="preserve">bolesti </w:t>
      </w:r>
      <w:r w:rsidR="00B932A7" w:rsidRPr="00E2075B">
        <w:t xml:space="preserve">COVID-19 Republici Albaniji, Bosni i Hercegovini i Crnoj Gori u obliku medicinske opreme. </w:t>
      </w:r>
      <w:r w:rsidR="000A06CA">
        <w:t>U SRP se također sukladno metodologiji OECD DAC</w:t>
      </w:r>
      <w:r w:rsidR="000A06CA" w:rsidRPr="00E2075B">
        <w:t xml:space="preserve"> ubraja i administrativno upravljanje Sektorom za razvojnu suradnju i humanitarnu pomoć, </w:t>
      </w:r>
      <w:r w:rsidR="000A06CA">
        <w:t>kao ustrojstven</w:t>
      </w:r>
      <w:r w:rsidR="002506A6">
        <w:t>e</w:t>
      </w:r>
      <w:r w:rsidR="000A06CA">
        <w:t xml:space="preserve"> jedinic</w:t>
      </w:r>
      <w:r w:rsidR="002506A6">
        <w:t>e</w:t>
      </w:r>
      <w:r w:rsidR="000A06CA">
        <w:t xml:space="preserve"> MVEP-a s isključivim nadležnostima </w:t>
      </w:r>
      <w:r w:rsidR="000A06CA" w:rsidRPr="00E2075B">
        <w:t>na poslovima međunarodne razvojne suradnje i humanitarne pomoći</w:t>
      </w:r>
      <w:r w:rsidR="000A06CA">
        <w:t xml:space="preserve">, koje je u 2020. iznosilo 1,073 milijuna kuna. </w:t>
      </w:r>
    </w:p>
    <w:p w14:paraId="5F47D66E" w14:textId="77777777" w:rsidR="0085218E" w:rsidRDefault="00174F8B" w:rsidP="00307B7A">
      <w:pPr>
        <w:spacing w:before="120"/>
        <w:jc w:val="both"/>
      </w:pPr>
      <w:r w:rsidRPr="00E2075B">
        <w:t xml:space="preserve">Ministarstvo zdravstva je u </w:t>
      </w:r>
      <w:r w:rsidR="000A06CA">
        <w:t>2020. godini</w:t>
      </w:r>
      <w:r w:rsidRPr="00E2075B">
        <w:t xml:space="preserve"> pokazalo vodeću ulogu u pitanjima </w:t>
      </w:r>
      <w:r w:rsidR="00237D51">
        <w:t xml:space="preserve">provedbe SRP na području </w:t>
      </w:r>
      <w:r w:rsidRPr="00E2075B">
        <w:t>zdravstvene sigurnosti i zaštite zdravlja. Uz podmirenje članarine Svjetskoj zdravstvenoj organizaciji</w:t>
      </w:r>
      <w:r w:rsidR="00237D51">
        <w:t xml:space="preserve">, Ministarstvo zdravstva </w:t>
      </w:r>
      <w:r w:rsidR="002506A6">
        <w:t>je</w:t>
      </w:r>
      <w:r w:rsidRPr="00E2075B">
        <w:t xml:space="preserve"> pružilo žurnu humanitarnu pomoć provedbom projekata potpore zdravstvu u Bosni i Hercegovini. Ukupan iznos s kojim Ministarstvo zdravstva sudjeluje u SRP kunskoj protuvrijednosti iznosi 44.002.640,43 kuna.</w:t>
      </w:r>
    </w:p>
    <w:p w14:paraId="0ECE07AC" w14:textId="135FDA56" w:rsidR="00307B7A" w:rsidRPr="0085218E" w:rsidRDefault="00307B7A" w:rsidP="00307B7A">
      <w:pPr>
        <w:spacing w:before="120"/>
        <w:jc w:val="both"/>
      </w:pPr>
      <w:r w:rsidRPr="00E2075B">
        <w:rPr>
          <w:szCs w:val="20"/>
        </w:rPr>
        <w:t xml:space="preserve">Središnji državni ured za Hrvate izvan Republike Hrvatske tradicionalno je najaktivniji u provedbi </w:t>
      </w:r>
      <w:r w:rsidR="000A06CA">
        <w:rPr>
          <w:szCs w:val="20"/>
        </w:rPr>
        <w:t xml:space="preserve">razvojnih </w:t>
      </w:r>
      <w:r w:rsidRPr="00E2075B">
        <w:rPr>
          <w:szCs w:val="20"/>
        </w:rPr>
        <w:t>projekata bilateralnog karaktera. U 2020. godini realizirao je 324 projekta usmjerena na poticanje gospodarskog napretka, unapređenje obrazovanja i kulturno osnaživanje hrvatskih zajednica izvan RH</w:t>
      </w:r>
      <w:r w:rsidR="000A06CA">
        <w:rPr>
          <w:szCs w:val="20"/>
        </w:rPr>
        <w:t>, koji projekti sukladno metodologiji OECD DAC imaju obilježja razvojne pomoći</w:t>
      </w:r>
      <w:r w:rsidRPr="00E2075B">
        <w:rPr>
          <w:szCs w:val="20"/>
        </w:rPr>
        <w:t xml:space="preserve">. </w:t>
      </w:r>
      <w:r w:rsidR="000A06CA">
        <w:rPr>
          <w:szCs w:val="20"/>
        </w:rPr>
        <w:t xml:space="preserve">Središnji državni ured za Hrvate izvan Republike Hrvatske sudjelovao je u </w:t>
      </w:r>
      <w:r w:rsidRPr="00E2075B">
        <w:t xml:space="preserve">SRP s iznosom </w:t>
      </w:r>
      <w:r w:rsidR="000A06CA">
        <w:t xml:space="preserve">od </w:t>
      </w:r>
      <w:r w:rsidRPr="00E2075B">
        <w:t>29.653.160,39 kuna</w:t>
      </w:r>
      <w:r w:rsidR="00DD0C51">
        <w:t>.</w:t>
      </w:r>
    </w:p>
    <w:p w14:paraId="11090F27" w14:textId="77777777" w:rsidR="00553D14" w:rsidRPr="00E2075B" w:rsidRDefault="00553D14" w:rsidP="00DA4FB1">
      <w:pPr>
        <w:spacing w:before="120"/>
        <w:jc w:val="both"/>
        <w:rPr>
          <w:szCs w:val="20"/>
        </w:rPr>
      </w:pPr>
      <w:r w:rsidRPr="00E2075B">
        <w:rPr>
          <w:szCs w:val="20"/>
        </w:rPr>
        <w:t>Ostali dionici proveli su projekte iz svojih nadležnosti sukladno plan</w:t>
      </w:r>
      <w:r w:rsidR="000A06CA">
        <w:rPr>
          <w:szCs w:val="20"/>
        </w:rPr>
        <w:t>iram</w:t>
      </w:r>
      <w:r w:rsidRPr="00E2075B">
        <w:rPr>
          <w:szCs w:val="20"/>
        </w:rPr>
        <w:t xml:space="preserve"> aktivnosti</w:t>
      </w:r>
      <w:r w:rsidR="000A06CA">
        <w:rPr>
          <w:szCs w:val="20"/>
        </w:rPr>
        <w:t>ma i podacima</w:t>
      </w:r>
      <w:r w:rsidR="002506A6">
        <w:rPr>
          <w:szCs w:val="20"/>
        </w:rPr>
        <w:t xml:space="preserve">, prema </w:t>
      </w:r>
      <w:r w:rsidR="00930E13">
        <w:rPr>
          <w:szCs w:val="20"/>
        </w:rPr>
        <w:t>objedinjen</w:t>
      </w:r>
      <w:r w:rsidR="002506A6">
        <w:rPr>
          <w:szCs w:val="20"/>
        </w:rPr>
        <w:t>o</w:t>
      </w:r>
      <w:r w:rsidR="00930E13">
        <w:rPr>
          <w:szCs w:val="20"/>
        </w:rPr>
        <w:t>m pregled</w:t>
      </w:r>
      <w:r w:rsidR="002506A6">
        <w:rPr>
          <w:szCs w:val="20"/>
        </w:rPr>
        <w:t>u</w:t>
      </w:r>
      <w:r w:rsidR="00930E13">
        <w:rPr>
          <w:szCs w:val="20"/>
        </w:rPr>
        <w:t xml:space="preserve"> ukupnih </w:t>
      </w:r>
      <w:r w:rsidR="000A06CA">
        <w:rPr>
          <w:szCs w:val="20"/>
        </w:rPr>
        <w:t>pojedinačni</w:t>
      </w:r>
      <w:r w:rsidR="00930E13">
        <w:rPr>
          <w:szCs w:val="20"/>
        </w:rPr>
        <w:t>h</w:t>
      </w:r>
      <w:r w:rsidR="000A06CA">
        <w:rPr>
          <w:szCs w:val="20"/>
        </w:rPr>
        <w:t xml:space="preserve"> projek</w:t>
      </w:r>
      <w:r w:rsidR="00930E13">
        <w:rPr>
          <w:szCs w:val="20"/>
        </w:rPr>
        <w:t>a</w:t>
      </w:r>
      <w:r w:rsidR="000A06CA">
        <w:rPr>
          <w:szCs w:val="20"/>
        </w:rPr>
        <w:t xml:space="preserve">ta </w:t>
      </w:r>
      <w:r w:rsidR="00930E13">
        <w:rPr>
          <w:szCs w:val="20"/>
        </w:rPr>
        <w:t>SRP u 2020. godini, koji su sastavni dio ovog Izvješća</w:t>
      </w:r>
      <w:r w:rsidRPr="00E2075B">
        <w:rPr>
          <w:szCs w:val="20"/>
        </w:rPr>
        <w:t>.</w:t>
      </w:r>
    </w:p>
    <w:p w14:paraId="75855126" w14:textId="35929CD2" w:rsidR="000C7F56" w:rsidRDefault="009851B2" w:rsidP="008F3363">
      <w:pPr>
        <w:spacing w:before="120"/>
        <w:jc w:val="both"/>
        <w:rPr>
          <w:szCs w:val="20"/>
        </w:rPr>
      </w:pPr>
      <w:r>
        <w:rPr>
          <w:szCs w:val="20"/>
        </w:rPr>
        <w:t>U nastavku je p</w:t>
      </w:r>
      <w:r w:rsidR="00553D14" w:rsidRPr="00E2075B">
        <w:rPr>
          <w:szCs w:val="20"/>
        </w:rPr>
        <w:t xml:space="preserve">regled </w:t>
      </w:r>
      <w:r w:rsidR="00930E13">
        <w:rPr>
          <w:szCs w:val="20"/>
        </w:rPr>
        <w:t>SRP</w:t>
      </w:r>
      <w:r w:rsidR="00553D14" w:rsidRPr="00E2075B">
        <w:rPr>
          <w:szCs w:val="20"/>
        </w:rPr>
        <w:t xml:space="preserve"> u 2020. godini po resornim tijelima:</w:t>
      </w:r>
    </w:p>
    <w:p w14:paraId="5496F5F6" w14:textId="77777777" w:rsidR="0085218E" w:rsidRPr="00E2075B" w:rsidRDefault="0085218E" w:rsidP="008F3363">
      <w:pPr>
        <w:spacing w:before="120"/>
        <w:jc w:val="both"/>
        <w:rPr>
          <w:szCs w:val="20"/>
        </w:rPr>
      </w:pPr>
    </w:p>
    <w:p w14:paraId="16871FFC" w14:textId="77777777" w:rsidR="008F3363" w:rsidRPr="00E2075B" w:rsidRDefault="008F3363" w:rsidP="00D70120">
      <w:pPr>
        <w:spacing w:before="120" w:after="120"/>
        <w:jc w:val="center"/>
        <w:rPr>
          <w:rStyle w:val="longtext1"/>
          <w:szCs w:val="20"/>
        </w:rPr>
      </w:pPr>
      <w:r w:rsidRPr="00E2075B">
        <w:rPr>
          <w:rStyle w:val="longtext1"/>
          <w:szCs w:val="20"/>
        </w:rPr>
        <w:t xml:space="preserve">Grafički prikaz </w:t>
      </w:r>
      <w:r w:rsidRPr="00E2075B">
        <w:rPr>
          <w:sz w:val="20"/>
          <w:szCs w:val="20"/>
        </w:rPr>
        <w:t>3. Službena razvojna pomoć resornih tijela u 2020. godini (u mil. HRK)</w:t>
      </w:r>
    </w:p>
    <w:bookmarkEnd w:id="7"/>
    <w:bookmarkEnd w:id="8"/>
    <w:bookmarkEnd w:id="9"/>
    <w:bookmarkEnd w:id="10"/>
    <w:p w14:paraId="2ACCFAB2" w14:textId="506FC647" w:rsidR="005A1294" w:rsidRDefault="009D3D71" w:rsidP="005A1294">
      <w:pPr>
        <w:tabs>
          <w:tab w:val="left" w:pos="9072"/>
        </w:tabs>
        <w:jc w:val="center"/>
        <w:rPr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AE88212" wp14:editId="58788654">
            <wp:extent cx="6381750" cy="580072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167645" w14:textId="6EB7879A" w:rsidR="005A1294" w:rsidRDefault="005A1294" w:rsidP="005A1294">
      <w:pPr>
        <w:tabs>
          <w:tab w:val="left" w:pos="9072"/>
        </w:tabs>
        <w:jc w:val="center"/>
        <w:rPr>
          <w:sz w:val="20"/>
          <w:szCs w:val="20"/>
        </w:rPr>
      </w:pPr>
    </w:p>
    <w:p w14:paraId="11DA1676" w14:textId="77777777" w:rsidR="005A1294" w:rsidRPr="005A1294" w:rsidRDefault="005A1294" w:rsidP="005A1294">
      <w:pPr>
        <w:tabs>
          <w:tab w:val="left" w:pos="9072"/>
        </w:tabs>
        <w:jc w:val="center"/>
        <w:rPr>
          <w:sz w:val="20"/>
          <w:szCs w:val="20"/>
        </w:rPr>
      </w:pPr>
      <w:bookmarkStart w:id="11" w:name="_Toc74738844"/>
    </w:p>
    <w:p w14:paraId="0DE1C007" w14:textId="1CBD720C" w:rsidR="00CC221E" w:rsidRDefault="00CC221E" w:rsidP="00357A5E">
      <w:pPr>
        <w:pStyle w:val="Heading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F948CA">
        <w:rPr>
          <w:rFonts w:ascii="Times New Roman" w:hAnsi="Times New Roman" w:cs="Times New Roman"/>
        </w:rPr>
        <w:t>Bilateralna službena razvojna pomoć</w:t>
      </w:r>
      <w:bookmarkEnd w:id="11"/>
      <w:r w:rsidRPr="00F948CA">
        <w:rPr>
          <w:rFonts w:ascii="Times New Roman" w:hAnsi="Times New Roman" w:cs="Times New Roman"/>
        </w:rPr>
        <w:t xml:space="preserve"> </w:t>
      </w:r>
    </w:p>
    <w:p w14:paraId="182B4779" w14:textId="77777777" w:rsidR="005A1294" w:rsidRPr="005A1294" w:rsidRDefault="005A1294" w:rsidP="005A1294"/>
    <w:p w14:paraId="28907947" w14:textId="77777777" w:rsidR="00CC221E" w:rsidRPr="00E2075B" w:rsidRDefault="00CC221E" w:rsidP="00CC221E">
      <w:pPr>
        <w:jc w:val="both"/>
        <w:rPr>
          <w:rStyle w:val="longtext1"/>
          <w:sz w:val="24"/>
        </w:rPr>
      </w:pPr>
    </w:p>
    <w:p w14:paraId="49895D21" w14:textId="77777777" w:rsidR="00CC221E" w:rsidRDefault="00CC221E" w:rsidP="00CC221E">
      <w:pPr>
        <w:jc w:val="both"/>
        <w:rPr>
          <w:rStyle w:val="longtext1"/>
          <w:sz w:val="24"/>
        </w:rPr>
      </w:pPr>
      <w:r w:rsidRPr="00E2075B">
        <w:t xml:space="preserve">Republika Hrvatska </w:t>
      </w:r>
      <w:r w:rsidR="00F07E23" w:rsidRPr="00E2075B">
        <w:t xml:space="preserve">tradicionalno </w:t>
      </w:r>
      <w:r w:rsidRPr="00E2075B">
        <w:t xml:space="preserve">podupire razvitak i stabilnost </w:t>
      </w:r>
      <w:r w:rsidRPr="00E2075B">
        <w:rPr>
          <w:b/>
        </w:rPr>
        <w:t>Bosne i He</w:t>
      </w:r>
      <w:r w:rsidR="00F07E23" w:rsidRPr="00E2075B">
        <w:rPr>
          <w:b/>
        </w:rPr>
        <w:t xml:space="preserve">rcegovine </w:t>
      </w:r>
      <w:r w:rsidR="00F07E23" w:rsidRPr="00E2075B">
        <w:t>te podržava</w:t>
      </w:r>
      <w:r w:rsidR="00F07E23" w:rsidRPr="00E2075B">
        <w:rPr>
          <w:b/>
        </w:rPr>
        <w:t xml:space="preserve"> </w:t>
      </w:r>
      <w:r w:rsidRPr="00E2075B">
        <w:t>njezin put prema Europskoj uniji</w:t>
      </w:r>
      <w:r w:rsidR="000D247F" w:rsidRPr="00E2075B">
        <w:t xml:space="preserve">. </w:t>
      </w:r>
      <w:r w:rsidR="00711335">
        <w:t>P</w:t>
      </w:r>
      <w:r w:rsidR="00F07E23" w:rsidRPr="00E2075B">
        <w:t xml:space="preserve">rovedbom razvojnih i humanitarnih </w:t>
      </w:r>
      <w:r w:rsidRPr="00E2075B">
        <w:t>projekata</w:t>
      </w:r>
      <w:r w:rsidR="00711335">
        <w:t xml:space="preserve">, </w:t>
      </w:r>
      <w:r w:rsidR="00711335" w:rsidRPr="00E2075B">
        <w:t>Republika Hrvatska</w:t>
      </w:r>
      <w:r w:rsidRPr="00E2075B">
        <w:t xml:space="preserve"> ima za cilj podržati politički, društveni i gospoda</w:t>
      </w:r>
      <w:r w:rsidR="000D247F" w:rsidRPr="00E2075B">
        <w:t xml:space="preserve">rski razvoj Bosne i Hercegovine te daje svoj doprinos u jačanju standarda na svim područjima, što je u interesu i Bosne i Hercegovine kao i svih njenih građana, uključujući pripadnike konstitutivnog hrvatskog naroda. </w:t>
      </w:r>
      <w:r w:rsidR="00930E13">
        <w:t xml:space="preserve">U </w:t>
      </w:r>
      <w:r w:rsidRPr="00E2075B">
        <w:t>20</w:t>
      </w:r>
      <w:r w:rsidR="00F07E23" w:rsidRPr="00E2075B">
        <w:t>20</w:t>
      </w:r>
      <w:r w:rsidRPr="00E2075B">
        <w:t>. godin</w:t>
      </w:r>
      <w:r w:rsidR="00930E13">
        <w:t>i</w:t>
      </w:r>
      <w:r w:rsidRPr="00E2075B">
        <w:t xml:space="preserve"> proveden</w:t>
      </w:r>
      <w:r w:rsidR="00522C9F">
        <w:t>o</w:t>
      </w:r>
      <w:r w:rsidRPr="00E2075B">
        <w:t xml:space="preserve"> </w:t>
      </w:r>
      <w:r w:rsidR="00930E13">
        <w:t>je</w:t>
      </w:r>
      <w:r w:rsidRPr="00E2075B">
        <w:t xml:space="preserve"> </w:t>
      </w:r>
      <w:r w:rsidR="000D247F" w:rsidRPr="00E2075B">
        <w:t xml:space="preserve">ukupno </w:t>
      </w:r>
      <w:r w:rsidR="00522C9F">
        <w:t>215</w:t>
      </w:r>
      <w:r w:rsidRPr="00E2075B">
        <w:t xml:space="preserve"> projek</w:t>
      </w:r>
      <w:r w:rsidR="00522C9F">
        <w:t>a</w:t>
      </w:r>
      <w:r w:rsidRPr="00E2075B">
        <w:t>t</w:t>
      </w:r>
      <w:r w:rsidR="00522C9F">
        <w:t>a</w:t>
      </w:r>
      <w:r w:rsidRPr="00E2075B">
        <w:t xml:space="preserve"> s ciljem jačanja i poticanja dostojanstva svake ljudske osobe, mira, sigurnosti i razvoja demokratskih institucija, gospodarstva, kulture, poljoprivrede, sporta, znanosti i razvoja infrastrukture. </w:t>
      </w:r>
      <w:r w:rsidR="000D247F" w:rsidRPr="00E2075B">
        <w:t>Osim po broju</w:t>
      </w:r>
      <w:r w:rsidRPr="00E2075B">
        <w:t xml:space="preserve"> provedenih projekata</w:t>
      </w:r>
      <w:r w:rsidR="000D247F" w:rsidRPr="00E2075B">
        <w:t xml:space="preserve">, </w:t>
      </w:r>
      <w:r w:rsidRPr="00E2075B">
        <w:t xml:space="preserve">Bosna i Hercegovina je na prvom mjestu </w:t>
      </w:r>
      <w:r w:rsidR="000D247F" w:rsidRPr="00E2075B">
        <w:t xml:space="preserve">i </w:t>
      </w:r>
      <w:r w:rsidRPr="00E2075B">
        <w:t>po dodijeljenoj bilateralnoj službenoj razvojnoj pomoći Republike Hrvatske</w:t>
      </w:r>
      <w:r w:rsidR="006B1077">
        <w:t>,</w:t>
      </w:r>
      <w:r w:rsidRPr="00E2075B">
        <w:rPr>
          <w:rStyle w:val="longtext1"/>
          <w:sz w:val="24"/>
        </w:rPr>
        <w:t xml:space="preserve"> s ukupno</w:t>
      </w:r>
      <w:r w:rsidR="00930E13">
        <w:rPr>
          <w:rStyle w:val="longtext1"/>
          <w:sz w:val="24"/>
        </w:rPr>
        <w:t xml:space="preserve">m vrijednosti SRP od </w:t>
      </w:r>
      <w:r w:rsidRPr="00E2075B">
        <w:rPr>
          <w:rStyle w:val="longtext1"/>
          <w:sz w:val="24"/>
        </w:rPr>
        <w:t>8</w:t>
      </w:r>
      <w:r w:rsidR="00522C9F">
        <w:rPr>
          <w:rStyle w:val="longtext1"/>
          <w:sz w:val="24"/>
        </w:rPr>
        <w:t>1</w:t>
      </w:r>
      <w:r w:rsidRPr="00E2075B">
        <w:rPr>
          <w:rStyle w:val="longtext1"/>
          <w:sz w:val="24"/>
        </w:rPr>
        <w:t>,</w:t>
      </w:r>
      <w:r w:rsidR="00136289">
        <w:rPr>
          <w:rStyle w:val="longtext1"/>
          <w:sz w:val="24"/>
        </w:rPr>
        <w:t>54</w:t>
      </w:r>
      <w:r w:rsidRPr="00E2075B">
        <w:rPr>
          <w:rStyle w:val="longtext1"/>
          <w:sz w:val="24"/>
        </w:rPr>
        <w:t xml:space="preserve"> milijuna kun</w:t>
      </w:r>
      <w:r w:rsidR="00930E13">
        <w:rPr>
          <w:rStyle w:val="longtext1"/>
          <w:sz w:val="24"/>
        </w:rPr>
        <w:t>a</w:t>
      </w:r>
      <w:r w:rsidRPr="00E2075B">
        <w:rPr>
          <w:rStyle w:val="longtext1"/>
          <w:sz w:val="24"/>
        </w:rPr>
        <w:t xml:space="preserve">. </w:t>
      </w:r>
    </w:p>
    <w:p w14:paraId="35C687A4" w14:textId="77777777" w:rsidR="00CC221E" w:rsidRPr="00E2075B" w:rsidRDefault="00953941" w:rsidP="00CC221E">
      <w:pPr>
        <w:jc w:val="both"/>
      </w:pPr>
      <w:r w:rsidRPr="00E2075B">
        <w:rPr>
          <w:rStyle w:val="longtext1"/>
          <w:sz w:val="24"/>
        </w:rPr>
        <w:t>U godini obilježenoj pandemijom bolesti COVID-19, za povećanje kvalitete i otpornosti zdravstvenog sustava Bosne i Hercegovine izdvojen</w:t>
      </w:r>
      <w:r w:rsidR="00930E13">
        <w:rPr>
          <w:rStyle w:val="longtext1"/>
          <w:sz w:val="24"/>
        </w:rPr>
        <w:t>o je</w:t>
      </w:r>
      <w:r w:rsidRPr="00E2075B">
        <w:rPr>
          <w:rStyle w:val="longtext1"/>
          <w:sz w:val="24"/>
        </w:rPr>
        <w:t xml:space="preserve"> 42,10 milijuna kuna pomoći. </w:t>
      </w:r>
      <w:r w:rsidR="00CC221E" w:rsidRPr="00E2075B">
        <w:t xml:space="preserve">Projektima usmjerenima na jačanje mira, sigurnosti i razvoja demokratskih institucija pomoglo se radu </w:t>
      </w:r>
      <w:r w:rsidR="00930E13">
        <w:t xml:space="preserve">veteranskih </w:t>
      </w:r>
      <w:r w:rsidR="00CC221E" w:rsidRPr="00E2075B">
        <w:t>udrug</w:t>
      </w:r>
      <w:r w:rsidR="00930E13">
        <w:t>a i</w:t>
      </w:r>
      <w:r w:rsidR="00CC221E" w:rsidRPr="00E2075B">
        <w:t xml:space="preserve"> jačanju </w:t>
      </w:r>
      <w:r w:rsidR="00930E13">
        <w:t>kapaciteta policijskih snaga</w:t>
      </w:r>
      <w:r w:rsidR="00CC221E" w:rsidRPr="00E2075B">
        <w:t>. S ciljem jačanja odgovornog gospodarskog razvoja provodili su se projekti digitalizacije, uključujući potporu kvalitetnijem radu internetskih portala koji za cilj imaju promociju hrvatskog jezika i kulture. Projekti provedeni u području kulture odnose se na izgradnju, rekonstrukciju i opremanje kulturnih ustanova (npr.</w:t>
      </w:r>
      <w:r w:rsidRPr="00E2075B">
        <w:t xml:space="preserve"> muzeji, kulturni spomenici, prostorije udruga i višenamjenske crkvene prostorije</w:t>
      </w:r>
      <w:r w:rsidR="00CC221E" w:rsidRPr="00E2075B">
        <w:t>), organizaciju kulturnih događaja te tiskanje i promociju časopisa, brošura, monografija, biografija i sl.</w:t>
      </w:r>
      <w:r w:rsidR="00930E13">
        <w:t>,</w:t>
      </w:r>
      <w:r w:rsidR="00CC221E" w:rsidRPr="00E2075B">
        <w:t xml:space="preserve"> s ciljem </w:t>
      </w:r>
      <w:r w:rsidR="00930E13">
        <w:t>očuvanja</w:t>
      </w:r>
      <w:r w:rsidR="00CC221E" w:rsidRPr="00E2075B">
        <w:t xml:space="preserve"> bogatog kulturnog nasljeđa Hrvata u Bosni i Hercegovini. </w:t>
      </w:r>
    </w:p>
    <w:p w14:paraId="1C4E7174" w14:textId="77777777" w:rsidR="00CC221E" w:rsidRPr="00E2075B" w:rsidRDefault="00CC221E" w:rsidP="00CC221E">
      <w:pPr>
        <w:jc w:val="both"/>
        <w:rPr>
          <w:u w:val="single"/>
        </w:rPr>
      </w:pPr>
    </w:p>
    <w:p w14:paraId="08631E93" w14:textId="77777777" w:rsidR="00AF1B53" w:rsidRPr="00E2075B" w:rsidRDefault="00CC221E" w:rsidP="00AF1B53">
      <w:pPr>
        <w:jc w:val="both"/>
      </w:pPr>
      <w:r w:rsidRPr="00E2075B">
        <w:t xml:space="preserve">Projekti vezani uz razvoj infrastrukture za cilj imaju osigurati bolje životne uvjete kao preduvjet razvoja zajednice kroz izgradnju vodovodne mreže, rekonstrukciju prometnica, izgradnju i obnovu zgrada ili proizvodnih pogona. </w:t>
      </w:r>
      <w:r w:rsidR="00AF1B53" w:rsidRPr="00E2075B">
        <w:t>Nabavom odgovarajuće mehanizacije, strojeva i opreme potiče se revitalizacija poljoprivredne proizvodnje kao jedne od najvažnijih grana gospodarstva, dok poticaji za jačanje obiteljskih poljoprivrednih gospodarstava osiguravaju uvjete za ostanak i povratak lokalnog stanovništva. Projekti usmjereni na izgradnju, obnovu i opremanje sportskih objekata te organizaciju sportskih događaja za cilj imaju unaprijediti životne uvjete u zajednici, prvenstveno djece i mladih. Provedbom razvojnih projekata revitalizacije spomeničke i drugih oblika kulturne baštine hrvatskog naroda u inozemstvu pridonosi se vrijednosti cjelokupnog kulturno-umjetničkog nasljeđa država primateljica.</w:t>
      </w:r>
    </w:p>
    <w:p w14:paraId="5D98A00D" w14:textId="77777777" w:rsidR="00CC221E" w:rsidRPr="00E2075B" w:rsidRDefault="00CC221E" w:rsidP="00CC221E">
      <w:pPr>
        <w:jc w:val="both"/>
        <w:rPr>
          <w:u w:val="single"/>
        </w:rPr>
      </w:pPr>
    </w:p>
    <w:p w14:paraId="43410AD5" w14:textId="77777777" w:rsidR="000D247F" w:rsidRPr="00E2075B" w:rsidRDefault="00CC221E" w:rsidP="000D247F">
      <w:pPr>
        <w:jc w:val="both"/>
      </w:pPr>
      <w:bookmarkStart w:id="12" w:name="_Hlk74826444"/>
      <w:r w:rsidRPr="00E2075B">
        <w:t>Uz razvijenu višesektorsku bilateralnu pomoć, Republika Hrvatska je dodatno u 20</w:t>
      </w:r>
      <w:r w:rsidR="000D247F" w:rsidRPr="00E2075B">
        <w:t>20</w:t>
      </w:r>
      <w:r w:rsidRPr="00E2075B">
        <w:t>. godini usmjerila prema Bosni i Hercegovini iznos od 1</w:t>
      </w:r>
      <w:r w:rsidR="00436DB1">
        <w:t>,13 milijuna kuna</w:t>
      </w:r>
      <w:r w:rsidR="00930E13">
        <w:t xml:space="preserve"> </w:t>
      </w:r>
      <w:r w:rsidR="00436DB1">
        <w:t xml:space="preserve">u sklopu </w:t>
      </w:r>
      <w:r w:rsidRPr="00E2075B">
        <w:t xml:space="preserve">programa Inicijative gospodarske otpornosti </w:t>
      </w:r>
      <w:r w:rsidR="000D247F" w:rsidRPr="00E2075B">
        <w:t xml:space="preserve">(ERI) </w:t>
      </w:r>
      <w:r w:rsidRPr="00E2075B">
        <w:t>Europske investicijske banke</w:t>
      </w:r>
      <w:r w:rsidR="000D247F" w:rsidRPr="00E2075B">
        <w:t xml:space="preserve">. ERI inicijativa cilja na pružanje podrške održivom razvoju, vitalnoj infrastrukturi i socijalnoj koheziji, na način da razvija gospodarsku otpornost u izbjegličkom krizom pogođenim zemljama, kako bi se unatoč krizi zadržao rast i razvoj u tim zemljama. Ukupna obveza za trogodišnje razdoblje od 2018. godine do 2020. godine iznosi 500.000 eura </w:t>
      </w:r>
      <w:r w:rsidR="00436DB1">
        <w:t xml:space="preserve">u kunskoj protuvrijednosti </w:t>
      </w:r>
      <w:r w:rsidR="000D247F" w:rsidRPr="00E2075B">
        <w:t>i ovom uplatom Republika Hrvatska je u potpunosti izvršila preuzetu obvezu u suradnji s Europskom investicijskom bankom.</w:t>
      </w:r>
    </w:p>
    <w:bookmarkEnd w:id="12"/>
    <w:p w14:paraId="31496DBD" w14:textId="77777777" w:rsidR="000D247F" w:rsidRPr="00E2075B" w:rsidRDefault="000D247F" w:rsidP="00CC221E">
      <w:pPr>
        <w:jc w:val="both"/>
      </w:pPr>
    </w:p>
    <w:p w14:paraId="6903B5C3" w14:textId="77777777" w:rsidR="00CC221E" w:rsidRDefault="00CC221E" w:rsidP="00CC221E">
      <w:pPr>
        <w:jc w:val="both"/>
        <w:rPr>
          <w:bCs/>
        </w:rPr>
      </w:pPr>
      <w:r w:rsidRPr="00E2075B">
        <w:rPr>
          <w:bCs/>
        </w:rPr>
        <w:t xml:space="preserve">Osim naglaska na Bosnu i Hercegovinu kao programsku državu, Republika Hrvatska nastavlja dosljedno zagovarati potrebu suradnje i pružanja potpore zemljama jugoistočne Europe, osobito u kontekstu procesa proširenja Europske unije. </w:t>
      </w:r>
      <w:r w:rsidR="006B1B9E" w:rsidRPr="00E2075B">
        <w:t>Snažna potpora koju Republika Hrvatska pruža nastavku procesa proširenja Europske unije na sve zemlje u jugoistočnoj Europi temelji se na načelima vjerodostojnosti</w:t>
      </w:r>
      <w:r w:rsidR="000162BA">
        <w:t xml:space="preserve"> i vrednovanja vlastitih postignuća</w:t>
      </w:r>
      <w:r w:rsidR="006B1B9E" w:rsidRPr="00E2075B">
        <w:t xml:space="preserve">, </w:t>
      </w:r>
      <w:r w:rsidR="006B1B9E">
        <w:t xml:space="preserve">čime se </w:t>
      </w:r>
      <w:r w:rsidR="006B1B9E" w:rsidRPr="00E2075B">
        <w:t>djelotvorno potiču reformsk</w:t>
      </w:r>
      <w:r w:rsidR="006B1B9E">
        <w:t>i</w:t>
      </w:r>
      <w:r w:rsidR="006B1B9E" w:rsidRPr="00E2075B">
        <w:t xml:space="preserve"> proces</w:t>
      </w:r>
      <w:r w:rsidR="006B1B9E">
        <w:t xml:space="preserve">i u državama jugoistoka Europe. </w:t>
      </w:r>
      <w:r w:rsidRPr="00E2075B">
        <w:rPr>
          <w:bCs/>
        </w:rPr>
        <w:t>Prijenos nacionalnih znanja i iskustava iz procesa pristupanja EU, što se posebno odnosi na pružanje tehničke pomoći kroz sudjelovanje hrvatskih stručnjaka putem instrumenata TAIEX i Twinning, odgovor</w:t>
      </w:r>
      <w:r w:rsidR="00930E13">
        <w:rPr>
          <w:bCs/>
        </w:rPr>
        <w:t xml:space="preserve"> je na iskazane </w:t>
      </w:r>
      <w:r w:rsidRPr="00E2075B">
        <w:rPr>
          <w:bCs/>
        </w:rPr>
        <w:t xml:space="preserve">potrebe partnerskih država i pruža ekspertizu koja im je relevantna. </w:t>
      </w:r>
    </w:p>
    <w:p w14:paraId="4E60EC54" w14:textId="77777777" w:rsidR="000162BA" w:rsidRPr="00E2075B" w:rsidRDefault="000162BA" w:rsidP="00CC221E">
      <w:pPr>
        <w:jc w:val="both"/>
        <w:rPr>
          <w:bCs/>
        </w:rPr>
      </w:pPr>
    </w:p>
    <w:p w14:paraId="77574155" w14:textId="77777777" w:rsidR="001961D6" w:rsidRPr="00E2075B" w:rsidRDefault="00001C6F" w:rsidP="00CC221E">
      <w:pPr>
        <w:jc w:val="both"/>
        <w:rPr>
          <w:bCs/>
        </w:rPr>
      </w:pPr>
      <w:r w:rsidRPr="00E2075B">
        <w:rPr>
          <w:b/>
          <w:bCs/>
        </w:rPr>
        <w:t>Republika Albanija</w:t>
      </w:r>
      <w:r w:rsidRPr="00E2075B">
        <w:rPr>
          <w:bCs/>
        </w:rPr>
        <w:t xml:space="preserve"> nalazi se n</w:t>
      </w:r>
      <w:r w:rsidR="00CC221E" w:rsidRPr="00E2075B">
        <w:rPr>
          <w:bCs/>
        </w:rPr>
        <w:t>a drugom mjestu po dodijeljeno</w:t>
      </w:r>
      <w:r w:rsidR="006B1B9E">
        <w:rPr>
          <w:bCs/>
        </w:rPr>
        <w:t xml:space="preserve">m bilateralnom SRP na području </w:t>
      </w:r>
      <w:r w:rsidR="009851B2">
        <w:rPr>
          <w:bCs/>
        </w:rPr>
        <w:t>j</w:t>
      </w:r>
      <w:r w:rsidR="006B1B9E">
        <w:rPr>
          <w:bCs/>
        </w:rPr>
        <w:t>ug</w:t>
      </w:r>
      <w:r w:rsidR="00CC221E" w:rsidRPr="00E2075B">
        <w:rPr>
          <w:bCs/>
        </w:rPr>
        <w:t>oistočne Europe</w:t>
      </w:r>
      <w:r w:rsidR="00C61C81" w:rsidRPr="00E2075B">
        <w:rPr>
          <w:bCs/>
        </w:rPr>
        <w:t xml:space="preserve">. </w:t>
      </w:r>
      <w:r w:rsidR="006F7950" w:rsidRPr="00E2075B">
        <w:rPr>
          <w:bCs/>
        </w:rPr>
        <w:t xml:space="preserve">Vlada Republike Hrvatske uputila je Republici Albaniji žurnu humanitarnu pomoć </w:t>
      </w:r>
      <w:r w:rsidR="006B1B9E">
        <w:rPr>
          <w:bCs/>
        </w:rPr>
        <w:t>u medicinskoj opremi u svrhu potpore suzbijanju posljedica bolesti COVID-19. Kako je ranije istaknuto,</w:t>
      </w:r>
      <w:r w:rsidR="006F7950" w:rsidRPr="00E2075B">
        <w:rPr>
          <w:bCs/>
        </w:rPr>
        <w:t xml:space="preserve"> </w:t>
      </w:r>
      <w:r w:rsidR="006B1B9E">
        <w:rPr>
          <w:bCs/>
        </w:rPr>
        <w:t>p</w:t>
      </w:r>
      <w:r w:rsidR="006F7950" w:rsidRPr="00E2075B">
        <w:rPr>
          <w:bCs/>
        </w:rPr>
        <w:t xml:space="preserve">rojekt </w:t>
      </w:r>
      <w:r w:rsidR="006B1B9E">
        <w:rPr>
          <w:bCs/>
        </w:rPr>
        <w:t xml:space="preserve">obnove osnovne </w:t>
      </w:r>
      <w:r w:rsidR="006F7950" w:rsidRPr="00E2075B">
        <w:rPr>
          <w:bCs/>
        </w:rPr>
        <w:t xml:space="preserve">škole </w:t>
      </w:r>
      <w:r w:rsidR="006B1B9E">
        <w:rPr>
          <w:bCs/>
        </w:rPr>
        <w:t>uništene u potresu u Albaniji pojedinačno je najveći bilateralni projekt SRP Vlade Republike Hrvatske. Projekt je vrijedan 7,</w:t>
      </w:r>
      <w:r w:rsidR="00522C9F">
        <w:rPr>
          <w:bCs/>
        </w:rPr>
        <w:t>54</w:t>
      </w:r>
      <w:r w:rsidR="006B1B9E">
        <w:rPr>
          <w:bCs/>
        </w:rPr>
        <w:t xml:space="preserve"> milijuna kuna i provodi ga MVEP u suradnji s </w:t>
      </w:r>
      <w:r w:rsidR="006F7950" w:rsidRPr="00E2075B">
        <w:rPr>
          <w:bCs/>
        </w:rPr>
        <w:t>UNDP</w:t>
      </w:r>
      <w:r w:rsidR="006B1B9E">
        <w:rPr>
          <w:bCs/>
        </w:rPr>
        <w:t>-em</w:t>
      </w:r>
      <w:r w:rsidR="006F7950" w:rsidRPr="00E2075B">
        <w:rPr>
          <w:bCs/>
        </w:rPr>
        <w:t xml:space="preserve">. </w:t>
      </w:r>
      <w:r w:rsidR="00C61C81" w:rsidRPr="00E2075B">
        <w:rPr>
          <w:bCs/>
        </w:rPr>
        <w:t>Višegodišnji projekt „Upravljanje morskim i obalnim onečišćenjem s ciljem povećanja sigurnosti na moru i u lukama sukladno Pomorskom pravu i politici Europske unije“</w:t>
      </w:r>
      <w:r w:rsidR="006B1B9E">
        <w:rPr>
          <w:bCs/>
        </w:rPr>
        <w:t>,</w:t>
      </w:r>
      <w:r w:rsidR="00C61C81" w:rsidRPr="00E2075B">
        <w:rPr>
          <w:bCs/>
        </w:rPr>
        <w:t xml:space="preserve"> koji se </w:t>
      </w:r>
      <w:r w:rsidR="006B1B9E">
        <w:rPr>
          <w:bCs/>
        </w:rPr>
        <w:t xml:space="preserve">u Albaniji također </w:t>
      </w:r>
      <w:r w:rsidR="00C61C81" w:rsidRPr="00E2075B">
        <w:rPr>
          <w:bCs/>
        </w:rPr>
        <w:t>provodi u suradnji s UNDP-om</w:t>
      </w:r>
      <w:r w:rsidR="006B1B9E">
        <w:rPr>
          <w:bCs/>
        </w:rPr>
        <w:t>,</w:t>
      </w:r>
      <w:r w:rsidR="00C61C81" w:rsidRPr="00E2075B">
        <w:rPr>
          <w:bCs/>
        </w:rPr>
        <w:t xml:space="preserve"> uspješno je završen u 2020. godini.</w:t>
      </w:r>
    </w:p>
    <w:p w14:paraId="69724C84" w14:textId="77777777" w:rsidR="006F7950" w:rsidRPr="00E2075B" w:rsidRDefault="006F7950" w:rsidP="00CC221E">
      <w:pPr>
        <w:jc w:val="both"/>
        <w:rPr>
          <w:bCs/>
        </w:rPr>
      </w:pPr>
    </w:p>
    <w:p w14:paraId="60EE60DB" w14:textId="77777777" w:rsidR="00CC221E" w:rsidRPr="00E2075B" w:rsidRDefault="00CC221E" w:rsidP="00CC221E">
      <w:pPr>
        <w:jc w:val="both"/>
        <w:rPr>
          <w:bCs/>
        </w:rPr>
      </w:pPr>
      <w:r w:rsidRPr="00E2075B">
        <w:rPr>
          <w:bCs/>
        </w:rPr>
        <w:t xml:space="preserve">Većina projekata u </w:t>
      </w:r>
      <w:r w:rsidR="00001C6F" w:rsidRPr="00E2075B">
        <w:rPr>
          <w:b/>
          <w:bCs/>
        </w:rPr>
        <w:t>Republici Srbiji</w:t>
      </w:r>
      <w:r w:rsidR="00001C6F" w:rsidRPr="00E2075B">
        <w:rPr>
          <w:bCs/>
        </w:rPr>
        <w:t xml:space="preserve"> je </w:t>
      </w:r>
      <w:r w:rsidR="00F747EB">
        <w:rPr>
          <w:bCs/>
        </w:rPr>
        <w:t xml:space="preserve">provedena </w:t>
      </w:r>
      <w:r w:rsidR="006B1B9E">
        <w:rPr>
          <w:bCs/>
        </w:rPr>
        <w:t>na</w:t>
      </w:r>
      <w:r w:rsidR="00001C6F" w:rsidRPr="00E2075B">
        <w:rPr>
          <w:bCs/>
        </w:rPr>
        <w:t xml:space="preserve"> </w:t>
      </w:r>
      <w:r w:rsidRPr="00E2075B">
        <w:rPr>
          <w:bCs/>
        </w:rPr>
        <w:t>području kulture s</w:t>
      </w:r>
      <w:r w:rsidRPr="00E2075B">
        <w:rPr>
          <w:color w:val="FF0000"/>
          <w:shd w:val="clear" w:color="auto" w:fill="FFFFFF"/>
        </w:rPr>
        <w:t xml:space="preserve"> </w:t>
      </w:r>
      <w:r w:rsidRPr="00E2075B">
        <w:rPr>
          <w:bCs/>
        </w:rPr>
        <w:t xml:space="preserve">naglaskom na zaštitu kulturne baštine, organizaciju konferencija i predavanja vezanih za povijesne, književne i jezične teme koje su namijenjene </w:t>
      </w:r>
      <w:r w:rsidR="008F50FB">
        <w:rPr>
          <w:bCs/>
        </w:rPr>
        <w:t xml:space="preserve">prvenstveno </w:t>
      </w:r>
      <w:r w:rsidRPr="00E2075B">
        <w:rPr>
          <w:bCs/>
        </w:rPr>
        <w:t xml:space="preserve">Hrvatima, ali i drugim manjinskim zajednicama u Srbiji. </w:t>
      </w:r>
      <w:r w:rsidR="00001C6F" w:rsidRPr="00E2075B">
        <w:rPr>
          <w:bCs/>
        </w:rPr>
        <w:t xml:space="preserve">Ukupno je provedeno </w:t>
      </w:r>
      <w:r w:rsidR="00522C9F">
        <w:rPr>
          <w:bCs/>
        </w:rPr>
        <w:t>7</w:t>
      </w:r>
      <w:r w:rsidR="00001C6F" w:rsidRPr="00E2075B">
        <w:rPr>
          <w:bCs/>
        </w:rPr>
        <w:t xml:space="preserve">9 projekata u iznosu od </w:t>
      </w:r>
      <w:r w:rsidR="00522C9F">
        <w:rPr>
          <w:bCs/>
        </w:rPr>
        <w:t>1</w:t>
      </w:r>
      <w:r w:rsidR="00001C6F" w:rsidRPr="00E2075B">
        <w:rPr>
          <w:bCs/>
        </w:rPr>
        <w:t>.</w:t>
      </w:r>
      <w:r w:rsidR="00522C9F">
        <w:rPr>
          <w:bCs/>
        </w:rPr>
        <w:t>956</w:t>
      </w:r>
      <w:r w:rsidR="00001C6F" w:rsidRPr="00E2075B">
        <w:rPr>
          <w:bCs/>
        </w:rPr>
        <w:t>.</w:t>
      </w:r>
      <w:r w:rsidR="00522C9F">
        <w:rPr>
          <w:bCs/>
        </w:rPr>
        <w:t>000</w:t>
      </w:r>
      <w:r w:rsidR="00001C6F" w:rsidRPr="00E2075B">
        <w:rPr>
          <w:bCs/>
        </w:rPr>
        <w:t>,00 kuna.</w:t>
      </w:r>
    </w:p>
    <w:p w14:paraId="3406A9E5" w14:textId="77777777" w:rsidR="00CC221E" w:rsidRPr="00E2075B" w:rsidRDefault="00CC221E" w:rsidP="00CC221E">
      <w:pPr>
        <w:jc w:val="both"/>
        <w:rPr>
          <w:bCs/>
          <w:u w:val="single"/>
        </w:rPr>
      </w:pPr>
    </w:p>
    <w:p w14:paraId="7EB08516" w14:textId="77777777" w:rsidR="00001C6F" w:rsidRPr="00E2075B" w:rsidRDefault="00CC221E" w:rsidP="00CC221E">
      <w:pPr>
        <w:jc w:val="both"/>
        <w:rPr>
          <w:bCs/>
        </w:rPr>
      </w:pPr>
      <w:r w:rsidRPr="00E2075B">
        <w:rPr>
          <w:bCs/>
        </w:rPr>
        <w:t xml:space="preserve">U </w:t>
      </w:r>
      <w:r w:rsidRPr="00E2075B">
        <w:rPr>
          <w:b/>
          <w:bCs/>
        </w:rPr>
        <w:t>Crnoj Gori</w:t>
      </w:r>
      <w:r w:rsidRPr="00E2075B">
        <w:rPr>
          <w:bCs/>
        </w:rPr>
        <w:t xml:space="preserve"> provedeni su projekti </w:t>
      </w:r>
      <w:r w:rsidR="006B1B9E">
        <w:rPr>
          <w:bCs/>
        </w:rPr>
        <w:t>na</w:t>
      </w:r>
      <w:r w:rsidRPr="00E2075B">
        <w:rPr>
          <w:bCs/>
        </w:rPr>
        <w:t xml:space="preserve"> području </w:t>
      </w:r>
      <w:r w:rsidR="00001C6F" w:rsidRPr="00E2075B">
        <w:rPr>
          <w:bCs/>
        </w:rPr>
        <w:t>kulture s naglaskom na tiskanje i promociju časopisa s</w:t>
      </w:r>
      <w:r w:rsidR="008122E1">
        <w:rPr>
          <w:bCs/>
        </w:rPr>
        <w:t>a</w:t>
      </w:r>
      <w:r w:rsidR="00001C6F" w:rsidRPr="00E2075B">
        <w:rPr>
          <w:bCs/>
        </w:rPr>
        <w:t xml:space="preserve"> ciljem </w:t>
      </w:r>
      <w:r w:rsidR="006B1B9E">
        <w:rPr>
          <w:bCs/>
        </w:rPr>
        <w:t>promicanja</w:t>
      </w:r>
      <w:r w:rsidR="00001C6F" w:rsidRPr="00E2075B">
        <w:rPr>
          <w:bCs/>
        </w:rPr>
        <w:t xml:space="preserve"> kulturnog nasljeđa Hrvata Boke </w:t>
      </w:r>
      <w:r w:rsidR="008122E1">
        <w:rPr>
          <w:bCs/>
        </w:rPr>
        <w:t>K</w:t>
      </w:r>
      <w:r w:rsidR="00001C6F" w:rsidRPr="00E2075B">
        <w:rPr>
          <w:bCs/>
        </w:rPr>
        <w:t xml:space="preserve">otorske. Hrvatska narodna banka provela je projekt pružanja tehničke pomoći Središnjoj banci Crne Gore. </w:t>
      </w:r>
      <w:r w:rsidR="003C732A" w:rsidRPr="00E2075B">
        <w:rPr>
          <w:bCs/>
        </w:rPr>
        <w:t xml:space="preserve">Projekt iz područja </w:t>
      </w:r>
      <w:r w:rsidR="006B1B9E">
        <w:rPr>
          <w:bCs/>
        </w:rPr>
        <w:t>drugog sektorskog prioriteta Nacionalne strategije - m</w:t>
      </w:r>
      <w:r w:rsidR="003C732A" w:rsidRPr="00E2075B">
        <w:rPr>
          <w:bCs/>
        </w:rPr>
        <w:t>ira i sigurnost</w:t>
      </w:r>
      <w:r w:rsidR="006B1B9E">
        <w:rPr>
          <w:bCs/>
        </w:rPr>
        <w:t xml:space="preserve"> te</w:t>
      </w:r>
      <w:r w:rsidR="003C732A" w:rsidRPr="00E2075B">
        <w:rPr>
          <w:bCs/>
        </w:rPr>
        <w:t xml:space="preserve"> razvoj</w:t>
      </w:r>
      <w:r w:rsidR="000162BA">
        <w:rPr>
          <w:bCs/>
        </w:rPr>
        <w:t>a</w:t>
      </w:r>
      <w:r w:rsidR="003C732A" w:rsidRPr="00E2075B">
        <w:rPr>
          <w:bCs/>
        </w:rPr>
        <w:t xml:space="preserve"> demokratskih institucija</w:t>
      </w:r>
      <w:r w:rsidR="006B1B9E">
        <w:rPr>
          <w:bCs/>
        </w:rPr>
        <w:t>,</w:t>
      </w:r>
      <w:r w:rsidR="003C732A" w:rsidRPr="00E2075B">
        <w:rPr>
          <w:bCs/>
        </w:rPr>
        <w:t xml:space="preserve"> provodi </w:t>
      </w:r>
      <w:r w:rsidR="00001C6F" w:rsidRPr="00E2075B">
        <w:rPr>
          <w:bCs/>
        </w:rPr>
        <w:t xml:space="preserve">Ministarstvo unutarnjih poslova Republike Hrvatske temeljem Protokola </w:t>
      </w:r>
      <w:r w:rsidR="006B1B9E">
        <w:rPr>
          <w:bCs/>
        </w:rPr>
        <w:t xml:space="preserve">o suradnji tijekom turističke sezone </w:t>
      </w:r>
      <w:r w:rsidR="00001C6F" w:rsidRPr="00E2075B">
        <w:rPr>
          <w:bCs/>
        </w:rPr>
        <w:t>s Ministarstvom unutarnjih poslova Crne Gore.</w:t>
      </w:r>
      <w:r w:rsidR="003C732A" w:rsidRPr="00E2075B">
        <w:rPr>
          <w:bCs/>
        </w:rPr>
        <w:t xml:space="preserve"> U</w:t>
      </w:r>
      <w:r w:rsidR="00436DB1">
        <w:rPr>
          <w:bCs/>
        </w:rPr>
        <w:t xml:space="preserve"> Crnoj Gori u</w:t>
      </w:r>
      <w:r w:rsidR="003C732A" w:rsidRPr="00E2075B">
        <w:rPr>
          <w:bCs/>
        </w:rPr>
        <w:t xml:space="preserve">kupno je realizirano </w:t>
      </w:r>
      <w:r w:rsidR="00522C9F">
        <w:rPr>
          <w:bCs/>
        </w:rPr>
        <w:t>13</w:t>
      </w:r>
      <w:r w:rsidR="003C732A" w:rsidRPr="00E2075B">
        <w:rPr>
          <w:bCs/>
        </w:rPr>
        <w:t xml:space="preserve"> projekata u vrijednosti </w:t>
      </w:r>
      <w:r w:rsidR="00522C9F">
        <w:rPr>
          <w:bCs/>
        </w:rPr>
        <w:t>524</w:t>
      </w:r>
      <w:r w:rsidR="003C732A" w:rsidRPr="00E2075B">
        <w:rPr>
          <w:bCs/>
        </w:rPr>
        <w:t>.400,00 kuna.</w:t>
      </w:r>
    </w:p>
    <w:p w14:paraId="54EEA775" w14:textId="77777777" w:rsidR="00CC221E" w:rsidRPr="00E2075B" w:rsidRDefault="00CC221E" w:rsidP="00CC221E">
      <w:pPr>
        <w:jc w:val="both"/>
        <w:rPr>
          <w:bCs/>
          <w:u w:val="single"/>
        </w:rPr>
      </w:pPr>
    </w:p>
    <w:p w14:paraId="629B271E" w14:textId="77777777" w:rsidR="003C732A" w:rsidRPr="00E2075B" w:rsidRDefault="00CC221E" w:rsidP="003C732A">
      <w:pPr>
        <w:jc w:val="both"/>
        <w:rPr>
          <w:bCs/>
        </w:rPr>
      </w:pPr>
      <w:r w:rsidRPr="00E2075B">
        <w:rPr>
          <w:bCs/>
        </w:rPr>
        <w:t xml:space="preserve">U </w:t>
      </w:r>
      <w:r w:rsidRPr="00E2075B">
        <w:rPr>
          <w:b/>
          <w:bCs/>
        </w:rPr>
        <w:t>Republici Sjevernoj Makedoniji</w:t>
      </w:r>
      <w:r w:rsidRPr="00E2075B">
        <w:rPr>
          <w:bCs/>
        </w:rPr>
        <w:t xml:space="preserve"> proveden</w:t>
      </w:r>
      <w:r w:rsidR="003C732A" w:rsidRPr="00E2075B">
        <w:rPr>
          <w:bCs/>
        </w:rPr>
        <w:t>i</w:t>
      </w:r>
      <w:r w:rsidRPr="00E2075B">
        <w:rPr>
          <w:bCs/>
        </w:rPr>
        <w:t xml:space="preserve"> </w:t>
      </w:r>
      <w:r w:rsidR="003C732A" w:rsidRPr="00E2075B">
        <w:rPr>
          <w:bCs/>
        </w:rPr>
        <w:t xml:space="preserve">su </w:t>
      </w:r>
      <w:r w:rsidRPr="00E2075B">
        <w:rPr>
          <w:bCs/>
        </w:rPr>
        <w:t>projekt</w:t>
      </w:r>
      <w:r w:rsidR="003C732A" w:rsidRPr="00E2075B">
        <w:rPr>
          <w:bCs/>
        </w:rPr>
        <w:t>i</w:t>
      </w:r>
      <w:r w:rsidRPr="00E2075B">
        <w:rPr>
          <w:bCs/>
        </w:rPr>
        <w:t xml:space="preserve"> </w:t>
      </w:r>
      <w:r w:rsidR="00436DB1">
        <w:rPr>
          <w:bCs/>
        </w:rPr>
        <w:t>na</w:t>
      </w:r>
      <w:r w:rsidRPr="00E2075B">
        <w:rPr>
          <w:bCs/>
        </w:rPr>
        <w:t xml:space="preserve"> području kulture i očuvanja kulturne baštine</w:t>
      </w:r>
      <w:r w:rsidR="003C732A" w:rsidRPr="00E2075B">
        <w:rPr>
          <w:bCs/>
        </w:rPr>
        <w:t xml:space="preserve"> kao i projekt Hrvatske narodne banke kroz pružanje tehničke pomoći Središnjoj banci Sjeverne Makedonije</w:t>
      </w:r>
      <w:r w:rsidRPr="00E2075B">
        <w:rPr>
          <w:bCs/>
        </w:rPr>
        <w:t>. Proveden je projekt Ministarstva unutarnjih poslova kroz bilateralnu suradnju Republike Hrvatske i Sjeverne Makedonije u cilju suzbijanja nezakonitih migracija</w:t>
      </w:r>
      <w:r w:rsidRPr="00E2075B">
        <w:rPr>
          <w:b/>
          <w:bCs/>
        </w:rPr>
        <w:t xml:space="preserve"> </w:t>
      </w:r>
      <w:r w:rsidRPr="00E2075B">
        <w:rPr>
          <w:bCs/>
        </w:rPr>
        <w:t>temeljem Sporazuma</w:t>
      </w:r>
      <w:r w:rsidRPr="00E2075B">
        <w:rPr>
          <w:b/>
          <w:bCs/>
        </w:rPr>
        <w:t xml:space="preserve"> </w:t>
      </w:r>
      <w:r w:rsidRPr="00E2075B">
        <w:rPr>
          <w:bCs/>
        </w:rPr>
        <w:t>između Vlade Republike Hrvat</w:t>
      </w:r>
      <w:r w:rsidR="003C732A" w:rsidRPr="00E2075B">
        <w:rPr>
          <w:bCs/>
        </w:rPr>
        <w:t xml:space="preserve">ske i Vlade Sjeverne Makedonije. Ukupno je realizirano </w:t>
      </w:r>
      <w:r w:rsidR="00522C9F">
        <w:rPr>
          <w:bCs/>
        </w:rPr>
        <w:t>12</w:t>
      </w:r>
      <w:r w:rsidR="003C732A" w:rsidRPr="00E2075B">
        <w:rPr>
          <w:bCs/>
        </w:rPr>
        <w:t xml:space="preserve"> projekata u vrijednosti </w:t>
      </w:r>
      <w:r w:rsidR="00522C9F">
        <w:rPr>
          <w:bCs/>
        </w:rPr>
        <w:t>702</w:t>
      </w:r>
      <w:r w:rsidR="003C732A" w:rsidRPr="00E2075B">
        <w:rPr>
          <w:bCs/>
        </w:rPr>
        <w:t>.000,00 kuna.</w:t>
      </w:r>
    </w:p>
    <w:p w14:paraId="75388E26" w14:textId="77777777" w:rsidR="003C732A" w:rsidRPr="00E2075B" w:rsidRDefault="003C732A" w:rsidP="003C732A">
      <w:pPr>
        <w:jc w:val="both"/>
        <w:rPr>
          <w:bCs/>
        </w:rPr>
      </w:pPr>
    </w:p>
    <w:p w14:paraId="15B2495C" w14:textId="77777777" w:rsidR="00436DB1" w:rsidRPr="00E2075B" w:rsidRDefault="00436DB1" w:rsidP="00436DB1">
      <w:pPr>
        <w:jc w:val="both"/>
        <w:rPr>
          <w:bCs/>
        </w:rPr>
      </w:pPr>
      <w:r w:rsidRPr="00E2075B">
        <w:rPr>
          <w:bCs/>
        </w:rPr>
        <w:t xml:space="preserve">U </w:t>
      </w:r>
      <w:r w:rsidRPr="00E2075B">
        <w:rPr>
          <w:b/>
          <w:bCs/>
        </w:rPr>
        <w:t>Republici Kosovo</w:t>
      </w:r>
      <w:r w:rsidRPr="00E2075B">
        <w:rPr>
          <w:bCs/>
        </w:rPr>
        <w:t xml:space="preserve"> su provedeni projekti </w:t>
      </w:r>
      <w:r>
        <w:rPr>
          <w:bCs/>
        </w:rPr>
        <w:t xml:space="preserve">iz prvog sektorskog prioriteta Nacionalne strategije - </w:t>
      </w:r>
      <w:r w:rsidRPr="00E2075B">
        <w:rPr>
          <w:bCs/>
        </w:rPr>
        <w:t>očuvanj</w:t>
      </w:r>
      <w:r>
        <w:rPr>
          <w:bCs/>
        </w:rPr>
        <w:t>e</w:t>
      </w:r>
      <w:r w:rsidRPr="00E2075B">
        <w:rPr>
          <w:bCs/>
        </w:rPr>
        <w:t xml:space="preserve"> dostojanstva svake ljudske osobe s posebnim naglaskom na humanitarnu pomoć u vidu pružanja pomoći ugroženim osobama. Nastavno na projekt pripremanja toplog obroka za korisnike Narodne kuhinje Letnica, sredstva su usmjerena u nabavu građevinskog materijala za adaptaciju ureda Narodne kuhinje u Letnici koji će služiti za </w:t>
      </w:r>
      <w:r>
        <w:rPr>
          <w:bCs/>
        </w:rPr>
        <w:t>poslovanje i rad ovog tijela</w:t>
      </w:r>
      <w:r w:rsidRPr="00E2075B">
        <w:rPr>
          <w:bCs/>
        </w:rPr>
        <w:t>. Ulaganjem u nastavak rada Centra mladih u Janjevu pridonosi se zaštiti autohtonih prava hrvatske zajednice na Kosovu</w:t>
      </w:r>
      <w:r w:rsidR="000162BA">
        <w:rPr>
          <w:bCs/>
        </w:rPr>
        <w:t>, a u</w:t>
      </w:r>
      <w:r w:rsidRPr="00E2075B">
        <w:rPr>
          <w:bCs/>
        </w:rPr>
        <w:t xml:space="preserve"> sklopu centra pruža se edukacija mladih u Janjevu uz korištenje modernih tehnologija. Ministarstvo znanosti i obrazovanja omogućio je korištenje stipendija studentima iz Republike Kosov</w:t>
      </w:r>
      <w:r w:rsidR="00286190">
        <w:rPr>
          <w:bCs/>
        </w:rPr>
        <w:t>o</w:t>
      </w:r>
      <w:r w:rsidRPr="00E2075B">
        <w:rPr>
          <w:bCs/>
        </w:rPr>
        <w:t xml:space="preserve"> za studiranje u Republici Hrvatskoj.</w:t>
      </w:r>
    </w:p>
    <w:p w14:paraId="73B50425" w14:textId="77777777" w:rsidR="00436DB1" w:rsidRDefault="00436DB1" w:rsidP="003C732A">
      <w:pPr>
        <w:jc w:val="both"/>
        <w:rPr>
          <w:bCs/>
        </w:rPr>
      </w:pPr>
    </w:p>
    <w:p w14:paraId="026CE25A" w14:textId="77777777" w:rsidR="003C732A" w:rsidRPr="00E2075B" w:rsidRDefault="00436DB1" w:rsidP="003C732A">
      <w:pPr>
        <w:jc w:val="both"/>
        <w:rPr>
          <w:bCs/>
        </w:rPr>
      </w:pPr>
      <w:r>
        <w:rPr>
          <w:bCs/>
        </w:rPr>
        <w:t xml:space="preserve">Od projekata provedenih </w:t>
      </w:r>
      <w:r w:rsidRPr="000A7441">
        <w:rPr>
          <w:bCs/>
        </w:rPr>
        <w:t xml:space="preserve">na području </w:t>
      </w:r>
      <w:r w:rsidR="000162BA" w:rsidRPr="000A7441">
        <w:rPr>
          <w:bCs/>
        </w:rPr>
        <w:t>j</w:t>
      </w:r>
      <w:r w:rsidRPr="000A7441">
        <w:rPr>
          <w:bCs/>
        </w:rPr>
        <w:t>ugoistočne Europe izdvaja se projekt</w:t>
      </w:r>
      <w:r>
        <w:rPr>
          <w:bCs/>
        </w:rPr>
        <w:t xml:space="preserve"> u skl</w:t>
      </w:r>
      <w:r w:rsidR="003C732A" w:rsidRPr="00E2075B">
        <w:rPr>
          <w:bCs/>
        </w:rPr>
        <w:t>opu Programa jačanj</w:t>
      </w:r>
      <w:r>
        <w:rPr>
          <w:bCs/>
        </w:rPr>
        <w:t>a</w:t>
      </w:r>
      <w:r w:rsidR="003C732A" w:rsidRPr="00E2075B">
        <w:rPr>
          <w:bCs/>
        </w:rPr>
        <w:t xml:space="preserve"> kapaciteta središnjih banaka zapadnog Balkana </w:t>
      </w:r>
      <w:r>
        <w:rPr>
          <w:bCs/>
        </w:rPr>
        <w:t xml:space="preserve">u cilju </w:t>
      </w:r>
      <w:r w:rsidR="003C732A" w:rsidRPr="00E2075B">
        <w:rPr>
          <w:bCs/>
        </w:rPr>
        <w:t>njihova uključivanja u Eur</w:t>
      </w:r>
      <w:r w:rsidR="00711335">
        <w:rPr>
          <w:bCs/>
        </w:rPr>
        <w:t xml:space="preserve">opski sustav središnjih banaka. Projekt </w:t>
      </w:r>
      <w:r>
        <w:rPr>
          <w:bCs/>
        </w:rPr>
        <w:t xml:space="preserve">provodi </w:t>
      </w:r>
      <w:r w:rsidR="003C732A" w:rsidRPr="00E2075B">
        <w:rPr>
          <w:bCs/>
        </w:rPr>
        <w:t xml:space="preserve">Hrvatska narodna banka </w:t>
      </w:r>
      <w:r>
        <w:rPr>
          <w:bCs/>
        </w:rPr>
        <w:t xml:space="preserve">u suradnji sa </w:t>
      </w:r>
      <w:r w:rsidR="003C732A" w:rsidRPr="00E2075B">
        <w:rPr>
          <w:bCs/>
        </w:rPr>
        <w:t>središnj</w:t>
      </w:r>
      <w:r>
        <w:rPr>
          <w:bCs/>
        </w:rPr>
        <w:t>im</w:t>
      </w:r>
      <w:r w:rsidR="003C732A" w:rsidRPr="00E2075B">
        <w:rPr>
          <w:bCs/>
        </w:rPr>
        <w:t xml:space="preserve"> bank</w:t>
      </w:r>
      <w:r>
        <w:rPr>
          <w:bCs/>
        </w:rPr>
        <w:t>ama</w:t>
      </w:r>
      <w:r w:rsidR="003C732A" w:rsidRPr="00E2075B">
        <w:rPr>
          <w:bCs/>
        </w:rPr>
        <w:t xml:space="preserve"> šest zemalja zapadnog Balkana (Bosna i Hercegovina, Crna Gora, Srbija, Sjeverna Makedonija, Kosovo, Albanija).</w:t>
      </w:r>
      <w:r>
        <w:rPr>
          <w:bCs/>
        </w:rPr>
        <w:t xml:space="preserve"> Projekt je vrijedan 42,9 tisuća kuna. </w:t>
      </w:r>
    </w:p>
    <w:p w14:paraId="2634412E" w14:textId="77777777" w:rsidR="00CC221E" w:rsidRPr="00E2075B" w:rsidRDefault="00CC221E" w:rsidP="00CC221E">
      <w:pPr>
        <w:jc w:val="both"/>
        <w:rPr>
          <w:b/>
        </w:rPr>
      </w:pPr>
    </w:p>
    <w:p w14:paraId="3DB55B2E" w14:textId="77777777" w:rsidR="001961D6" w:rsidRPr="00E2075B" w:rsidRDefault="00436DB1" w:rsidP="00B03C39">
      <w:pPr>
        <w:spacing w:after="120"/>
        <w:jc w:val="both"/>
      </w:pPr>
      <w:r w:rsidRPr="00436DB1">
        <w:t>Na području Istočnog partnerstva EU,</w:t>
      </w:r>
      <w:r>
        <w:rPr>
          <w:b/>
        </w:rPr>
        <w:t xml:space="preserve"> </w:t>
      </w:r>
      <w:r w:rsidR="00CC221E" w:rsidRPr="00E2075B">
        <w:rPr>
          <w:b/>
        </w:rPr>
        <w:t xml:space="preserve">Ukrajina </w:t>
      </w:r>
      <w:r w:rsidR="00CC221E" w:rsidRPr="00E2075B">
        <w:t xml:space="preserve">je </w:t>
      </w:r>
      <w:r>
        <w:t xml:space="preserve">Nacionalnom strategijom određena za programsku državu i </w:t>
      </w:r>
      <w:r w:rsidR="00CC221E" w:rsidRPr="00E2075B">
        <w:t xml:space="preserve">Republika Hrvatska </w:t>
      </w:r>
      <w:r>
        <w:t xml:space="preserve">s njom ostvaruje </w:t>
      </w:r>
      <w:r w:rsidR="00CC221E" w:rsidRPr="00E2075B">
        <w:t>višesektorsku i višegodišnju razvojnu suradnju.</w:t>
      </w:r>
      <w:r w:rsidR="00CC221E" w:rsidRPr="00E2075B">
        <w:rPr>
          <w:color w:val="FF0000"/>
        </w:rPr>
        <w:t xml:space="preserve"> </w:t>
      </w:r>
      <w:r>
        <w:t>U 2</w:t>
      </w:r>
      <w:r w:rsidR="00CC221E" w:rsidRPr="00E2075B">
        <w:t>0</w:t>
      </w:r>
      <w:r w:rsidR="001961D6" w:rsidRPr="00E2075B">
        <w:t>20</w:t>
      </w:r>
      <w:r w:rsidR="00CC221E" w:rsidRPr="00E2075B">
        <w:t>. godin</w:t>
      </w:r>
      <w:r>
        <w:t>i</w:t>
      </w:r>
      <w:r w:rsidR="00CC221E" w:rsidRPr="00E2075B">
        <w:t xml:space="preserve"> u Ukrajini</w:t>
      </w:r>
      <w:r>
        <w:t xml:space="preserve"> su </w:t>
      </w:r>
      <w:r w:rsidR="00CC221E" w:rsidRPr="00E2075B">
        <w:t>proveden</w:t>
      </w:r>
      <w:r w:rsidR="005B55C0" w:rsidRPr="00E2075B">
        <w:t xml:space="preserve">a </w:t>
      </w:r>
      <w:r w:rsidR="001961D6" w:rsidRPr="00E2075B">
        <w:t xml:space="preserve">dva </w:t>
      </w:r>
      <w:r w:rsidR="00CC221E" w:rsidRPr="00E2075B">
        <w:t xml:space="preserve">projekta. </w:t>
      </w:r>
      <w:r w:rsidR="00E55622" w:rsidRPr="00E2075B">
        <w:t xml:space="preserve">Projekti </w:t>
      </w:r>
      <w:r>
        <w:t xml:space="preserve">obuhvaćaju sva tri sektorska prioriteta Nacionalne strategije. </w:t>
      </w:r>
      <w:r w:rsidR="001961D6" w:rsidRPr="00E2075B">
        <w:t xml:space="preserve">Uz redoviti doprinos </w:t>
      </w:r>
      <w:r w:rsidR="00C20FB7" w:rsidRPr="00E2075B">
        <w:t>O</w:t>
      </w:r>
      <w:r w:rsidR="001961D6" w:rsidRPr="00E2075B">
        <w:t xml:space="preserve">rganizaciji za europsku </w:t>
      </w:r>
      <w:r w:rsidR="00590E83" w:rsidRPr="00E2075B">
        <w:t>sigurnost</w:t>
      </w:r>
      <w:r w:rsidR="001961D6" w:rsidRPr="00E2075B">
        <w:t xml:space="preserve"> i suradnju (OESS)</w:t>
      </w:r>
      <w:r w:rsidR="00AF0263" w:rsidRPr="00E2075B">
        <w:t xml:space="preserve"> -</w:t>
      </w:r>
      <w:r w:rsidR="001961D6" w:rsidRPr="00E2075B">
        <w:t xml:space="preserve"> Posebnu promatračku misiju u Ukrajini, proveden je projekt prijenosa znanja</w:t>
      </w:r>
      <w:r w:rsidR="005B55C0" w:rsidRPr="00E2075B">
        <w:t xml:space="preserve"> kroz pružanje stručne i tehničke pomoći državama obuhvaćenima Europskom politikom susjedstva vezanim uz proces pristupanja EU. </w:t>
      </w:r>
      <w:r w:rsidR="00B03C39">
        <w:t xml:space="preserve">Riječ je o širem projektu koji uključuje suradnju </w:t>
      </w:r>
      <w:r w:rsidR="005B55C0" w:rsidRPr="00E2075B">
        <w:t xml:space="preserve">s institucijama </w:t>
      </w:r>
      <w:r w:rsidR="00B03C39">
        <w:t>13 država korisnica, među kojima i Ukrajinu (</w:t>
      </w:r>
      <w:r w:rsidR="005B55C0" w:rsidRPr="00E2075B">
        <w:t xml:space="preserve">Albanija, Bosna i Hercegovina, Crna Gora, Gruzija, Kosovo, Makedonija, Moldova, Srbija, </w:t>
      </w:r>
      <w:r w:rsidR="00711335">
        <w:t xml:space="preserve">Tunis, Kirgistan, Tadžikistan, </w:t>
      </w:r>
      <w:r w:rsidR="005B55C0" w:rsidRPr="00E2075B">
        <w:t>Turkmenistan</w:t>
      </w:r>
      <w:r w:rsidR="000162BA">
        <w:t xml:space="preserve"> </w:t>
      </w:r>
      <w:r w:rsidR="00711335">
        <w:t>i</w:t>
      </w:r>
      <w:r w:rsidR="000162BA">
        <w:t xml:space="preserve"> Ukrajina</w:t>
      </w:r>
      <w:r w:rsidR="005B55C0" w:rsidRPr="00E2075B">
        <w:t>).</w:t>
      </w:r>
    </w:p>
    <w:p w14:paraId="7177B98B" w14:textId="77777777" w:rsidR="001961D6" w:rsidRPr="00E2075B" w:rsidRDefault="001961D6" w:rsidP="00CC221E">
      <w:pPr>
        <w:jc w:val="both"/>
      </w:pPr>
    </w:p>
    <w:p w14:paraId="1915EE6D" w14:textId="77777777" w:rsidR="00CC221E" w:rsidRPr="00E2075B" w:rsidRDefault="00CC221E" w:rsidP="00E55622">
      <w:pPr>
        <w:jc w:val="both"/>
      </w:pPr>
      <w:r w:rsidRPr="00E2075B">
        <w:t xml:space="preserve">Republika Hrvatska </w:t>
      </w:r>
      <w:r w:rsidR="009851B2">
        <w:t>ima</w:t>
      </w:r>
      <w:r w:rsidRPr="00E2075B">
        <w:t xml:space="preserve"> dugogodišnje iskustvo razvojne suradnje s </w:t>
      </w:r>
      <w:r w:rsidRPr="00E2075B">
        <w:rPr>
          <w:b/>
        </w:rPr>
        <w:t>Islamskom Republikom</w:t>
      </w:r>
      <w:r w:rsidRPr="00E2075B">
        <w:t xml:space="preserve"> </w:t>
      </w:r>
      <w:r w:rsidRPr="00E2075B">
        <w:rPr>
          <w:b/>
        </w:rPr>
        <w:t>Afganistanom</w:t>
      </w:r>
      <w:r w:rsidRPr="00E2075B">
        <w:t xml:space="preserve"> na nacionalnoj, pokrajinskoj i lokalnoj razini. U okviru projekta Izgradnje kapaciteta u području azila, viznog sustava i ilegalnih migracija, Republika Hrvatska financira smještaj tražitelja međunarodne zaštite, prehranu tražitelja međunarodne zaštite, higijenske potrepštine, usluge prijevoda te </w:t>
      </w:r>
      <w:r w:rsidR="000162BA">
        <w:t>pravne pomoći</w:t>
      </w:r>
      <w:r w:rsidRPr="00E2075B">
        <w:t xml:space="preserve">, nabavu odjeće i obuće za tražitelje azila, nabavu opreme za potrebe provođenja postupka međunarodne zaštite, među kojima su i tražitelji azila iz Afganistana. </w:t>
      </w:r>
      <w:r w:rsidR="00E55622" w:rsidRPr="00E2075B">
        <w:t>Dodatno</w:t>
      </w:r>
      <w:r w:rsidRPr="00E2075B">
        <w:t xml:space="preserve">, Republika Hrvatska </w:t>
      </w:r>
      <w:r w:rsidR="00E55622" w:rsidRPr="00E2075B">
        <w:t xml:space="preserve">preko </w:t>
      </w:r>
      <w:r w:rsidR="00E55622" w:rsidRPr="00E2075B">
        <w:rPr>
          <w:bCs/>
        </w:rPr>
        <w:t xml:space="preserve">Ministarstva znanosti i obrazovanja omogućuje korištenje stipendija studentima iz </w:t>
      </w:r>
      <w:r w:rsidR="00E55622" w:rsidRPr="00E2075B">
        <w:t xml:space="preserve">Afganistana </w:t>
      </w:r>
      <w:r w:rsidR="00E55622" w:rsidRPr="00E2075B">
        <w:rPr>
          <w:bCs/>
        </w:rPr>
        <w:t>za studiranje u Republici Hrvatskoj.</w:t>
      </w:r>
    </w:p>
    <w:p w14:paraId="796898D8" w14:textId="77777777" w:rsidR="00CC221E" w:rsidRPr="00E2075B" w:rsidRDefault="00CC221E" w:rsidP="00CC221E">
      <w:pPr>
        <w:autoSpaceDE w:val="0"/>
        <w:autoSpaceDN w:val="0"/>
        <w:adjustRightInd w:val="0"/>
        <w:jc w:val="both"/>
      </w:pPr>
    </w:p>
    <w:p w14:paraId="3CBCA116" w14:textId="77777777" w:rsidR="00CC221E" w:rsidRPr="00E2075B" w:rsidRDefault="00CC221E" w:rsidP="00E24EF5">
      <w:pPr>
        <w:autoSpaceDE w:val="0"/>
        <w:autoSpaceDN w:val="0"/>
        <w:adjustRightInd w:val="0"/>
        <w:jc w:val="both"/>
      </w:pPr>
      <w:r w:rsidRPr="00E2075B">
        <w:t xml:space="preserve">Na Londonskoj konferenciji za </w:t>
      </w:r>
      <w:r w:rsidRPr="00E2075B">
        <w:rPr>
          <w:b/>
        </w:rPr>
        <w:t>Siriju</w:t>
      </w:r>
      <w:r w:rsidRPr="00E2075B">
        <w:t xml:space="preserve"> 2016. godine, Republika Hrvatska obvezala se pružiti pomoć Siriji i susjednim zemljama </w:t>
      </w:r>
      <w:r w:rsidR="00B03C39">
        <w:t xml:space="preserve">na području izgradnje mira, obrazovanja, zdravstva, zaštite žena i djece te održivog gospodarskog razvoja, </w:t>
      </w:r>
      <w:r w:rsidRPr="00E2075B">
        <w:t xml:space="preserve">u </w:t>
      </w:r>
      <w:r w:rsidR="00B03C39">
        <w:t xml:space="preserve">ukupnom </w:t>
      </w:r>
      <w:r w:rsidRPr="00E2075B">
        <w:t xml:space="preserve">iznosu od 1 milijun eura </w:t>
      </w:r>
      <w:r w:rsidR="00B03C39">
        <w:t xml:space="preserve">u kunskoj protuvrijednosti </w:t>
      </w:r>
      <w:r w:rsidRPr="00E2075B">
        <w:t>u razdoblju 2016</w:t>
      </w:r>
      <w:r w:rsidR="001234FB" w:rsidRPr="00E2075B">
        <w:t>.-2020. godine</w:t>
      </w:r>
      <w:r w:rsidR="00B03C39">
        <w:t xml:space="preserve"> te</w:t>
      </w:r>
      <w:r w:rsidR="001234FB" w:rsidRPr="00E2075B">
        <w:t xml:space="preserve"> uz maksimalnu godišnju</w:t>
      </w:r>
      <w:r w:rsidRPr="00E2075B">
        <w:t xml:space="preserve"> vrijednost </w:t>
      </w:r>
      <w:r w:rsidR="00B03C39">
        <w:t xml:space="preserve">u kunskoj protuvrijednosti od </w:t>
      </w:r>
      <w:r w:rsidRPr="00E2075B">
        <w:t xml:space="preserve">200 tisuća eura. </w:t>
      </w:r>
      <w:r w:rsidR="00B03C39">
        <w:t>Slijedom navedene smjernice</w:t>
      </w:r>
      <w:r w:rsidR="009C00F0">
        <w:t>,</w:t>
      </w:r>
      <w:r w:rsidR="00B03C39">
        <w:t xml:space="preserve"> MVEP </w:t>
      </w:r>
      <w:r w:rsidR="009C00F0">
        <w:t xml:space="preserve">je </w:t>
      </w:r>
      <w:r w:rsidR="00E24EF5" w:rsidRPr="00E2075B">
        <w:t>u 2020. godini ugovor</w:t>
      </w:r>
      <w:r w:rsidR="00B03C39">
        <w:t>ilo projekt namijenjen pomoći sirijskim izbjeglicama u susjednim zemljama, koji se provodi u suradnji s Organizacijom Ujedinjenih naroda za izbjeglice (UNHCR). P</w:t>
      </w:r>
      <w:r w:rsidR="001234FB" w:rsidRPr="00E2075B">
        <w:t xml:space="preserve">rovedbom ovog projekta </w:t>
      </w:r>
      <w:r w:rsidR="00B03C39">
        <w:t xml:space="preserve">Vlada </w:t>
      </w:r>
      <w:r w:rsidR="001234FB" w:rsidRPr="00E2075B">
        <w:t>Republik</w:t>
      </w:r>
      <w:r w:rsidR="00B03C39">
        <w:t>e</w:t>
      </w:r>
      <w:r w:rsidR="001234FB" w:rsidRPr="00E2075B">
        <w:t xml:space="preserve"> Hrvatsk</w:t>
      </w:r>
      <w:r w:rsidR="00B03C39">
        <w:t xml:space="preserve">e </w:t>
      </w:r>
      <w:r w:rsidR="009851B2">
        <w:t>završava</w:t>
      </w:r>
      <w:r w:rsidR="001234FB" w:rsidRPr="00E2075B">
        <w:t xml:space="preserve"> </w:t>
      </w:r>
      <w:r w:rsidR="00B03C39">
        <w:t xml:space="preserve">naprijed navedenu </w:t>
      </w:r>
      <w:r w:rsidR="001234FB" w:rsidRPr="00E2075B">
        <w:t>obvezu preuzetu na donatorskoj konferenciji za Siriju iz 2016. godine.</w:t>
      </w:r>
    </w:p>
    <w:p w14:paraId="2B7CA455" w14:textId="77777777" w:rsidR="00E24EF5" w:rsidRPr="00E2075B" w:rsidRDefault="00E24EF5" w:rsidP="00E24EF5">
      <w:pPr>
        <w:autoSpaceDE w:val="0"/>
        <w:autoSpaceDN w:val="0"/>
        <w:adjustRightInd w:val="0"/>
        <w:jc w:val="both"/>
      </w:pPr>
    </w:p>
    <w:p w14:paraId="67B91476" w14:textId="77777777" w:rsidR="00CC221E" w:rsidRPr="00E2075B" w:rsidRDefault="00CC221E" w:rsidP="00CC221E">
      <w:pPr>
        <w:jc w:val="both"/>
      </w:pPr>
      <w:bookmarkStart w:id="13" w:name="_Toc450126468"/>
      <w:r w:rsidRPr="00E2075B">
        <w:t xml:space="preserve">Republika Hrvatska pružila je razvojnu i/ili humanitarnu pomoć u iznosu od </w:t>
      </w:r>
      <w:r w:rsidR="00D41BEB" w:rsidRPr="00E2075B">
        <w:t>1</w:t>
      </w:r>
      <w:r w:rsidRPr="00E2075B">
        <w:t>,</w:t>
      </w:r>
      <w:r w:rsidR="00D41BEB" w:rsidRPr="00E2075B">
        <w:t>94</w:t>
      </w:r>
      <w:r w:rsidRPr="00E2075B">
        <w:t xml:space="preserve"> milijuna kuna </w:t>
      </w:r>
      <w:r w:rsidR="00D41BEB" w:rsidRPr="00E2075B">
        <w:t xml:space="preserve">Venezueli, </w:t>
      </w:r>
      <w:r w:rsidRPr="00E2075B">
        <w:t xml:space="preserve">Republici Gambiji, </w:t>
      </w:r>
      <w:r w:rsidR="00D41BEB" w:rsidRPr="00E2075B">
        <w:t>Republici Mauricijus, Turkmenistanu, Mongoliji, Libiji,</w:t>
      </w:r>
      <w:r w:rsidR="00B03C39">
        <w:t xml:space="preserve"> </w:t>
      </w:r>
      <w:r w:rsidRPr="00E2075B">
        <w:t xml:space="preserve">Višenacionalnoj Državi Boliviji, </w:t>
      </w:r>
      <w:r w:rsidR="009B059E" w:rsidRPr="00E2075B">
        <w:t>G</w:t>
      </w:r>
      <w:r w:rsidR="00EF1D29">
        <w:t>r</w:t>
      </w:r>
      <w:r w:rsidR="009B059E" w:rsidRPr="00E2075B">
        <w:t xml:space="preserve">uziji, Beninu </w:t>
      </w:r>
      <w:r w:rsidR="00D41BEB" w:rsidRPr="00E2075B">
        <w:t xml:space="preserve">i </w:t>
      </w:r>
      <w:r w:rsidRPr="00E2075B">
        <w:t xml:space="preserve">drugim državama u razvoju. </w:t>
      </w:r>
    </w:p>
    <w:p w14:paraId="4252ECED" w14:textId="77777777" w:rsidR="00D41BEB" w:rsidRPr="00D41BEB" w:rsidRDefault="00D41BEB" w:rsidP="00CC221E">
      <w:pPr>
        <w:jc w:val="both"/>
        <w:rPr>
          <w:highlight w:val="green"/>
        </w:rPr>
      </w:pPr>
      <w:bookmarkStart w:id="14" w:name="_Toc450126469"/>
      <w:bookmarkEnd w:id="13"/>
    </w:p>
    <w:p w14:paraId="025815D2" w14:textId="77777777" w:rsidR="00833F2C" w:rsidRDefault="00833F2C">
      <w:pPr>
        <w:spacing w:after="160" w:line="259" w:lineRule="auto"/>
        <w:rPr>
          <w:szCs w:val="20"/>
          <w:highlight w:val="yellow"/>
        </w:rPr>
      </w:pPr>
      <w:r>
        <w:rPr>
          <w:szCs w:val="20"/>
          <w:highlight w:val="yellow"/>
        </w:rPr>
        <w:br w:type="page"/>
      </w:r>
    </w:p>
    <w:p w14:paraId="0849C4FA" w14:textId="77777777" w:rsidR="00CC221E" w:rsidRPr="00F948CA" w:rsidRDefault="00CC221E" w:rsidP="00357A5E">
      <w:pPr>
        <w:pStyle w:val="Heading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bookmarkStart w:id="15" w:name="_Toc74738845"/>
      <w:r w:rsidRPr="00F948CA">
        <w:rPr>
          <w:rFonts w:ascii="Times New Roman" w:hAnsi="Times New Roman" w:cs="Times New Roman"/>
        </w:rPr>
        <w:t xml:space="preserve">Multilateralna </w:t>
      </w:r>
      <w:bookmarkEnd w:id="14"/>
      <w:r w:rsidRPr="00F948CA">
        <w:rPr>
          <w:rFonts w:ascii="Times New Roman" w:hAnsi="Times New Roman" w:cs="Times New Roman"/>
        </w:rPr>
        <w:t>službena razvojna pomoć</w:t>
      </w:r>
      <w:bookmarkEnd w:id="15"/>
      <w:r w:rsidRPr="00F948CA">
        <w:rPr>
          <w:rFonts w:ascii="Times New Roman" w:hAnsi="Times New Roman" w:cs="Times New Roman"/>
        </w:rPr>
        <w:t xml:space="preserve"> </w:t>
      </w:r>
    </w:p>
    <w:p w14:paraId="11165A55" w14:textId="77777777" w:rsidR="00226070" w:rsidRPr="00E2075B" w:rsidRDefault="00CC221E" w:rsidP="007E3975">
      <w:pPr>
        <w:pStyle w:val="t-9-8"/>
        <w:spacing w:before="120" w:beforeAutospacing="0"/>
        <w:jc w:val="both"/>
        <w:rPr>
          <w:rFonts w:eastAsia="Batang"/>
          <w:lang w:eastAsia="ko-KR"/>
        </w:rPr>
      </w:pPr>
      <w:r w:rsidRPr="00E2075B">
        <w:rPr>
          <w:rFonts w:eastAsia="Batang"/>
          <w:lang w:eastAsia="ko-KR"/>
        </w:rPr>
        <w:t xml:space="preserve">Republika Hrvatska </w:t>
      </w:r>
      <w:r w:rsidR="00226070" w:rsidRPr="00E2075B">
        <w:rPr>
          <w:rFonts w:eastAsia="Batang"/>
          <w:lang w:eastAsia="ko-KR"/>
        </w:rPr>
        <w:t xml:space="preserve">je </w:t>
      </w:r>
      <w:r w:rsidR="00B03C39">
        <w:rPr>
          <w:rFonts w:eastAsia="Batang"/>
          <w:lang w:eastAsia="ko-KR"/>
        </w:rPr>
        <w:t xml:space="preserve">u </w:t>
      </w:r>
      <w:r w:rsidR="00226070" w:rsidRPr="00E2075B">
        <w:rPr>
          <w:rFonts w:eastAsia="Batang"/>
          <w:lang w:eastAsia="ko-KR"/>
        </w:rPr>
        <w:t>2020. godin</w:t>
      </w:r>
      <w:r w:rsidR="00B03C39">
        <w:rPr>
          <w:rFonts w:eastAsia="Batang"/>
          <w:lang w:eastAsia="ko-KR"/>
        </w:rPr>
        <w:t>i</w:t>
      </w:r>
      <w:r w:rsidRPr="00E2075B">
        <w:rPr>
          <w:rFonts w:eastAsia="Batang"/>
          <w:lang w:eastAsia="ko-KR"/>
        </w:rPr>
        <w:t xml:space="preserve"> </w:t>
      </w:r>
      <w:r w:rsidR="00226070" w:rsidRPr="00E2075B">
        <w:rPr>
          <w:rFonts w:eastAsia="Batang"/>
          <w:lang w:eastAsia="ko-KR"/>
        </w:rPr>
        <w:t xml:space="preserve">podmirila </w:t>
      </w:r>
      <w:r w:rsidRPr="00E2075B">
        <w:rPr>
          <w:rFonts w:eastAsia="Batang"/>
          <w:lang w:eastAsia="ko-KR"/>
        </w:rPr>
        <w:t xml:space="preserve">obvezne i dobrovoljne doprinose međunarodnim organizacijama u sustavu Ujedinjenih naroda, </w:t>
      </w:r>
      <w:r w:rsidR="00B03C39">
        <w:rPr>
          <w:rFonts w:eastAsia="Batang"/>
          <w:lang w:eastAsia="ko-KR"/>
        </w:rPr>
        <w:t xml:space="preserve">kao i </w:t>
      </w:r>
      <w:r w:rsidRPr="00E2075B">
        <w:rPr>
          <w:rFonts w:eastAsia="Batang"/>
          <w:lang w:eastAsia="ko-KR"/>
        </w:rPr>
        <w:t xml:space="preserve">drugim međunarodnim organizacijama i agencijama </w:t>
      </w:r>
      <w:r w:rsidR="00B03C39">
        <w:rPr>
          <w:rFonts w:eastAsia="Batang"/>
          <w:lang w:eastAsia="ko-KR"/>
        </w:rPr>
        <w:t xml:space="preserve">temeljem obveza </w:t>
      </w:r>
      <w:r w:rsidR="000162BA">
        <w:rPr>
          <w:rFonts w:eastAsia="Batang"/>
          <w:lang w:eastAsia="ko-KR"/>
        </w:rPr>
        <w:t xml:space="preserve">koje proizlaze ih </w:t>
      </w:r>
      <w:r w:rsidR="00B03C39">
        <w:rPr>
          <w:rFonts w:eastAsia="Batang"/>
          <w:lang w:eastAsia="ko-KR"/>
        </w:rPr>
        <w:t xml:space="preserve">članstva, a </w:t>
      </w:r>
      <w:r w:rsidRPr="00E2075B">
        <w:rPr>
          <w:rFonts w:eastAsia="Batang"/>
          <w:lang w:eastAsia="ko-KR"/>
        </w:rPr>
        <w:t xml:space="preserve">koji </w:t>
      </w:r>
      <w:r w:rsidR="00B03C39">
        <w:rPr>
          <w:rFonts w:eastAsia="Batang"/>
          <w:lang w:eastAsia="ko-KR"/>
        </w:rPr>
        <w:t xml:space="preserve">doprinosi </w:t>
      </w:r>
      <w:r w:rsidRPr="00E2075B">
        <w:rPr>
          <w:rFonts w:eastAsia="Batang"/>
          <w:lang w:eastAsia="ko-KR"/>
        </w:rPr>
        <w:t xml:space="preserve">se </w:t>
      </w:r>
      <w:r w:rsidR="00B03C39">
        <w:rPr>
          <w:rFonts w:eastAsia="Batang"/>
          <w:lang w:eastAsia="ko-KR"/>
        </w:rPr>
        <w:t xml:space="preserve">u cijelosti i </w:t>
      </w:r>
      <w:r w:rsidRPr="00E2075B">
        <w:rPr>
          <w:rFonts w:eastAsia="Batang"/>
          <w:lang w:eastAsia="ko-KR"/>
        </w:rPr>
        <w:t>dijelom prikazuju kao SRP</w:t>
      </w:r>
      <w:r w:rsidR="000162BA">
        <w:rPr>
          <w:rFonts w:eastAsia="Batang"/>
          <w:lang w:eastAsia="ko-KR"/>
        </w:rPr>
        <w:t xml:space="preserve"> u skladu s</w:t>
      </w:r>
      <w:r w:rsidRPr="00E2075B">
        <w:rPr>
          <w:rFonts w:eastAsia="Batang"/>
          <w:lang w:eastAsia="ko-KR"/>
        </w:rPr>
        <w:t xml:space="preserve"> kriterijima OECD</w:t>
      </w:r>
      <w:r w:rsidR="00286190">
        <w:rPr>
          <w:rFonts w:eastAsia="Batang"/>
          <w:lang w:eastAsia="ko-KR"/>
        </w:rPr>
        <w:t>-</w:t>
      </w:r>
      <w:r w:rsidRPr="00E2075B">
        <w:rPr>
          <w:rFonts w:eastAsia="Batang"/>
          <w:lang w:eastAsia="ko-KR"/>
        </w:rPr>
        <w:t>DAC.</w:t>
      </w:r>
      <w:r w:rsidR="009C00F0">
        <w:rPr>
          <w:rFonts w:eastAsia="Batang"/>
          <w:lang w:eastAsia="ko-KR"/>
        </w:rPr>
        <w:t xml:space="preserve"> Riječ je o sl</w:t>
      </w:r>
      <w:r w:rsidR="00286190">
        <w:rPr>
          <w:rFonts w:eastAsia="Batang"/>
          <w:lang w:eastAsia="ko-KR"/>
        </w:rPr>
        <w:t>jedećem multilateralnim doprinosima:</w:t>
      </w:r>
      <w:r w:rsidRPr="00E2075B">
        <w:rPr>
          <w:rFonts w:eastAsia="Batang"/>
          <w:lang w:eastAsia="ko-KR"/>
        </w:rPr>
        <w:t xml:space="preserve"> </w:t>
      </w:r>
    </w:p>
    <w:p w14:paraId="21941922" w14:textId="77777777" w:rsidR="00CC221E" w:rsidRPr="00E2075B" w:rsidRDefault="00A10C99" w:rsidP="00CC221E">
      <w:pPr>
        <w:pStyle w:val="ListParagraph"/>
        <w:numPr>
          <w:ilvl w:val="0"/>
          <w:numId w:val="1"/>
        </w:numPr>
        <w:jc w:val="both"/>
      </w:pPr>
      <w:r w:rsidRPr="00E2075B">
        <w:rPr>
          <w:rFonts w:eastAsiaTheme="minorHAnsi"/>
          <w:lang w:eastAsia="en-US"/>
        </w:rPr>
        <w:t>Doprinos o</w:t>
      </w:r>
      <w:r w:rsidR="00CC221E" w:rsidRPr="00E2075B">
        <w:rPr>
          <w:rFonts w:eastAsiaTheme="minorHAnsi"/>
          <w:lang w:eastAsia="en-US"/>
        </w:rPr>
        <w:t>pć</w:t>
      </w:r>
      <w:r w:rsidRPr="00E2075B">
        <w:rPr>
          <w:rFonts w:eastAsiaTheme="minorHAnsi"/>
          <w:lang w:eastAsia="en-US"/>
        </w:rPr>
        <w:t>em</w:t>
      </w:r>
      <w:r w:rsidR="00CC221E" w:rsidRPr="00E2075B">
        <w:rPr>
          <w:rFonts w:eastAsiaTheme="minorHAnsi"/>
          <w:lang w:eastAsia="en-US"/>
        </w:rPr>
        <w:t xml:space="preserve"> proračun EU </w:t>
      </w:r>
      <w:r w:rsidRPr="00E2075B">
        <w:rPr>
          <w:rFonts w:eastAsiaTheme="minorHAnsi"/>
          <w:lang w:eastAsia="en-US"/>
        </w:rPr>
        <w:t>koji se priznaje kao</w:t>
      </w:r>
      <w:r w:rsidR="00CC221E" w:rsidRPr="00E2075B">
        <w:rPr>
          <w:rFonts w:eastAsiaTheme="minorHAnsi"/>
          <w:lang w:eastAsia="en-US"/>
        </w:rPr>
        <w:t xml:space="preserve"> SRP</w:t>
      </w:r>
      <w:r w:rsidR="00286190">
        <w:rPr>
          <w:rStyle w:val="FootnoteReference"/>
          <w:rFonts w:eastAsiaTheme="minorHAnsi"/>
          <w:lang w:eastAsia="en-US"/>
        </w:rPr>
        <w:footnoteReference w:id="1"/>
      </w:r>
      <w:r w:rsidR="00CC221E" w:rsidRPr="00E2075B">
        <w:rPr>
          <w:rFonts w:eastAsiaTheme="minorHAnsi"/>
          <w:lang w:eastAsia="en-US"/>
        </w:rPr>
        <w:t>*</w:t>
      </w:r>
    </w:p>
    <w:p w14:paraId="759EB9AF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Europski razvojni fond (EDF)</w:t>
      </w:r>
    </w:p>
    <w:p w14:paraId="65465CCB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Ujedinjeni narodi (UN)</w:t>
      </w:r>
    </w:p>
    <w:p w14:paraId="5762B914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Izbjeglički mehanizam za Tursku (EU Facility for Refugees in Turkey)</w:t>
      </w:r>
    </w:p>
    <w:p w14:paraId="01630C3C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Svjetska zdravstvena organizacija (WHO)</w:t>
      </w:r>
    </w:p>
    <w:p w14:paraId="4FD916B7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Organizacija Ujedinjenih naroda za hranu i poljoprivredu (FAO)</w:t>
      </w:r>
    </w:p>
    <w:p w14:paraId="564937CE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Svjetska trgovinska organizacija (WTO)</w:t>
      </w:r>
    </w:p>
    <w:p w14:paraId="51EED086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Program Ujedinjenih naroda za ravoj (UNDP)</w:t>
      </w:r>
    </w:p>
    <w:p w14:paraId="51C273BA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Organizacija Ujedinjenih naroda za obrazovanje, znanost i kulturu (UNESCO)</w:t>
      </w:r>
    </w:p>
    <w:p w14:paraId="2BDE989D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Europska investicijska banka (EIB)</w:t>
      </w:r>
    </w:p>
    <w:p w14:paraId="1591840C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Svjetski program za hranu (WFP)</w:t>
      </w:r>
    </w:p>
    <w:p w14:paraId="0A837F01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Međunarodna organizacija za zaštitu europskog i mediteranskog bilja (EPPO)</w:t>
      </w:r>
    </w:p>
    <w:p w14:paraId="71ABF724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Međunarodno udruženje za ispitivanje sjemena (ISTA)</w:t>
      </w:r>
    </w:p>
    <w:p w14:paraId="6D351F9B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Program Ujedinjenih naroda za okoliš (UNEP)</w:t>
      </w:r>
    </w:p>
    <w:p w14:paraId="2A0A5D25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Gospodarska komisija za Europu Ujedinjenih naroda (UNECE)</w:t>
      </w:r>
    </w:p>
    <w:p w14:paraId="6AA41434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Okvirna konvencija Ujedinjenih naroda o promjeni klime (UNFCCC)</w:t>
      </w:r>
    </w:p>
    <w:p w14:paraId="33A7FED6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Vijeće Europe (CE)</w:t>
      </w:r>
    </w:p>
    <w:p w14:paraId="4EE81974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Organizacija za europsku sigurnost i suradnju (OSCE)</w:t>
      </w:r>
    </w:p>
    <w:p w14:paraId="39255C72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Multilateralni fond za provedbu Montrealskog protokol (MONTREALSKI PROTOKOL)</w:t>
      </w:r>
    </w:p>
    <w:p w14:paraId="69584B11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Konvencija o međunarodnoj trgovini ugroženim vrstama divljih životinja i biljaka (CITES)</w:t>
      </w:r>
    </w:p>
    <w:p w14:paraId="7B44BA37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Organizacija Ujedinjenih naroda za industrijsku razvoj (UNIDO)</w:t>
      </w:r>
    </w:p>
    <w:p w14:paraId="16A8D787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Međunarodna unija za očuvanje prirode (IUCN)</w:t>
      </w:r>
    </w:p>
    <w:p w14:paraId="66612025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Međunarodna agencija za obnovljive izvore energije (IRENA)</w:t>
      </w:r>
    </w:p>
    <w:p w14:paraId="371B1DEF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Svjetska meteorološka organizacija (WMO)</w:t>
      </w:r>
    </w:p>
    <w:p w14:paraId="26582248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Svjetska turistička organizacija (UNWTO)</w:t>
      </w:r>
    </w:p>
    <w:p w14:paraId="1E27F070" w14:textId="77777777" w:rsidR="00CC221E" w:rsidRPr="00E2075B" w:rsidRDefault="00CC221E" w:rsidP="00CC221E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E2075B">
        <w:rPr>
          <w:rFonts w:eastAsiaTheme="minorHAnsi"/>
          <w:lang w:eastAsia="en-US"/>
        </w:rPr>
        <w:t>Međunarodna organizacija frankofonije (OIF)</w:t>
      </w:r>
    </w:p>
    <w:p w14:paraId="7D3FA8B7" w14:textId="77777777" w:rsidR="00226070" w:rsidRPr="00E2075B" w:rsidRDefault="00226070" w:rsidP="00226070">
      <w:pPr>
        <w:spacing w:after="120"/>
        <w:jc w:val="both"/>
      </w:pPr>
    </w:p>
    <w:p w14:paraId="0E385EE2" w14:textId="77777777" w:rsidR="00CC221E" w:rsidRPr="00E2075B" w:rsidRDefault="00CC221E" w:rsidP="00D25074">
      <w:pPr>
        <w:spacing w:after="120"/>
        <w:jc w:val="both"/>
        <w:rPr>
          <w:rStyle w:val="longtext1"/>
          <w:sz w:val="24"/>
        </w:rPr>
      </w:pPr>
      <w:r w:rsidRPr="00E2075B">
        <w:rPr>
          <w:rStyle w:val="longtext1"/>
          <w:sz w:val="24"/>
        </w:rPr>
        <w:t xml:space="preserve">Od </w:t>
      </w:r>
      <w:r w:rsidR="00226070" w:rsidRPr="00E2075B">
        <w:rPr>
          <w:rStyle w:val="longtext1"/>
          <w:sz w:val="24"/>
        </w:rPr>
        <w:t xml:space="preserve">ostalih </w:t>
      </w:r>
      <w:r w:rsidRPr="00E2075B">
        <w:rPr>
          <w:rStyle w:val="longtext1"/>
          <w:sz w:val="24"/>
        </w:rPr>
        <w:t xml:space="preserve">multilateralnih doprinosa </w:t>
      </w:r>
      <w:r w:rsidR="00226070" w:rsidRPr="00E2075B">
        <w:rPr>
          <w:rStyle w:val="longtext1"/>
          <w:sz w:val="24"/>
        </w:rPr>
        <w:t>potrebno je izdv</w:t>
      </w:r>
      <w:r w:rsidRPr="00E2075B">
        <w:rPr>
          <w:rStyle w:val="longtext1"/>
          <w:sz w:val="24"/>
        </w:rPr>
        <w:t>o</w:t>
      </w:r>
      <w:r w:rsidR="00226070" w:rsidRPr="00E2075B">
        <w:rPr>
          <w:rStyle w:val="longtext1"/>
          <w:sz w:val="24"/>
        </w:rPr>
        <w:t>jiti</w:t>
      </w:r>
      <w:r w:rsidRPr="00E2075B">
        <w:rPr>
          <w:rStyle w:val="longtext1"/>
          <w:sz w:val="24"/>
        </w:rPr>
        <w:t xml:space="preserve"> i godišnji doprinos </w:t>
      </w:r>
      <w:r w:rsidR="00226070" w:rsidRPr="00E2075B">
        <w:rPr>
          <w:rStyle w:val="longtext1"/>
          <w:sz w:val="24"/>
        </w:rPr>
        <w:t xml:space="preserve">Republike Hrvatske </w:t>
      </w:r>
      <w:r w:rsidRPr="00E2075B">
        <w:rPr>
          <w:rStyle w:val="longtext1"/>
          <w:sz w:val="24"/>
        </w:rPr>
        <w:t xml:space="preserve">izvanproračunskom </w:t>
      </w:r>
      <w:r w:rsidRPr="00E2075B">
        <w:rPr>
          <w:rStyle w:val="longtext1"/>
          <w:b/>
          <w:sz w:val="24"/>
        </w:rPr>
        <w:t xml:space="preserve">Europskom razvojnom fondu, </w:t>
      </w:r>
      <w:r w:rsidRPr="00E2075B">
        <w:rPr>
          <w:rStyle w:val="longtext1"/>
          <w:sz w:val="24"/>
        </w:rPr>
        <w:t xml:space="preserve">u </w:t>
      </w:r>
      <w:r w:rsidR="00E62E65">
        <w:rPr>
          <w:rStyle w:val="longtext1"/>
          <w:sz w:val="24"/>
        </w:rPr>
        <w:t xml:space="preserve">koji </w:t>
      </w:r>
      <w:r w:rsidRPr="00E2075B">
        <w:rPr>
          <w:rStyle w:val="longtext1"/>
          <w:sz w:val="24"/>
        </w:rPr>
        <w:t xml:space="preserve">je Republika Hrvatska </w:t>
      </w:r>
      <w:r w:rsidR="00286190">
        <w:rPr>
          <w:rStyle w:val="longtext1"/>
          <w:sz w:val="24"/>
        </w:rPr>
        <w:t xml:space="preserve">u </w:t>
      </w:r>
      <w:r w:rsidRPr="00E2075B">
        <w:rPr>
          <w:rStyle w:val="longtext1"/>
          <w:sz w:val="24"/>
        </w:rPr>
        <w:t>20</w:t>
      </w:r>
      <w:r w:rsidR="007E3975" w:rsidRPr="00E2075B">
        <w:rPr>
          <w:rStyle w:val="longtext1"/>
          <w:sz w:val="24"/>
        </w:rPr>
        <w:t>20</w:t>
      </w:r>
      <w:r w:rsidRPr="00E2075B">
        <w:rPr>
          <w:rStyle w:val="longtext1"/>
          <w:sz w:val="24"/>
        </w:rPr>
        <w:t>. godine uplatila 7</w:t>
      </w:r>
      <w:r w:rsidR="007E3975" w:rsidRPr="00E2075B">
        <w:rPr>
          <w:rStyle w:val="longtext1"/>
          <w:sz w:val="24"/>
        </w:rPr>
        <w:t>4</w:t>
      </w:r>
      <w:r w:rsidRPr="00E2075B">
        <w:rPr>
          <w:rStyle w:val="longtext1"/>
          <w:sz w:val="24"/>
        </w:rPr>
        <w:t>,</w:t>
      </w:r>
      <w:r w:rsidR="007E3975" w:rsidRPr="00E2075B">
        <w:rPr>
          <w:rStyle w:val="longtext1"/>
          <w:sz w:val="24"/>
        </w:rPr>
        <w:t>32</w:t>
      </w:r>
      <w:r w:rsidRPr="00E2075B">
        <w:rPr>
          <w:rStyle w:val="longtext1"/>
          <w:sz w:val="24"/>
        </w:rPr>
        <w:t xml:space="preserve"> milijuna kuna. Fond je namijenjen pomaganju najsiromašnijim državama svijeta ulaganjem u kapitalne višegodišnje projekte. Republika Hrvatska redovito sudjeluje sa svojim doprinosima u Fondu od srpnja 2017. godine. </w:t>
      </w:r>
    </w:p>
    <w:p w14:paraId="239CB4E2" w14:textId="77777777" w:rsidR="00226070" w:rsidRPr="00226070" w:rsidRDefault="00226070" w:rsidP="00D25074">
      <w:pPr>
        <w:pStyle w:val="t-9-8"/>
        <w:spacing w:before="0" w:beforeAutospacing="0" w:after="0" w:afterAutospacing="0"/>
        <w:jc w:val="both"/>
        <w:rPr>
          <w:rFonts w:eastAsia="Batang"/>
          <w:lang w:eastAsia="ko-KR"/>
        </w:rPr>
      </w:pPr>
      <w:r w:rsidRPr="00E2075B">
        <w:rPr>
          <w:rFonts w:eastAsia="Batang"/>
          <w:lang w:eastAsia="ko-KR"/>
        </w:rPr>
        <w:t>Cjeloviti prikaz obaveznih i dobrovoljnih doprinosa međunarodnim organizacijama dostavljen je u prilogu 9.1.</w:t>
      </w:r>
    </w:p>
    <w:p w14:paraId="4DD3FF18" w14:textId="77777777" w:rsidR="00CC221E" w:rsidRPr="00310325" w:rsidRDefault="00CC221E" w:rsidP="00B22554">
      <w:pPr>
        <w:pStyle w:val="Heading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bookmarkStart w:id="16" w:name="_Toc74738846"/>
      <w:r w:rsidRPr="00310325">
        <w:rPr>
          <w:rFonts w:ascii="Times New Roman" w:hAnsi="Times New Roman" w:cs="Times New Roman"/>
        </w:rPr>
        <w:t>Humanitarna pomoć</w:t>
      </w:r>
      <w:bookmarkEnd w:id="16"/>
      <w:r w:rsidRPr="00310325">
        <w:rPr>
          <w:rFonts w:ascii="Times New Roman" w:hAnsi="Times New Roman" w:cs="Times New Roman"/>
        </w:rPr>
        <w:t xml:space="preserve"> </w:t>
      </w:r>
    </w:p>
    <w:p w14:paraId="58EE1003" w14:textId="77777777" w:rsidR="00B22554" w:rsidRPr="00CA67BA" w:rsidRDefault="00CC221E" w:rsidP="00CA67BA">
      <w:pPr>
        <w:jc w:val="both"/>
      </w:pPr>
      <w:r w:rsidRPr="00CA67BA">
        <w:t xml:space="preserve">U humanitarnom djelovanju Republika Hrvatska uzima u obzir svaku pomoć zatraženu službenim međunarodnim kanalima, a u dodjeli humanitarne pomoći </w:t>
      </w:r>
      <w:r w:rsidR="007E3975" w:rsidRPr="00CA67BA">
        <w:t>promiče jednakost i vodi se međunarodnim načelima humanitarnog djelovanja</w:t>
      </w:r>
      <w:r w:rsidR="00286190" w:rsidRPr="00CA67BA">
        <w:t>, odnosno, načelima</w:t>
      </w:r>
      <w:r w:rsidR="007E3975" w:rsidRPr="00CA67BA">
        <w:t xml:space="preserve"> humanosti, neutralnosti, nezavisnosti i nepristranosti. Humanitarne krize </w:t>
      </w:r>
      <w:r w:rsidR="00B22554" w:rsidRPr="00CA67BA">
        <w:t xml:space="preserve">u svijetu </w:t>
      </w:r>
      <w:r w:rsidR="007E3975" w:rsidRPr="00CA67BA">
        <w:t xml:space="preserve">sve su razornije i sve više poprimaju karakter produženog djelovanja, što uzrokuje velike materijalne i ljudske gubitke te posljedično rast potrebe za humanitarnom pomoći. </w:t>
      </w:r>
    </w:p>
    <w:p w14:paraId="3FE92A31" w14:textId="77777777" w:rsidR="00CA67BA" w:rsidRDefault="00CA67BA" w:rsidP="00CA67BA">
      <w:pPr>
        <w:jc w:val="both"/>
      </w:pPr>
    </w:p>
    <w:p w14:paraId="6F04713D" w14:textId="77777777" w:rsidR="00AF1B53" w:rsidRPr="00CA67BA" w:rsidRDefault="00B22554" w:rsidP="00CA67BA">
      <w:pPr>
        <w:jc w:val="both"/>
        <w:rPr>
          <w:b/>
          <w:lang w:eastAsia="en-US"/>
        </w:rPr>
      </w:pPr>
      <w:r w:rsidRPr="00CA67BA">
        <w:t>Posebno je v</w:t>
      </w:r>
      <w:r w:rsidR="007E3975" w:rsidRPr="00CA67BA">
        <w:t>ažna brza reakcija u situacijama velikih prirodnih katastrofa</w:t>
      </w:r>
      <w:r w:rsidR="00286190" w:rsidRPr="00CA67BA">
        <w:t xml:space="preserve">. U skladu s navedenim smjernicama djelovanja, </w:t>
      </w:r>
      <w:r w:rsidRPr="00CA67BA">
        <w:t>Republika Hrvatska razvija</w:t>
      </w:r>
      <w:r w:rsidR="00CC221E" w:rsidRPr="00CA67BA">
        <w:t xml:space="preserve"> partnerstva s </w:t>
      </w:r>
      <w:r w:rsidRPr="00CA67BA">
        <w:t xml:space="preserve">brojnim </w:t>
      </w:r>
      <w:r w:rsidR="00CC221E" w:rsidRPr="00CA67BA">
        <w:t xml:space="preserve">međunarodnim organizacijama </w:t>
      </w:r>
      <w:r w:rsidRPr="00CA67BA">
        <w:t xml:space="preserve">razvojnog i humanitarnog karaktera </w:t>
      </w:r>
      <w:r w:rsidR="00CC221E" w:rsidRPr="00CA67BA">
        <w:t xml:space="preserve">koje mogu najdjelotvornije odgovoriti na krizne situacije, pri čemu je krajnji cilj postizanje otpornosti zajednice i smanjenje rizika od izbijanja novih kriza te </w:t>
      </w:r>
      <w:r w:rsidR="00286190" w:rsidRPr="00CA67BA">
        <w:t>jačanje otpornosti i pr</w:t>
      </w:r>
      <w:r w:rsidR="00CC221E" w:rsidRPr="00CA67BA">
        <w:t xml:space="preserve">ipremljenost za buduće prirodne katastrofe. </w:t>
      </w:r>
      <w:r w:rsidR="00AF1B53" w:rsidRPr="00CA67BA">
        <w:rPr>
          <w:lang w:eastAsia="en-US"/>
        </w:rPr>
        <w:t xml:space="preserve">Republika Hrvatska je tijekom 2020. godine uputila humanitarnu pomoć brojnim zemljama od kojih ističemo pomoć upućenu </w:t>
      </w:r>
      <w:r w:rsidR="00AF1B53" w:rsidRPr="00CA67BA">
        <w:rPr>
          <w:b/>
          <w:lang w:eastAsia="en-US"/>
        </w:rPr>
        <w:t>Bosni i Hercegovini,</w:t>
      </w:r>
      <w:r w:rsidR="00AF1B53" w:rsidRPr="00CA67BA">
        <w:rPr>
          <w:lang w:eastAsia="en-US"/>
        </w:rPr>
        <w:t xml:space="preserve"> </w:t>
      </w:r>
      <w:r w:rsidR="00AF1B53" w:rsidRPr="00CA67BA">
        <w:rPr>
          <w:b/>
          <w:lang w:eastAsia="en-US"/>
        </w:rPr>
        <w:t>Republici Albaniji,</w:t>
      </w:r>
      <w:r w:rsidR="00AF1B53" w:rsidRPr="00CA67BA">
        <w:rPr>
          <w:lang w:eastAsia="en-US"/>
        </w:rPr>
        <w:t xml:space="preserve"> </w:t>
      </w:r>
      <w:r w:rsidR="00AF1B53" w:rsidRPr="00CA67BA">
        <w:rPr>
          <w:b/>
          <w:lang w:eastAsia="en-US"/>
        </w:rPr>
        <w:t>Libanonskoj Republici i Bolivarijanskoj Republici Venezueli.</w:t>
      </w:r>
    </w:p>
    <w:p w14:paraId="18793064" w14:textId="77777777" w:rsidR="00AF1B53" w:rsidRPr="00CA67BA" w:rsidRDefault="00AF1B53" w:rsidP="00CA67BA">
      <w:pPr>
        <w:jc w:val="both"/>
        <w:rPr>
          <w:b/>
          <w:lang w:eastAsia="en-US"/>
        </w:rPr>
      </w:pPr>
    </w:p>
    <w:p w14:paraId="7C423049" w14:textId="77777777" w:rsidR="00E2075B" w:rsidRPr="00CA67BA" w:rsidRDefault="00AF1B53" w:rsidP="00CA67BA">
      <w:pPr>
        <w:jc w:val="both"/>
        <w:rPr>
          <w:bCs/>
        </w:rPr>
      </w:pPr>
      <w:r w:rsidRPr="00CA67BA">
        <w:rPr>
          <w:lang w:eastAsia="en-US"/>
        </w:rPr>
        <w:t>Humanitarna pomoć u Bosni i Hercegovini najvećim je dijelom usmjerena na potporu zdravstvenom sustavu tijekom pandemije bolesti COVID-19. Uz doprinos Sveučilišnoj kliničkoj bolnici Mostar, upućen</w:t>
      </w:r>
      <w:r w:rsidR="00286190" w:rsidRPr="00CA67BA">
        <w:rPr>
          <w:lang w:eastAsia="en-US"/>
        </w:rPr>
        <w:t>e</w:t>
      </w:r>
      <w:r w:rsidRPr="00CA67BA">
        <w:rPr>
          <w:lang w:eastAsia="en-US"/>
        </w:rPr>
        <w:t xml:space="preserve"> su financijske potpore za opremanje pet zdravstvenih ustanova na području BiH. Također, humanitarna pomoć </w:t>
      </w:r>
      <w:r w:rsidR="00286190" w:rsidRPr="00CA67BA">
        <w:rPr>
          <w:lang w:eastAsia="en-US"/>
        </w:rPr>
        <w:t xml:space="preserve">je upućena </w:t>
      </w:r>
      <w:r w:rsidRPr="00CA67BA">
        <w:rPr>
          <w:lang w:eastAsia="en-US"/>
        </w:rPr>
        <w:t>u obliku osnovnih prehrambenih namirnica i higijenskih potrepština osobama koje su se našle u teškoj situaciji uslijed pandemije.</w:t>
      </w:r>
      <w:r w:rsidR="00286190" w:rsidRPr="00CA67BA">
        <w:rPr>
          <w:bCs/>
        </w:rPr>
        <w:t xml:space="preserve"> Vlada Republike Hrvatske uputila je i žurnu humanitarnu pomoć Republici Albaniji, Bosni i Hercegovini i Crnoj Gori, dostavom medicinske opreme za borbu protiv epidemije bolesti COVID-19. Ranije opisani projekt obnove u potresu uništene osnovne škole u Albaniji također ulazi u kategoriju humanitarne pomoći. Dodatno, k</w:t>
      </w:r>
      <w:r w:rsidR="00997E8B" w:rsidRPr="00CA67BA">
        <w:rPr>
          <w:bCs/>
        </w:rPr>
        <w:t xml:space="preserve">ao odgovor na eksploziju koja se dogodila u glavnom libanonskom gradu Bejrutu u </w:t>
      </w:r>
      <w:r w:rsidR="00997E8B" w:rsidRPr="00CA67BA">
        <w:t>kolovozu 2020. godine</w:t>
      </w:r>
      <w:r w:rsidR="00997E8B" w:rsidRPr="00CA67BA">
        <w:rPr>
          <w:bCs/>
        </w:rPr>
        <w:t>, Republik</w:t>
      </w:r>
      <w:r w:rsidR="00230A82" w:rsidRPr="00CA67BA">
        <w:rPr>
          <w:bCs/>
        </w:rPr>
        <w:t>a</w:t>
      </w:r>
      <w:r w:rsidR="00997E8B" w:rsidRPr="00CA67BA">
        <w:rPr>
          <w:bCs/>
        </w:rPr>
        <w:t xml:space="preserve"> Hrvatska je uputila žurnu humanitarnu pomoć u naravi dostavom </w:t>
      </w:r>
      <w:r w:rsidR="00286190" w:rsidRPr="00CA67BA">
        <w:rPr>
          <w:bCs/>
        </w:rPr>
        <w:t xml:space="preserve">medicinske opreme, uključujući </w:t>
      </w:r>
      <w:r w:rsidR="00997E8B" w:rsidRPr="00CA67BA">
        <w:rPr>
          <w:bCs/>
        </w:rPr>
        <w:t>jednokratnih odijela s kemijskom zaštitom</w:t>
      </w:r>
      <w:r w:rsidR="00CC246A" w:rsidRPr="00CA67BA">
        <w:rPr>
          <w:bCs/>
        </w:rPr>
        <w:t>, a t</w:t>
      </w:r>
      <w:r w:rsidR="00997E8B" w:rsidRPr="00CA67BA">
        <w:rPr>
          <w:bCs/>
        </w:rPr>
        <w:t xml:space="preserve">akođer je ugovoren i projekt </w:t>
      </w:r>
      <w:r w:rsidR="00230A82" w:rsidRPr="00CA67BA">
        <w:rPr>
          <w:bCs/>
        </w:rPr>
        <w:t>dostave humanitarne pomoći sa Svjetskim programom za hranu (WFP)</w:t>
      </w:r>
      <w:r w:rsidR="00CC246A" w:rsidRPr="00CA67BA">
        <w:rPr>
          <w:bCs/>
        </w:rPr>
        <w:t xml:space="preserve"> u vrijednosti od 756</w:t>
      </w:r>
      <w:r w:rsidR="00590E83">
        <w:rPr>
          <w:bCs/>
        </w:rPr>
        <w:t>.098,00</w:t>
      </w:r>
      <w:r w:rsidR="00CC246A" w:rsidRPr="00CA67BA">
        <w:rPr>
          <w:bCs/>
        </w:rPr>
        <w:t xml:space="preserve"> kuna</w:t>
      </w:r>
      <w:r w:rsidR="00230A82" w:rsidRPr="00CA67BA">
        <w:rPr>
          <w:bCs/>
        </w:rPr>
        <w:t>.</w:t>
      </w:r>
    </w:p>
    <w:p w14:paraId="1243570F" w14:textId="77777777" w:rsidR="00E2075B" w:rsidRPr="00CA67BA" w:rsidRDefault="00E2075B" w:rsidP="00CA67BA">
      <w:pPr>
        <w:jc w:val="both"/>
        <w:rPr>
          <w:bCs/>
        </w:rPr>
      </w:pPr>
    </w:p>
    <w:p w14:paraId="3C6F9BB6" w14:textId="77777777" w:rsidR="00AF1B53" w:rsidRPr="00CA67BA" w:rsidRDefault="00AF1B53" w:rsidP="00CA67BA">
      <w:pPr>
        <w:jc w:val="both"/>
        <w:rPr>
          <w:bCs/>
        </w:rPr>
      </w:pPr>
      <w:r w:rsidRPr="00CA67BA">
        <w:rPr>
          <w:bCs/>
        </w:rPr>
        <w:t xml:space="preserve">S obzirom na posljedice dugogodišnje humanitarne krize koja je u Bolivarijanskoj Republici Venezueli (BRV) uzrokovala siromaštvo i masovno iseljavanje stanovništva, Republika Hrvatska je u suradnji s organizacijom Caritas Venezuela u 2020. godini uputila humanitarnu pomoć </w:t>
      </w:r>
      <w:r w:rsidR="00CC246A" w:rsidRPr="00CA67BA">
        <w:rPr>
          <w:bCs/>
        </w:rPr>
        <w:t>u vrijednosti 26</w:t>
      </w:r>
      <w:r w:rsidR="002D033F">
        <w:rPr>
          <w:bCs/>
        </w:rPr>
        <w:t>9</w:t>
      </w:r>
      <w:r w:rsidR="00590E83">
        <w:rPr>
          <w:bCs/>
        </w:rPr>
        <w:t>.</w:t>
      </w:r>
      <w:r w:rsidR="002D033F">
        <w:rPr>
          <w:bCs/>
        </w:rPr>
        <w:t>3</w:t>
      </w:r>
      <w:r w:rsidR="00590E83">
        <w:rPr>
          <w:bCs/>
        </w:rPr>
        <w:t>19,20</w:t>
      </w:r>
      <w:r w:rsidR="008122E1">
        <w:rPr>
          <w:bCs/>
        </w:rPr>
        <w:t xml:space="preserve"> tisuća kuna </w:t>
      </w:r>
      <w:r w:rsidR="00CC246A" w:rsidRPr="00CA67BA">
        <w:rPr>
          <w:bCs/>
        </w:rPr>
        <w:t xml:space="preserve">za </w:t>
      </w:r>
      <w:r w:rsidRPr="00CA67BA">
        <w:rPr>
          <w:bCs/>
        </w:rPr>
        <w:t>nabav</w:t>
      </w:r>
      <w:r w:rsidR="00CC246A" w:rsidRPr="00CA67BA">
        <w:rPr>
          <w:bCs/>
        </w:rPr>
        <w:t>u</w:t>
      </w:r>
      <w:r w:rsidRPr="00CA67BA">
        <w:rPr>
          <w:bCs/>
        </w:rPr>
        <w:t xml:space="preserve"> lijekova namijenjenih najranjivijim skupinama stanovništva koje su zbog nestašice lijekova i otežanog pristupa kanalima distribucije u zemlji izloženi dodatnim rizicima za zdravlje i život. </w:t>
      </w:r>
      <w:r w:rsidR="00CC246A" w:rsidRPr="00CA67BA">
        <w:rPr>
          <w:bCs/>
        </w:rPr>
        <w:t xml:space="preserve"> </w:t>
      </w:r>
    </w:p>
    <w:p w14:paraId="20B576FA" w14:textId="77777777" w:rsidR="00CC221E" w:rsidRPr="00CC221E" w:rsidRDefault="00CC221E" w:rsidP="00CC221E">
      <w:pPr>
        <w:jc w:val="both"/>
        <w:rPr>
          <w:rFonts w:eastAsia="Calibri"/>
          <w:highlight w:val="yellow"/>
          <w:lang w:eastAsia="en-US"/>
        </w:rPr>
      </w:pPr>
    </w:p>
    <w:p w14:paraId="6CA210D6" w14:textId="77777777" w:rsidR="00023F7C" w:rsidRDefault="00023F7C">
      <w:pPr>
        <w:spacing w:after="160" w:line="259" w:lineRule="auto"/>
        <w:rPr>
          <w:rFonts w:eastAsia="Calibri"/>
          <w:highlight w:val="yellow"/>
          <w:lang w:eastAsia="en-US"/>
        </w:rPr>
      </w:pPr>
      <w:r>
        <w:rPr>
          <w:rFonts w:eastAsia="Calibri"/>
          <w:highlight w:val="yellow"/>
          <w:lang w:eastAsia="en-US"/>
        </w:rPr>
        <w:br w:type="page"/>
      </w:r>
    </w:p>
    <w:p w14:paraId="206CCE8A" w14:textId="77777777" w:rsidR="00CC221E" w:rsidRPr="00B22554" w:rsidRDefault="00CC221E" w:rsidP="00357A5E">
      <w:pPr>
        <w:pStyle w:val="Heading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bookmarkStart w:id="17" w:name="_Toc74738847"/>
      <w:r w:rsidRPr="00B22554">
        <w:rPr>
          <w:rFonts w:ascii="Times New Roman" w:hAnsi="Times New Roman" w:cs="Times New Roman"/>
        </w:rPr>
        <w:t>Zaključ</w:t>
      </w:r>
      <w:r w:rsidR="00B22554" w:rsidRPr="00B22554">
        <w:rPr>
          <w:rFonts w:ascii="Times New Roman" w:hAnsi="Times New Roman" w:cs="Times New Roman"/>
        </w:rPr>
        <w:t>ak</w:t>
      </w:r>
      <w:bookmarkEnd w:id="17"/>
    </w:p>
    <w:p w14:paraId="093C5416" w14:textId="77777777" w:rsidR="00CC221E" w:rsidRPr="00B22554" w:rsidRDefault="00CC221E" w:rsidP="00CC221E">
      <w:pPr>
        <w:jc w:val="both"/>
        <w:rPr>
          <w:rFonts w:eastAsiaTheme="minorHAnsi"/>
          <w:sz w:val="22"/>
          <w:szCs w:val="22"/>
          <w:lang w:eastAsia="en-US"/>
        </w:rPr>
      </w:pPr>
      <w:r w:rsidRPr="00B22554">
        <w:t>Nastavno na Strateški plan Ministarstva vanjskih i europskih poslova za razdoblje od 20</w:t>
      </w:r>
      <w:r w:rsidR="00B22554" w:rsidRPr="00B22554">
        <w:t>20</w:t>
      </w:r>
      <w:r w:rsidRPr="00B22554">
        <w:t>. do 202</w:t>
      </w:r>
      <w:r w:rsidR="00B22554" w:rsidRPr="00B22554">
        <w:t>2</w:t>
      </w:r>
      <w:r w:rsidRPr="00B22554">
        <w:t xml:space="preserve">. godine, Nacionalnu strategiju razvojne suradnje od 2017. do 2021. godine, preporuke Europske unije iz Zaključaka Vijeća 9241/15 o Novom globalnom partnerstvu za smanjenje siromaštva i održivi razvoj nakon 2015. godine te međunarodne preporuke navedene u Agendi 2030, Akcijski plan za financiranje razvoja i Agendu za humanost, Republika Hrvatska kontinuirano razvija politike </w:t>
      </w:r>
      <w:r w:rsidR="00CC246A">
        <w:t>s</w:t>
      </w:r>
      <w:r w:rsidRPr="00B22554">
        <w:t xml:space="preserve"> područj</w:t>
      </w:r>
      <w:r w:rsidR="00CC246A">
        <w:t>a</w:t>
      </w:r>
      <w:r w:rsidRPr="00B22554">
        <w:t xml:space="preserve"> </w:t>
      </w:r>
      <w:r w:rsidR="00B22554" w:rsidRPr="00B22554">
        <w:t xml:space="preserve">međunarodne </w:t>
      </w:r>
      <w:r w:rsidRPr="00B22554">
        <w:t xml:space="preserve">razvojne suradnje i humanitarne pomoći te povećava svoj doprinos za službenu razvojnu pomoć kroz multilateralne i bilateralne okvire. </w:t>
      </w:r>
    </w:p>
    <w:p w14:paraId="6A727C33" w14:textId="77777777" w:rsidR="00CC221E" w:rsidRPr="00CC221E" w:rsidRDefault="00CC221E" w:rsidP="00CC221E">
      <w:pPr>
        <w:jc w:val="both"/>
        <w:rPr>
          <w:highlight w:val="yellow"/>
        </w:rPr>
      </w:pPr>
    </w:p>
    <w:p w14:paraId="451390CF" w14:textId="77777777" w:rsidR="009851B2" w:rsidRDefault="009851B2" w:rsidP="009851B2">
      <w:pPr>
        <w:jc w:val="both"/>
      </w:pPr>
      <w:r w:rsidRPr="00E2075B">
        <w:t>Prema ukupnim brojkama</w:t>
      </w:r>
      <w:r>
        <w:t xml:space="preserve"> SRP</w:t>
      </w:r>
      <w:r w:rsidR="00CE6DD4">
        <w:t xml:space="preserve"> u 2020. godini, </w:t>
      </w:r>
      <w:r w:rsidRPr="00E2075B">
        <w:t>najveć</w:t>
      </w:r>
      <w:r>
        <w:t>i</w:t>
      </w:r>
      <w:r w:rsidRPr="00E2075B">
        <w:t xml:space="preserve"> primatelji bilateraln</w:t>
      </w:r>
      <w:r>
        <w:t xml:space="preserve">og SRP </w:t>
      </w:r>
      <w:r w:rsidRPr="00E2075B">
        <w:t>bil</w:t>
      </w:r>
      <w:r>
        <w:t>i</w:t>
      </w:r>
      <w:r w:rsidRPr="00E2075B">
        <w:t xml:space="preserve"> su Bosna i Hercegovina, koju slijede Albanija, Srbija, Sjeverna Makedonija</w:t>
      </w:r>
      <w:r w:rsidR="00CE6DD4">
        <w:t xml:space="preserve"> i Crna Gora,</w:t>
      </w:r>
      <w:r>
        <w:t xml:space="preserve"> što potvrđuje </w:t>
      </w:r>
      <w:r w:rsidRPr="00E2075B">
        <w:t>dominantn</w:t>
      </w:r>
      <w:r>
        <w:t>u</w:t>
      </w:r>
      <w:r w:rsidRPr="00E2075B">
        <w:t xml:space="preserve"> usmjerenost nacionalnih dionika </w:t>
      </w:r>
      <w:r>
        <w:t>SRP</w:t>
      </w:r>
      <w:r w:rsidRPr="00E2075B">
        <w:t xml:space="preserve"> na prioritetno područje </w:t>
      </w:r>
      <w:r>
        <w:t>j</w:t>
      </w:r>
      <w:r w:rsidRPr="00E2075B">
        <w:t>ugoistočne Europe.</w:t>
      </w:r>
      <w:r>
        <w:t xml:space="preserve"> Republika Hrvatska je u 2020. godini unatoč pandemiji bolesti COVID-19 i razornim potresima koji su je zadesili, uspjela ne samo zadržati razinu izdvajanja za SRP, već i podignuti stopu izdvajanja u odnosu na prethodnu godinu za </w:t>
      </w:r>
      <w:r w:rsidR="000E214E">
        <w:t>7</w:t>
      </w:r>
      <w:r w:rsidRPr="00590E83">
        <w:t>,</w:t>
      </w:r>
      <w:r w:rsidR="001630CB">
        <w:t>5</w:t>
      </w:r>
      <w:r w:rsidRPr="00590E83">
        <w:t>%.</w:t>
      </w:r>
      <w:r w:rsidRPr="00590E83">
        <w:rPr>
          <w:color w:val="FF0000"/>
        </w:rPr>
        <w:t xml:space="preserve"> </w:t>
      </w:r>
      <w:r>
        <w:t xml:space="preserve">Time se nedvojbeno pokazala kao solidarna i učinkovita članica Europske unije te kao odgovorna država prema svom neposrednom susjedstvu i aktivna u globalnim inicijativama. </w:t>
      </w:r>
    </w:p>
    <w:p w14:paraId="1AA73EB3" w14:textId="77777777" w:rsidR="009851B2" w:rsidRDefault="009851B2" w:rsidP="00CC221E">
      <w:pPr>
        <w:jc w:val="both"/>
      </w:pPr>
    </w:p>
    <w:p w14:paraId="1D1D2947" w14:textId="77777777" w:rsidR="00CC221E" w:rsidRPr="00B22554" w:rsidRDefault="00CC246A" w:rsidP="00CC221E">
      <w:pPr>
        <w:jc w:val="both"/>
      </w:pPr>
      <w:r>
        <w:t xml:space="preserve">Proaktivnim sudjelovanjem u </w:t>
      </w:r>
      <w:r w:rsidR="00EB70D1">
        <w:t xml:space="preserve">radnim </w:t>
      </w:r>
      <w:r>
        <w:t>tijelima Europske komisije s nadležnostima na području međunarodnog razvoj</w:t>
      </w:r>
      <w:r w:rsidR="00EB70D1">
        <w:t>a</w:t>
      </w:r>
      <w:r>
        <w:t xml:space="preserve"> i humanitarne pomoći, kao i r</w:t>
      </w:r>
      <w:r w:rsidR="00CC221E" w:rsidRPr="00B22554">
        <w:t>edovitim godišnjim izvještavanjem prema OECD</w:t>
      </w:r>
      <w:r>
        <w:t xml:space="preserve"> </w:t>
      </w:r>
      <w:r w:rsidR="00CC221E" w:rsidRPr="00B22554">
        <w:t>DAC</w:t>
      </w:r>
      <w:r>
        <w:t>,</w:t>
      </w:r>
      <w:r w:rsidR="00CC221E" w:rsidRPr="00B22554">
        <w:t xml:space="preserve"> osigurava</w:t>
      </w:r>
      <w:r>
        <w:t xml:space="preserve"> se</w:t>
      </w:r>
      <w:r w:rsidR="00CC221E" w:rsidRPr="00B22554">
        <w:t xml:space="preserve"> vidljivost i vjerodostojnost Republike Hrvatske kao države donatorice na globalnoj razini</w:t>
      </w:r>
      <w:r>
        <w:t xml:space="preserve"> </w:t>
      </w:r>
      <w:r w:rsidR="00CC221E" w:rsidRPr="00B22554">
        <w:t>koja svoju međunarodnu razvojnu suradnju i humanitarnu pomoć provodi sukladno prioritetima zacrtanim u naci</w:t>
      </w:r>
      <w:r w:rsidR="00AF1B53">
        <w:t xml:space="preserve">onalnim </w:t>
      </w:r>
      <w:r>
        <w:t xml:space="preserve">i međunarodnim </w:t>
      </w:r>
      <w:r w:rsidR="00AF1B53">
        <w:t>dokumentima i odlukama.</w:t>
      </w:r>
    </w:p>
    <w:p w14:paraId="02C550E1" w14:textId="77777777" w:rsidR="00CC221E" w:rsidRPr="000608EA" w:rsidRDefault="00CC221E" w:rsidP="00CC221E">
      <w:pPr>
        <w:jc w:val="both"/>
        <w:rPr>
          <w:highlight w:val="green"/>
        </w:rPr>
      </w:pPr>
    </w:p>
    <w:p w14:paraId="66BC712C" w14:textId="77777777" w:rsidR="00EB70D1" w:rsidRDefault="00EB70D1" w:rsidP="00CC221E">
      <w:pPr>
        <w:jc w:val="both"/>
      </w:pPr>
    </w:p>
    <w:p w14:paraId="664E8FFB" w14:textId="77777777" w:rsidR="00CC221E" w:rsidRPr="00F948CA" w:rsidRDefault="00CC221E" w:rsidP="00357A5E">
      <w:pPr>
        <w:pStyle w:val="Heading1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bookmarkStart w:id="18" w:name="_Toc74738848"/>
      <w:r w:rsidRPr="00F948CA">
        <w:rPr>
          <w:rFonts w:ascii="Times New Roman" w:hAnsi="Times New Roman" w:cs="Times New Roman"/>
        </w:rPr>
        <w:t>Prilozi</w:t>
      </w:r>
      <w:bookmarkEnd w:id="18"/>
    </w:p>
    <w:p w14:paraId="6EF68FB6" w14:textId="77777777" w:rsidR="00CC221E" w:rsidRPr="00CC246A" w:rsidRDefault="00226070" w:rsidP="00CC221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74738849"/>
      <w:r w:rsidRPr="00CC246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CC221E" w:rsidRPr="00CC246A">
        <w:rPr>
          <w:rFonts w:ascii="Times New Roman" w:hAnsi="Times New Roman" w:cs="Times New Roman"/>
          <w:color w:val="auto"/>
          <w:sz w:val="24"/>
          <w:szCs w:val="24"/>
        </w:rPr>
        <w:t>.1. Popis provedenih projekata u 20</w:t>
      </w:r>
      <w:r w:rsidR="00F948CA" w:rsidRPr="00CC246A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C221E" w:rsidRPr="00CC246A">
        <w:rPr>
          <w:rFonts w:ascii="Times New Roman" w:hAnsi="Times New Roman" w:cs="Times New Roman"/>
          <w:color w:val="auto"/>
          <w:sz w:val="24"/>
          <w:szCs w:val="24"/>
        </w:rPr>
        <w:t>. godini</w:t>
      </w:r>
      <w:bookmarkEnd w:id="19"/>
    </w:p>
    <w:p w14:paraId="03F418CE" w14:textId="77777777" w:rsidR="001D4A15" w:rsidRDefault="001D4A15"/>
    <w:sectPr w:rsidR="001D4A15" w:rsidSect="0095394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7CF99" w14:textId="77777777" w:rsidR="0064066F" w:rsidRDefault="0064066F">
      <w:r>
        <w:separator/>
      </w:r>
    </w:p>
  </w:endnote>
  <w:endnote w:type="continuationSeparator" w:id="0">
    <w:p w14:paraId="0983D0EA" w14:textId="77777777" w:rsidR="0064066F" w:rsidRDefault="006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12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B8E01" w14:textId="155309B1" w:rsidR="00930E13" w:rsidRDefault="00930E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40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BB85" w14:textId="77777777" w:rsidR="0064066F" w:rsidRDefault="0064066F">
      <w:r>
        <w:separator/>
      </w:r>
    </w:p>
  </w:footnote>
  <w:footnote w:type="continuationSeparator" w:id="0">
    <w:p w14:paraId="06ED9A29" w14:textId="77777777" w:rsidR="0064066F" w:rsidRDefault="0064066F">
      <w:r>
        <w:continuationSeparator/>
      </w:r>
    </w:p>
  </w:footnote>
  <w:footnote w:id="1">
    <w:p w14:paraId="643FDD40" w14:textId="77777777" w:rsidR="00286190" w:rsidRDefault="00286190" w:rsidP="0028619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2075B">
        <w:t>Opći proračun Europske unije, kojem Republika Hrvatska doprinosi na godišnjoj razini, služi i za financiranje brojnih instrumenta Europske unije kojima se financiraju razvojni projekti u partnerskim zemljama, stoga se takav doprinos u određenom dijelu bilježi kao SRP Republike Hrvatske. Tijekom 2020. godine, ukupan iznos koji se na ovaj način ubilježio kao hrvatski SRP iznosi 269,15 milijuna 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E97"/>
    <w:multiLevelType w:val="hybridMultilevel"/>
    <w:tmpl w:val="F66E9468"/>
    <w:lvl w:ilvl="0" w:tplc="0EFAD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5BF7"/>
    <w:multiLevelType w:val="multilevel"/>
    <w:tmpl w:val="F0D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 w15:restartNumberingAfterBreak="0">
    <w:nsid w:val="3E85366C"/>
    <w:multiLevelType w:val="hybridMultilevel"/>
    <w:tmpl w:val="C8E0E69A"/>
    <w:lvl w:ilvl="0" w:tplc="041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146" w:hanging="360"/>
      </w:pPr>
    </w:lvl>
    <w:lvl w:ilvl="2" w:tplc="041A001B">
      <w:start w:val="1"/>
      <w:numFmt w:val="lowerRoman"/>
      <w:lvlText w:val="%3."/>
      <w:lvlJc w:val="right"/>
      <w:pPr>
        <w:ind w:left="1866" w:hanging="180"/>
      </w:pPr>
    </w:lvl>
    <w:lvl w:ilvl="3" w:tplc="041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1E"/>
    <w:rsid w:val="00001C6F"/>
    <w:rsid w:val="00004A81"/>
    <w:rsid w:val="0000783E"/>
    <w:rsid w:val="000162BA"/>
    <w:rsid w:val="00023F7C"/>
    <w:rsid w:val="00026B80"/>
    <w:rsid w:val="000608EA"/>
    <w:rsid w:val="0007689C"/>
    <w:rsid w:val="00093CBC"/>
    <w:rsid w:val="000A06CA"/>
    <w:rsid w:val="000A7441"/>
    <w:rsid w:val="000B02B7"/>
    <w:rsid w:val="000B19EB"/>
    <w:rsid w:val="000C2522"/>
    <w:rsid w:val="000C7F56"/>
    <w:rsid w:val="000D247F"/>
    <w:rsid w:val="000E0F84"/>
    <w:rsid w:val="000E214E"/>
    <w:rsid w:val="000E51EE"/>
    <w:rsid w:val="00121420"/>
    <w:rsid w:val="001234FB"/>
    <w:rsid w:val="00135659"/>
    <w:rsid w:val="00136289"/>
    <w:rsid w:val="00142E09"/>
    <w:rsid w:val="001630CB"/>
    <w:rsid w:val="00174F8B"/>
    <w:rsid w:val="00175967"/>
    <w:rsid w:val="00182B40"/>
    <w:rsid w:val="001921DC"/>
    <w:rsid w:val="001961D6"/>
    <w:rsid w:val="001D4A15"/>
    <w:rsid w:val="001D68E9"/>
    <w:rsid w:val="001D77B6"/>
    <w:rsid w:val="00200BC8"/>
    <w:rsid w:val="00226070"/>
    <w:rsid w:val="00230A82"/>
    <w:rsid w:val="00237D51"/>
    <w:rsid w:val="00244B32"/>
    <w:rsid w:val="002506A6"/>
    <w:rsid w:val="00276402"/>
    <w:rsid w:val="00286190"/>
    <w:rsid w:val="00291CDF"/>
    <w:rsid w:val="002C05E9"/>
    <w:rsid w:val="002C7EAA"/>
    <w:rsid w:val="002D033F"/>
    <w:rsid w:val="002F73E6"/>
    <w:rsid w:val="00307B7A"/>
    <w:rsid w:val="00310325"/>
    <w:rsid w:val="003236A2"/>
    <w:rsid w:val="003366B0"/>
    <w:rsid w:val="00357A5E"/>
    <w:rsid w:val="00382E5F"/>
    <w:rsid w:val="003979C6"/>
    <w:rsid w:val="003A6B4E"/>
    <w:rsid w:val="003B50AC"/>
    <w:rsid w:val="003C732A"/>
    <w:rsid w:val="003E28A8"/>
    <w:rsid w:val="003E7123"/>
    <w:rsid w:val="00401CC8"/>
    <w:rsid w:val="00436DB1"/>
    <w:rsid w:val="00445B0C"/>
    <w:rsid w:val="00450014"/>
    <w:rsid w:val="00450B21"/>
    <w:rsid w:val="00485583"/>
    <w:rsid w:val="00487864"/>
    <w:rsid w:val="0049384B"/>
    <w:rsid w:val="004A42F6"/>
    <w:rsid w:val="004A77D6"/>
    <w:rsid w:val="004C1791"/>
    <w:rsid w:val="004C3D63"/>
    <w:rsid w:val="004E530B"/>
    <w:rsid w:val="00521E77"/>
    <w:rsid w:val="00522C9F"/>
    <w:rsid w:val="00523D53"/>
    <w:rsid w:val="00553D14"/>
    <w:rsid w:val="00560000"/>
    <w:rsid w:val="00566AC8"/>
    <w:rsid w:val="005764FF"/>
    <w:rsid w:val="00590E83"/>
    <w:rsid w:val="005A1294"/>
    <w:rsid w:val="005B55C0"/>
    <w:rsid w:val="005C2424"/>
    <w:rsid w:val="005C74DF"/>
    <w:rsid w:val="005E0FCB"/>
    <w:rsid w:val="005E2676"/>
    <w:rsid w:val="005E39E1"/>
    <w:rsid w:val="0064066F"/>
    <w:rsid w:val="00643BB4"/>
    <w:rsid w:val="0064587E"/>
    <w:rsid w:val="006B1077"/>
    <w:rsid w:val="006B1B9E"/>
    <w:rsid w:val="006B5836"/>
    <w:rsid w:val="006E070F"/>
    <w:rsid w:val="006F7950"/>
    <w:rsid w:val="00711335"/>
    <w:rsid w:val="00734E8E"/>
    <w:rsid w:val="00754D93"/>
    <w:rsid w:val="007671D2"/>
    <w:rsid w:val="00775683"/>
    <w:rsid w:val="007822F9"/>
    <w:rsid w:val="007C48AD"/>
    <w:rsid w:val="007E3975"/>
    <w:rsid w:val="008122E1"/>
    <w:rsid w:val="008150D4"/>
    <w:rsid w:val="0082008F"/>
    <w:rsid w:val="00831ACE"/>
    <w:rsid w:val="00833F2C"/>
    <w:rsid w:val="00847D9B"/>
    <w:rsid w:val="0085218E"/>
    <w:rsid w:val="00880AEB"/>
    <w:rsid w:val="008B064C"/>
    <w:rsid w:val="008D0DEB"/>
    <w:rsid w:val="008E0F9F"/>
    <w:rsid w:val="008F3363"/>
    <w:rsid w:val="008F50FB"/>
    <w:rsid w:val="00905E90"/>
    <w:rsid w:val="00920908"/>
    <w:rsid w:val="00930E13"/>
    <w:rsid w:val="00953941"/>
    <w:rsid w:val="0095446B"/>
    <w:rsid w:val="00982A80"/>
    <w:rsid w:val="009851B2"/>
    <w:rsid w:val="0099640C"/>
    <w:rsid w:val="00997E8B"/>
    <w:rsid w:val="009B059E"/>
    <w:rsid w:val="009B1354"/>
    <w:rsid w:val="009B4DD8"/>
    <w:rsid w:val="009C00F0"/>
    <w:rsid w:val="009D3D71"/>
    <w:rsid w:val="009E4252"/>
    <w:rsid w:val="009E6FE6"/>
    <w:rsid w:val="00A0155A"/>
    <w:rsid w:val="00A10C99"/>
    <w:rsid w:val="00A56A4C"/>
    <w:rsid w:val="00A82AA3"/>
    <w:rsid w:val="00AB210E"/>
    <w:rsid w:val="00AB3E3B"/>
    <w:rsid w:val="00AC2344"/>
    <w:rsid w:val="00AE3B75"/>
    <w:rsid w:val="00AF0263"/>
    <w:rsid w:val="00AF1B53"/>
    <w:rsid w:val="00B03C39"/>
    <w:rsid w:val="00B22554"/>
    <w:rsid w:val="00B330E7"/>
    <w:rsid w:val="00B37554"/>
    <w:rsid w:val="00B64176"/>
    <w:rsid w:val="00B8000E"/>
    <w:rsid w:val="00B8095E"/>
    <w:rsid w:val="00B84AAA"/>
    <w:rsid w:val="00B91F4B"/>
    <w:rsid w:val="00B932A7"/>
    <w:rsid w:val="00BA6DE5"/>
    <w:rsid w:val="00BE3F82"/>
    <w:rsid w:val="00BF6F43"/>
    <w:rsid w:val="00C20FB7"/>
    <w:rsid w:val="00C52884"/>
    <w:rsid w:val="00C56B98"/>
    <w:rsid w:val="00C61AA2"/>
    <w:rsid w:val="00C61C81"/>
    <w:rsid w:val="00C61F6B"/>
    <w:rsid w:val="00C73E87"/>
    <w:rsid w:val="00C90FA0"/>
    <w:rsid w:val="00CA67BA"/>
    <w:rsid w:val="00CB4DDB"/>
    <w:rsid w:val="00CC221E"/>
    <w:rsid w:val="00CC246A"/>
    <w:rsid w:val="00CD1E9D"/>
    <w:rsid w:val="00CD48ED"/>
    <w:rsid w:val="00CE68B9"/>
    <w:rsid w:val="00CE6DD4"/>
    <w:rsid w:val="00CF5053"/>
    <w:rsid w:val="00D168FE"/>
    <w:rsid w:val="00D25074"/>
    <w:rsid w:val="00D34ABE"/>
    <w:rsid w:val="00D41BEB"/>
    <w:rsid w:val="00D4509B"/>
    <w:rsid w:val="00D53A0C"/>
    <w:rsid w:val="00D60439"/>
    <w:rsid w:val="00D70120"/>
    <w:rsid w:val="00D768DC"/>
    <w:rsid w:val="00D84B1B"/>
    <w:rsid w:val="00D91EBE"/>
    <w:rsid w:val="00DA051F"/>
    <w:rsid w:val="00DA4FB1"/>
    <w:rsid w:val="00DB1148"/>
    <w:rsid w:val="00DB35D4"/>
    <w:rsid w:val="00DD0C51"/>
    <w:rsid w:val="00DD2710"/>
    <w:rsid w:val="00E02356"/>
    <w:rsid w:val="00E17B49"/>
    <w:rsid w:val="00E2075B"/>
    <w:rsid w:val="00E20E09"/>
    <w:rsid w:val="00E2174D"/>
    <w:rsid w:val="00E24EF5"/>
    <w:rsid w:val="00E261DE"/>
    <w:rsid w:val="00E37147"/>
    <w:rsid w:val="00E55622"/>
    <w:rsid w:val="00E62E65"/>
    <w:rsid w:val="00E777EF"/>
    <w:rsid w:val="00E85ABD"/>
    <w:rsid w:val="00EB1276"/>
    <w:rsid w:val="00EB70D1"/>
    <w:rsid w:val="00EF1D29"/>
    <w:rsid w:val="00F07E23"/>
    <w:rsid w:val="00F11EBD"/>
    <w:rsid w:val="00F11F7F"/>
    <w:rsid w:val="00F1335F"/>
    <w:rsid w:val="00F15AFD"/>
    <w:rsid w:val="00F20C88"/>
    <w:rsid w:val="00F21E7C"/>
    <w:rsid w:val="00F3191E"/>
    <w:rsid w:val="00F473AE"/>
    <w:rsid w:val="00F541C4"/>
    <w:rsid w:val="00F6641F"/>
    <w:rsid w:val="00F747EB"/>
    <w:rsid w:val="00F948CA"/>
    <w:rsid w:val="00F950ED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502A"/>
  <w15:docId w15:val="{7D540ACD-912F-4595-AD26-F1EC461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hr-HR" w:eastAsia="zh-TW"/>
    </w:rPr>
  </w:style>
  <w:style w:type="paragraph" w:styleId="Heading1">
    <w:name w:val="heading 1"/>
    <w:basedOn w:val="Normal"/>
    <w:next w:val="Normal"/>
    <w:link w:val="Heading1Char"/>
    <w:qFormat/>
    <w:rsid w:val="00CC2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21E"/>
    <w:rPr>
      <w:rFonts w:ascii="Arial" w:eastAsia="PMingLiU" w:hAnsi="Arial" w:cs="Arial"/>
      <w:b/>
      <w:bCs/>
      <w:kern w:val="32"/>
      <w:sz w:val="32"/>
      <w:szCs w:val="32"/>
      <w:lang w:val="hr-HR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CC2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 w:eastAsia="zh-TW"/>
    </w:rPr>
  </w:style>
  <w:style w:type="character" w:customStyle="1" w:styleId="longtext1">
    <w:name w:val="long_text1"/>
    <w:locked/>
    <w:rsid w:val="00CC221E"/>
    <w:rPr>
      <w:sz w:val="20"/>
    </w:rPr>
  </w:style>
  <w:style w:type="paragraph" w:customStyle="1" w:styleId="t-9-8">
    <w:name w:val="t-9-8"/>
    <w:basedOn w:val="Normal"/>
    <w:locked/>
    <w:rsid w:val="00CC221E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CC22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1E"/>
    <w:rPr>
      <w:rFonts w:ascii="Times New Roman" w:eastAsia="PMingLiU" w:hAnsi="Times New Roman" w:cs="Times New Roman"/>
      <w:sz w:val="24"/>
      <w:szCs w:val="24"/>
      <w:lang w:val="hr-HR" w:eastAsia="zh-TW"/>
    </w:rPr>
  </w:style>
  <w:style w:type="paragraph" w:styleId="ListParagraph">
    <w:name w:val="List Paragraph"/>
    <w:aliases w:val="Bullets,List_Paragraph,Multilevel para_II,List Paragraph1,Akapit z listą BS,Bullet1,Main numbered paragraph,Dot pt,F5 List Paragraph,No Spacing1,List Paragraph Char Char Char,Indicator Text,Colorful List - Accent 11,Numbered Para 1"/>
    <w:basedOn w:val="Normal"/>
    <w:link w:val="ListParagraphChar"/>
    <w:uiPriority w:val="34"/>
    <w:qFormat/>
    <w:rsid w:val="00CC22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C22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221E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C221E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_Paragraph Char,Multilevel para_II Char,List Paragraph1 Char,Akapit z listą BS Char,Bullet1 Char,Main numbered paragraph Char,Dot pt Char,F5 List Paragraph Char,No Spacing1 Char,List Paragraph Char Char Char Char"/>
    <w:link w:val="ListParagraph"/>
    <w:uiPriority w:val="34"/>
    <w:qFormat/>
    <w:locked/>
    <w:rsid w:val="007671D2"/>
    <w:rPr>
      <w:rFonts w:ascii="Times New Roman" w:eastAsia="PMingLiU" w:hAnsi="Times New Roman" w:cs="Times New Roman"/>
      <w:sz w:val="24"/>
      <w:szCs w:val="24"/>
      <w:lang w:val="hr-HR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E1"/>
    <w:rPr>
      <w:rFonts w:ascii="Tahoma" w:eastAsia="PMingLiU" w:hAnsi="Tahoma" w:cs="Tahoma"/>
      <w:sz w:val="16"/>
      <w:szCs w:val="16"/>
      <w:lang w:val="hr-HR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D4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A15"/>
    <w:rPr>
      <w:rFonts w:ascii="Times New Roman" w:eastAsia="PMingLiU" w:hAnsi="Times New Roman" w:cs="Times New Roman"/>
      <w:sz w:val="20"/>
      <w:szCs w:val="20"/>
      <w:lang w:val="hr-HR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15"/>
    <w:rPr>
      <w:rFonts w:ascii="Times New Roman" w:eastAsia="PMingLiU" w:hAnsi="Times New Roman" w:cs="Times New Roman"/>
      <w:b/>
      <w:bCs/>
      <w:sz w:val="20"/>
      <w:szCs w:val="20"/>
      <w:lang w:val="hr-HR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90"/>
    <w:rPr>
      <w:rFonts w:ascii="Times New Roman" w:eastAsia="PMingLiU" w:hAnsi="Times New Roman" w:cs="Times New Roman"/>
      <w:sz w:val="20"/>
      <w:szCs w:val="20"/>
      <w:lang w:val="hr-HR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86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no\Sektor%20za%20razvojnu%20politiku\Slu&#382;ba%20za%20provedbu%20razvojne%20politike\IZVJE&#352;&#262;A\Izvje&#353;&#263;e%20za%20Hrvatski%20sabor\IZVJE&#352;&#262;E%202020\Copy%20of%20IZVJE&#352;&#262;E%202020%20Tablica_FINA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ino\Sektor%20za%20razvojnu%20politiku\Slu&#382;ba%20za%20provedbu%20razvojne%20politike\IZVJE&#352;&#262;A\Izvje&#353;&#263;e%20za%20Hrvatski%20sabor\IZVJE&#352;&#262;E%202020\Copy%20of%20IZVJE&#352;&#262;E%202020%20Tablica_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no\Sektor%20za%20razvojnu%20politiku\Slu&#382;ba%20za%20provedbu%20razvojne%20politike\IZVJE&#352;&#262;A\Izvje&#353;&#263;e%20za%20Hrvatski%20sabor\IZVJE&#352;&#262;E%202020\Copy%20of%20IZVJE&#352;&#262;E%202020%20Tablica_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81249839802772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A6D-40B5-8FEE-B587690045A9}"/>
                </c:ext>
              </c:extLst>
            </c:dLbl>
            <c:dLbl>
              <c:idx val="1"/>
              <c:layout>
                <c:manualLayout>
                  <c:x val="-7.81249839802772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A6D-40B5-8FEE-B587690045A9}"/>
                </c:ext>
              </c:extLst>
            </c:dLbl>
            <c:dLbl>
              <c:idx val="2"/>
              <c:layout>
                <c:manualLayout>
                  <c:x val="2.6041661326759078E-3"/>
                  <c:y val="2.2909507445589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A6D-40B5-8FEE-B587690045A9}"/>
                </c:ext>
              </c:extLst>
            </c:dLbl>
            <c:dLbl>
              <c:idx val="5"/>
              <c:layout>
                <c:manualLayout>
                  <c:x val="-7.81249839802772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A6D-40B5-8FEE-B587690045A9}"/>
                </c:ext>
              </c:extLst>
            </c:dLbl>
            <c:dLbl>
              <c:idx val="6"/>
              <c:layout>
                <c:manualLayout>
                  <c:x val="0"/>
                  <c:y val="4.1237113402061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A6D-40B5-8FEE-B587690045A9}"/>
                </c:ext>
              </c:extLst>
            </c:dLbl>
            <c:dLbl>
              <c:idx val="9"/>
              <c:layout>
                <c:manualLayout>
                  <c:x val="0"/>
                  <c:y val="1.3745704467353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A6D-40B5-8FEE-B587690045A9}"/>
                </c:ext>
              </c:extLst>
            </c:dLbl>
            <c:dLbl>
              <c:idx val="10"/>
              <c:layout>
                <c:manualLayout>
                  <c:x val="7.8124983980277238E-3"/>
                  <c:y val="2.10001392297236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A6D-40B5-8FEE-B587690045A9}"/>
                </c:ext>
              </c:extLst>
            </c:dLbl>
            <c:dLbl>
              <c:idx val="11"/>
              <c:layout>
                <c:manualLayout>
                  <c:x val="-2.3437495194083169E-2"/>
                  <c:y val="-3.66552119129438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516,89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A6D-40B5-8FEE-B587690045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2 Uk. iznosi'!$A$20:$A$31</c:f>
              <c:strCache>
                <c:ptCount val="12"/>
                <c:pt idx="0">
                  <c:v>2009.</c:v>
                </c:pt>
                <c:pt idx="1">
                  <c:v>2010.</c:v>
                </c:pt>
                <c:pt idx="2">
                  <c:v>2011.</c:v>
                </c:pt>
                <c:pt idx="3">
                  <c:v>2012.</c:v>
                </c:pt>
                <c:pt idx="4">
                  <c:v>2013.</c:v>
                </c:pt>
                <c:pt idx="5">
                  <c:v>2014.</c:v>
                </c:pt>
                <c:pt idx="6">
                  <c:v>2015.</c:v>
                </c:pt>
                <c:pt idx="7">
                  <c:v>2016.</c:v>
                </c:pt>
                <c:pt idx="8">
                  <c:v>2017.</c:v>
                </c:pt>
                <c:pt idx="9">
                  <c:v>2018.</c:v>
                </c:pt>
                <c:pt idx="10">
                  <c:v>2019.</c:v>
                </c:pt>
                <c:pt idx="11">
                  <c:v>2020.</c:v>
                </c:pt>
              </c:strCache>
            </c:strRef>
          </c:cat>
          <c:val>
            <c:numRef>
              <c:f>'Graf 2 Uk. iznosi'!$B$20:$B$31</c:f>
              <c:numCache>
                <c:formatCode>General</c:formatCode>
                <c:ptCount val="12"/>
                <c:pt idx="0">
                  <c:v>128.41999999999999</c:v>
                </c:pt>
                <c:pt idx="1">
                  <c:v>473.64</c:v>
                </c:pt>
                <c:pt idx="2">
                  <c:v>108.62</c:v>
                </c:pt>
                <c:pt idx="3">
                  <c:v>124.94</c:v>
                </c:pt>
                <c:pt idx="4">
                  <c:v>316.26</c:v>
                </c:pt>
                <c:pt idx="5">
                  <c:v>407.23</c:v>
                </c:pt>
                <c:pt idx="6">
                  <c:v>277.08</c:v>
                </c:pt>
                <c:pt idx="7">
                  <c:v>279.5</c:v>
                </c:pt>
                <c:pt idx="8">
                  <c:v>355.26</c:v>
                </c:pt>
                <c:pt idx="9">
                  <c:v>452.63</c:v>
                </c:pt>
                <c:pt idx="10">
                  <c:v>480.84</c:v>
                </c:pt>
                <c:pt idx="11">
                  <c:v>516.96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A6D-40B5-8FEE-B587690045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62760192"/>
        <c:axId val="162996608"/>
      </c:lineChart>
      <c:catAx>
        <c:axId val="16276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62996608"/>
        <c:crosses val="autoZero"/>
        <c:auto val="1"/>
        <c:lblAlgn val="ctr"/>
        <c:lblOffset val="100"/>
        <c:noMultiLvlLbl val="0"/>
      </c:catAx>
      <c:valAx>
        <c:axId val="16299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16276019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101869504335734"/>
          <c:y val="6.5239551478083593E-2"/>
          <c:w val="0.76898130495664263"/>
          <c:h val="0.8157663319607985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'graf1 oda'!$B$22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'graf1 oda'!$A$23:$A$27</c:f>
              <c:strCache>
                <c:ptCount val="5"/>
                <c:pt idx="0">
                  <c:v>Multilateralna pomoć</c:v>
                </c:pt>
                <c:pt idx="1">
                  <c:v>Bilateralna pomoć</c:v>
                </c:pt>
                <c:pt idx="3">
                  <c:v>Razvojna suradnja</c:v>
                </c:pt>
                <c:pt idx="4">
                  <c:v>Humanitarna pomoć</c:v>
                </c:pt>
              </c:strCache>
            </c:strRef>
          </c:cat>
          <c:val>
            <c:numRef>
              <c:f>'graf1 oda'!$B$23:$B$27</c:f>
              <c:numCache>
                <c:formatCode>#,##0.00\ "kn"</c:formatCode>
                <c:ptCount val="5"/>
                <c:pt idx="0">
                  <c:v>394782239.62</c:v>
                </c:pt>
                <c:pt idx="1">
                  <c:v>122180851.43000001</c:v>
                </c:pt>
                <c:pt idx="3">
                  <c:v>434715139.54000002</c:v>
                </c:pt>
                <c:pt idx="4">
                  <c:v>82247951.510000005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B-43BD-B9D4-87937D779073}"/>
            </c:ext>
          </c:extLst>
        </c:ser>
        <c:ser>
          <c:idx val="1"/>
          <c:order val="1"/>
          <c:tx>
            <c:strRef>
              <c:f>'graf1 oda'!$C$22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'graf1 oda'!$A$23:$A$27</c:f>
              <c:strCache>
                <c:ptCount val="5"/>
                <c:pt idx="0">
                  <c:v>Multilateralna pomoć</c:v>
                </c:pt>
                <c:pt idx="1">
                  <c:v>Bilateralna pomoć</c:v>
                </c:pt>
                <c:pt idx="3">
                  <c:v>Razvojna suradnja</c:v>
                </c:pt>
                <c:pt idx="4">
                  <c:v>Humanitarna pomoć</c:v>
                </c:pt>
              </c:strCache>
            </c:strRef>
          </c:cat>
          <c:val>
            <c:numRef>
              <c:f>'graf1 oda'!$C$23:$C$27</c:f>
              <c:numCache>
                <c:formatCode>General</c:formatCode>
                <c:ptCount val="5"/>
                <c:pt idx="0">
                  <c:v>76.37</c:v>
                </c:pt>
                <c:pt idx="1">
                  <c:v>23.63</c:v>
                </c:pt>
                <c:pt idx="3">
                  <c:v>84.09</c:v>
                </c:pt>
                <c:pt idx="4">
                  <c:v>15.91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8B-43BD-B9D4-87937D779073}"/>
            </c:ext>
          </c:extLst>
        </c:ser>
        <c:ser>
          <c:idx val="2"/>
          <c:order val="2"/>
          <c:tx>
            <c:strRef>
              <c:f>'graf1 oda'!$D$22</c:f>
              <c:strCache>
                <c:ptCount val="1"/>
                <c:pt idx="0">
                  <c:v>u mil HRK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806636077991982E-2"/>
                  <c:y val="-4.8929663608562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394,22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A8B-43BD-B9D4-87937D779073}"/>
                </c:ext>
              </c:extLst>
            </c:dLbl>
            <c:dLbl>
              <c:idx val="1"/>
              <c:layout>
                <c:manualLayout>
                  <c:x val="9.127352107534499E-2"/>
                  <c:y val="-6.93170234454637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122,67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A8B-43BD-B9D4-87937D779073}"/>
                </c:ext>
              </c:extLst>
            </c:dLbl>
            <c:dLbl>
              <c:idx val="3"/>
              <c:layout>
                <c:manualLayout>
                  <c:x val="-9.6963091484194103E-2"/>
                  <c:y val="-5.30071355759429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434,65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A8B-43BD-B9D4-87937D779073}"/>
                </c:ext>
              </c:extLst>
            </c:dLbl>
            <c:dLbl>
              <c:idx val="4"/>
              <c:layout>
                <c:manualLayout>
                  <c:x val="-6.883151123018362E-2"/>
                  <c:y val="-6.93170234454638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82,24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A8B-43BD-B9D4-87937D7790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'graf1 oda'!$A$23:$A$27</c:f>
              <c:strCache>
                <c:ptCount val="5"/>
                <c:pt idx="0">
                  <c:v>Multilateralna pomoć</c:v>
                </c:pt>
                <c:pt idx="1">
                  <c:v>Bilateralna pomoć</c:v>
                </c:pt>
                <c:pt idx="3">
                  <c:v>Razvojna suradnja</c:v>
                </c:pt>
                <c:pt idx="4">
                  <c:v>Humanitarna pomoć</c:v>
                </c:pt>
              </c:strCache>
            </c:strRef>
          </c:cat>
          <c:val>
            <c:numRef>
              <c:f>'graf1 oda'!$D$23:$D$27</c:f>
              <c:numCache>
                <c:formatCode>General</c:formatCode>
                <c:ptCount val="5"/>
                <c:pt idx="0">
                  <c:v>394.78</c:v>
                </c:pt>
                <c:pt idx="1">
                  <c:v>122.18</c:v>
                </c:pt>
                <c:pt idx="3">
                  <c:v>434.71</c:v>
                </c:pt>
                <c:pt idx="4">
                  <c:v>82.25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8B-43BD-B9D4-87937D77907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42266032"/>
        <c:axId val="442271280"/>
      </c:barChart>
      <c:catAx>
        <c:axId val="44226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442271280"/>
        <c:crosses val="autoZero"/>
        <c:auto val="1"/>
        <c:lblAlgn val="ctr"/>
        <c:lblOffset val="100"/>
        <c:noMultiLvlLbl val="0"/>
      </c:catAx>
      <c:valAx>
        <c:axId val="44227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&quot;kn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44226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'graf3 oda 2020 resori'!$B$1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12,34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115-4013-9E8D-C39CBCDC90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 oda 2020 resori'!$A$2:$A$23</c:f>
              <c:strCache>
                <c:ptCount val="22"/>
                <c:pt idx="0">
                  <c:v>Zadarska županija</c:v>
                </c:pt>
                <c:pt idx="1">
                  <c:v>Državni hidrometeorološki zavod</c:v>
                </c:pt>
                <c:pt idx="2">
                  <c:v>Dubrovačko-neretvanska županija</c:v>
                </c:pt>
                <c:pt idx="3">
                  <c:v>Istarska županija</c:v>
                </c:pt>
                <c:pt idx="4">
                  <c:v>Hrvatska banka za obnovu i razvitak</c:v>
                </c:pt>
                <c:pt idx="5">
                  <c:v>Hrvatska narodna banka</c:v>
                </c:pt>
                <c:pt idx="6">
                  <c:v>Osječko-baranjska županija</c:v>
                </c:pt>
                <c:pt idx="7">
                  <c:v>Zagrebačka županija</c:v>
                </c:pt>
                <c:pt idx="8">
                  <c:v>Nacionalna zaklada za razvoj civilnog društva</c:v>
                </c:pt>
                <c:pt idx="9">
                  <c:v>Ministarstvo turizma i sporta</c:v>
                </c:pt>
                <c:pt idx="10">
                  <c:v>Ministarstvo hrvatskih branitelja</c:v>
                </c:pt>
                <c:pt idx="11">
                  <c:v>Ministarstvo kulture i medija</c:v>
                </c:pt>
                <c:pt idx="12">
                  <c:v>Ministarstvo poljoprivrede</c:v>
                </c:pt>
                <c:pt idx="13">
                  <c:v>Ministarstvo gospodarstva i održivog razvoja</c:v>
                </c:pt>
                <c:pt idx="14">
                  <c:v>Ministarstvo znanosti i obrazovanja</c:v>
                </c:pt>
                <c:pt idx="15">
                  <c:v>Središnji državni ured za obnovu i stambeno zbrinjavanje</c:v>
                </c:pt>
                <c:pt idx="16">
                  <c:v>Ministarstvo unutarnjih poslova</c:v>
                </c:pt>
                <c:pt idx="17">
                  <c:v>Ministarstvo financija</c:v>
                </c:pt>
                <c:pt idx="18">
                  <c:v>Središnji državni ured za Hrvate izvan RH</c:v>
                </c:pt>
                <c:pt idx="19">
                  <c:v>Ministarstvo zdravstva</c:v>
                </c:pt>
                <c:pt idx="20">
                  <c:v>Ministarstvo vanjskih i europskih poslova</c:v>
                </c:pt>
                <c:pt idx="21">
                  <c:v>Doprinos RH općem proračunu EU-a za SRP </c:v>
                </c:pt>
              </c:strCache>
            </c:strRef>
          </c:cat>
          <c:val>
            <c:numRef>
              <c:f>'graf3 oda 2020 resori'!$B$2:$B$23</c:f>
              <c:numCache>
                <c:formatCode>General</c:formatCode>
                <c:ptCount val="22"/>
                <c:pt idx="0">
                  <c:v>3.0000000000000001E-3</c:v>
                </c:pt>
                <c:pt idx="1">
                  <c:v>0.02</c:v>
                </c:pt>
                <c:pt idx="2">
                  <c:v>0.04</c:v>
                </c:pt>
                <c:pt idx="3">
                  <c:v>0.04</c:v>
                </c:pt>
                <c:pt idx="4">
                  <c:v>0.04</c:v>
                </c:pt>
                <c:pt idx="5">
                  <c:v>0.05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0.66</c:v>
                </c:pt>
                <c:pt idx="10">
                  <c:v>0.79</c:v>
                </c:pt>
                <c:pt idx="11">
                  <c:v>1.03</c:v>
                </c:pt>
                <c:pt idx="12">
                  <c:v>1.83</c:v>
                </c:pt>
                <c:pt idx="13">
                  <c:v>3.52</c:v>
                </c:pt>
                <c:pt idx="14">
                  <c:v>8.3000000000000007</c:v>
                </c:pt>
                <c:pt idx="15">
                  <c:v>9.4499999999999993</c:v>
                </c:pt>
                <c:pt idx="16">
                  <c:v>12.41</c:v>
                </c:pt>
                <c:pt idx="17">
                  <c:v>19.11</c:v>
                </c:pt>
                <c:pt idx="18">
                  <c:v>29.65</c:v>
                </c:pt>
                <c:pt idx="19">
                  <c:v>44</c:v>
                </c:pt>
                <c:pt idx="20">
                  <c:v>116.25</c:v>
                </c:pt>
                <c:pt idx="21">
                  <c:v>269.14999999999998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82-4F2F-8076-DDF798657E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0901248"/>
        <c:axId val="129082112"/>
      </c:barChart>
      <c:catAx>
        <c:axId val="60901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129082112"/>
        <c:crossesAt val="0"/>
        <c:auto val="1"/>
        <c:lblAlgn val="ctr"/>
        <c:lblOffset val="100"/>
        <c:noMultiLvlLbl val="0"/>
      </c:catAx>
      <c:valAx>
        <c:axId val="12908211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low"/>
        <c:spPr>
          <a:noFill/>
          <a:ln/>
          <a:effectLst/>
        </c:spPr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60901248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C5EB-C1F1-4321-B8BC-51860FE5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Puljević</dc:creator>
  <cp:keywords/>
  <cp:lastModifiedBy>Sanja Duspara</cp:lastModifiedBy>
  <cp:revision>8</cp:revision>
  <cp:lastPrinted>2021-06-30T10:12:00Z</cp:lastPrinted>
  <dcterms:created xsi:type="dcterms:W3CDTF">2021-07-06T13:55:00Z</dcterms:created>
  <dcterms:modified xsi:type="dcterms:W3CDTF">2021-08-18T11:19:00Z</dcterms:modified>
</cp:coreProperties>
</file>