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1549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E981585" wp14:editId="1E98158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E18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B11E18" w:rsidRPr="00800462">
        <w:fldChar w:fldCharType="end"/>
      </w:r>
    </w:p>
    <w:p w14:paraId="1E98154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E98154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8154C" w14:textId="1297BF9B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2542CE">
        <w:rPr>
          <w:rFonts w:ascii="Times New Roman" w:hAnsi="Times New Roman" w:cs="Times New Roman"/>
          <w:sz w:val="24"/>
          <w:szCs w:val="24"/>
        </w:rPr>
        <w:t>26</w:t>
      </w:r>
      <w:r w:rsidR="00DF197A" w:rsidRPr="0012210F">
        <w:rPr>
          <w:rFonts w:ascii="Times New Roman" w:hAnsi="Times New Roman" w:cs="Times New Roman"/>
          <w:sz w:val="24"/>
          <w:szCs w:val="24"/>
        </w:rPr>
        <w:t xml:space="preserve">. </w:t>
      </w:r>
      <w:r w:rsidR="005A5D4B" w:rsidRPr="0012210F">
        <w:rPr>
          <w:rFonts w:ascii="Times New Roman" w:hAnsi="Times New Roman" w:cs="Times New Roman"/>
          <w:sz w:val="24"/>
          <w:szCs w:val="24"/>
        </w:rPr>
        <w:t>kolovoz</w:t>
      </w:r>
      <w:r w:rsidR="002542C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5F1A6E" w:rsidRPr="0012210F">
        <w:rPr>
          <w:rFonts w:ascii="Times New Roman" w:hAnsi="Times New Roman" w:cs="Times New Roman"/>
          <w:sz w:val="24"/>
          <w:szCs w:val="24"/>
        </w:rPr>
        <w:t xml:space="preserve"> </w:t>
      </w:r>
      <w:r w:rsidR="005F1A6E">
        <w:rPr>
          <w:rFonts w:ascii="Times New Roman" w:hAnsi="Times New Roman" w:cs="Times New Roman"/>
          <w:sz w:val="24"/>
          <w:szCs w:val="24"/>
        </w:rPr>
        <w:t>2021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14:paraId="1E98154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8154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8154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8155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E981553" w14:textId="77777777" w:rsidTr="00427D0F">
        <w:tc>
          <w:tcPr>
            <w:tcW w:w="1951" w:type="dxa"/>
          </w:tcPr>
          <w:p w14:paraId="1E98155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981552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1E98155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E981557" w14:textId="77777777" w:rsidTr="00427D0F">
        <w:tc>
          <w:tcPr>
            <w:tcW w:w="1951" w:type="dxa"/>
          </w:tcPr>
          <w:p w14:paraId="1E98155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981556" w14:textId="77777777" w:rsidR="000C3EEE" w:rsidRPr="00800462" w:rsidRDefault="000C3EEE" w:rsidP="007D57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C44B3C">
              <w:rPr>
                <w:sz w:val="24"/>
                <w:szCs w:val="24"/>
              </w:rPr>
              <w:t xml:space="preserve">Odluke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E947EA">
              <w:rPr>
                <w:sz w:val="24"/>
                <w:szCs w:val="24"/>
              </w:rPr>
              <w:t>Programa potpore za sufinanciranje rada uzgojnih udruženja</w:t>
            </w:r>
            <w:r w:rsidR="0029087F">
              <w:rPr>
                <w:sz w:val="24"/>
                <w:szCs w:val="24"/>
              </w:rPr>
              <w:t xml:space="preserve"> u području stočarstva</w:t>
            </w:r>
            <w:r w:rsidR="005F1A6E">
              <w:rPr>
                <w:sz w:val="24"/>
                <w:szCs w:val="24"/>
              </w:rPr>
              <w:t xml:space="preserve"> za razdoblje 2021. – 2023</w:t>
            </w:r>
            <w:r w:rsidR="00CD71F7">
              <w:rPr>
                <w:sz w:val="24"/>
                <w:szCs w:val="24"/>
              </w:rPr>
              <w:t>.</w:t>
            </w:r>
            <w:r w:rsidR="005F1A6E">
              <w:rPr>
                <w:sz w:val="24"/>
                <w:szCs w:val="24"/>
              </w:rPr>
              <w:t xml:space="preserve"> godine</w:t>
            </w:r>
          </w:p>
        </w:tc>
      </w:tr>
    </w:tbl>
    <w:p w14:paraId="1E98155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98155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815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8155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8155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8155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8155E" w14:textId="77777777" w:rsidR="005222AE" w:rsidRDefault="005222AE" w:rsidP="005222AE">
      <w:pPr>
        <w:pStyle w:val="Header"/>
      </w:pPr>
    </w:p>
    <w:p w14:paraId="1E98155F" w14:textId="77777777" w:rsidR="005222AE" w:rsidRDefault="005222AE" w:rsidP="005222AE"/>
    <w:p w14:paraId="1E981560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E981561" w14:textId="77777777" w:rsidR="00C44B3C" w:rsidRPr="000010D1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0010D1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1E981562" w14:textId="77777777" w:rsidR="00C44B3C" w:rsidRDefault="00C44B3C" w:rsidP="00530253">
      <w:pPr>
        <w:pStyle w:val="BodyText"/>
        <w:spacing w:after="120" w:line="300" w:lineRule="atLeast"/>
        <w:rPr>
          <w:color w:val="auto"/>
        </w:rPr>
      </w:pPr>
      <w:r w:rsidRPr="000010D1">
        <w:rPr>
          <w:color w:val="auto"/>
        </w:rPr>
        <w:t>Na temelju</w:t>
      </w:r>
      <w:r>
        <w:rPr>
          <w:color w:val="auto"/>
        </w:rPr>
        <w:t xml:space="preserve"> članka </w:t>
      </w:r>
      <w:r w:rsidR="004657AE">
        <w:rPr>
          <w:color w:val="auto"/>
        </w:rPr>
        <w:t>39. stavka 2</w:t>
      </w:r>
      <w:r w:rsidRPr="00DB29AB">
        <w:rPr>
          <w:color w:val="auto"/>
        </w:rPr>
        <w:t xml:space="preserve">. Zakona o poljoprivredi (Narodne novine, </w:t>
      </w:r>
      <w:r w:rsidR="00636448" w:rsidRPr="00636448">
        <w:rPr>
          <w:color w:val="auto"/>
        </w:rPr>
        <w:t>br. 118/18, 42/20, 127/20 i 52/21</w:t>
      </w:r>
      <w:r w:rsidRPr="00DB29AB">
        <w:rPr>
          <w:color w:val="auto"/>
        </w:rPr>
        <w:t>)</w:t>
      </w:r>
      <w:r>
        <w:rPr>
          <w:color w:val="auto"/>
        </w:rPr>
        <w:t xml:space="preserve">, </w:t>
      </w:r>
      <w:r w:rsidRPr="000010D1">
        <w:rPr>
          <w:color w:val="auto"/>
        </w:rPr>
        <w:t>Vlada Republike Hrvatske je na sjednici održanoj ________________ donijela</w:t>
      </w:r>
    </w:p>
    <w:p w14:paraId="1E981563" w14:textId="77777777" w:rsidR="00FD2BFF" w:rsidRPr="000010D1" w:rsidRDefault="00FD2BFF" w:rsidP="00530253">
      <w:pPr>
        <w:pStyle w:val="BodyText"/>
        <w:spacing w:after="120" w:line="300" w:lineRule="atLeast"/>
        <w:rPr>
          <w:color w:val="auto"/>
        </w:rPr>
      </w:pPr>
    </w:p>
    <w:p w14:paraId="1E981564" w14:textId="77777777"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>ODLUKU</w:t>
      </w:r>
    </w:p>
    <w:p w14:paraId="1E981565" w14:textId="77777777" w:rsidR="00C44B3C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o donošenju </w:t>
      </w:r>
      <w:r w:rsidR="007D57B0">
        <w:rPr>
          <w:rFonts w:ascii="Times New Roman" w:hAnsi="Times New Roman" w:cs="Times New Roman"/>
          <w:b/>
        </w:rPr>
        <w:t>Programa</w:t>
      </w:r>
      <w:r w:rsidR="00E947EA">
        <w:rPr>
          <w:rFonts w:ascii="Times New Roman" w:hAnsi="Times New Roman" w:cs="Times New Roman"/>
          <w:b/>
        </w:rPr>
        <w:t xml:space="preserve"> potpore za sufinanciranje rada uzgojnih udruženja u području stočarstva</w:t>
      </w:r>
      <w:r w:rsidR="005F1A6E">
        <w:rPr>
          <w:rFonts w:ascii="Times New Roman" w:hAnsi="Times New Roman" w:cs="Times New Roman"/>
          <w:b/>
        </w:rPr>
        <w:t xml:space="preserve"> za razdoblje 2021. – 2023</w:t>
      </w:r>
      <w:r w:rsidR="003742D9">
        <w:rPr>
          <w:rFonts w:ascii="Times New Roman" w:hAnsi="Times New Roman" w:cs="Times New Roman"/>
          <w:b/>
        </w:rPr>
        <w:t>.</w:t>
      </w:r>
      <w:r w:rsidR="005F1A6E">
        <w:rPr>
          <w:rFonts w:ascii="Times New Roman" w:hAnsi="Times New Roman" w:cs="Times New Roman"/>
          <w:b/>
        </w:rPr>
        <w:t xml:space="preserve"> godine</w:t>
      </w:r>
    </w:p>
    <w:p w14:paraId="1E981566" w14:textId="77777777" w:rsidR="00FD2BFF" w:rsidRPr="000010D1" w:rsidRDefault="00FD2BFF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</w:p>
    <w:p w14:paraId="1E981567" w14:textId="77777777"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I.</w:t>
      </w:r>
    </w:p>
    <w:p w14:paraId="1E981568" w14:textId="77777777" w:rsidR="007E14E1" w:rsidRDefault="00C44B3C" w:rsidP="00BC3AA1">
      <w:pPr>
        <w:spacing w:after="12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010D1">
        <w:rPr>
          <w:rFonts w:ascii="Times New Roman" w:hAnsi="Times New Roman" w:cs="Times New Roman"/>
        </w:rPr>
        <w:t xml:space="preserve">onosi se </w:t>
      </w:r>
      <w:r w:rsidR="00E947EA">
        <w:rPr>
          <w:rFonts w:ascii="Times New Roman" w:hAnsi="Times New Roman" w:cs="Times New Roman"/>
        </w:rPr>
        <w:t>Program potpore za sufinanciranje rada uzgojnih udruženja u području stočarstva</w:t>
      </w:r>
      <w:r w:rsidR="005F1A6E">
        <w:rPr>
          <w:rFonts w:ascii="Times New Roman" w:hAnsi="Times New Roman" w:cs="Times New Roman"/>
        </w:rPr>
        <w:t xml:space="preserve"> za razdoblje 2021. – 2023</w:t>
      </w:r>
      <w:r w:rsidR="0088619C">
        <w:rPr>
          <w:rFonts w:ascii="Times New Roman" w:hAnsi="Times New Roman" w:cs="Times New Roman"/>
        </w:rPr>
        <w:t>.</w:t>
      </w:r>
      <w:r w:rsidR="005F1A6E">
        <w:rPr>
          <w:rFonts w:ascii="Times New Roman" w:hAnsi="Times New Roman" w:cs="Times New Roman"/>
        </w:rPr>
        <w:t xml:space="preserve"> godine</w:t>
      </w:r>
      <w:r w:rsidRPr="000010D1">
        <w:rPr>
          <w:rFonts w:ascii="Times New Roman" w:hAnsi="Times New Roman" w:cs="Times New Roman"/>
        </w:rPr>
        <w:t xml:space="preserve"> (u daljnjem tekstu: Program)</w:t>
      </w:r>
      <w:r w:rsidR="007E14E1">
        <w:rPr>
          <w:rFonts w:ascii="Times New Roman" w:hAnsi="Times New Roman" w:cs="Times New Roman"/>
        </w:rPr>
        <w:t xml:space="preserve">, u tekstu koji je Vladi Republike Hrvatske dostavilo Ministarstvo poljoprivrede aktom, KLASA: </w:t>
      </w:r>
      <w:r w:rsidR="0026600D">
        <w:rPr>
          <w:rFonts w:ascii="Times New Roman" w:hAnsi="Times New Roman" w:cs="Times New Roman"/>
        </w:rPr>
        <w:t>011-02/21-01/04</w:t>
      </w:r>
      <w:r w:rsidR="007E14E1">
        <w:rPr>
          <w:rFonts w:ascii="Times New Roman" w:hAnsi="Times New Roman" w:cs="Times New Roman"/>
        </w:rPr>
        <w:t>, URBROJ:</w:t>
      </w:r>
      <w:r w:rsidR="0026600D">
        <w:rPr>
          <w:rFonts w:ascii="Times New Roman" w:hAnsi="Times New Roman" w:cs="Times New Roman"/>
        </w:rPr>
        <w:t xml:space="preserve"> 525-14/0867-21-30 </w:t>
      </w:r>
      <w:r w:rsidR="007E14E1">
        <w:rPr>
          <w:rFonts w:ascii="Times New Roman" w:hAnsi="Times New Roman" w:cs="Times New Roman"/>
        </w:rPr>
        <w:t xml:space="preserve">od </w:t>
      </w:r>
      <w:r w:rsidR="0026600D">
        <w:rPr>
          <w:rFonts w:ascii="Times New Roman" w:hAnsi="Times New Roman" w:cs="Times New Roman"/>
        </w:rPr>
        <w:t xml:space="preserve">23. srpnja </w:t>
      </w:r>
      <w:r w:rsidR="007E14E1">
        <w:rPr>
          <w:rFonts w:ascii="Times New Roman" w:hAnsi="Times New Roman" w:cs="Times New Roman"/>
        </w:rPr>
        <w:t>2021. godine.</w:t>
      </w:r>
    </w:p>
    <w:p w14:paraId="1E981569" w14:textId="77777777" w:rsidR="00C44B3C" w:rsidRPr="000010D1" w:rsidRDefault="003E5402" w:rsidP="00BC3AA1">
      <w:pPr>
        <w:spacing w:after="12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C44B3C" w:rsidRPr="000010D1">
        <w:rPr>
          <w:rFonts w:ascii="Times New Roman" w:hAnsi="Times New Roman" w:cs="Times New Roman"/>
        </w:rPr>
        <w:t>.</w:t>
      </w:r>
    </w:p>
    <w:p w14:paraId="1E98156A" w14:textId="77777777" w:rsidR="00CD69AE" w:rsidRPr="0026600D" w:rsidRDefault="0088619C" w:rsidP="00BC3AA1">
      <w:pPr>
        <w:pStyle w:val="BodyText2"/>
        <w:spacing w:after="120" w:line="300" w:lineRule="atLeast"/>
      </w:pPr>
      <w:r w:rsidRPr="0026600D">
        <w:t>Financijska sredstva za provedbu Programa</w:t>
      </w:r>
      <w:r w:rsidR="00CD69AE" w:rsidRPr="0026600D">
        <w:t xml:space="preserve"> iz točke I ove Odluke</w:t>
      </w:r>
      <w:r w:rsidRPr="0026600D">
        <w:t xml:space="preserve"> </w:t>
      </w:r>
      <w:r w:rsidR="008A73F3" w:rsidRPr="0026600D">
        <w:t>u</w:t>
      </w:r>
      <w:r w:rsidR="00BC3AA1" w:rsidRPr="0026600D">
        <w:t xml:space="preserve"> iznosu od </w:t>
      </w:r>
      <w:r w:rsidR="005F1A6E" w:rsidRPr="0026600D">
        <w:t>1.9</w:t>
      </w:r>
      <w:r w:rsidR="008A73F3" w:rsidRPr="0026600D">
        <w:t>00.000,00 kuna</w:t>
      </w:r>
      <w:r w:rsidR="00BC3AA1" w:rsidRPr="0026600D">
        <w:t xml:space="preserve"> u 2021. godini</w:t>
      </w:r>
      <w:r w:rsidR="001402D6" w:rsidRPr="0026600D">
        <w:t>,</w:t>
      </w:r>
      <w:r w:rsidR="005F1A6E" w:rsidRPr="0026600D">
        <w:t xml:space="preserve"> </w:t>
      </w:r>
      <w:r w:rsidR="002C3730" w:rsidRPr="0026600D">
        <w:t>2.0</w:t>
      </w:r>
      <w:r w:rsidR="005F1A6E" w:rsidRPr="0026600D">
        <w:t>00.000,00 kun</w:t>
      </w:r>
      <w:r w:rsidR="009174B5" w:rsidRPr="0026600D">
        <w:t xml:space="preserve">a u 2022. godini te 2.000.000,00 kuna u </w:t>
      </w:r>
      <w:r w:rsidR="00BC3AA1" w:rsidRPr="0026600D">
        <w:t>2023. godini</w:t>
      </w:r>
      <w:r w:rsidR="002C3730" w:rsidRPr="0026600D">
        <w:t xml:space="preserve"> </w:t>
      </w:r>
      <w:r w:rsidR="00CD69AE" w:rsidRPr="0026600D">
        <w:t>osigurana su</w:t>
      </w:r>
      <w:r w:rsidRPr="0026600D">
        <w:t xml:space="preserve"> u </w:t>
      </w:r>
      <w:r w:rsidR="003742D9" w:rsidRPr="0026600D">
        <w:t>Državnom proračune</w:t>
      </w:r>
      <w:r w:rsidRPr="0026600D">
        <w:t xml:space="preserve"> Republike Hrvatske</w:t>
      </w:r>
      <w:r w:rsidR="005F1A6E" w:rsidRPr="0026600D">
        <w:t xml:space="preserve"> za 2021. godinu i projekcijama za 2022. i 2023</w:t>
      </w:r>
      <w:r w:rsidR="001402D6" w:rsidRPr="0026600D">
        <w:t>. godinu</w:t>
      </w:r>
      <w:r w:rsidR="007E14E1" w:rsidRPr="0026600D">
        <w:t xml:space="preserve"> unutar financijskog plana Ministarstva poljoprivrede</w:t>
      </w:r>
      <w:r w:rsidR="001402D6" w:rsidRPr="0026600D">
        <w:t xml:space="preserve">, na </w:t>
      </w:r>
      <w:r w:rsidR="007E14E1" w:rsidRPr="0026600D">
        <w:t>stavci A650126 „Sufinanciranje rada uzgojnih udruženja“.</w:t>
      </w:r>
    </w:p>
    <w:p w14:paraId="1E98156B" w14:textId="77777777" w:rsidR="00530253" w:rsidRPr="00530253" w:rsidRDefault="003E5402" w:rsidP="00BC3AA1">
      <w:pPr>
        <w:spacing w:after="12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A1C21">
        <w:rPr>
          <w:rFonts w:ascii="Times New Roman" w:hAnsi="Times New Roman" w:cs="Times New Roman"/>
        </w:rPr>
        <w:t>II</w:t>
      </w:r>
      <w:r w:rsidR="00530253" w:rsidRPr="00530253">
        <w:rPr>
          <w:rFonts w:ascii="Times New Roman" w:hAnsi="Times New Roman" w:cs="Times New Roman"/>
        </w:rPr>
        <w:t>.</w:t>
      </w:r>
    </w:p>
    <w:p w14:paraId="1E98156C" w14:textId="77777777" w:rsidR="00530253" w:rsidRPr="000010D1" w:rsidRDefault="00530253" w:rsidP="00BC3AA1">
      <w:pPr>
        <w:pStyle w:val="BodyText2"/>
        <w:spacing w:after="120" w:line="300" w:lineRule="atLeast"/>
      </w:pPr>
      <w:r>
        <w:t>Zadužuje se Ministarstvo poljoprivrede da na svojim mrežnim stranicama objavi Program iz točke I. ove Odluke.</w:t>
      </w:r>
    </w:p>
    <w:p w14:paraId="1E98156D" w14:textId="77777777" w:rsidR="00C44B3C" w:rsidRPr="000010D1" w:rsidRDefault="00CA1C21" w:rsidP="00BC3AA1">
      <w:pPr>
        <w:spacing w:after="12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44B3C" w:rsidRPr="000010D1">
        <w:rPr>
          <w:rFonts w:ascii="Times New Roman" w:hAnsi="Times New Roman" w:cs="Times New Roman"/>
        </w:rPr>
        <w:t>V.</w:t>
      </w:r>
    </w:p>
    <w:p w14:paraId="1E98156E" w14:textId="77777777" w:rsidR="00C44B3C" w:rsidRPr="000010D1" w:rsidRDefault="00C44B3C" w:rsidP="00BC3AA1">
      <w:pPr>
        <w:spacing w:after="120" w:line="300" w:lineRule="atLeast"/>
        <w:jc w:val="both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 xml:space="preserve">Ova Odluka stupa na snagu danom donošenja. </w:t>
      </w:r>
    </w:p>
    <w:p w14:paraId="1E98156F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1E981570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E981571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1E981572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E981573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E981574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E981575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E981576" w14:textId="77777777" w:rsidR="003E5402" w:rsidRDefault="003E54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E981577" w14:textId="77777777" w:rsidR="004657AE" w:rsidRPr="000010D1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E981578" w14:textId="77777777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1E981579" w14:textId="77777777" w:rsidR="004657AE" w:rsidRDefault="007D57B0" w:rsidP="00C44B3C">
      <w:pPr>
        <w:pStyle w:val="BodyText"/>
        <w:rPr>
          <w:color w:val="auto"/>
        </w:rPr>
      </w:pPr>
      <w:r>
        <w:rPr>
          <w:color w:val="auto"/>
        </w:rPr>
        <w:t>Program</w:t>
      </w:r>
      <w:r w:rsidR="004657AE">
        <w:rPr>
          <w:color w:val="auto"/>
        </w:rPr>
        <w:t xml:space="preserve"> potpore za sufinanciranje rada uzgojnih udruženja u p</w:t>
      </w:r>
      <w:r w:rsidR="00903508">
        <w:rPr>
          <w:color w:val="auto"/>
        </w:rPr>
        <w:t xml:space="preserve">odručju stočarstva </w:t>
      </w:r>
      <w:r w:rsidR="007E14E1">
        <w:rPr>
          <w:color w:val="auto"/>
        </w:rPr>
        <w:t>za razdoblje 2021. – 2023</w:t>
      </w:r>
      <w:r w:rsidR="008B4410" w:rsidRPr="00636448">
        <w:rPr>
          <w:color w:val="auto"/>
        </w:rPr>
        <w:t xml:space="preserve">. </w:t>
      </w:r>
      <w:r w:rsidR="00903508">
        <w:rPr>
          <w:color w:val="auto"/>
        </w:rPr>
        <w:t>izrađen je n</w:t>
      </w:r>
      <w:r w:rsidR="00903508" w:rsidRPr="000010D1">
        <w:rPr>
          <w:color w:val="auto"/>
        </w:rPr>
        <w:t>a temelju</w:t>
      </w:r>
      <w:r w:rsidR="00903508">
        <w:rPr>
          <w:color w:val="auto"/>
        </w:rPr>
        <w:t xml:space="preserve"> članka 39. stavka 2</w:t>
      </w:r>
      <w:r w:rsidR="00903508" w:rsidRPr="00DB29AB">
        <w:rPr>
          <w:color w:val="auto"/>
        </w:rPr>
        <w:t xml:space="preserve">. Zakona o poljoprivredi (Narodne novine, </w:t>
      </w:r>
      <w:r w:rsidR="00636448" w:rsidRPr="00636448">
        <w:rPr>
          <w:color w:val="auto"/>
        </w:rPr>
        <w:t>br. 118/18, 42/20, 127/20 i 52/21</w:t>
      </w:r>
      <w:r w:rsidR="00903508" w:rsidRPr="00DB29AB">
        <w:rPr>
          <w:color w:val="auto"/>
        </w:rPr>
        <w:t>)</w:t>
      </w:r>
      <w:r w:rsidR="00903508">
        <w:rPr>
          <w:color w:val="auto"/>
        </w:rPr>
        <w:t xml:space="preserve">, a u skladu s </w:t>
      </w:r>
      <w:r w:rsidR="0088619C" w:rsidRPr="0088619C">
        <w:rPr>
          <w:color w:val="auto"/>
        </w:rPr>
        <w:t>Uredbom Komisije (EU) br. 1407/2013 оd 18. prosinca 2013. o primjeni članaka 107. i 108. Ugovora o funkcioniranju Europske unije na de minimis potpore (SL L 352, 24.12.2013.)</w:t>
      </w:r>
      <w:r w:rsidR="005F1A6E" w:rsidRPr="005F1A6E">
        <w:rPr>
          <w:color w:val="auto"/>
        </w:rPr>
        <w:t xml:space="preserve"> kako je izmijenjena Uredbom Komisije (EU) 2020/972 od 2. srpnja 2020. o izmjeni Uredbe (EU) br. 1407/2013 u pogledu njezina produljenja i o izmjeni Uredbe (EU) br. 651/2014 u pogledu njezina produljenja i odgovarajućih prilagodbi (SL L 215/3, 7.7.2020.).</w:t>
      </w:r>
      <w:r w:rsidR="00903508">
        <w:rPr>
          <w:color w:val="auto"/>
        </w:rPr>
        <w:t xml:space="preserve"> s ciljem učinkovitije provedbe uzgojnih programa te organizacijskog i infrastrukturnog unaprjeđenja uzgojnih udruženja</w:t>
      </w:r>
      <w:r w:rsidR="00B66DDC">
        <w:rPr>
          <w:color w:val="auto"/>
        </w:rPr>
        <w:t xml:space="preserve"> u području stočarstva</w:t>
      </w:r>
      <w:r w:rsidR="00903508">
        <w:rPr>
          <w:color w:val="auto"/>
        </w:rPr>
        <w:t>.</w:t>
      </w:r>
    </w:p>
    <w:p w14:paraId="1E98157A" w14:textId="77777777" w:rsidR="00281D3E" w:rsidRDefault="00281D3E" w:rsidP="00C44B3C">
      <w:pPr>
        <w:pStyle w:val="BodyText"/>
        <w:rPr>
          <w:color w:val="auto"/>
        </w:rPr>
      </w:pPr>
    </w:p>
    <w:p w14:paraId="1E98157B" w14:textId="77777777" w:rsidR="00B66DDC" w:rsidRDefault="00B66DDC" w:rsidP="00C44B3C">
      <w:pPr>
        <w:pStyle w:val="BodyText"/>
        <w:rPr>
          <w:color w:val="auto"/>
        </w:rPr>
      </w:pPr>
      <w:r w:rsidRPr="00B66DDC">
        <w:rPr>
          <w:color w:val="auto"/>
        </w:rPr>
        <w:t>Očekivani rezultat Programa je unaprjeđenje uzgojnih programa i učinkovitija provedba svih metoda i postupaka definiranih u uzgojnim programima u cilju genetskog unaprjeđenja populacija stoke za bitna proizvodna svojstva kao što su proizvodnja mesa, mlijeka, jaja, meda i drugih stočarskih proizvoda. S druge strane, sa stajališta izvornih i ugroženih pasmina domaćih životinja očekivani rezultat Programa je unaprjeđenje uzgojnih programa metodama koje osiguravaju učinkovitije očuvanje izvornih genotipova i genetske varijabilnosti u populacijama izvornih pasmina domaćih životinja. I na kraju, očekivani r</w:t>
      </w:r>
      <w:r w:rsidR="005F1A6E">
        <w:rPr>
          <w:color w:val="auto"/>
        </w:rPr>
        <w:t>ezultat P</w:t>
      </w:r>
      <w:r w:rsidRPr="00B66DDC">
        <w:rPr>
          <w:color w:val="auto"/>
        </w:rPr>
        <w:t>rograma je administrativno jačanje uzgojnih udruženja u provedbi uzgojnih programa.</w:t>
      </w:r>
    </w:p>
    <w:p w14:paraId="1E98157C" w14:textId="77777777" w:rsidR="00281D3E" w:rsidRDefault="00281D3E" w:rsidP="00C44B3C">
      <w:pPr>
        <w:pStyle w:val="BodyText"/>
        <w:rPr>
          <w:color w:val="auto"/>
        </w:rPr>
      </w:pPr>
    </w:p>
    <w:p w14:paraId="1E98157D" w14:textId="77777777" w:rsidR="00C44B3C" w:rsidRPr="000010D1" w:rsidRDefault="00B66DDC" w:rsidP="00652649">
      <w:pPr>
        <w:pStyle w:val="BodyText2"/>
      </w:pPr>
      <w:r>
        <w:t>Mjere koje su obuhvaćene</w:t>
      </w:r>
      <w:r w:rsidR="00C44B3C" w:rsidRPr="000010D1">
        <w:t xml:space="preserve"> u </w:t>
      </w:r>
      <w:r>
        <w:t>predmetnom</w:t>
      </w:r>
      <w:r w:rsidR="00C44B3C" w:rsidRPr="000010D1">
        <w:t xml:space="preserve"> </w:t>
      </w:r>
      <w:r w:rsidR="00C44B3C">
        <w:t>P</w:t>
      </w:r>
      <w:r w:rsidR="00C44B3C" w:rsidRPr="000010D1">
        <w:t>rogram</w:t>
      </w:r>
      <w:r>
        <w:t>u</w:t>
      </w:r>
      <w:r w:rsidR="00C44B3C" w:rsidRPr="000010D1">
        <w:t xml:space="preserve"> su: </w:t>
      </w:r>
    </w:p>
    <w:p w14:paraId="1E98157E" w14:textId="77777777" w:rsidR="005F1A6E" w:rsidRPr="005F1A6E" w:rsidRDefault="005F1A6E" w:rsidP="005F1A6E">
      <w:pPr>
        <w:pStyle w:val="BodyText"/>
        <w:numPr>
          <w:ilvl w:val="0"/>
          <w:numId w:val="8"/>
        </w:numPr>
        <w:rPr>
          <w:color w:val="auto"/>
        </w:rPr>
      </w:pPr>
      <w:r w:rsidRPr="005F1A6E">
        <w:rPr>
          <w:color w:val="auto"/>
        </w:rPr>
        <w:t>administrativni troškovi ustrojavanja i daljnjeg vođenja matičnih knjiga</w:t>
      </w:r>
    </w:p>
    <w:p w14:paraId="1E98157F" w14:textId="77777777" w:rsidR="005F1A6E" w:rsidRPr="005F1A6E" w:rsidRDefault="005F1A6E" w:rsidP="005F1A6E">
      <w:pPr>
        <w:pStyle w:val="BodyText"/>
        <w:numPr>
          <w:ilvl w:val="0"/>
          <w:numId w:val="8"/>
        </w:numPr>
        <w:rPr>
          <w:color w:val="auto"/>
        </w:rPr>
      </w:pPr>
      <w:r w:rsidRPr="005F1A6E">
        <w:rPr>
          <w:color w:val="auto"/>
        </w:rPr>
        <w:t>troškovi ispitivanja koja provode uzgojna udruženja ili koje treće strane provode u njihovo ime, radi utvrđivanja genetske kakvoće ili prinosa stoke, uz iznimku provjera koje provodi vlasnik stoke kao i rutinskih provjera kakvoće mlijeka</w:t>
      </w:r>
    </w:p>
    <w:p w14:paraId="1E981580" w14:textId="77777777" w:rsidR="005F1A6E" w:rsidRPr="005F1A6E" w:rsidRDefault="005F1A6E" w:rsidP="005F1A6E">
      <w:pPr>
        <w:pStyle w:val="BodyText"/>
        <w:numPr>
          <w:ilvl w:val="0"/>
          <w:numId w:val="8"/>
        </w:numPr>
        <w:rPr>
          <w:color w:val="auto"/>
        </w:rPr>
      </w:pPr>
      <w:r w:rsidRPr="005F1A6E">
        <w:rPr>
          <w:color w:val="auto"/>
        </w:rPr>
        <w:t>troškovi edukacije i informiranja uzgajivača stoke o provedbi uzgojnih programa</w:t>
      </w:r>
    </w:p>
    <w:p w14:paraId="1E981581" w14:textId="77777777" w:rsidR="005F1A6E" w:rsidRPr="005F1A6E" w:rsidRDefault="005F1A6E" w:rsidP="005F1A6E">
      <w:pPr>
        <w:pStyle w:val="BodyText"/>
        <w:numPr>
          <w:ilvl w:val="0"/>
          <w:numId w:val="8"/>
        </w:numPr>
        <w:rPr>
          <w:color w:val="auto"/>
        </w:rPr>
      </w:pPr>
      <w:r w:rsidRPr="005F1A6E">
        <w:rPr>
          <w:color w:val="auto"/>
        </w:rPr>
        <w:t>sudjelovanje u radu nacionalnih i međunarodnih organizacija i skupova iz područja provedbe uzgojno - selekcijskog rada u stočarstvu</w:t>
      </w:r>
    </w:p>
    <w:p w14:paraId="1E981582" w14:textId="77777777" w:rsidR="009174B5" w:rsidRDefault="009174B5" w:rsidP="009174B5">
      <w:pPr>
        <w:pStyle w:val="BodyText2"/>
        <w:spacing w:after="120" w:line="300" w:lineRule="atLeast"/>
      </w:pPr>
    </w:p>
    <w:p w14:paraId="1E981583" w14:textId="77777777" w:rsidR="009174B5" w:rsidRPr="009174B5" w:rsidRDefault="009174B5" w:rsidP="009174B5">
      <w:pPr>
        <w:pStyle w:val="BodyText"/>
        <w:rPr>
          <w:color w:val="auto"/>
        </w:rPr>
      </w:pPr>
      <w:r w:rsidRPr="009174B5">
        <w:rPr>
          <w:color w:val="auto"/>
        </w:rPr>
        <w:t xml:space="preserve">Financijska sredstva za provedbu Programa iz točke I ove Odluke u iznosu od 1.900.000,00 kuna u 2021. godini, 2.000.000,00 kuna u 2022. godini te 2.000.000,00 kuna u 2023. godini osigurana su u Državnom proračune Republike Hrvatske za 2021. godinu i projekcijama za </w:t>
      </w:r>
      <w:r w:rsidRPr="009174B5">
        <w:rPr>
          <w:color w:val="auto"/>
        </w:rPr>
        <w:lastRenderedPageBreak/>
        <w:t>2022. i 2023. godinu unutar financijskog plana Ministarstva poljoprivrede, na stavci A650126 „Sufinanciranje rada uzgojnih udruženja“.</w:t>
      </w:r>
    </w:p>
    <w:p w14:paraId="1E981584" w14:textId="77777777" w:rsidR="00281D3E" w:rsidRPr="009174B5" w:rsidRDefault="00281D3E" w:rsidP="009174B5">
      <w:pPr>
        <w:pStyle w:val="BodyText2"/>
      </w:pPr>
    </w:p>
    <w:sectPr w:rsidR="00281D3E" w:rsidRPr="009174B5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81589" w14:textId="77777777" w:rsidR="00046C9B" w:rsidRDefault="00046C9B" w:rsidP="0016213C">
      <w:pPr>
        <w:spacing w:after="0" w:line="240" w:lineRule="auto"/>
      </w:pPr>
      <w:r>
        <w:separator/>
      </w:r>
    </w:p>
  </w:endnote>
  <w:endnote w:type="continuationSeparator" w:id="0">
    <w:p w14:paraId="1E98158A" w14:textId="77777777" w:rsidR="00046C9B" w:rsidRDefault="00046C9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158B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158C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158D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158E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1587" w14:textId="77777777" w:rsidR="00046C9B" w:rsidRDefault="00046C9B" w:rsidP="0016213C">
      <w:pPr>
        <w:spacing w:after="0" w:line="240" w:lineRule="auto"/>
      </w:pPr>
      <w:r>
        <w:separator/>
      </w:r>
    </w:p>
  </w:footnote>
  <w:footnote w:type="continuationSeparator" w:id="0">
    <w:p w14:paraId="1E981588" w14:textId="77777777" w:rsidR="00046C9B" w:rsidRDefault="00046C9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69E6"/>
    <w:multiLevelType w:val="hybridMultilevel"/>
    <w:tmpl w:val="F0E893CE"/>
    <w:lvl w:ilvl="0" w:tplc="C0DC5FB4">
      <w:start w:val="1"/>
      <w:numFmt w:val="lowerLetter"/>
      <w:lvlText w:val="%1)"/>
      <w:lvlJc w:val="left"/>
      <w:pPr>
        <w:ind w:left="682" w:hanging="219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46C9B"/>
    <w:rsid w:val="00056526"/>
    <w:rsid w:val="000956D5"/>
    <w:rsid w:val="00096AC1"/>
    <w:rsid w:val="000A5A6C"/>
    <w:rsid w:val="000C17DD"/>
    <w:rsid w:val="000C3EEE"/>
    <w:rsid w:val="0012172F"/>
    <w:rsid w:val="0012210F"/>
    <w:rsid w:val="001402D6"/>
    <w:rsid w:val="00142592"/>
    <w:rsid w:val="0016213C"/>
    <w:rsid w:val="001821D3"/>
    <w:rsid w:val="001874D6"/>
    <w:rsid w:val="001C79B2"/>
    <w:rsid w:val="00203859"/>
    <w:rsid w:val="00220F18"/>
    <w:rsid w:val="0023064F"/>
    <w:rsid w:val="00253230"/>
    <w:rsid w:val="002542CE"/>
    <w:rsid w:val="00261F1A"/>
    <w:rsid w:val="00264860"/>
    <w:rsid w:val="0026600D"/>
    <w:rsid w:val="00281D3E"/>
    <w:rsid w:val="00290862"/>
    <w:rsid w:val="0029087F"/>
    <w:rsid w:val="00295CAA"/>
    <w:rsid w:val="002965CD"/>
    <w:rsid w:val="002B2F89"/>
    <w:rsid w:val="002C3730"/>
    <w:rsid w:val="002C37F5"/>
    <w:rsid w:val="002D67BD"/>
    <w:rsid w:val="00305F6C"/>
    <w:rsid w:val="003377F5"/>
    <w:rsid w:val="0034044C"/>
    <w:rsid w:val="003742D9"/>
    <w:rsid w:val="003B0606"/>
    <w:rsid w:val="003D43A7"/>
    <w:rsid w:val="003E5402"/>
    <w:rsid w:val="00416C6E"/>
    <w:rsid w:val="004171DD"/>
    <w:rsid w:val="00451401"/>
    <w:rsid w:val="00457B4B"/>
    <w:rsid w:val="004657AE"/>
    <w:rsid w:val="00475133"/>
    <w:rsid w:val="004A20B9"/>
    <w:rsid w:val="004E3B9B"/>
    <w:rsid w:val="0050674F"/>
    <w:rsid w:val="00510C1E"/>
    <w:rsid w:val="0052065F"/>
    <w:rsid w:val="005222AE"/>
    <w:rsid w:val="00527FA8"/>
    <w:rsid w:val="00530253"/>
    <w:rsid w:val="005414D9"/>
    <w:rsid w:val="005650B3"/>
    <w:rsid w:val="005A33D6"/>
    <w:rsid w:val="005A5D4B"/>
    <w:rsid w:val="005C0332"/>
    <w:rsid w:val="005F1A6E"/>
    <w:rsid w:val="005F6972"/>
    <w:rsid w:val="00615049"/>
    <w:rsid w:val="006319BA"/>
    <w:rsid w:val="00636448"/>
    <w:rsid w:val="006433F9"/>
    <w:rsid w:val="00652649"/>
    <w:rsid w:val="006675A7"/>
    <w:rsid w:val="00695B84"/>
    <w:rsid w:val="006C5322"/>
    <w:rsid w:val="006E3E26"/>
    <w:rsid w:val="006F4931"/>
    <w:rsid w:val="00703036"/>
    <w:rsid w:val="00711CD4"/>
    <w:rsid w:val="007135C0"/>
    <w:rsid w:val="00736983"/>
    <w:rsid w:val="00785E25"/>
    <w:rsid w:val="00786D1C"/>
    <w:rsid w:val="007900BB"/>
    <w:rsid w:val="007917B2"/>
    <w:rsid w:val="007A3024"/>
    <w:rsid w:val="007C2EF7"/>
    <w:rsid w:val="007D57B0"/>
    <w:rsid w:val="007E14E1"/>
    <w:rsid w:val="00820FCF"/>
    <w:rsid w:val="008643F8"/>
    <w:rsid w:val="0086636B"/>
    <w:rsid w:val="00881D8E"/>
    <w:rsid w:val="0088619C"/>
    <w:rsid w:val="008A2883"/>
    <w:rsid w:val="008A68C8"/>
    <w:rsid w:val="008A73F3"/>
    <w:rsid w:val="008B4410"/>
    <w:rsid w:val="008E2228"/>
    <w:rsid w:val="008E7074"/>
    <w:rsid w:val="009031A9"/>
    <w:rsid w:val="00903508"/>
    <w:rsid w:val="009174B5"/>
    <w:rsid w:val="00927EE4"/>
    <w:rsid w:val="009313BF"/>
    <w:rsid w:val="009355E9"/>
    <w:rsid w:val="00936739"/>
    <w:rsid w:val="00942D0D"/>
    <w:rsid w:val="00953DF9"/>
    <w:rsid w:val="00954B0E"/>
    <w:rsid w:val="00966A54"/>
    <w:rsid w:val="009819F8"/>
    <w:rsid w:val="009B07A2"/>
    <w:rsid w:val="009C0D8D"/>
    <w:rsid w:val="009C2EEA"/>
    <w:rsid w:val="009D2D87"/>
    <w:rsid w:val="009E61A4"/>
    <w:rsid w:val="009F373E"/>
    <w:rsid w:val="00AF76BF"/>
    <w:rsid w:val="00B0315D"/>
    <w:rsid w:val="00B06361"/>
    <w:rsid w:val="00B11E18"/>
    <w:rsid w:val="00B1761B"/>
    <w:rsid w:val="00B20C17"/>
    <w:rsid w:val="00B226C6"/>
    <w:rsid w:val="00B62398"/>
    <w:rsid w:val="00B66DDC"/>
    <w:rsid w:val="00B67F64"/>
    <w:rsid w:val="00B75937"/>
    <w:rsid w:val="00B80858"/>
    <w:rsid w:val="00BA6A3D"/>
    <w:rsid w:val="00BC3AA1"/>
    <w:rsid w:val="00BE6E47"/>
    <w:rsid w:val="00C44B3C"/>
    <w:rsid w:val="00C46C0F"/>
    <w:rsid w:val="00C5332D"/>
    <w:rsid w:val="00C6534E"/>
    <w:rsid w:val="00CA1C21"/>
    <w:rsid w:val="00CD69AE"/>
    <w:rsid w:val="00CD71F7"/>
    <w:rsid w:val="00CD79E1"/>
    <w:rsid w:val="00D10749"/>
    <w:rsid w:val="00D10AED"/>
    <w:rsid w:val="00D737AC"/>
    <w:rsid w:val="00DA32DB"/>
    <w:rsid w:val="00DD016B"/>
    <w:rsid w:val="00DD19B0"/>
    <w:rsid w:val="00DE40B8"/>
    <w:rsid w:val="00DF197A"/>
    <w:rsid w:val="00E1201B"/>
    <w:rsid w:val="00E137BE"/>
    <w:rsid w:val="00E14898"/>
    <w:rsid w:val="00E17202"/>
    <w:rsid w:val="00E42084"/>
    <w:rsid w:val="00E55D5F"/>
    <w:rsid w:val="00E6093A"/>
    <w:rsid w:val="00E72511"/>
    <w:rsid w:val="00E7483E"/>
    <w:rsid w:val="00E75431"/>
    <w:rsid w:val="00E947EA"/>
    <w:rsid w:val="00EE7F8D"/>
    <w:rsid w:val="00EF38DC"/>
    <w:rsid w:val="00EF75B0"/>
    <w:rsid w:val="00F06796"/>
    <w:rsid w:val="00F1460F"/>
    <w:rsid w:val="00F20F27"/>
    <w:rsid w:val="00F33F1E"/>
    <w:rsid w:val="00F36ED0"/>
    <w:rsid w:val="00F37E26"/>
    <w:rsid w:val="00F95471"/>
    <w:rsid w:val="00FA710F"/>
    <w:rsid w:val="00FC65C3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1549"/>
  <w15:docId w15:val="{5A4CAEE1-A684-4DFB-A5B6-C365B33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AZJMDCZ6QSYZ-1849078857-8628</_dlc_DocId>
    <_dlc_DocIdUrl xmlns="a494813a-d0d8-4dad-94cb-0d196f36ba15">
      <Url>https://ekoordinacije.vlada.hr/koordinacija-gospodarstvo/_layouts/15/DocIdRedir.aspx?ID=AZJMDCZ6QSYZ-1849078857-8628</Url>
      <Description>AZJMDCZ6QSYZ-1849078857-8628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94A3-B336-44CB-BABC-53FC39D7B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771E7-E999-4326-B394-4033CD132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13EE75-C7B7-4763-A5AF-5F7914718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FD70E-E969-4B5C-92A7-47E4BBA91F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4690A2D-DA4C-47A9-9DEA-C1631F1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OBRAZLOŽENJE</vt:lpstr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Larisa Petrić</cp:lastModifiedBy>
  <cp:revision>3</cp:revision>
  <cp:lastPrinted>2019-10-16T07:18:00Z</cp:lastPrinted>
  <dcterms:created xsi:type="dcterms:W3CDTF">2021-08-16T08:31:00Z</dcterms:created>
  <dcterms:modified xsi:type="dcterms:W3CDTF">2021-08-23T13:29:00Z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c7a30c92-7ea5-4c07-aac5-84e8c5ef2b17</vt:lpwstr>
  </property>
</Properties>
</file>