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BAEFE" w14:textId="77777777" w:rsidR="0009048B" w:rsidRPr="0009048B" w:rsidRDefault="0009048B" w:rsidP="00090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048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9B4434D" wp14:editId="0386A037">
            <wp:extent cx="502942" cy="684000"/>
            <wp:effectExtent l="0" t="0" r="0" b="190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48B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09048B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09048B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6584FC25" w14:textId="77777777" w:rsidR="0009048B" w:rsidRPr="00E97554" w:rsidRDefault="0009048B" w:rsidP="0009048B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>VLADA REPUBLIKE HRVATSKE</w:t>
      </w:r>
    </w:p>
    <w:p w14:paraId="39CA0849" w14:textId="77777777" w:rsidR="0009048B" w:rsidRPr="00E97554" w:rsidRDefault="0009048B" w:rsidP="0009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ACA121" w14:textId="2DA9BBAE" w:rsidR="0009048B" w:rsidRPr="00E97554" w:rsidRDefault="0009048B" w:rsidP="0009048B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2E2A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15C41">
        <w:rPr>
          <w:rFonts w:ascii="Times New Roman" w:eastAsia="Times New Roman" w:hAnsi="Times New Roman" w:cs="Times New Roman"/>
          <w:sz w:val="24"/>
          <w:szCs w:val="24"/>
          <w:lang w:eastAsia="hr-HR"/>
        </w:rPr>
        <w:t>18</w:t>
      </w:r>
      <w:bookmarkStart w:id="0" w:name="_GoBack"/>
      <w:bookmarkEnd w:id="0"/>
      <w:r w:rsidR="002E2A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C74A06">
        <w:rPr>
          <w:rFonts w:ascii="Times New Roman" w:eastAsia="Times New Roman" w:hAnsi="Times New Roman" w:cs="Times New Roman"/>
          <w:sz w:val="24"/>
          <w:szCs w:val="24"/>
          <w:lang w:eastAsia="hr-HR"/>
        </w:rPr>
        <w:t>lipnja</w:t>
      </w:r>
      <w:r w:rsidR="002E2A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0D17F4"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1B58A2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7AE22D6" w14:textId="77777777" w:rsidR="0009048B" w:rsidRPr="00E97554" w:rsidRDefault="0009048B" w:rsidP="000904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2970A856" w14:textId="77777777" w:rsidR="0009048B" w:rsidRPr="00E97554" w:rsidRDefault="0009048B" w:rsidP="0009048B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09048B" w:rsidRPr="00E97554" w:rsidSect="0009048B">
          <w:footerReference w:type="default" r:id="rId12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9048B" w:rsidRPr="00E97554" w14:paraId="7BCA9F32" w14:textId="77777777" w:rsidTr="006C5211">
        <w:tc>
          <w:tcPr>
            <w:tcW w:w="1951" w:type="dxa"/>
          </w:tcPr>
          <w:p w14:paraId="61F6B4BF" w14:textId="77777777" w:rsidR="0009048B" w:rsidRPr="00E97554" w:rsidRDefault="0009048B" w:rsidP="0009048B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97554">
              <w:rPr>
                <w:b/>
                <w:smallCaps/>
                <w:sz w:val="24"/>
                <w:szCs w:val="24"/>
              </w:rPr>
              <w:t>Predlagatelj</w:t>
            </w:r>
            <w:r w:rsidRPr="00E9755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080E47E" w14:textId="77777777" w:rsidR="0009048B" w:rsidRPr="00E97554" w:rsidRDefault="00F923A8" w:rsidP="0009048B">
            <w:pPr>
              <w:spacing w:line="360" w:lineRule="auto"/>
              <w:rPr>
                <w:sz w:val="24"/>
                <w:szCs w:val="24"/>
              </w:rPr>
            </w:pPr>
            <w:r w:rsidRPr="00E97554">
              <w:rPr>
                <w:sz w:val="24"/>
                <w:szCs w:val="24"/>
              </w:rPr>
              <w:t>Ministarstvo financija</w:t>
            </w:r>
          </w:p>
        </w:tc>
      </w:tr>
    </w:tbl>
    <w:p w14:paraId="274A30CF" w14:textId="77777777" w:rsidR="0009048B" w:rsidRPr="00E97554" w:rsidRDefault="0009048B" w:rsidP="000904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643F418D" w14:textId="77777777" w:rsidR="0009048B" w:rsidRPr="00E97554" w:rsidRDefault="0009048B" w:rsidP="0009048B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09048B" w:rsidRPr="00E97554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3"/>
        <w:gridCol w:w="7033"/>
      </w:tblGrid>
      <w:tr w:rsidR="0009048B" w:rsidRPr="00E97554" w14:paraId="1DF96D72" w14:textId="77777777" w:rsidTr="00AE19D6">
        <w:trPr>
          <w:trHeight w:val="1689"/>
        </w:trPr>
        <w:tc>
          <w:tcPr>
            <w:tcW w:w="1913" w:type="dxa"/>
          </w:tcPr>
          <w:p w14:paraId="69C29B95" w14:textId="77777777" w:rsidR="0009048B" w:rsidRPr="00E97554" w:rsidRDefault="0009048B" w:rsidP="0009048B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97554">
              <w:rPr>
                <w:b/>
                <w:smallCaps/>
                <w:sz w:val="24"/>
                <w:szCs w:val="24"/>
              </w:rPr>
              <w:t>Predmet</w:t>
            </w:r>
            <w:r w:rsidRPr="00E9755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033" w:type="dxa"/>
          </w:tcPr>
          <w:p w14:paraId="69D78967" w14:textId="77777777" w:rsidR="00453E7D" w:rsidRDefault="00F923A8" w:rsidP="00453E7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97554">
              <w:rPr>
                <w:sz w:val="24"/>
                <w:szCs w:val="24"/>
              </w:rPr>
              <w:t>Prijedlog Zaključka o prihvaćanju</w:t>
            </w:r>
            <w:r w:rsidR="00453E7D">
              <w:rPr>
                <w:sz w:val="24"/>
                <w:szCs w:val="24"/>
              </w:rPr>
              <w:t xml:space="preserve"> Nacionalnog strateškog okvira financijske pismenosti potrošača za razdoblje od 2021. do 2026. godine i </w:t>
            </w:r>
            <w:r w:rsidR="00023F19">
              <w:rPr>
                <w:sz w:val="24"/>
                <w:szCs w:val="24"/>
              </w:rPr>
              <w:t xml:space="preserve">Nacionalni strateški </w:t>
            </w:r>
            <w:r w:rsidR="00453E7D">
              <w:rPr>
                <w:sz w:val="24"/>
                <w:szCs w:val="24"/>
              </w:rPr>
              <w:t xml:space="preserve">okvir financijske pismenosti potrošača za razdoblje od 2021. do 2026. godine </w:t>
            </w:r>
          </w:p>
          <w:p w14:paraId="0CBF324D" w14:textId="77777777" w:rsidR="0009048B" w:rsidRPr="00E97554" w:rsidRDefault="0009048B" w:rsidP="00453E7D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04E86E1B" w14:textId="77777777" w:rsidR="0009048B" w:rsidRPr="00E97554" w:rsidRDefault="00F923A8" w:rsidP="00F923A8">
      <w:pPr>
        <w:tabs>
          <w:tab w:val="left" w:pos="184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</w:t>
      </w:r>
      <w:r w:rsidR="0009048B"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</w:t>
      </w:r>
      <w:r w:rsidR="00AE19D6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</w:t>
      </w:r>
    </w:p>
    <w:p w14:paraId="63D4C46B" w14:textId="77777777" w:rsidR="0009048B" w:rsidRPr="00E97554" w:rsidRDefault="0009048B" w:rsidP="0009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802911" w14:textId="77777777" w:rsidR="0009048B" w:rsidRPr="00E97554" w:rsidRDefault="0009048B" w:rsidP="0009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3B4561A" w14:textId="77777777" w:rsidR="0009048B" w:rsidRPr="00E97554" w:rsidRDefault="0009048B" w:rsidP="0009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858170F" w14:textId="77777777" w:rsidR="0009048B" w:rsidRPr="00E97554" w:rsidRDefault="0009048B" w:rsidP="0009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797EC8" w14:textId="77777777" w:rsidR="0009048B" w:rsidRPr="00E97554" w:rsidRDefault="0009048B" w:rsidP="0009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017A73" w14:textId="77777777" w:rsidR="0009048B" w:rsidRPr="00E97554" w:rsidRDefault="0009048B" w:rsidP="0009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9C365AB" w14:textId="77777777" w:rsidR="0009048B" w:rsidRPr="00E97554" w:rsidRDefault="0009048B" w:rsidP="0009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202D6F" w14:textId="77777777" w:rsidR="0009048B" w:rsidRPr="00E97554" w:rsidRDefault="0009048B" w:rsidP="0009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7BCCC6" w14:textId="77777777" w:rsidR="0009048B" w:rsidRPr="00E97554" w:rsidRDefault="0009048B" w:rsidP="0009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6B8C6A" w14:textId="77777777" w:rsidR="0009048B" w:rsidRPr="00E97554" w:rsidRDefault="0009048B" w:rsidP="0009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F69919" w14:textId="77777777" w:rsidR="0009048B" w:rsidRPr="00E97554" w:rsidRDefault="0009048B" w:rsidP="0009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85C1EB6" w14:textId="77777777" w:rsidR="0009048B" w:rsidRPr="00E97554" w:rsidRDefault="0009048B" w:rsidP="0009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1302A9" w14:textId="77777777" w:rsidR="0009048B" w:rsidRPr="00E97554" w:rsidRDefault="0009048B" w:rsidP="0009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59DF5F" w14:textId="77777777" w:rsidR="0009048B" w:rsidRDefault="0009048B" w:rsidP="0009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DAE80C" w14:textId="77777777" w:rsidR="00BC5226" w:rsidRDefault="00BC5226" w:rsidP="0009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04F877" w14:textId="77777777" w:rsidR="00BC5226" w:rsidRPr="00E97554" w:rsidRDefault="00BC5226" w:rsidP="0009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BCBA7B" w14:textId="77777777" w:rsidR="0009048B" w:rsidRPr="00E97554" w:rsidRDefault="0009048B" w:rsidP="0009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4AE4F0" w14:textId="77777777" w:rsidR="0009048B" w:rsidRPr="00E97554" w:rsidRDefault="0009048B" w:rsidP="0009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3DA687" w14:textId="77777777" w:rsidR="001770D1" w:rsidRPr="00E97554" w:rsidRDefault="001770D1" w:rsidP="001770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02A4CA0" w14:textId="238F26A8" w:rsidR="001770D1" w:rsidRDefault="0071317A" w:rsidP="0071317A">
      <w:pPr>
        <w:spacing w:after="0"/>
        <w:ind w:left="708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</w:t>
      </w:r>
    </w:p>
    <w:p w14:paraId="45CAB27A" w14:textId="77777777" w:rsidR="0071317A" w:rsidRPr="00E97554" w:rsidRDefault="0071317A" w:rsidP="0071317A">
      <w:pPr>
        <w:spacing w:after="0"/>
        <w:ind w:left="708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CA902F" w14:textId="77777777" w:rsidR="001770D1" w:rsidRPr="00E97554" w:rsidRDefault="001770D1" w:rsidP="001770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31. stavka 3. Zakona o Vladi Republike Hrvatske (Narodne novine, br. 150/11,119/14</w:t>
      </w:r>
      <w:r w:rsidR="00D27765"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>93/16</w:t>
      </w:r>
      <w:r w:rsidR="00D27765"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116/18</w:t>
      </w:r>
      <w:r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>), Vlada Republike Hrvatske je na sjednici održanoj ____________________ 20</w:t>
      </w:r>
      <w:r w:rsidR="006D3915"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B845E1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>. donijela</w:t>
      </w:r>
    </w:p>
    <w:p w14:paraId="630A30CA" w14:textId="77777777" w:rsidR="001770D1" w:rsidRPr="00E97554" w:rsidRDefault="001770D1" w:rsidP="001770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8FEADCC" w14:textId="77777777" w:rsidR="001770D1" w:rsidRPr="00E97554" w:rsidRDefault="001770D1" w:rsidP="00177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D5E1A9C" w14:textId="77777777" w:rsidR="001770D1" w:rsidRPr="00E97554" w:rsidRDefault="001770D1" w:rsidP="00177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2FD905" w14:textId="77777777" w:rsidR="001770D1" w:rsidRPr="00E97554" w:rsidRDefault="001770D1" w:rsidP="00177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9755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ZAKLJUČAK</w:t>
      </w:r>
    </w:p>
    <w:p w14:paraId="2CA56285" w14:textId="77777777" w:rsidR="001770D1" w:rsidRPr="00E97554" w:rsidRDefault="001770D1" w:rsidP="00177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C149A7" w14:textId="77777777" w:rsidR="001770D1" w:rsidRPr="00E97554" w:rsidRDefault="001770D1" w:rsidP="00177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33747F" w14:textId="77777777" w:rsidR="001770D1" w:rsidRPr="00E97554" w:rsidRDefault="001770D1" w:rsidP="00177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08E408" w14:textId="77777777" w:rsidR="001770D1" w:rsidRPr="00FC27DA" w:rsidRDefault="001770D1" w:rsidP="00576F0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</w:t>
      </w:r>
      <w:r w:rsidRPr="00FC27DA">
        <w:rPr>
          <w:rFonts w:ascii="Times New Roman" w:eastAsia="Times New Roman" w:hAnsi="Times New Roman" w:cs="Times New Roman"/>
          <w:sz w:val="24"/>
          <w:szCs w:val="24"/>
          <w:lang w:eastAsia="hr-HR"/>
        </w:rPr>
        <w:t>Prihvaća se</w:t>
      </w:r>
      <w:r w:rsidR="00B845E1" w:rsidRPr="00FC27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C27DA" w:rsidRPr="00FC27DA">
        <w:rPr>
          <w:rFonts w:ascii="Times New Roman" w:hAnsi="Times New Roman" w:cs="Times New Roman"/>
          <w:sz w:val="24"/>
          <w:szCs w:val="24"/>
        </w:rPr>
        <w:t>Nacionalni strateški okvir financijske pismenosti potrošača za razdoblje od</w:t>
      </w:r>
      <w:r w:rsidR="00576F0A">
        <w:rPr>
          <w:rFonts w:ascii="Times New Roman" w:hAnsi="Times New Roman" w:cs="Times New Roman"/>
          <w:sz w:val="24"/>
          <w:szCs w:val="24"/>
        </w:rPr>
        <w:t xml:space="preserve"> </w:t>
      </w:r>
      <w:r w:rsidR="00FC27DA" w:rsidRPr="00FC27DA">
        <w:rPr>
          <w:rFonts w:ascii="Times New Roman" w:hAnsi="Times New Roman" w:cs="Times New Roman"/>
          <w:sz w:val="24"/>
          <w:szCs w:val="24"/>
        </w:rPr>
        <w:t>2021. do 2026.</w:t>
      </w:r>
      <w:r w:rsidRPr="00FC27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74A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godine </w:t>
      </w:r>
      <w:r w:rsidRPr="00FC27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(u daljnjem tekstu: </w:t>
      </w:r>
      <w:r w:rsidR="00FC27DA" w:rsidRPr="00FC27DA">
        <w:rPr>
          <w:rFonts w:ascii="Times New Roman" w:eastAsia="Times New Roman" w:hAnsi="Times New Roman" w:cs="Times New Roman"/>
          <w:sz w:val="24"/>
          <w:szCs w:val="24"/>
          <w:lang w:eastAsia="hr-HR"/>
        </w:rPr>
        <w:t>Nacionalni strateški okvir)</w:t>
      </w:r>
      <w:r w:rsidRPr="00FC27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je sastavni dio ovoga Zaključka. </w:t>
      </w:r>
    </w:p>
    <w:p w14:paraId="5A20F413" w14:textId="77777777" w:rsidR="001770D1" w:rsidRPr="00FC27DA" w:rsidRDefault="001770D1" w:rsidP="00576F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406FC5" w14:textId="77777777" w:rsidR="001770D1" w:rsidRPr="00FC27DA" w:rsidRDefault="00291612" w:rsidP="00576F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1770D1" w:rsidRPr="00FC27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Zadužuje se Ministarstvo financija da o ovom </w:t>
      </w:r>
      <w:r w:rsidR="00AE19D6">
        <w:rPr>
          <w:rFonts w:ascii="Times New Roman" w:eastAsia="Times New Roman" w:hAnsi="Times New Roman" w:cs="Times New Roman"/>
          <w:sz w:val="24"/>
          <w:szCs w:val="24"/>
          <w:lang w:eastAsia="hr-HR"/>
        </w:rPr>
        <w:t>Zaključku</w:t>
      </w:r>
      <w:r w:rsidR="001770D1" w:rsidRPr="00FC27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izvijesti </w:t>
      </w:r>
      <w:r w:rsidR="008741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tijela državne uprave i </w:t>
      </w:r>
      <w:r w:rsidR="001770D1" w:rsidRPr="00FC27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druga tijela određena nositeljima za provedbu pojedinih mjera </w:t>
      </w:r>
      <w:r w:rsidR="00874147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financijske pismenosti potrošača</w:t>
      </w:r>
      <w:r w:rsidR="001770D1" w:rsidRPr="00FC27D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C0C9D80" w14:textId="77777777" w:rsidR="001770D1" w:rsidRPr="00FC27DA" w:rsidRDefault="001770D1" w:rsidP="00576F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031589" w14:textId="77777777" w:rsidR="001770D1" w:rsidRPr="00FC27DA" w:rsidRDefault="00023F19" w:rsidP="00576F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1770D1" w:rsidRPr="00FC27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Ovaj Zaključak objavit će se u Narodnim novinama. </w:t>
      </w:r>
    </w:p>
    <w:p w14:paraId="005E011D" w14:textId="77777777" w:rsidR="001770D1" w:rsidRPr="00FC27DA" w:rsidRDefault="001770D1" w:rsidP="00177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15D6EEE" w14:textId="77777777" w:rsidR="001770D1" w:rsidRDefault="001770D1" w:rsidP="00177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8757F8B" w14:textId="77777777" w:rsidR="00CE5B0C" w:rsidRDefault="00CE5B0C" w:rsidP="00177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AAF2F9" w14:textId="77777777" w:rsidR="00CE5B0C" w:rsidRPr="00FC27DA" w:rsidRDefault="00CE5B0C" w:rsidP="00177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3847D8" w14:textId="77777777" w:rsidR="001770D1" w:rsidRPr="00E97554" w:rsidRDefault="001770D1" w:rsidP="00177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</w:p>
    <w:p w14:paraId="2D292062" w14:textId="77777777" w:rsidR="001770D1" w:rsidRPr="00E97554" w:rsidRDefault="001770D1" w:rsidP="00177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</w:p>
    <w:p w14:paraId="1DCC0D45" w14:textId="77777777" w:rsidR="001770D1" w:rsidRPr="00E97554" w:rsidRDefault="001770D1" w:rsidP="00177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</w:p>
    <w:p w14:paraId="3825D65A" w14:textId="77777777" w:rsidR="001770D1" w:rsidRPr="00E97554" w:rsidRDefault="001770D1" w:rsidP="00177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9CFCB6" w14:textId="77777777" w:rsidR="001770D1" w:rsidRPr="00E97554" w:rsidRDefault="001770D1" w:rsidP="00177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11"/>
        <w:gridCol w:w="4561"/>
      </w:tblGrid>
      <w:tr w:rsidR="001770D1" w:rsidRPr="00E97554" w14:paraId="741E3212" w14:textId="77777777" w:rsidTr="006C5211">
        <w:tc>
          <w:tcPr>
            <w:tcW w:w="4644" w:type="dxa"/>
          </w:tcPr>
          <w:p w14:paraId="07978692" w14:textId="77777777" w:rsidR="001770D1" w:rsidRPr="00E97554" w:rsidRDefault="001770D1" w:rsidP="001770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5B124835" w14:textId="77777777" w:rsidR="001770D1" w:rsidRPr="00E97554" w:rsidRDefault="001770D1" w:rsidP="001770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75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PREDSJEDNIK</w:t>
            </w:r>
          </w:p>
          <w:p w14:paraId="676909CB" w14:textId="77777777" w:rsidR="001770D1" w:rsidRPr="00E97554" w:rsidRDefault="001770D1" w:rsidP="001770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3A9AA34" w14:textId="77777777" w:rsidR="001770D1" w:rsidRPr="00E97554" w:rsidRDefault="001770D1" w:rsidP="001770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EF37796" w14:textId="77777777" w:rsidR="001770D1" w:rsidRPr="00E97554" w:rsidRDefault="001770D1" w:rsidP="001770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D3FA882" w14:textId="77777777" w:rsidR="001770D1" w:rsidRPr="00E97554" w:rsidRDefault="001770D1" w:rsidP="001770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E305619" w14:textId="77777777" w:rsidR="001770D1" w:rsidRPr="00E97554" w:rsidRDefault="001770D1" w:rsidP="001770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75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mr.</w:t>
            </w:r>
            <w:r w:rsidR="00C74A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75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sc. Andrej Plenković </w:t>
            </w:r>
          </w:p>
          <w:p w14:paraId="2F63D2E0" w14:textId="77777777" w:rsidR="001770D1" w:rsidRPr="00E97554" w:rsidRDefault="001770D1" w:rsidP="001770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39DB464" w14:textId="77777777" w:rsidR="001770D1" w:rsidRPr="00E97554" w:rsidRDefault="001770D1" w:rsidP="001770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573E343" w14:textId="77777777" w:rsidR="001770D1" w:rsidRDefault="001770D1" w:rsidP="00177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9E24B99" w14:textId="77777777" w:rsidR="00BE5A54" w:rsidRDefault="00BE5A54" w:rsidP="00177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7AE048" w14:textId="77777777" w:rsidR="00BE5A54" w:rsidRDefault="00BE5A54" w:rsidP="00177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9FB10BD" w14:textId="77777777" w:rsidR="00BE5A54" w:rsidRDefault="00BE5A54" w:rsidP="00177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BDC952" w14:textId="77777777" w:rsidR="00BE5A54" w:rsidRDefault="00BE5A54" w:rsidP="00177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E14481" w14:textId="77777777" w:rsidR="00BE5A54" w:rsidRDefault="00BE5A54" w:rsidP="00177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0DCA21" w14:textId="77777777" w:rsidR="00BE5A54" w:rsidRDefault="00BE5A54" w:rsidP="00177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100F7C" w14:textId="77777777" w:rsidR="00BE5A54" w:rsidRDefault="00BE5A54" w:rsidP="00177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2EC410" w14:textId="77777777" w:rsidR="00BE5A54" w:rsidRDefault="00BE5A54" w:rsidP="00177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24869C" w14:textId="77777777" w:rsidR="00BE5A54" w:rsidRDefault="00BE5A54" w:rsidP="00177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74CDE9F" w14:textId="77777777" w:rsidR="00BE5A54" w:rsidRDefault="00BE5A54" w:rsidP="00177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054C55" w14:textId="77777777" w:rsidR="00BE5A54" w:rsidRPr="00E97554" w:rsidRDefault="00BE5A54" w:rsidP="00177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4E3929" w14:textId="77777777" w:rsidR="001770D1" w:rsidRPr="00E97554" w:rsidRDefault="001770D1" w:rsidP="001770D1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9755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OBRAZLOŽENJE</w:t>
      </w:r>
    </w:p>
    <w:p w14:paraId="34F3C365" w14:textId="77777777" w:rsidR="001770D1" w:rsidRPr="00E97554" w:rsidRDefault="001770D1" w:rsidP="001770D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69BC9F2" w14:textId="77777777" w:rsidR="00905D29" w:rsidRDefault="00905D29" w:rsidP="00905D29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A64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Nacionalni strateški okvir financijske pismenosti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potrošača </w:t>
      </w:r>
      <w:r w:rsidRPr="00A64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za razdoblje od 202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1. do 2026. godine (u daljnjem tekstu: Nacionalni strateški okvir financijske pismenosti) kao glavn</w:t>
      </w:r>
      <w:r w:rsidR="004D4F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cilj navodi </w:t>
      </w:r>
      <w:r w:rsidRPr="00A64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zajedničko djelovanje svih dionika u svrhu stvaranja financijski pismen</w:t>
      </w:r>
      <w:r w:rsidR="004D4F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ih potrošača</w:t>
      </w:r>
      <w:r w:rsidRPr="00A64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</w:t>
      </w:r>
    </w:p>
    <w:p w14:paraId="219EEAA2" w14:textId="77777777" w:rsidR="00BC5226" w:rsidRPr="00A64467" w:rsidRDefault="00BC5226" w:rsidP="00905D29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689C18A6" w14:textId="77777777" w:rsidR="00C470ED" w:rsidRPr="00C118BB" w:rsidRDefault="00C470ED" w:rsidP="00C470ED">
      <w:pPr>
        <w:spacing w:before="100" w:beforeAutospacing="1" w:after="225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8BB">
        <w:rPr>
          <w:rFonts w:ascii="Times New Roman" w:hAnsi="Times New Roman" w:cs="Times New Roman"/>
          <w:sz w:val="24"/>
          <w:szCs w:val="24"/>
        </w:rPr>
        <w:t xml:space="preserve">Temeljem </w:t>
      </w:r>
      <w:r w:rsidR="00090B8A">
        <w:rPr>
          <w:rFonts w:ascii="Times New Roman" w:hAnsi="Times New Roman" w:cs="Times New Roman"/>
          <w:sz w:val="24"/>
          <w:szCs w:val="24"/>
        </w:rPr>
        <w:t>N</w:t>
      </w:r>
      <w:r w:rsidRPr="00C118BB">
        <w:rPr>
          <w:rFonts w:ascii="Times New Roman" w:hAnsi="Times New Roman" w:cs="Times New Roman"/>
          <w:sz w:val="24"/>
          <w:szCs w:val="24"/>
        </w:rPr>
        <w:t>acionalnog strateškog okvira financijske pismenosti Ministarstvo financija osn</w:t>
      </w:r>
      <w:r w:rsidR="00693EF9">
        <w:rPr>
          <w:rFonts w:ascii="Times New Roman" w:hAnsi="Times New Roman" w:cs="Times New Roman"/>
          <w:sz w:val="24"/>
          <w:szCs w:val="24"/>
        </w:rPr>
        <w:t xml:space="preserve">ovalo je </w:t>
      </w:r>
      <w:r w:rsidRPr="00C118BB">
        <w:rPr>
          <w:rFonts w:ascii="Times New Roman" w:hAnsi="Times New Roman" w:cs="Times New Roman"/>
          <w:sz w:val="24"/>
          <w:szCs w:val="24"/>
        </w:rPr>
        <w:t>Operativnu radnu grupu za koordinaciju zajedničkih aktivnosti (u daljnjem tekstu: Operativna radna grupa) za provedbu Nacionalnog strateškog okvira financijske pismenosti za pojedine ciljne skupine stanovništva</w:t>
      </w:r>
      <w:r w:rsidR="00D31CC1">
        <w:rPr>
          <w:rFonts w:ascii="Times New Roman" w:hAnsi="Times New Roman" w:cs="Times New Roman"/>
          <w:sz w:val="24"/>
          <w:szCs w:val="24"/>
        </w:rPr>
        <w:t>, a koje mogu biti</w:t>
      </w:r>
      <w:r w:rsidRPr="00C118BB">
        <w:rPr>
          <w:rFonts w:ascii="Times New Roman" w:hAnsi="Times New Roman" w:cs="Times New Roman"/>
          <w:sz w:val="24"/>
          <w:szCs w:val="24"/>
        </w:rPr>
        <w:t>:</w:t>
      </w:r>
    </w:p>
    <w:p w14:paraId="476A834D" w14:textId="77777777" w:rsidR="00C470ED" w:rsidRPr="006D41BB" w:rsidRDefault="00C470ED" w:rsidP="00C470ED">
      <w:pPr>
        <w:pStyle w:val="ListParagraph"/>
        <w:numPr>
          <w:ilvl w:val="0"/>
          <w:numId w:val="1"/>
        </w:numPr>
        <w:spacing w:after="0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627868">
        <w:rPr>
          <w:rStyle w:val="tlid-translation"/>
          <w:rFonts w:ascii="Times New Roman" w:hAnsi="Times New Roman" w:cs="Times New Roman"/>
          <w:sz w:val="24"/>
          <w:szCs w:val="24"/>
        </w:rPr>
        <w:t>d</w:t>
      </w:r>
      <w:r w:rsidRPr="006D41BB">
        <w:rPr>
          <w:rStyle w:val="tlid-translation"/>
          <w:rFonts w:ascii="Times New Roman" w:hAnsi="Times New Roman" w:cs="Times New Roman"/>
          <w:sz w:val="24"/>
          <w:szCs w:val="24"/>
        </w:rPr>
        <w:t xml:space="preserve">jeca i mladi </w:t>
      </w:r>
    </w:p>
    <w:p w14:paraId="5C3C097F" w14:textId="77777777" w:rsidR="00C470ED" w:rsidRPr="006D41BB" w:rsidRDefault="00C470ED" w:rsidP="00C470ED">
      <w:pPr>
        <w:pStyle w:val="ListParagraph"/>
        <w:numPr>
          <w:ilvl w:val="0"/>
          <w:numId w:val="1"/>
        </w:numPr>
        <w:spacing w:after="0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627868">
        <w:rPr>
          <w:rStyle w:val="tlid-translation"/>
          <w:rFonts w:ascii="Times New Roman" w:hAnsi="Times New Roman" w:cs="Times New Roman"/>
          <w:sz w:val="24"/>
          <w:szCs w:val="24"/>
        </w:rPr>
        <w:t>o</w:t>
      </w:r>
      <w:r w:rsidRPr="006D41BB">
        <w:rPr>
          <w:rStyle w:val="tlid-translation"/>
          <w:rFonts w:ascii="Times New Roman" w:hAnsi="Times New Roman" w:cs="Times New Roman"/>
          <w:sz w:val="24"/>
          <w:szCs w:val="24"/>
        </w:rPr>
        <w:t xml:space="preserve">drasli mlađe dobi </w:t>
      </w:r>
    </w:p>
    <w:p w14:paraId="064535E4" w14:textId="77777777" w:rsidR="00C470ED" w:rsidRPr="00BC5B1F" w:rsidRDefault="00C470ED" w:rsidP="00C470ED">
      <w:pPr>
        <w:pStyle w:val="ListParagraph"/>
        <w:numPr>
          <w:ilvl w:val="0"/>
          <w:numId w:val="1"/>
        </w:numPr>
        <w:spacing w:after="0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627868">
        <w:rPr>
          <w:rStyle w:val="tlid-translation"/>
          <w:rFonts w:ascii="Times New Roman" w:hAnsi="Times New Roman" w:cs="Times New Roman"/>
          <w:sz w:val="24"/>
          <w:szCs w:val="24"/>
        </w:rPr>
        <w:t>o</w:t>
      </w:r>
      <w:r w:rsidRPr="006D41BB">
        <w:rPr>
          <w:rStyle w:val="tlid-translation"/>
          <w:rFonts w:ascii="Times New Roman" w:hAnsi="Times New Roman" w:cs="Times New Roman"/>
          <w:sz w:val="24"/>
          <w:szCs w:val="24"/>
        </w:rPr>
        <w:t xml:space="preserve">sobe radne dobi </w:t>
      </w:r>
      <w:r w:rsidRPr="00BC5B1F">
        <w:rPr>
          <w:rStyle w:val="tlid-translation"/>
          <w:rFonts w:ascii="Times New Roman" w:hAnsi="Times New Roman" w:cs="Times New Roman"/>
          <w:sz w:val="24"/>
          <w:szCs w:val="24"/>
        </w:rPr>
        <w:t>koje ostvaruju prihode</w:t>
      </w:r>
    </w:p>
    <w:p w14:paraId="28311CC2" w14:textId="77777777" w:rsidR="00C470ED" w:rsidRPr="00BC5B1F" w:rsidRDefault="00C470ED" w:rsidP="00C470ED">
      <w:pPr>
        <w:pStyle w:val="ListParagraph"/>
        <w:numPr>
          <w:ilvl w:val="0"/>
          <w:numId w:val="1"/>
        </w:numPr>
        <w:spacing w:after="0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627868">
        <w:rPr>
          <w:rStyle w:val="tlid-translation"/>
          <w:rFonts w:ascii="Times New Roman" w:hAnsi="Times New Roman" w:cs="Times New Roman"/>
          <w:sz w:val="24"/>
          <w:szCs w:val="24"/>
        </w:rPr>
        <w:t>o</w:t>
      </w:r>
      <w:r w:rsidRPr="006D41BB">
        <w:rPr>
          <w:rStyle w:val="tlid-translation"/>
          <w:rFonts w:ascii="Times New Roman" w:hAnsi="Times New Roman" w:cs="Times New Roman"/>
          <w:sz w:val="24"/>
          <w:szCs w:val="24"/>
        </w:rPr>
        <w:t xml:space="preserve">sobe starije </w:t>
      </w:r>
      <w:r w:rsidRPr="00BC5B1F">
        <w:rPr>
          <w:rStyle w:val="tlid-translation"/>
          <w:rFonts w:ascii="Times New Roman" w:hAnsi="Times New Roman" w:cs="Times New Roman"/>
          <w:sz w:val="24"/>
          <w:szCs w:val="24"/>
        </w:rPr>
        <w:t xml:space="preserve">životne dobi </w:t>
      </w:r>
    </w:p>
    <w:p w14:paraId="7F290967" w14:textId="77777777" w:rsidR="00C470ED" w:rsidRDefault="00C470ED" w:rsidP="00C470ED">
      <w:pPr>
        <w:pStyle w:val="ListParagraph"/>
        <w:spacing w:after="0"/>
        <w:rPr>
          <w:rStyle w:val="tlid-translation"/>
          <w:rFonts w:ascii="Times New Roman" w:hAnsi="Times New Roman" w:cs="Times New Roman"/>
          <w:sz w:val="24"/>
          <w:szCs w:val="24"/>
        </w:rPr>
      </w:pPr>
    </w:p>
    <w:p w14:paraId="645AA6D5" w14:textId="77777777" w:rsidR="00C470ED" w:rsidRDefault="004D4F5A" w:rsidP="00C470ED">
      <w:pPr>
        <w:ind w:firstLine="360"/>
        <w:contextualSpacing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Članovi </w:t>
      </w:r>
      <w:r w:rsidR="00C74A06">
        <w:rPr>
          <w:rStyle w:val="tlid-translation"/>
          <w:rFonts w:ascii="Times New Roman" w:hAnsi="Times New Roman" w:cs="Times New Roman"/>
          <w:sz w:val="24"/>
          <w:szCs w:val="24"/>
        </w:rPr>
        <w:t>O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p</w:t>
      </w:r>
      <w:r w:rsidR="00C470ED">
        <w:rPr>
          <w:rStyle w:val="tlid-translation"/>
          <w:rFonts w:ascii="Times New Roman" w:hAnsi="Times New Roman" w:cs="Times New Roman"/>
          <w:sz w:val="24"/>
          <w:szCs w:val="24"/>
        </w:rPr>
        <w:t>erativn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e</w:t>
      </w:r>
      <w:r w:rsidR="00856264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C470ED" w:rsidRPr="00A64467">
        <w:rPr>
          <w:rStyle w:val="tlid-translation"/>
          <w:rFonts w:ascii="Times New Roman" w:hAnsi="Times New Roman" w:cs="Times New Roman"/>
          <w:sz w:val="24"/>
          <w:szCs w:val="24"/>
        </w:rPr>
        <w:t>radn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e</w:t>
      </w:r>
      <w:r w:rsidR="00C470ED" w:rsidRPr="00A64467">
        <w:rPr>
          <w:rStyle w:val="tlid-translation"/>
          <w:rFonts w:ascii="Times New Roman" w:hAnsi="Times New Roman" w:cs="Times New Roman"/>
          <w:sz w:val="24"/>
          <w:szCs w:val="24"/>
        </w:rPr>
        <w:t xml:space="preserve"> grup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e</w:t>
      </w:r>
      <w:r w:rsidR="00C470ED" w:rsidRPr="00A64467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C74A06">
        <w:rPr>
          <w:rStyle w:val="tlid-translation"/>
          <w:rFonts w:ascii="Times New Roman" w:hAnsi="Times New Roman" w:cs="Times New Roman"/>
          <w:sz w:val="24"/>
          <w:szCs w:val="24"/>
        </w:rPr>
        <w:t>izrađuju</w:t>
      </w:r>
      <w:r w:rsidR="00E42652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C470ED" w:rsidRPr="00A64467">
        <w:rPr>
          <w:rStyle w:val="tlid-translation"/>
          <w:rFonts w:ascii="Times New Roman" w:hAnsi="Times New Roman" w:cs="Times New Roman"/>
          <w:sz w:val="24"/>
          <w:szCs w:val="24"/>
        </w:rPr>
        <w:t>Akcijsk</w:t>
      </w:r>
      <w:r w:rsidR="00E42652">
        <w:rPr>
          <w:rStyle w:val="tlid-translation"/>
          <w:rFonts w:ascii="Times New Roman" w:hAnsi="Times New Roman" w:cs="Times New Roman"/>
          <w:sz w:val="24"/>
          <w:szCs w:val="24"/>
        </w:rPr>
        <w:t>i</w:t>
      </w:r>
      <w:r w:rsidR="00C470ED" w:rsidRPr="00A64467">
        <w:rPr>
          <w:rStyle w:val="tlid-translation"/>
          <w:rFonts w:ascii="Times New Roman" w:hAnsi="Times New Roman" w:cs="Times New Roman"/>
          <w:sz w:val="24"/>
          <w:szCs w:val="24"/>
        </w:rPr>
        <w:t xml:space="preserve"> plan</w:t>
      </w:r>
      <w:r w:rsidR="00E42652">
        <w:rPr>
          <w:rStyle w:val="tlid-translation"/>
          <w:rFonts w:ascii="Times New Roman" w:hAnsi="Times New Roman" w:cs="Times New Roman"/>
          <w:sz w:val="24"/>
          <w:szCs w:val="24"/>
        </w:rPr>
        <w:t xml:space="preserve"> ili Akcijske planove za </w:t>
      </w:r>
      <w:r w:rsidR="00C470ED" w:rsidRPr="00A64467">
        <w:rPr>
          <w:rStyle w:val="tlid-translation"/>
          <w:rFonts w:ascii="Times New Roman" w:hAnsi="Times New Roman" w:cs="Times New Roman"/>
          <w:sz w:val="24"/>
          <w:szCs w:val="24"/>
        </w:rPr>
        <w:t xml:space="preserve">svaku 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pojedinu </w:t>
      </w:r>
      <w:r w:rsidR="00C470ED" w:rsidRPr="00A64467">
        <w:rPr>
          <w:rStyle w:val="tlid-translation"/>
          <w:rFonts w:ascii="Times New Roman" w:hAnsi="Times New Roman" w:cs="Times New Roman"/>
          <w:sz w:val="24"/>
          <w:szCs w:val="24"/>
        </w:rPr>
        <w:t xml:space="preserve">ciljnu </w:t>
      </w:r>
      <w:r w:rsidR="00C470ED">
        <w:rPr>
          <w:rStyle w:val="tlid-translation"/>
          <w:rFonts w:ascii="Times New Roman" w:hAnsi="Times New Roman" w:cs="Times New Roman"/>
          <w:sz w:val="24"/>
          <w:szCs w:val="24"/>
        </w:rPr>
        <w:t>skupinu</w:t>
      </w:r>
      <w:r w:rsidR="00E42652">
        <w:rPr>
          <w:rStyle w:val="tlid-translation"/>
          <w:rFonts w:ascii="Times New Roman" w:hAnsi="Times New Roman" w:cs="Times New Roman"/>
          <w:sz w:val="24"/>
          <w:szCs w:val="24"/>
        </w:rPr>
        <w:t>. Također, članovi Operativne radne grupe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, kao nositelji provedbenih aktivnosti, </w:t>
      </w:r>
      <w:r w:rsidR="00C470ED" w:rsidRPr="00A64467">
        <w:rPr>
          <w:rStyle w:val="tlid-translation"/>
          <w:rFonts w:ascii="Times New Roman" w:hAnsi="Times New Roman" w:cs="Times New Roman"/>
          <w:sz w:val="24"/>
          <w:szCs w:val="24"/>
        </w:rPr>
        <w:t>prat</w:t>
      </w:r>
      <w:r w:rsidR="00E42652">
        <w:rPr>
          <w:rStyle w:val="tlid-translation"/>
          <w:rFonts w:ascii="Times New Roman" w:hAnsi="Times New Roman" w:cs="Times New Roman"/>
          <w:sz w:val="24"/>
          <w:szCs w:val="24"/>
        </w:rPr>
        <w:t>e</w:t>
      </w:r>
      <w:r w:rsidR="00C470ED" w:rsidRPr="00A64467">
        <w:rPr>
          <w:rStyle w:val="tlid-translation"/>
          <w:rFonts w:ascii="Times New Roman" w:hAnsi="Times New Roman" w:cs="Times New Roman"/>
          <w:sz w:val="24"/>
          <w:szCs w:val="24"/>
        </w:rPr>
        <w:t xml:space="preserve"> provedbu Akcijskih planova prema indikatorima uspješnosti te o provedbi periodično izvještavaju Operativnu radnu grupu na redovnim sastancima.</w:t>
      </w:r>
    </w:p>
    <w:p w14:paraId="04BF214F" w14:textId="77777777" w:rsidR="00BC5226" w:rsidRPr="00A64467" w:rsidRDefault="00BC5226" w:rsidP="00C470ED">
      <w:pPr>
        <w:ind w:firstLine="360"/>
        <w:contextualSpacing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</w:p>
    <w:p w14:paraId="336D84B4" w14:textId="77777777" w:rsidR="00C470ED" w:rsidRDefault="004D4F5A" w:rsidP="00C470ED">
      <w:pPr>
        <w:ind w:firstLine="360"/>
        <w:contextualSpacing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Članovi </w:t>
      </w:r>
      <w:r w:rsidR="00C74A06">
        <w:rPr>
          <w:rStyle w:val="tlid-translation"/>
          <w:rFonts w:ascii="Times New Roman" w:hAnsi="Times New Roman" w:cs="Times New Roman"/>
          <w:sz w:val="24"/>
          <w:szCs w:val="24"/>
        </w:rPr>
        <w:t>O</w:t>
      </w:r>
      <w:r w:rsidR="00C470ED">
        <w:rPr>
          <w:rStyle w:val="tlid-translation"/>
          <w:rFonts w:ascii="Times New Roman" w:hAnsi="Times New Roman" w:cs="Times New Roman"/>
          <w:sz w:val="24"/>
          <w:szCs w:val="24"/>
        </w:rPr>
        <w:t>perativn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e</w:t>
      </w:r>
      <w:r w:rsidR="00E42652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C470ED" w:rsidRPr="00A64467">
        <w:rPr>
          <w:rStyle w:val="tlid-translation"/>
          <w:rFonts w:ascii="Times New Roman" w:hAnsi="Times New Roman" w:cs="Times New Roman"/>
          <w:sz w:val="24"/>
          <w:szCs w:val="24"/>
        </w:rPr>
        <w:t>radn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e</w:t>
      </w:r>
      <w:r w:rsidR="00E42652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C470ED" w:rsidRPr="00A64467">
        <w:rPr>
          <w:rStyle w:val="tlid-translation"/>
          <w:rFonts w:ascii="Times New Roman" w:hAnsi="Times New Roman" w:cs="Times New Roman"/>
          <w:sz w:val="24"/>
          <w:szCs w:val="24"/>
        </w:rPr>
        <w:t>grup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e</w:t>
      </w:r>
      <w:r w:rsidR="00C470ED" w:rsidRPr="00A64467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377466">
        <w:rPr>
          <w:rStyle w:val="tlid-translation"/>
          <w:rFonts w:ascii="Times New Roman" w:hAnsi="Times New Roman" w:cs="Times New Roman"/>
          <w:sz w:val="24"/>
          <w:szCs w:val="24"/>
        </w:rPr>
        <w:t xml:space="preserve">također </w:t>
      </w:r>
      <w:r w:rsidR="00C470ED" w:rsidRPr="00A64467">
        <w:rPr>
          <w:rStyle w:val="tlid-translation"/>
          <w:rFonts w:ascii="Times New Roman" w:hAnsi="Times New Roman" w:cs="Times New Roman"/>
          <w:sz w:val="24"/>
          <w:szCs w:val="24"/>
        </w:rPr>
        <w:t>sastavlja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ju</w:t>
      </w:r>
      <w:r w:rsidR="00C470ED" w:rsidRPr="00A64467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377466">
        <w:rPr>
          <w:rStyle w:val="tlid-translation"/>
          <w:rFonts w:ascii="Times New Roman" w:hAnsi="Times New Roman" w:cs="Times New Roman"/>
          <w:sz w:val="24"/>
          <w:szCs w:val="24"/>
        </w:rPr>
        <w:t xml:space="preserve">i </w:t>
      </w:r>
      <w:r w:rsidR="00C470ED" w:rsidRPr="00A64467">
        <w:rPr>
          <w:rStyle w:val="tlid-translation"/>
          <w:rFonts w:ascii="Times New Roman" w:hAnsi="Times New Roman" w:cs="Times New Roman"/>
          <w:sz w:val="24"/>
          <w:szCs w:val="24"/>
        </w:rPr>
        <w:t xml:space="preserve">pisano Izvješće o provedbi pojedinog Akcijskog plana </w:t>
      </w:r>
      <w:r w:rsidR="00E42652">
        <w:rPr>
          <w:rStyle w:val="tlid-translation"/>
          <w:rFonts w:ascii="Times New Roman" w:hAnsi="Times New Roman" w:cs="Times New Roman"/>
          <w:sz w:val="24"/>
          <w:szCs w:val="24"/>
        </w:rPr>
        <w:t xml:space="preserve">ili cjelokupnog Akcijskog plana </w:t>
      </w:r>
      <w:r w:rsidR="00C470ED" w:rsidRPr="00A64467">
        <w:rPr>
          <w:rStyle w:val="tlid-translation"/>
          <w:rFonts w:ascii="Times New Roman" w:hAnsi="Times New Roman" w:cs="Times New Roman"/>
          <w:sz w:val="24"/>
          <w:szCs w:val="24"/>
        </w:rPr>
        <w:t>i o tome izvještav</w:t>
      </w:r>
      <w:r w:rsidR="00262B52">
        <w:rPr>
          <w:rStyle w:val="tlid-translation"/>
          <w:rFonts w:ascii="Times New Roman" w:hAnsi="Times New Roman" w:cs="Times New Roman"/>
          <w:sz w:val="24"/>
          <w:szCs w:val="24"/>
        </w:rPr>
        <w:t>a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ju</w:t>
      </w:r>
      <w:r w:rsidR="00E42652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C470ED" w:rsidRPr="00A64467">
        <w:rPr>
          <w:rStyle w:val="tlid-translation"/>
          <w:rFonts w:ascii="Times New Roman" w:hAnsi="Times New Roman" w:cs="Times New Roman"/>
          <w:sz w:val="24"/>
          <w:szCs w:val="24"/>
        </w:rPr>
        <w:t>Ministarstvo financija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, koje priprema objedinjeno Izvješće o provedbi Akcijskog plana i dostavlja ga Vladi Republike Hrvatske</w:t>
      </w:r>
      <w:r w:rsidR="00C470ED" w:rsidRPr="00A64467">
        <w:rPr>
          <w:rStyle w:val="tlid-translation"/>
          <w:rFonts w:ascii="Times New Roman" w:hAnsi="Times New Roman" w:cs="Times New Roman"/>
          <w:sz w:val="24"/>
          <w:szCs w:val="24"/>
        </w:rPr>
        <w:t>.</w:t>
      </w:r>
    </w:p>
    <w:p w14:paraId="0B88BF4A" w14:textId="77777777" w:rsidR="00BC5226" w:rsidRPr="00A64467" w:rsidRDefault="00BC5226" w:rsidP="00C470ED">
      <w:pPr>
        <w:ind w:firstLine="360"/>
        <w:contextualSpacing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</w:p>
    <w:p w14:paraId="181F41D1" w14:textId="77777777" w:rsidR="00C470ED" w:rsidRDefault="00C470ED" w:rsidP="00C470ED">
      <w:pPr>
        <w:ind w:firstLine="360"/>
        <w:contextualSpacing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A64467">
        <w:rPr>
          <w:rStyle w:val="tlid-translation"/>
          <w:rFonts w:ascii="Times New Roman" w:hAnsi="Times New Roman" w:cs="Times New Roman"/>
          <w:sz w:val="24"/>
          <w:szCs w:val="24"/>
        </w:rPr>
        <w:t xml:space="preserve">Ministarstvo financija kao koordinator svih aktivnosti u području financijske pismenosti jednom u dvije godine zbirno putem Akcijskog plana </w:t>
      </w:r>
      <w:r w:rsidR="00E42652">
        <w:rPr>
          <w:rStyle w:val="tlid-translation"/>
          <w:rFonts w:ascii="Times New Roman" w:hAnsi="Times New Roman" w:cs="Times New Roman"/>
          <w:sz w:val="24"/>
          <w:szCs w:val="24"/>
        </w:rPr>
        <w:t xml:space="preserve">koji može biti </w:t>
      </w:r>
      <w:r w:rsidRPr="00A64467">
        <w:rPr>
          <w:rStyle w:val="tlid-translation"/>
          <w:rFonts w:ascii="Times New Roman" w:hAnsi="Times New Roman" w:cs="Times New Roman"/>
          <w:sz w:val="24"/>
          <w:szCs w:val="24"/>
        </w:rPr>
        <w:t xml:space="preserve">sastavljen od seta pojedinačnih Akcijskih </w:t>
      </w:r>
      <w:r w:rsidR="004E553E">
        <w:rPr>
          <w:rStyle w:val="tlid-translation"/>
          <w:rFonts w:ascii="Times New Roman" w:hAnsi="Times New Roman" w:cs="Times New Roman"/>
          <w:sz w:val="24"/>
          <w:szCs w:val="24"/>
        </w:rPr>
        <w:t>planova izrađenih za svaku cilj</w:t>
      </w:r>
      <w:r w:rsidRPr="00A64467">
        <w:rPr>
          <w:rStyle w:val="tlid-translation"/>
          <w:rFonts w:ascii="Times New Roman" w:hAnsi="Times New Roman" w:cs="Times New Roman"/>
          <w:sz w:val="24"/>
          <w:szCs w:val="24"/>
        </w:rPr>
        <w:t xml:space="preserve">nu 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skupinu</w:t>
      </w:r>
      <w:r w:rsidRPr="00A64467">
        <w:rPr>
          <w:rStyle w:val="tlid-translation"/>
          <w:rFonts w:ascii="Times New Roman" w:hAnsi="Times New Roman" w:cs="Times New Roman"/>
          <w:sz w:val="24"/>
          <w:szCs w:val="24"/>
        </w:rPr>
        <w:t xml:space="preserve"> izvještava Vladu Republike Hrvatske o planiranim i provedenim aktivnostima definiranim Akcijskim planom.  </w:t>
      </w:r>
    </w:p>
    <w:p w14:paraId="022CB0CB" w14:textId="77777777" w:rsidR="00BC5226" w:rsidRPr="00A64467" w:rsidRDefault="00BC5226" w:rsidP="00C470ED">
      <w:pPr>
        <w:ind w:firstLine="360"/>
        <w:contextualSpacing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</w:p>
    <w:p w14:paraId="07870243" w14:textId="77777777" w:rsidR="0085046F" w:rsidRPr="00A64467" w:rsidRDefault="0085046F" w:rsidP="00C470ED">
      <w:pPr>
        <w:spacing w:after="0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A64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Nacionalni strateški okvir financijske pismenosti kao i Akcijski plan za unaprjeđenje financijske pismenosti </w:t>
      </w:r>
      <w:r w:rsidR="000206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po godinama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</w:t>
      </w:r>
      <w:r w:rsidRPr="00A64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usmjereni su na poticanje svih dionika financijskog obrazovanja na zajedničko djelovanje prema razumijevanju zajedničkog cilja i pr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edanosti za njegovo postizanje,</w:t>
      </w:r>
      <w:r w:rsidRPr="00A64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kako bi se svim građanima Republike Hrvatske osigurala prilika ostvarivanja određene koristi od financijskog obrazovanja.</w:t>
      </w:r>
    </w:p>
    <w:p w14:paraId="616E85C1" w14:textId="77777777" w:rsidR="0085046F" w:rsidRPr="00A64467" w:rsidRDefault="0085046F" w:rsidP="0085046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680E1D89" w14:textId="77777777" w:rsidR="0085046F" w:rsidRPr="00A64467" w:rsidRDefault="0085046F" w:rsidP="0085046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008FF8ED" w14:textId="77777777" w:rsidR="00717D2E" w:rsidRDefault="00717D2E">
      <w:pPr>
        <w:rPr>
          <w:rFonts w:ascii="Times New Roman" w:hAnsi="Times New Roman" w:cs="Times New Roman"/>
          <w:sz w:val="24"/>
          <w:szCs w:val="24"/>
        </w:rPr>
      </w:pPr>
    </w:p>
    <w:p w14:paraId="2E4D3BA5" w14:textId="77777777" w:rsidR="0089510C" w:rsidRDefault="0089510C">
      <w:pPr>
        <w:rPr>
          <w:rFonts w:ascii="Times New Roman" w:hAnsi="Times New Roman" w:cs="Times New Roman"/>
          <w:sz w:val="24"/>
          <w:szCs w:val="24"/>
        </w:rPr>
      </w:pPr>
    </w:p>
    <w:sectPr w:rsidR="0089510C" w:rsidSect="000350D9">
      <w:type w:val="continuous"/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187B9" w14:textId="77777777" w:rsidR="004B7BB6" w:rsidRDefault="004B7BB6">
      <w:pPr>
        <w:spacing w:after="0" w:line="240" w:lineRule="auto"/>
      </w:pPr>
      <w:r>
        <w:separator/>
      </w:r>
    </w:p>
  </w:endnote>
  <w:endnote w:type="continuationSeparator" w:id="0">
    <w:p w14:paraId="487090DC" w14:textId="77777777" w:rsidR="004B7BB6" w:rsidRDefault="004B7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1BBDA" w14:textId="77777777" w:rsidR="0009048B" w:rsidRPr="00CE78D1" w:rsidRDefault="0009048B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 xml:space="preserve">Banski dvori | Trg Sv. Marka 2  | 10000 Zagreb | tel. 01 4569 </w:t>
    </w:r>
    <w:r>
      <w:rPr>
        <w:color w:val="404040" w:themeColor="text1" w:themeTint="BF"/>
        <w:spacing w:val="20"/>
        <w:sz w:val="20"/>
      </w:rPr>
      <w:t>222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5EE79" w14:textId="77777777" w:rsidR="004B7BB6" w:rsidRDefault="004B7BB6">
      <w:pPr>
        <w:spacing w:after="0" w:line="240" w:lineRule="auto"/>
      </w:pPr>
      <w:r>
        <w:separator/>
      </w:r>
    </w:p>
  </w:footnote>
  <w:footnote w:type="continuationSeparator" w:id="0">
    <w:p w14:paraId="6CCA92E0" w14:textId="77777777" w:rsidR="004B7BB6" w:rsidRDefault="004B7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0635"/>
    <w:multiLevelType w:val="hybridMultilevel"/>
    <w:tmpl w:val="98FEB9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B69DD"/>
    <w:multiLevelType w:val="hybridMultilevel"/>
    <w:tmpl w:val="0C162274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BE6760"/>
    <w:multiLevelType w:val="hybridMultilevel"/>
    <w:tmpl w:val="1BFAC6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621DC"/>
    <w:multiLevelType w:val="multilevel"/>
    <w:tmpl w:val="47084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D1B4064"/>
    <w:multiLevelType w:val="multilevel"/>
    <w:tmpl w:val="F78E8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6396AD4"/>
    <w:multiLevelType w:val="hybridMultilevel"/>
    <w:tmpl w:val="4FACD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E19EB"/>
    <w:multiLevelType w:val="hybridMultilevel"/>
    <w:tmpl w:val="AA4210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1032F"/>
    <w:multiLevelType w:val="multilevel"/>
    <w:tmpl w:val="AD22A40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C1459B"/>
    <w:multiLevelType w:val="multilevel"/>
    <w:tmpl w:val="2460B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A9870AA"/>
    <w:multiLevelType w:val="hybridMultilevel"/>
    <w:tmpl w:val="7ED895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1082A"/>
    <w:multiLevelType w:val="hybridMultilevel"/>
    <w:tmpl w:val="26342526"/>
    <w:lvl w:ilvl="0" w:tplc="C5B43C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471C89"/>
    <w:multiLevelType w:val="hybridMultilevel"/>
    <w:tmpl w:val="C1D6DE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AA5E42"/>
    <w:multiLevelType w:val="multilevel"/>
    <w:tmpl w:val="C792B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86641A9"/>
    <w:multiLevelType w:val="multilevel"/>
    <w:tmpl w:val="4BCA0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13"/>
  </w:num>
  <w:num w:numId="5">
    <w:abstractNumId w:val="5"/>
  </w:num>
  <w:num w:numId="6">
    <w:abstractNumId w:val="7"/>
  </w:num>
  <w:num w:numId="7">
    <w:abstractNumId w:val="12"/>
  </w:num>
  <w:num w:numId="8">
    <w:abstractNumId w:val="1"/>
  </w:num>
  <w:num w:numId="9">
    <w:abstractNumId w:val="3"/>
  </w:num>
  <w:num w:numId="10">
    <w:abstractNumId w:val="6"/>
  </w:num>
  <w:num w:numId="11">
    <w:abstractNumId w:val="4"/>
  </w:num>
  <w:num w:numId="12">
    <w:abstractNumId w:val="10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48B"/>
    <w:rsid w:val="00020686"/>
    <w:rsid w:val="00023F19"/>
    <w:rsid w:val="00054829"/>
    <w:rsid w:val="0009048B"/>
    <w:rsid w:val="00090B8A"/>
    <w:rsid w:val="000B1EDF"/>
    <w:rsid w:val="000D17F4"/>
    <w:rsid w:val="000E0EB3"/>
    <w:rsid w:val="00122E9B"/>
    <w:rsid w:val="00137B2A"/>
    <w:rsid w:val="0015489B"/>
    <w:rsid w:val="001770D1"/>
    <w:rsid w:val="001B58A2"/>
    <w:rsid w:val="00262B52"/>
    <w:rsid w:val="00291612"/>
    <w:rsid w:val="002E2AA2"/>
    <w:rsid w:val="00377466"/>
    <w:rsid w:val="003A2F9F"/>
    <w:rsid w:val="003A7DD6"/>
    <w:rsid w:val="003C101F"/>
    <w:rsid w:val="00453E7D"/>
    <w:rsid w:val="00462496"/>
    <w:rsid w:val="004B7BB6"/>
    <w:rsid w:val="004D031E"/>
    <w:rsid w:val="004D342C"/>
    <w:rsid w:val="004D4F5A"/>
    <w:rsid w:val="004E553E"/>
    <w:rsid w:val="00515B59"/>
    <w:rsid w:val="00515D2F"/>
    <w:rsid w:val="005212F6"/>
    <w:rsid w:val="00531778"/>
    <w:rsid w:val="005501AB"/>
    <w:rsid w:val="00576F0A"/>
    <w:rsid w:val="00655CF7"/>
    <w:rsid w:val="00693EF9"/>
    <w:rsid w:val="006B322F"/>
    <w:rsid w:val="006C3E3C"/>
    <w:rsid w:val="006D3915"/>
    <w:rsid w:val="0071317A"/>
    <w:rsid w:val="00717D2E"/>
    <w:rsid w:val="00723E2F"/>
    <w:rsid w:val="007B10B3"/>
    <w:rsid w:val="0085046F"/>
    <w:rsid w:val="00856264"/>
    <w:rsid w:val="00874147"/>
    <w:rsid w:val="0089510C"/>
    <w:rsid w:val="00905D29"/>
    <w:rsid w:val="00926F84"/>
    <w:rsid w:val="009666CB"/>
    <w:rsid w:val="009B30AF"/>
    <w:rsid w:val="00A22B5E"/>
    <w:rsid w:val="00A76CBA"/>
    <w:rsid w:val="00AE19D6"/>
    <w:rsid w:val="00B15C41"/>
    <w:rsid w:val="00B472AD"/>
    <w:rsid w:val="00B56BE7"/>
    <w:rsid w:val="00B845E1"/>
    <w:rsid w:val="00BC5226"/>
    <w:rsid w:val="00BE5A54"/>
    <w:rsid w:val="00C05774"/>
    <w:rsid w:val="00C2673A"/>
    <w:rsid w:val="00C470ED"/>
    <w:rsid w:val="00C57F5E"/>
    <w:rsid w:val="00C62827"/>
    <w:rsid w:val="00C74A06"/>
    <w:rsid w:val="00CA6CFD"/>
    <w:rsid w:val="00CE5B0C"/>
    <w:rsid w:val="00D27765"/>
    <w:rsid w:val="00D31CC1"/>
    <w:rsid w:val="00D558EE"/>
    <w:rsid w:val="00D960A8"/>
    <w:rsid w:val="00E42652"/>
    <w:rsid w:val="00E703DD"/>
    <w:rsid w:val="00E97554"/>
    <w:rsid w:val="00ED5CF1"/>
    <w:rsid w:val="00EF207B"/>
    <w:rsid w:val="00F60BD8"/>
    <w:rsid w:val="00F923A8"/>
    <w:rsid w:val="00FC27DA"/>
    <w:rsid w:val="00FE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C13B5"/>
  <w15:docId w15:val="{E79290E5-3363-4343-B963-F1674CD9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510C"/>
    <w:pPr>
      <w:keepNext/>
      <w:keepLines/>
      <w:spacing w:before="240" w:after="0" w:line="259" w:lineRule="auto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510C"/>
    <w:pPr>
      <w:keepNext/>
      <w:keepLines/>
      <w:spacing w:before="40" w:after="0" w:line="259" w:lineRule="auto"/>
      <w:outlineLvl w:val="1"/>
    </w:pPr>
    <w:rPr>
      <w:rFonts w:ascii="Times New Roman" w:eastAsiaTheme="majorEastAsia" w:hAnsi="Times New Roman" w:cstheme="majorBidi"/>
      <w:b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904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09048B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090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4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5D29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905D29"/>
  </w:style>
  <w:style w:type="paragraph" w:styleId="NormalWeb">
    <w:name w:val="Normal (Web)"/>
    <w:basedOn w:val="Normal"/>
    <w:uiPriority w:val="99"/>
    <w:unhideWhenUsed/>
    <w:rsid w:val="00CE5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89510C"/>
    <w:rPr>
      <w:rFonts w:ascii="Times New Roman" w:eastAsiaTheme="majorEastAsia" w:hAnsi="Times New Roman" w:cstheme="majorBidi"/>
      <w:b/>
      <w:color w:val="000000" w:themeColor="text1"/>
      <w:sz w:val="2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89510C"/>
    <w:rPr>
      <w:rFonts w:ascii="Times New Roman" w:eastAsiaTheme="majorEastAsia" w:hAnsi="Times New Roman" w:cstheme="majorBidi"/>
      <w:b/>
      <w:sz w:val="24"/>
      <w:szCs w:val="2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9510C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9510C"/>
    <w:rPr>
      <w:lang w:val="en-GB"/>
    </w:rPr>
  </w:style>
  <w:style w:type="character" w:styleId="Hyperlink">
    <w:name w:val="Hyperlink"/>
    <w:basedOn w:val="DefaultParagraphFont"/>
    <w:uiPriority w:val="99"/>
    <w:unhideWhenUsed/>
    <w:rsid w:val="0089510C"/>
    <w:rPr>
      <w:color w:val="0000FF" w:themeColor="hyperlink"/>
      <w:u w:val="single"/>
    </w:rPr>
  </w:style>
  <w:style w:type="paragraph" w:customStyle="1" w:styleId="doc-ti">
    <w:name w:val="doc-ti"/>
    <w:basedOn w:val="Normal"/>
    <w:rsid w:val="0089510C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FootnoteText">
    <w:name w:val="footnote text"/>
    <w:basedOn w:val="Normal"/>
    <w:link w:val="FootnoteTextChar"/>
    <w:uiPriority w:val="99"/>
    <w:unhideWhenUsed/>
    <w:rsid w:val="0089510C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9510C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510C"/>
    <w:rPr>
      <w:vertAlign w:val="superscript"/>
    </w:rPr>
  </w:style>
  <w:style w:type="character" w:styleId="Strong">
    <w:name w:val="Strong"/>
    <w:basedOn w:val="DefaultParagraphFont"/>
    <w:uiPriority w:val="22"/>
    <w:qFormat/>
    <w:rsid w:val="0089510C"/>
    <w:rPr>
      <w:b/>
      <w:bCs/>
    </w:rPr>
  </w:style>
  <w:style w:type="paragraph" w:customStyle="1" w:styleId="text-align-justify">
    <w:name w:val="text-align-justify"/>
    <w:basedOn w:val="Normal"/>
    <w:rsid w:val="008951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89510C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89510C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89510C"/>
    <w:pPr>
      <w:spacing w:after="100" w:line="259" w:lineRule="auto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9510C"/>
    <w:pPr>
      <w:spacing w:after="100" w:line="259" w:lineRule="auto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89510C"/>
    <w:pPr>
      <w:spacing w:after="100" w:line="259" w:lineRule="auto"/>
      <w:ind w:left="440"/>
    </w:pPr>
    <w:rPr>
      <w:rFonts w:eastAsiaTheme="minorEastAsia" w:cs="Times New Roman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9510C"/>
    <w:pPr>
      <w:spacing w:after="0" w:line="240" w:lineRule="auto"/>
    </w:pPr>
    <w:rPr>
      <w:rFonts w:ascii="Consolas" w:hAnsi="Consolas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9510C"/>
    <w:rPr>
      <w:rFonts w:ascii="Consolas" w:hAnsi="Consolas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951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510C"/>
    <w:pPr>
      <w:spacing w:after="160"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510C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51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510C"/>
    <w:rPr>
      <w:b/>
      <w:bCs/>
      <w:sz w:val="20"/>
      <w:szCs w:val="20"/>
      <w:lang w:val="en-GB"/>
    </w:rPr>
  </w:style>
  <w:style w:type="character" w:customStyle="1" w:styleId="zadanifontodlomka-000018">
    <w:name w:val="zadanifontodlomka-000018"/>
    <w:basedOn w:val="DefaultParagraphFont"/>
    <w:rsid w:val="0089510C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89510C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9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AZJMDCZ6QSYZ-1849078857-6051</_dlc_DocId>
    <_dlc_DocIdUrl xmlns="a494813a-d0d8-4dad-94cb-0d196f36ba15">
      <Url>https://ekoordinacije.vlada.hr/koordinacija-gospodarstvo/_layouts/15/DocIdRedir.aspx?ID=AZJMDCZ6QSYZ-1849078857-6051</Url>
      <Description>AZJMDCZ6QSYZ-1849078857-6051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4CF5B21-6697-46A9-B9EF-E2AF6F1332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F2FB4E-293F-4441-A5F8-05A4170683EA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9F2284B-0667-4659-A6CE-3B88078807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49E49D-358A-409F-B0ED-EE1488EFC2B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mfklo</dc:creator>
  <cp:lastModifiedBy>Ines Uglešić</cp:lastModifiedBy>
  <cp:revision>5</cp:revision>
  <cp:lastPrinted>2021-06-01T08:24:00Z</cp:lastPrinted>
  <dcterms:created xsi:type="dcterms:W3CDTF">2021-06-07T11:17:00Z</dcterms:created>
  <dcterms:modified xsi:type="dcterms:W3CDTF">2021-06-14T10:11:00Z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5708db70-3f26-497f-bd27-53ec8c540637</vt:lpwstr>
  </property>
</Properties>
</file>