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DA55D" w14:textId="77777777" w:rsidR="007B34A2" w:rsidRPr="007B34A2" w:rsidRDefault="007B34A2" w:rsidP="007B34A2">
      <w:pPr>
        <w:jc w:val="center"/>
      </w:pPr>
      <w:r w:rsidRPr="007B34A2">
        <w:rPr>
          <w:noProof/>
        </w:rPr>
        <w:drawing>
          <wp:inline distT="0" distB="0" distL="0" distR="0" wp14:anchorId="0CF440A0" wp14:editId="115FF1F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4A2">
        <w:fldChar w:fldCharType="begin"/>
      </w:r>
      <w:r w:rsidRPr="007B34A2">
        <w:instrText xml:space="preserve"> INCLUDEPICTURE "http://www.inet.hr/~box/images/grb-rh.gif" \* MERGEFORMATINET </w:instrText>
      </w:r>
      <w:r w:rsidRPr="007B34A2">
        <w:fldChar w:fldCharType="end"/>
      </w:r>
    </w:p>
    <w:p w14:paraId="38DD9755" w14:textId="77777777" w:rsidR="007B34A2" w:rsidRPr="007B34A2" w:rsidRDefault="007B34A2" w:rsidP="007B34A2">
      <w:pPr>
        <w:spacing w:before="60" w:after="1680"/>
        <w:jc w:val="center"/>
        <w:rPr>
          <w:sz w:val="28"/>
        </w:rPr>
      </w:pPr>
      <w:r w:rsidRPr="007B34A2">
        <w:rPr>
          <w:sz w:val="28"/>
        </w:rPr>
        <w:t>VLADA REPUBLIKE HRVATSKE</w:t>
      </w:r>
    </w:p>
    <w:p w14:paraId="28037AB6" w14:textId="77777777" w:rsidR="007B34A2" w:rsidRPr="007B34A2" w:rsidRDefault="007B34A2" w:rsidP="007B34A2"/>
    <w:p w14:paraId="28876200" w14:textId="407E7821" w:rsidR="007B34A2" w:rsidRPr="007B34A2" w:rsidRDefault="007B34A2" w:rsidP="007B34A2">
      <w:pPr>
        <w:spacing w:after="2400"/>
        <w:jc w:val="right"/>
      </w:pPr>
      <w:r w:rsidRPr="007B34A2">
        <w:t>Zagreb, 2</w:t>
      </w:r>
      <w:r w:rsidR="009604AA">
        <w:t>3</w:t>
      </w:r>
      <w:bookmarkStart w:id="0" w:name="_GoBack"/>
      <w:bookmarkEnd w:id="0"/>
      <w:r w:rsidRPr="007B34A2">
        <w:t xml:space="preserve">. </w:t>
      </w:r>
      <w:r>
        <w:t>lipnja</w:t>
      </w:r>
      <w:r w:rsidRPr="007B34A2">
        <w:t xml:space="preserve"> 2021.</w:t>
      </w:r>
    </w:p>
    <w:p w14:paraId="6CC75138" w14:textId="77777777" w:rsidR="007B34A2" w:rsidRPr="007B34A2" w:rsidRDefault="007B34A2" w:rsidP="007B34A2">
      <w:pPr>
        <w:spacing w:line="360" w:lineRule="auto"/>
      </w:pPr>
      <w:r w:rsidRPr="007B34A2">
        <w:t>__________________________________________________________________________</w:t>
      </w:r>
    </w:p>
    <w:p w14:paraId="3583CC87" w14:textId="77777777" w:rsidR="007B34A2" w:rsidRPr="007B34A2" w:rsidRDefault="007B34A2" w:rsidP="007B34A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B34A2" w:rsidRPr="007B34A2" w:rsidSect="007B34A2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B34A2" w:rsidRPr="007B34A2" w14:paraId="46E0B5C0" w14:textId="77777777" w:rsidTr="00CD143A">
        <w:tc>
          <w:tcPr>
            <w:tcW w:w="1951" w:type="dxa"/>
          </w:tcPr>
          <w:p w14:paraId="1C4A2233" w14:textId="77777777" w:rsidR="007B34A2" w:rsidRPr="007B34A2" w:rsidRDefault="007B34A2" w:rsidP="007B34A2">
            <w:pPr>
              <w:spacing w:line="360" w:lineRule="auto"/>
              <w:jc w:val="right"/>
            </w:pPr>
            <w:r w:rsidRPr="007B34A2">
              <w:rPr>
                <w:b/>
                <w:smallCaps/>
              </w:rPr>
              <w:t>Predlagatelj</w:t>
            </w:r>
            <w:r w:rsidRPr="007B34A2">
              <w:rPr>
                <w:b/>
              </w:rPr>
              <w:t>:</w:t>
            </w:r>
          </w:p>
        </w:tc>
        <w:tc>
          <w:tcPr>
            <w:tcW w:w="7229" w:type="dxa"/>
          </w:tcPr>
          <w:p w14:paraId="630EB91F" w14:textId="4754B2D9" w:rsidR="007B34A2" w:rsidRPr="007B34A2" w:rsidRDefault="007B34A2" w:rsidP="007B34A2">
            <w:pPr>
              <w:spacing w:line="360" w:lineRule="auto"/>
            </w:pPr>
            <w:r>
              <w:t>Ministarstvo financija</w:t>
            </w:r>
          </w:p>
        </w:tc>
      </w:tr>
    </w:tbl>
    <w:p w14:paraId="35A95846" w14:textId="77777777" w:rsidR="007B34A2" w:rsidRPr="007B34A2" w:rsidRDefault="007B34A2" w:rsidP="007B34A2">
      <w:pPr>
        <w:spacing w:line="360" w:lineRule="auto"/>
      </w:pPr>
      <w:r w:rsidRPr="007B34A2">
        <w:t>__________________________________________________________________________</w:t>
      </w:r>
    </w:p>
    <w:p w14:paraId="3CAC40E2" w14:textId="77777777" w:rsidR="007B34A2" w:rsidRPr="007B34A2" w:rsidRDefault="007B34A2" w:rsidP="007B34A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B34A2" w:rsidRPr="007B34A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B34A2" w:rsidRPr="007B34A2" w14:paraId="3C1B8904" w14:textId="77777777" w:rsidTr="00CD143A">
        <w:tc>
          <w:tcPr>
            <w:tcW w:w="1951" w:type="dxa"/>
          </w:tcPr>
          <w:p w14:paraId="3741F492" w14:textId="77777777" w:rsidR="007B34A2" w:rsidRPr="007B34A2" w:rsidRDefault="007B34A2" w:rsidP="007B34A2">
            <w:pPr>
              <w:spacing w:line="360" w:lineRule="auto"/>
              <w:jc w:val="right"/>
            </w:pPr>
            <w:r w:rsidRPr="007B34A2">
              <w:rPr>
                <w:b/>
                <w:smallCaps/>
              </w:rPr>
              <w:t>Predmet</w:t>
            </w:r>
            <w:r w:rsidRPr="007B34A2">
              <w:rPr>
                <w:b/>
              </w:rPr>
              <w:t>:</w:t>
            </w:r>
          </w:p>
        </w:tc>
        <w:tc>
          <w:tcPr>
            <w:tcW w:w="7229" w:type="dxa"/>
          </w:tcPr>
          <w:p w14:paraId="7850500A" w14:textId="22938AAD" w:rsidR="007B34A2" w:rsidRPr="007B34A2" w:rsidRDefault="00CB1266" w:rsidP="00CB1266">
            <w:pPr>
              <w:spacing w:line="360" w:lineRule="auto"/>
            </w:pPr>
            <w:r w:rsidRPr="008A78E5">
              <w:rPr>
                <w:bCs/>
              </w:rPr>
              <w:t xml:space="preserve">Prijedlog odluke o davanju suglasnosti Ministarstvu zdravstva, Kliničkom bolničkom centru Osijek, za preuzimanje obveza na teret sredstava državnog proračuna Republike Hrvatske u 2022. i 2023. godini, za sklapanje ugovora o javnoj nabavi radova i ugovora o javnoj nabavi usluge stručnog nadzora nad izvođenjem radova na izgradnji zgrade objedinjenog hitnog bolničkog prijema i dnevnih bolnica/dnevnih kirurgija </w:t>
            </w:r>
          </w:p>
        </w:tc>
      </w:tr>
    </w:tbl>
    <w:p w14:paraId="07644230" w14:textId="77777777" w:rsidR="007B34A2" w:rsidRPr="007B34A2" w:rsidRDefault="007B34A2" w:rsidP="007B34A2">
      <w:pPr>
        <w:tabs>
          <w:tab w:val="left" w:pos="1843"/>
        </w:tabs>
        <w:spacing w:line="360" w:lineRule="auto"/>
        <w:ind w:left="1843" w:hanging="1843"/>
      </w:pPr>
      <w:r w:rsidRPr="007B34A2">
        <w:t>__________________________________________________________________________</w:t>
      </w:r>
    </w:p>
    <w:p w14:paraId="2C4BD5D9" w14:textId="77777777" w:rsidR="007B34A2" w:rsidRPr="007B34A2" w:rsidRDefault="007B34A2" w:rsidP="007B34A2"/>
    <w:p w14:paraId="7457B853" w14:textId="77777777" w:rsidR="007B34A2" w:rsidRPr="007B34A2" w:rsidRDefault="007B34A2" w:rsidP="007B34A2"/>
    <w:p w14:paraId="644747D4" w14:textId="77777777" w:rsidR="007B34A2" w:rsidRPr="007B34A2" w:rsidRDefault="007B34A2" w:rsidP="007B34A2"/>
    <w:p w14:paraId="1D9B7DA3" w14:textId="77777777" w:rsidR="007B34A2" w:rsidRPr="007B34A2" w:rsidRDefault="007B34A2" w:rsidP="007B34A2"/>
    <w:p w14:paraId="712FA616" w14:textId="77777777" w:rsidR="007B34A2" w:rsidRPr="007B34A2" w:rsidRDefault="007B34A2" w:rsidP="007B34A2"/>
    <w:p w14:paraId="4C038BF5" w14:textId="77777777" w:rsidR="007B34A2" w:rsidRPr="007B34A2" w:rsidRDefault="007B34A2" w:rsidP="007B34A2"/>
    <w:p w14:paraId="3F1D1A7C" w14:textId="77777777" w:rsidR="007B34A2" w:rsidRPr="007B34A2" w:rsidRDefault="007B34A2" w:rsidP="007B34A2"/>
    <w:p w14:paraId="5A8DD0C6" w14:textId="77777777" w:rsidR="007B34A2" w:rsidRPr="007B34A2" w:rsidRDefault="007B34A2" w:rsidP="007B34A2">
      <w:pPr>
        <w:sectPr w:rsidR="007B34A2" w:rsidRPr="007B34A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D8F31F2" w14:textId="77777777" w:rsidR="007B34A2" w:rsidRPr="007B34A2" w:rsidRDefault="007B34A2" w:rsidP="007B34A2"/>
    <w:p w14:paraId="497BC79D" w14:textId="02F61C5E" w:rsidR="007B34A2" w:rsidRPr="007B34A2" w:rsidRDefault="00CB1266" w:rsidP="00CB1266">
      <w:pPr>
        <w:jc w:val="right"/>
        <w:rPr>
          <w:b/>
        </w:rPr>
      </w:pPr>
      <w:r w:rsidRPr="00CB1266">
        <w:rPr>
          <w:b/>
        </w:rPr>
        <w:t>Prijedlog</w:t>
      </w:r>
    </w:p>
    <w:p w14:paraId="2CA59C71" w14:textId="4A5A9595" w:rsidR="007B34A2" w:rsidRDefault="007B34A2" w:rsidP="007B34A2"/>
    <w:p w14:paraId="686F5CB0" w14:textId="77777777" w:rsidR="007B34A2" w:rsidRPr="007B34A2" w:rsidRDefault="007B34A2" w:rsidP="007B34A2"/>
    <w:p w14:paraId="1343AA46" w14:textId="77777777" w:rsidR="007B34A2" w:rsidRPr="007B34A2" w:rsidRDefault="007B34A2" w:rsidP="007B34A2"/>
    <w:p w14:paraId="7FBA3551" w14:textId="398D6F62" w:rsidR="00D360C1" w:rsidRPr="00930E6D" w:rsidRDefault="00D360C1" w:rsidP="00CB1266">
      <w:pPr>
        <w:widowControl w:val="0"/>
        <w:tabs>
          <w:tab w:val="left" w:pos="-720"/>
        </w:tabs>
        <w:suppressAutoHyphens/>
        <w:ind w:firstLine="1418"/>
        <w:jc w:val="both"/>
      </w:pPr>
      <w:r w:rsidRPr="00930E6D">
        <w:t>Na temelju članka 31. stavka 2. Zakona o Vladi Republike Hrvatske (</w:t>
      </w:r>
      <w:r w:rsidR="00CB1266">
        <w:t>„</w:t>
      </w:r>
      <w:r w:rsidRPr="00930E6D">
        <w:t>Narodne novine</w:t>
      </w:r>
      <w:r w:rsidR="00CB1266">
        <w:t>“</w:t>
      </w:r>
      <w:r w:rsidRPr="00930E6D">
        <w:t>, br</w:t>
      </w:r>
      <w:r w:rsidR="00CB1266">
        <w:t>.</w:t>
      </w:r>
      <w:r w:rsidRPr="00930E6D">
        <w:t xml:space="preserve"> 150/11</w:t>
      </w:r>
      <w:r w:rsidR="00CB1266">
        <w:t>.</w:t>
      </w:r>
      <w:r w:rsidRPr="00930E6D">
        <w:t>, 119/14</w:t>
      </w:r>
      <w:r w:rsidR="00CB1266">
        <w:t>.</w:t>
      </w:r>
      <w:r w:rsidRPr="00930E6D">
        <w:t>, 93/16</w:t>
      </w:r>
      <w:r w:rsidR="00CB1266">
        <w:t>.</w:t>
      </w:r>
      <w:r w:rsidRPr="00930E6D">
        <w:t xml:space="preserve"> i 116/18</w:t>
      </w:r>
      <w:r w:rsidR="00CB1266">
        <w:t>.</w:t>
      </w:r>
      <w:r w:rsidRPr="00930E6D">
        <w:t>) i članka 44. stavka 2. Zakona o proračunu (</w:t>
      </w:r>
      <w:r w:rsidR="00CB1266">
        <w:t>„</w:t>
      </w:r>
      <w:r w:rsidRPr="00930E6D">
        <w:t>Narodne novine</w:t>
      </w:r>
      <w:r w:rsidR="00CB1266">
        <w:t>“</w:t>
      </w:r>
      <w:r w:rsidRPr="00930E6D">
        <w:t>, br</w:t>
      </w:r>
      <w:r w:rsidR="00CB1266">
        <w:t>.</w:t>
      </w:r>
      <w:r w:rsidRPr="00930E6D">
        <w:t xml:space="preserve"> 87/08</w:t>
      </w:r>
      <w:r w:rsidR="00CB1266">
        <w:t>.</w:t>
      </w:r>
      <w:r w:rsidRPr="00930E6D">
        <w:t>, 136/12</w:t>
      </w:r>
      <w:r w:rsidR="00CB1266">
        <w:t>. i</w:t>
      </w:r>
      <w:r w:rsidRPr="00930E6D">
        <w:t xml:space="preserve"> 15/15</w:t>
      </w:r>
      <w:r w:rsidR="00CB1266">
        <w:t>.</w:t>
      </w:r>
      <w:r w:rsidRPr="00930E6D">
        <w:t xml:space="preserve">), Vlada Republike Hrvatske </w:t>
      </w:r>
      <w:r w:rsidR="00CB1266">
        <w:t xml:space="preserve">je </w:t>
      </w:r>
      <w:r w:rsidRPr="00930E6D">
        <w:t>na sjednici održanoj ___________________ donijela</w:t>
      </w:r>
    </w:p>
    <w:p w14:paraId="26A3B5F4" w14:textId="31B26FBC" w:rsidR="00CB1266" w:rsidRDefault="00CB1266" w:rsidP="00CB1266">
      <w:pPr>
        <w:jc w:val="center"/>
        <w:rPr>
          <w:b/>
        </w:rPr>
      </w:pPr>
    </w:p>
    <w:p w14:paraId="257555D7" w14:textId="77777777" w:rsidR="006B32B3" w:rsidRPr="00CB1266" w:rsidRDefault="006B32B3" w:rsidP="00CB1266">
      <w:pPr>
        <w:jc w:val="center"/>
        <w:rPr>
          <w:b/>
        </w:rPr>
      </w:pPr>
    </w:p>
    <w:p w14:paraId="07A77FF2" w14:textId="54D68ED7" w:rsidR="00CB1266" w:rsidRPr="00CB1266" w:rsidRDefault="00CB1266" w:rsidP="00CB1266">
      <w:pPr>
        <w:jc w:val="center"/>
        <w:rPr>
          <w:b/>
        </w:rPr>
      </w:pPr>
      <w:r w:rsidRPr="00CB1266">
        <w:rPr>
          <w:b/>
        </w:rPr>
        <w:t>O</w:t>
      </w:r>
      <w:r>
        <w:rPr>
          <w:b/>
        </w:rPr>
        <w:t xml:space="preserve"> </w:t>
      </w:r>
      <w:r w:rsidRPr="00CB1266">
        <w:rPr>
          <w:b/>
        </w:rPr>
        <w:t>D</w:t>
      </w:r>
      <w:r>
        <w:rPr>
          <w:b/>
        </w:rPr>
        <w:t xml:space="preserve"> </w:t>
      </w:r>
      <w:r w:rsidRPr="00CB1266">
        <w:rPr>
          <w:b/>
        </w:rPr>
        <w:t>L</w:t>
      </w:r>
      <w:r>
        <w:rPr>
          <w:b/>
        </w:rPr>
        <w:t xml:space="preserve"> </w:t>
      </w:r>
      <w:r w:rsidRPr="00CB1266">
        <w:rPr>
          <w:b/>
        </w:rPr>
        <w:t>U</w:t>
      </w:r>
      <w:r>
        <w:rPr>
          <w:b/>
        </w:rPr>
        <w:t xml:space="preserve"> </w:t>
      </w:r>
      <w:r w:rsidRPr="00CB1266">
        <w:rPr>
          <w:b/>
        </w:rPr>
        <w:t>K</w:t>
      </w:r>
      <w:r>
        <w:rPr>
          <w:b/>
        </w:rPr>
        <w:t xml:space="preserve"> </w:t>
      </w:r>
      <w:r w:rsidRPr="00CB1266">
        <w:rPr>
          <w:b/>
        </w:rPr>
        <w:t>U</w:t>
      </w:r>
    </w:p>
    <w:p w14:paraId="7D07BCDB" w14:textId="77777777" w:rsidR="00CB1266" w:rsidRPr="00CB1266" w:rsidRDefault="00CB1266" w:rsidP="00CB1266">
      <w:pPr>
        <w:jc w:val="center"/>
        <w:rPr>
          <w:b/>
        </w:rPr>
      </w:pPr>
    </w:p>
    <w:p w14:paraId="480779E9" w14:textId="77777777" w:rsidR="00CB1266" w:rsidRDefault="00D360C1" w:rsidP="00930E6D">
      <w:pPr>
        <w:jc w:val="center"/>
        <w:rPr>
          <w:b/>
        </w:rPr>
      </w:pPr>
      <w:r w:rsidRPr="00930E6D">
        <w:rPr>
          <w:b/>
        </w:rPr>
        <w:t xml:space="preserve">o davanju suglasnosti Ministarstvu zdravstva, Kliničkom bolničkom centru Osijek, </w:t>
      </w:r>
    </w:p>
    <w:p w14:paraId="0413698B" w14:textId="2B99D830" w:rsidR="00D360C1" w:rsidRPr="00930E6D" w:rsidRDefault="00D360C1" w:rsidP="00930E6D">
      <w:pPr>
        <w:jc w:val="center"/>
        <w:rPr>
          <w:b/>
        </w:rPr>
      </w:pPr>
      <w:r w:rsidRPr="00930E6D">
        <w:rPr>
          <w:b/>
        </w:rPr>
        <w:t xml:space="preserve">za preuzimanje obveza na teret sredstava državnog proračuna Republike Hrvatske u 2022. i 2023. godini, za sklapanje ugovora o javnoj nabavi radova i ugovora o javnoj nabavi usluge stručnog nadzora nad izvođenjem radova na izgradnji zgrade objedinjenog hitnog bolničkog prijema i dnevnih bolnica/dnevnih kirurgija </w:t>
      </w:r>
    </w:p>
    <w:p w14:paraId="379E49D7" w14:textId="77777777" w:rsidR="00D360C1" w:rsidRPr="00CB1266" w:rsidRDefault="00D360C1" w:rsidP="00CB1266">
      <w:pPr>
        <w:jc w:val="center"/>
        <w:rPr>
          <w:b/>
        </w:rPr>
      </w:pPr>
    </w:p>
    <w:p w14:paraId="562F0BE2" w14:textId="77777777" w:rsidR="006B32B3" w:rsidRDefault="006B32B3" w:rsidP="00CB1266">
      <w:pPr>
        <w:jc w:val="center"/>
        <w:rPr>
          <w:b/>
        </w:rPr>
      </w:pPr>
    </w:p>
    <w:p w14:paraId="4ED0A244" w14:textId="77777777" w:rsidR="00D360C1" w:rsidRPr="00930E6D" w:rsidRDefault="00D360C1" w:rsidP="00930E6D">
      <w:pPr>
        <w:jc w:val="center"/>
        <w:rPr>
          <w:b/>
          <w:bCs/>
        </w:rPr>
      </w:pPr>
      <w:r w:rsidRPr="00930E6D">
        <w:rPr>
          <w:b/>
          <w:bCs/>
        </w:rPr>
        <w:t>I.</w:t>
      </w:r>
    </w:p>
    <w:p w14:paraId="34EDF507" w14:textId="77777777" w:rsidR="00D360C1" w:rsidRPr="00930E6D" w:rsidRDefault="00D360C1" w:rsidP="00930E6D">
      <w:pPr>
        <w:jc w:val="both"/>
        <w:rPr>
          <w:b/>
          <w:bCs/>
        </w:rPr>
      </w:pPr>
    </w:p>
    <w:p w14:paraId="27DDDDB8" w14:textId="413162A9" w:rsidR="00D360C1" w:rsidRPr="00930E6D" w:rsidRDefault="00D360C1" w:rsidP="00930E6D">
      <w:pPr>
        <w:ind w:firstLine="1416"/>
        <w:jc w:val="both"/>
      </w:pPr>
      <w:r w:rsidRPr="00930E6D">
        <w:t xml:space="preserve">Daje se suglasnost Ministarstvu zdravstva, Kliničkom bolničkom centru Osijek, za preuzimanje obveza na teret sredstava državnog proračuna Republike Hrvatske u 2022. i 2023. godini, </w:t>
      </w:r>
      <w:r w:rsidR="00EA398B">
        <w:t>za</w:t>
      </w:r>
      <w:r w:rsidRPr="00930E6D">
        <w:t xml:space="preserve"> sklapanj</w:t>
      </w:r>
      <w:r w:rsidR="00EA398B">
        <w:t>e</w:t>
      </w:r>
      <w:r w:rsidRPr="00930E6D">
        <w:t xml:space="preserve"> ugovora o javnoj nabavi radova i ugovora o javnoj nabavi usluge stručnog nadzora nad izvođenjem radova na izgradnji zgrade objedinjenog hitnog bolničkog prijema i dnevnih bolnica/dnevnih kirurgija u sklopu Kliničkog bolničkog centra Osijek</w:t>
      </w:r>
      <w:r w:rsidR="00EA398B">
        <w:t>,</w:t>
      </w:r>
      <w:r w:rsidRPr="00930E6D">
        <w:t xml:space="preserve"> u ukupnom iznosu od 107.469.485,27 k</w:t>
      </w:r>
      <w:r w:rsidR="00EA398B">
        <w:t>u</w:t>
      </w:r>
      <w:r w:rsidRPr="00930E6D">
        <w:t>n</w:t>
      </w:r>
      <w:r w:rsidR="00EA398B">
        <w:t>a</w:t>
      </w:r>
      <w:r w:rsidRPr="00930E6D">
        <w:t xml:space="preserve"> (od čega iz izvora financiranja 11 Opći prihodi i primici u iznosu od 62.665.034,33 k</w:t>
      </w:r>
      <w:r w:rsidR="00EA398B">
        <w:t>u</w:t>
      </w:r>
      <w:r w:rsidRPr="00930E6D">
        <w:t>n</w:t>
      </w:r>
      <w:r w:rsidR="00EA398B">
        <w:t>a</w:t>
      </w:r>
      <w:r w:rsidRPr="00930E6D">
        <w:t>, izvora financiranja 43 Ostali prihodi za posebne namjene u iznosu od 6.297.780,21 k</w:t>
      </w:r>
      <w:r w:rsidR="00EA398B">
        <w:t>u</w:t>
      </w:r>
      <w:r w:rsidRPr="00930E6D">
        <w:t>n</w:t>
      </w:r>
      <w:r w:rsidR="00EA398B">
        <w:t>a</w:t>
      </w:r>
      <w:r w:rsidRPr="00930E6D">
        <w:t>, izvora financiranja 12 Sredstva učešća za pomoći u iznosu od 5.776.000,59 k</w:t>
      </w:r>
      <w:r w:rsidR="00EA398B">
        <w:t>u</w:t>
      </w:r>
      <w:r w:rsidRPr="00930E6D">
        <w:t>n</w:t>
      </w:r>
      <w:r w:rsidR="00EA398B">
        <w:t>a</w:t>
      </w:r>
      <w:r w:rsidRPr="00930E6D">
        <w:t xml:space="preserve"> i izvora financiranja 563 Europski fond za regionalni razvoj (E</w:t>
      </w:r>
      <w:r w:rsidR="00846FC4">
        <w:t>FRR</w:t>
      </w:r>
      <w:r w:rsidRPr="00930E6D">
        <w:t>) u iznosu od 32.730.670,14 k</w:t>
      </w:r>
      <w:r w:rsidR="00EA398B">
        <w:t>u</w:t>
      </w:r>
      <w:r w:rsidRPr="00930E6D">
        <w:t>n</w:t>
      </w:r>
      <w:r w:rsidR="00EA398B">
        <w:t>a</w:t>
      </w:r>
      <w:r w:rsidRPr="00930E6D">
        <w:t xml:space="preserve">), i to po </w:t>
      </w:r>
      <w:r w:rsidR="00EA398B">
        <w:t>namjeni</w:t>
      </w:r>
      <w:r w:rsidR="00D67C7D">
        <w:t xml:space="preserve"> i</w:t>
      </w:r>
      <w:r w:rsidR="00EA398B">
        <w:t xml:space="preserve"> </w:t>
      </w:r>
      <w:r w:rsidRPr="00930E6D">
        <w:t xml:space="preserve">godinama </w:t>
      </w:r>
      <w:r w:rsidR="00D67C7D">
        <w:t>te</w:t>
      </w:r>
      <w:r w:rsidRPr="00930E6D">
        <w:t xml:space="preserve"> u iznosima kako slijedi:</w:t>
      </w:r>
    </w:p>
    <w:p w14:paraId="058F9CF6" w14:textId="35B8384C" w:rsidR="00D360C1" w:rsidRPr="00930E6D" w:rsidRDefault="00D360C1" w:rsidP="00930E6D">
      <w:pPr>
        <w:ind w:firstLine="1416"/>
        <w:jc w:val="both"/>
      </w:pPr>
    </w:p>
    <w:p w14:paraId="718536EC" w14:textId="3DB6C9F7" w:rsidR="00D360C1" w:rsidRPr="00CB1266" w:rsidRDefault="00EA398B" w:rsidP="00EA398B">
      <w:pPr>
        <w:ind w:left="709" w:hanging="709"/>
        <w:jc w:val="both"/>
      </w:pPr>
      <w:r>
        <w:t>-</w:t>
      </w:r>
      <w:r>
        <w:tab/>
      </w:r>
      <w:r w:rsidR="00CB1266">
        <w:t>u</w:t>
      </w:r>
      <w:r w:rsidR="00D360C1" w:rsidRPr="00CB1266">
        <w:t>govor o javnoj nabavi radova</w:t>
      </w:r>
      <w:r>
        <w:t xml:space="preserve"> izgradnj</w:t>
      </w:r>
      <w:r w:rsidR="00D67C7D">
        <w:t>e</w:t>
      </w:r>
      <w:r>
        <w:t xml:space="preserve"> zgrade objedinjenog hitnog bolničkog prijema i dnevnih bolnica/dnevnih kirurgija Kliničkog bolničkog centra Osijek</w:t>
      </w:r>
    </w:p>
    <w:p w14:paraId="1E98E65C" w14:textId="77777777" w:rsidR="00D360C1" w:rsidRPr="00930E6D" w:rsidRDefault="00D360C1" w:rsidP="00930E6D">
      <w:pPr>
        <w:jc w:val="both"/>
      </w:pPr>
    </w:p>
    <w:tbl>
      <w:tblPr>
        <w:tblStyle w:val="Reetkatablice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3031"/>
      </w:tblGrid>
      <w:tr w:rsidR="00930E6D" w:rsidRPr="005D6377" w14:paraId="62FB15EC" w14:textId="77777777" w:rsidTr="00D360C1">
        <w:trPr>
          <w:trHeight w:val="345"/>
          <w:jc w:val="center"/>
        </w:trPr>
        <w:tc>
          <w:tcPr>
            <w:tcW w:w="3429" w:type="dxa"/>
          </w:tcPr>
          <w:p w14:paraId="6ACA1D2E" w14:textId="77777777" w:rsidR="00D360C1" w:rsidRPr="005D6377" w:rsidRDefault="00D360C1" w:rsidP="00930E6D">
            <w:pPr>
              <w:jc w:val="center"/>
              <w:rPr>
                <w:rFonts w:ascii="Times New Roman" w:hAnsi="Times New Roman"/>
              </w:rPr>
            </w:pPr>
            <w:r w:rsidRPr="005D6377">
              <w:rPr>
                <w:rFonts w:ascii="Times New Roman" w:hAnsi="Times New Roman"/>
              </w:rPr>
              <w:t>Godina</w:t>
            </w:r>
          </w:p>
          <w:p w14:paraId="2CF7534F" w14:textId="5DBD57A9" w:rsidR="00D360C1" w:rsidRPr="005D6377" w:rsidRDefault="00D360C1" w:rsidP="00930E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14:paraId="2743D84A" w14:textId="77777777" w:rsidR="00D360C1" w:rsidRPr="005D6377" w:rsidRDefault="00D360C1" w:rsidP="00930E6D">
            <w:pPr>
              <w:jc w:val="center"/>
              <w:rPr>
                <w:rFonts w:ascii="Times New Roman" w:hAnsi="Times New Roman"/>
              </w:rPr>
            </w:pPr>
            <w:r w:rsidRPr="005D6377">
              <w:rPr>
                <w:rFonts w:ascii="Times New Roman" w:hAnsi="Times New Roman"/>
              </w:rPr>
              <w:t>Iznos</w:t>
            </w:r>
          </w:p>
          <w:p w14:paraId="5A9D6366" w14:textId="24E76265" w:rsidR="00D360C1" w:rsidRPr="005D6377" w:rsidRDefault="00D360C1" w:rsidP="00930E6D">
            <w:pPr>
              <w:jc w:val="center"/>
              <w:rPr>
                <w:rFonts w:ascii="Times New Roman" w:hAnsi="Times New Roman"/>
              </w:rPr>
            </w:pPr>
          </w:p>
        </w:tc>
      </w:tr>
      <w:tr w:rsidR="00930E6D" w:rsidRPr="00930E6D" w14:paraId="56420A53" w14:textId="77777777" w:rsidTr="00D360C1">
        <w:trPr>
          <w:trHeight w:val="89"/>
          <w:jc w:val="center"/>
        </w:trPr>
        <w:tc>
          <w:tcPr>
            <w:tcW w:w="3429" w:type="dxa"/>
          </w:tcPr>
          <w:p w14:paraId="43D8D951" w14:textId="77777777" w:rsidR="00CB1266" w:rsidRPr="00930E6D" w:rsidRDefault="00CB1266" w:rsidP="00CB1266">
            <w:pPr>
              <w:jc w:val="center"/>
              <w:rPr>
                <w:rFonts w:ascii="Times New Roman" w:hAnsi="Times New Roman"/>
              </w:rPr>
            </w:pPr>
            <w:r w:rsidRPr="00930E6D">
              <w:rPr>
                <w:rFonts w:ascii="Times New Roman" w:hAnsi="Times New Roman"/>
              </w:rPr>
              <w:t>2022.</w:t>
            </w:r>
          </w:p>
          <w:p w14:paraId="5584DEB7" w14:textId="7115D9FB" w:rsidR="00D360C1" w:rsidRPr="00930E6D" w:rsidRDefault="00CB1266" w:rsidP="00CB1266">
            <w:pPr>
              <w:jc w:val="center"/>
              <w:rPr>
                <w:rFonts w:ascii="Times New Roman" w:hAnsi="Times New Roman"/>
              </w:rPr>
            </w:pPr>
            <w:r w:rsidRPr="00930E6D">
              <w:rPr>
                <w:rFonts w:ascii="Times New Roman" w:hAnsi="Times New Roman"/>
              </w:rPr>
              <w:t>2023.</w:t>
            </w:r>
          </w:p>
        </w:tc>
        <w:tc>
          <w:tcPr>
            <w:tcW w:w="3031" w:type="dxa"/>
          </w:tcPr>
          <w:p w14:paraId="5BB678A2" w14:textId="77777777" w:rsidR="00CB1266" w:rsidRPr="00930E6D" w:rsidRDefault="00CB1266" w:rsidP="00CB1266">
            <w:pPr>
              <w:jc w:val="center"/>
              <w:rPr>
                <w:rFonts w:ascii="Times New Roman" w:hAnsi="Times New Roman"/>
              </w:rPr>
            </w:pPr>
            <w:r w:rsidRPr="00930E6D">
              <w:rPr>
                <w:rFonts w:ascii="Times New Roman" w:hAnsi="Times New Roman"/>
              </w:rPr>
              <w:t>67.744.807,45 k</w:t>
            </w:r>
            <w:r>
              <w:rPr>
                <w:rFonts w:ascii="Times New Roman" w:hAnsi="Times New Roman"/>
              </w:rPr>
              <w:t>u</w:t>
            </w:r>
            <w:r w:rsidRPr="00930E6D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a</w:t>
            </w:r>
          </w:p>
          <w:p w14:paraId="65610678" w14:textId="657DA0B3" w:rsidR="00D360C1" w:rsidRPr="00930E6D" w:rsidRDefault="00CB1266" w:rsidP="005D63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30E6D">
              <w:rPr>
                <w:rFonts w:ascii="Times New Roman" w:hAnsi="Times New Roman"/>
              </w:rPr>
              <w:t>39.047.240,32 k</w:t>
            </w:r>
            <w:r w:rsidR="00EA398B">
              <w:rPr>
                <w:rFonts w:ascii="Times New Roman" w:hAnsi="Times New Roman"/>
              </w:rPr>
              <w:t>u</w:t>
            </w:r>
            <w:r w:rsidRPr="00930E6D">
              <w:rPr>
                <w:rFonts w:ascii="Times New Roman" w:hAnsi="Times New Roman"/>
              </w:rPr>
              <w:t>n</w:t>
            </w:r>
            <w:r w:rsidR="005D6377">
              <w:rPr>
                <w:rFonts w:ascii="Times New Roman" w:hAnsi="Times New Roman"/>
              </w:rPr>
              <w:t>e</w:t>
            </w:r>
          </w:p>
        </w:tc>
      </w:tr>
    </w:tbl>
    <w:p w14:paraId="3E92FF19" w14:textId="0096474B" w:rsidR="00D360C1" w:rsidRPr="00930E6D" w:rsidRDefault="00D360C1" w:rsidP="00930E6D">
      <w:pPr>
        <w:jc w:val="both"/>
      </w:pPr>
    </w:p>
    <w:p w14:paraId="28513FF8" w14:textId="70F48ED1" w:rsidR="00D360C1" w:rsidRPr="00CB1266" w:rsidRDefault="00EA398B" w:rsidP="00EA398B">
      <w:pPr>
        <w:ind w:left="709" w:hanging="709"/>
        <w:jc w:val="both"/>
      </w:pPr>
      <w:r>
        <w:lastRenderedPageBreak/>
        <w:t>-</w:t>
      </w:r>
      <w:r>
        <w:tab/>
      </w:r>
      <w:r w:rsidR="00CB1266">
        <w:t>u</w:t>
      </w:r>
      <w:r w:rsidR="00D360C1" w:rsidRPr="00CB1266">
        <w:t>govor o javnoj nabavi uslug</w:t>
      </w:r>
      <w:r>
        <w:t>a</w:t>
      </w:r>
      <w:r w:rsidR="00D360C1" w:rsidRPr="00CB1266">
        <w:t xml:space="preserve"> stručnog nadzora nad izvođenjem radova na izgradnji zgrade objedinjenog hitnog bolničkog prijema i dnevnih bolnica</w:t>
      </w:r>
      <w:r>
        <w:t xml:space="preserve"> i </w:t>
      </w:r>
      <w:r w:rsidR="00D360C1" w:rsidRPr="00CB1266">
        <w:t>dnevnih kirurgija</w:t>
      </w:r>
      <w:r>
        <w:t xml:space="preserve"> u sklopu KBC-a Osijek</w:t>
      </w:r>
    </w:p>
    <w:p w14:paraId="500FD76C" w14:textId="77777777" w:rsidR="00D360C1" w:rsidRPr="00930E6D" w:rsidRDefault="00D360C1" w:rsidP="00930E6D">
      <w:pPr>
        <w:jc w:val="both"/>
      </w:pPr>
    </w:p>
    <w:tbl>
      <w:tblPr>
        <w:tblStyle w:val="Reetkatablice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3031"/>
      </w:tblGrid>
      <w:tr w:rsidR="00930E6D" w:rsidRPr="005D6377" w14:paraId="0ECAA8F8" w14:textId="77777777" w:rsidTr="00D360C1">
        <w:trPr>
          <w:trHeight w:val="345"/>
          <w:jc w:val="center"/>
        </w:trPr>
        <w:tc>
          <w:tcPr>
            <w:tcW w:w="3429" w:type="dxa"/>
          </w:tcPr>
          <w:p w14:paraId="0AC82B45" w14:textId="77777777" w:rsidR="00D360C1" w:rsidRPr="005D6377" w:rsidRDefault="00D360C1" w:rsidP="00930E6D">
            <w:pPr>
              <w:jc w:val="center"/>
              <w:rPr>
                <w:rFonts w:ascii="Times New Roman" w:hAnsi="Times New Roman"/>
              </w:rPr>
            </w:pPr>
            <w:r w:rsidRPr="005D6377">
              <w:rPr>
                <w:rFonts w:ascii="Times New Roman" w:hAnsi="Times New Roman"/>
              </w:rPr>
              <w:t>Godina</w:t>
            </w:r>
          </w:p>
          <w:p w14:paraId="448BDB70" w14:textId="45108138" w:rsidR="00D360C1" w:rsidRPr="005D6377" w:rsidRDefault="00D360C1" w:rsidP="00930E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14:paraId="446E2AA2" w14:textId="77777777" w:rsidR="00D360C1" w:rsidRPr="005D6377" w:rsidRDefault="00D360C1" w:rsidP="00930E6D">
            <w:pPr>
              <w:jc w:val="center"/>
              <w:rPr>
                <w:rFonts w:ascii="Times New Roman" w:hAnsi="Times New Roman"/>
              </w:rPr>
            </w:pPr>
            <w:r w:rsidRPr="005D6377">
              <w:rPr>
                <w:rFonts w:ascii="Times New Roman" w:hAnsi="Times New Roman"/>
              </w:rPr>
              <w:t>Iznos</w:t>
            </w:r>
          </w:p>
          <w:p w14:paraId="39DDD895" w14:textId="01AF6D0F" w:rsidR="00D360C1" w:rsidRPr="005D6377" w:rsidRDefault="00D360C1" w:rsidP="00930E6D">
            <w:pPr>
              <w:jc w:val="center"/>
              <w:rPr>
                <w:rFonts w:ascii="Times New Roman" w:hAnsi="Times New Roman"/>
              </w:rPr>
            </w:pPr>
          </w:p>
        </w:tc>
      </w:tr>
      <w:tr w:rsidR="00D360C1" w:rsidRPr="00930E6D" w14:paraId="6120C18E" w14:textId="77777777" w:rsidTr="00D360C1">
        <w:trPr>
          <w:trHeight w:val="89"/>
          <w:jc w:val="center"/>
        </w:trPr>
        <w:tc>
          <w:tcPr>
            <w:tcW w:w="3429" w:type="dxa"/>
          </w:tcPr>
          <w:p w14:paraId="253A08C1" w14:textId="77777777" w:rsidR="00CB1266" w:rsidRPr="00930E6D" w:rsidRDefault="00CB1266" w:rsidP="00CB1266">
            <w:pPr>
              <w:jc w:val="center"/>
              <w:rPr>
                <w:rFonts w:ascii="Times New Roman" w:hAnsi="Times New Roman"/>
              </w:rPr>
            </w:pPr>
            <w:r w:rsidRPr="00930E6D">
              <w:rPr>
                <w:rFonts w:ascii="Times New Roman" w:hAnsi="Times New Roman"/>
              </w:rPr>
              <w:t>2022.</w:t>
            </w:r>
          </w:p>
          <w:p w14:paraId="0FC0E799" w14:textId="3E6E8B90" w:rsidR="00D360C1" w:rsidRPr="00930E6D" w:rsidRDefault="00CB1266" w:rsidP="00CB1266">
            <w:pPr>
              <w:jc w:val="center"/>
              <w:rPr>
                <w:rFonts w:ascii="Times New Roman" w:hAnsi="Times New Roman"/>
              </w:rPr>
            </w:pPr>
            <w:r w:rsidRPr="00930E6D">
              <w:rPr>
                <w:rFonts w:ascii="Times New Roman" w:hAnsi="Times New Roman"/>
              </w:rPr>
              <w:t>2023.</w:t>
            </w:r>
          </w:p>
        </w:tc>
        <w:tc>
          <w:tcPr>
            <w:tcW w:w="3031" w:type="dxa"/>
          </w:tcPr>
          <w:p w14:paraId="41F78C26" w14:textId="3FF88665" w:rsidR="00CB1266" w:rsidRPr="00930E6D" w:rsidRDefault="00CB1266" w:rsidP="00CB1266">
            <w:pPr>
              <w:jc w:val="center"/>
              <w:rPr>
                <w:rFonts w:ascii="Times New Roman" w:hAnsi="Times New Roman"/>
              </w:rPr>
            </w:pPr>
            <w:r w:rsidRPr="00930E6D">
              <w:rPr>
                <w:rFonts w:ascii="Times New Roman" w:hAnsi="Times New Roman"/>
              </w:rPr>
              <w:t>468.687,48 k</w:t>
            </w:r>
            <w:r w:rsidR="00EA398B">
              <w:rPr>
                <w:rFonts w:ascii="Times New Roman" w:hAnsi="Times New Roman"/>
              </w:rPr>
              <w:t>u</w:t>
            </w:r>
            <w:r w:rsidRPr="00930E6D">
              <w:rPr>
                <w:rFonts w:ascii="Times New Roman" w:hAnsi="Times New Roman"/>
              </w:rPr>
              <w:t>n</w:t>
            </w:r>
            <w:r w:rsidR="00EA398B">
              <w:rPr>
                <w:rFonts w:ascii="Times New Roman" w:hAnsi="Times New Roman"/>
              </w:rPr>
              <w:t>a</w:t>
            </w:r>
          </w:p>
          <w:p w14:paraId="76818037" w14:textId="69B06C28" w:rsidR="00D360C1" w:rsidRPr="00930E6D" w:rsidRDefault="00CB1266" w:rsidP="00714E2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30E6D">
              <w:rPr>
                <w:rFonts w:ascii="Times New Roman" w:hAnsi="Times New Roman"/>
              </w:rPr>
              <w:t>208.750,02 k</w:t>
            </w:r>
            <w:r w:rsidR="00EA398B">
              <w:rPr>
                <w:rFonts w:ascii="Times New Roman" w:hAnsi="Times New Roman"/>
              </w:rPr>
              <w:t>u</w:t>
            </w:r>
            <w:r w:rsidRPr="00930E6D">
              <w:rPr>
                <w:rFonts w:ascii="Times New Roman" w:hAnsi="Times New Roman"/>
              </w:rPr>
              <w:t>n</w:t>
            </w:r>
            <w:r w:rsidR="00714E24">
              <w:rPr>
                <w:rFonts w:ascii="Times New Roman" w:hAnsi="Times New Roman"/>
              </w:rPr>
              <w:t>e</w:t>
            </w:r>
            <w:r w:rsidR="00EA398B">
              <w:rPr>
                <w:rFonts w:ascii="Times New Roman" w:hAnsi="Times New Roman"/>
              </w:rPr>
              <w:t>.</w:t>
            </w:r>
          </w:p>
        </w:tc>
      </w:tr>
    </w:tbl>
    <w:p w14:paraId="40AE3CED" w14:textId="77777777" w:rsidR="00D360C1" w:rsidRPr="00930E6D" w:rsidRDefault="00D360C1" w:rsidP="00930E6D">
      <w:pPr>
        <w:jc w:val="both"/>
      </w:pPr>
    </w:p>
    <w:p w14:paraId="41452D2D" w14:textId="77777777" w:rsidR="00D360C1" w:rsidRPr="00930E6D" w:rsidRDefault="00D360C1" w:rsidP="00930E6D">
      <w:pPr>
        <w:jc w:val="both"/>
      </w:pPr>
    </w:p>
    <w:p w14:paraId="15E2FBAE" w14:textId="77777777" w:rsidR="00D360C1" w:rsidRPr="00930E6D" w:rsidRDefault="00D360C1" w:rsidP="00930E6D">
      <w:pPr>
        <w:jc w:val="center"/>
        <w:rPr>
          <w:b/>
        </w:rPr>
      </w:pPr>
      <w:r w:rsidRPr="00930E6D">
        <w:rPr>
          <w:b/>
        </w:rPr>
        <w:t>II.</w:t>
      </w:r>
    </w:p>
    <w:p w14:paraId="3FDDFE01" w14:textId="77777777" w:rsidR="00D360C1" w:rsidRPr="00930E6D" w:rsidRDefault="00D360C1" w:rsidP="00930E6D">
      <w:pPr>
        <w:jc w:val="both"/>
        <w:rPr>
          <w:b/>
        </w:rPr>
      </w:pPr>
    </w:p>
    <w:p w14:paraId="42664441" w14:textId="77777777" w:rsidR="00D360C1" w:rsidRPr="00930E6D" w:rsidRDefault="00D360C1" w:rsidP="00930E6D">
      <w:pPr>
        <w:ind w:firstLine="1416"/>
        <w:jc w:val="both"/>
      </w:pPr>
      <w:r w:rsidRPr="00930E6D">
        <w:t xml:space="preserve">Plaćanja koja proizlaze iz obveza preuzetih u skladu s točkom I. ove Odluke Ministarstvo zdravstva dužno je uključiti u financijski plan Kliničkog bolničkog centra Osijek u godini u kojoj obveza dospijeva. </w:t>
      </w:r>
    </w:p>
    <w:p w14:paraId="68554DEC" w14:textId="77777777" w:rsidR="00D360C1" w:rsidRPr="00930E6D" w:rsidRDefault="00D360C1" w:rsidP="00930E6D">
      <w:pPr>
        <w:jc w:val="both"/>
      </w:pPr>
    </w:p>
    <w:p w14:paraId="2B9B4E8C" w14:textId="77777777" w:rsidR="00D360C1" w:rsidRPr="00930E6D" w:rsidRDefault="00D360C1" w:rsidP="00930E6D">
      <w:pPr>
        <w:jc w:val="center"/>
        <w:rPr>
          <w:b/>
        </w:rPr>
      </w:pPr>
      <w:r w:rsidRPr="00930E6D">
        <w:rPr>
          <w:b/>
        </w:rPr>
        <w:t>III.</w:t>
      </w:r>
    </w:p>
    <w:p w14:paraId="00211559" w14:textId="77777777" w:rsidR="00D360C1" w:rsidRPr="00CB1266" w:rsidRDefault="00D360C1" w:rsidP="00930E6D">
      <w:pPr>
        <w:jc w:val="both"/>
      </w:pPr>
    </w:p>
    <w:p w14:paraId="103CAB8F" w14:textId="77777777" w:rsidR="00D360C1" w:rsidRPr="00930E6D" w:rsidRDefault="00D360C1" w:rsidP="00930E6D">
      <w:pPr>
        <w:ind w:left="708" w:firstLine="708"/>
        <w:jc w:val="both"/>
      </w:pPr>
      <w:r w:rsidRPr="00930E6D">
        <w:t>Ova Odluka stupa na snagu danom donošenja.</w:t>
      </w:r>
    </w:p>
    <w:p w14:paraId="028E5795" w14:textId="4EA164EB" w:rsidR="00D360C1" w:rsidRDefault="00D360C1" w:rsidP="00930E6D">
      <w:pPr>
        <w:jc w:val="both"/>
        <w:rPr>
          <w:bCs/>
        </w:rPr>
      </w:pPr>
    </w:p>
    <w:p w14:paraId="20A963A4" w14:textId="4354C93B" w:rsidR="00CB1266" w:rsidRDefault="00CB1266" w:rsidP="00930E6D">
      <w:pPr>
        <w:jc w:val="both"/>
        <w:rPr>
          <w:bCs/>
        </w:rPr>
      </w:pPr>
    </w:p>
    <w:p w14:paraId="26B8C20A" w14:textId="77777777" w:rsidR="00CB1266" w:rsidRPr="00CB1266" w:rsidRDefault="00CB1266" w:rsidP="00930E6D">
      <w:pPr>
        <w:jc w:val="both"/>
        <w:rPr>
          <w:bCs/>
        </w:rPr>
      </w:pPr>
    </w:p>
    <w:p w14:paraId="23E4C8F9" w14:textId="77777777" w:rsidR="00CB1266" w:rsidRPr="009422A7" w:rsidRDefault="00CB1266" w:rsidP="00CB1266">
      <w:pPr>
        <w:tabs>
          <w:tab w:val="left" w:pos="1418"/>
        </w:tabs>
        <w:ind w:right="4"/>
        <w:jc w:val="both"/>
        <w:rPr>
          <w:bCs/>
        </w:rPr>
      </w:pPr>
      <w:r w:rsidRPr="009422A7">
        <w:rPr>
          <w:bCs/>
        </w:rPr>
        <w:t>KLASA:</w:t>
      </w:r>
      <w:r w:rsidRPr="009422A7">
        <w:rPr>
          <w:bCs/>
        </w:rPr>
        <w:tab/>
      </w:r>
    </w:p>
    <w:p w14:paraId="1AFEB527" w14:textId="77777777" w:rsidR="00CB1266" w:rsidRPr="009422A7" w:rsidRDefault="00CB1266" w:rsidP="00CB1266">
      <w:pPr>
        <w:tabs>
          <w:tab w:val="left" w:pos="1418"/>
        </w:tabs>
        <w:ind w:right="4"/>
        <w:jc w:val="both"/>
        <w:rPr>
          <w:bCs/>
        </w:rPr>
      </w:pPr>
      <w:r w:rsidRPr="009422A7">
        <w:rPr>
          <w:bCs/>
        </w:rPr>
        <w:t>URBROJ:</w:t>
      </w:r>
      <w:r w:rsidRPr="009422A7">
        <w:rPr>
          <w:bCs/>
        </w:rPr>
        <w:tab/>
      </w:r>
    </w:p>
    <w:p w14:paraId="38785197" w14:textId="77777777" w:rsidR="00CB1266" w:rsidRPr="009422A7" w:rsidRDefault="00CB1266" w:rsidP="00CB1266">
      <w:pPr>
        <w:ind w:right="4"/>
        <w:jc w:val="both"/>
        <w:rPr>
          <w:bCs/>
        </w:rPr>
      </w:pPr>
    </w:p>
    <w:p w14:paraId="7ADEDF13" w14:textId="77777777" w:rsidR="00CB1266" w:rsidRPr="009422A7" w:rsidRDefault="00CB1266" w:rsidP="00CB1266">
      <w:pPr>
        <w:ind w:right="4"/>
        <w:jc w:val="both"/>
        <w:rPr>
          <w:bCs/>
        </w:rPr>
      </w:pPr>
      <w:r w:rsidRPr="009422A7">
        <w:rPr>
          <w:bCs/>
        </w:rPr>
        <w:t>Zagreb,</w:t>
      </w:r>
      <w:r w:rsidRPr="009422A7">
        <w:rPr>
          <w:bCs/>
        </w:rPr>
        <w:tab/>
      </w:r>
    </w:p>
    <w:p w14:paraId="5320D835" w14:textId="77777777" w:rsidR="00CB1266" w:rsidRPr="009422A7" w:rsidRDefault="00CB1266" w:rsidP="00CB1266">
      <w:pPr>
        <w:ind w:right="4"/>
        <w:jc w:val="both"/>
        <w:rPr>
          <w:bCs/>
        </w:rPr>
      </w:pPr>
    </w:p>
    <w:p w14:paraId="2E135048" w14:textId="77777777" w:rsidR="00CB1266" w:rsidRPr="009422A7" w:rsidRDefault="00CB1266" w:rsidP="00CB1266">
      <w:pPr>
        <w:ind w:right="4"/>
        <w:jc w:val="both"/>
        <w:rPr>
          <w:bCs/>
        </w:rPr>
      </w:pPr>
    </w:p>
    <w:p w14:paraId="35FBAAA1" w14:textId="77777777" w:rsidR="00CB1266" w:rsidRPr="009422A7" w:rsidRDefault="00CB1266" w:rsidP="00CB1266">
      <w:pPr>
        <w:ind w:right="4"/>
        <w:jc w:val="both"/>
        <w:rPr>
          <w:bCs/>
        </w:rPr>
      </w:pPr>
    </w:p>
    <w:p w14:paraId="12CDBF7A" w14:textId="77777777" w:rsidR="00CB1266" w:rsidRPr="009422A7" w:rsidRDefault="00CB1266" w:rsidP="00CB1266">
      <w:pPr>
        <w:tabs>
          <w:tab w:val="center" w:pos="7371"/>
        </w:tabs>
        <w:ind w:right="4"/>
        <w:jc w:val="both"/>
      </w:pPr>
      <w:r w:rsidRPr="009422A7">
        <w:tab/>
        <w:t>PREDSJEDNIK</w:t>
      </w:r>
    </w:p>
    <w:p w14:paraId="7A376EC1" w14:textId="77777777" w:rsidR="00CB1266" w:rsidRPr="009422A7" w:rsidRDefault="00CB1266" w:rsidP="00CB1266">
      <w:pPr>
        <w:tabs>
          <w:tab w:val="center" w:pos="7371"/>
        </w:tabs>
        <w:ind w:right="4"/>
        <w:jc w:val="both"/>
      </w:pPr>
    </w:p>
    <w:p w14:paraId="3BA0CE3C" w14:textId="77777777" w:rsidR="00CB1266" w:rsidRPr="009422A7" w:rsidRDefault="00CB1266" w:rsidP="00CB1266">
      <w:pPr>
        <w:tabs>
          <w:tab w:val="center" w:pos="7371"/>
        </w:tabs>
        <w:ind w:right="4"/>
        <w:jc w:val="both"/>
      </w:pPr>
    </w:p>
    <w:p w14:paraId="2314B1D5" w14:textId="77777777" w:rsidR="00CB1266" w:rsidRPr="009422A7" w:rsidRDefault="00CB1266" w:rsidP="00CB1266">
      <w:pPr>
        <w:tabs>
          <w:tab w:val="center" w:pos="7371"/>
        </w:tabs>
        <w:ind w:right="4"/>
        <w:jc w:val="both"/>
      </w:pPr>
      <w:r w:rsidRPr="009422A7">
        <w:tab/>
        <w:t>mr. sc. Andrej Plenković</w:t>
      </w:r>
    </w:p>
    <w:p w14:paraId="6BF710A4" w14:textId="77777777" w:rsidR="00CB1266" w:rsidRPr="009422A7" w:rsidRDefault="00CB1266" w:rsidP="00CB1266">
      <w:pPr>
        <w:tabs>
          <w:tab w:val="center" w:pos="7371"/>
        </w:tabs>
        <w:ind w:right="4"/>
        <w:jc w:val="both"/>
      </w:pPr>
      <w:r w:rsidRPr="009422A7">
        <w:br w:type="page"/>
      </w:r>
    </w:p>
    <w:p w14:paraId="2558F7E1" w14:textId="77777777" w:rsidR="00B06846" w:rsidRPr="00930E6D" w:rsidRDefault="00B06846" w:rsidP="00930E6D">
      <w:pPr>
        <w:tabs>
          <w:tab w:val="left" w:pos="-1440"/>
          <w:tab w:val="left" w:pos="-720"/>
          <w:tab w:val="center" w:pos="6711"/>
        </w:tabs>
        <w:suppressAutoHyphens/>
        <w:rPr>
          <w:bCs/>
          <w:lang w:val="es-ES"/>
        </w:rPr>
      </w:pPr>
    </w:p>
    <w:p w14:paraId="461108AC" w14:textId="77777777" w:rsidR="00D360C1" w:rsidRPr="00930E6D" w:rsidRDefault="00D360C1" w:rsidP="00930E6D">
      <w:pPr>
        <w:jc w:val="center"/>
        <w:rPr>
          <w:b/>
        </w:rPr>
      </w:pPr>
      <w:r w:rsidRPr="00930E6D">
        <w:rPr>
          <w:b/>
        </w:rPr>
        <w:t>O B R A Z L O Ž E NJ E</w:t>
      </w:r>
    </w:p>
    <w:p w14:paraId="71E8344E" w14:textId="77777777" w:rsidR="00D360C1" w:rsidRPr="00930E6D" w:rsidRDefault="00D360C1" w:rsidP="00930E6D">
      <w:pPr>
        <w:jc w:val="center"/>
        <w:rPr>
          <w:b/>
        </w:rPr>
      </w:pPr>
    </w:p>
    <w:p w14:paraId="742B924A" w14:textId="3CAD9C0D" w:rsidR="00D360C1" w:rsidRPr="00930E6D" w:rsidRDefault="00D360C1" w:rsidP="00930E6D">
      <w:pPr>
        <w:jc w:val="both"/>
      </w:pPr>
      <w:r w:rsidRPr="00930E6D">
        <w:t>Klinički bolnički centar Osijek (KBC Osijek) ugovorio je s Ministarstvom regionalnoga razvoja i fondova Europske unije, kao upravljačkim tijelom Operativnog programa Konkurentnost i kohezija, i Središnjom agencijom za financiranje i ugovaranje programa i projekata Europske unije, kao posredničkim tijelom, realizaciju projekata na temelju Ugovora o dodjeli bespovratnih sredstava za projekte koji se financiraju iz Fondova u financijskom razdoblju 2014.</w:t>
      </w:r>
      <w:r w:rsidR="00A46DF3">
        <w:t xml:space="preserve"> - </w:t>
      </w:r>
      <w:r w:rsidRPr="00930E6D">
        <w:t>2020</w:t>
      </w:r>
      <w:r w:rsidR="00A46DF3">
        <w:t>.</w:t>
      </w:r>
      <w:r w:rsidRPr="00930E6D">
        <w:t>, u ukupnom iznosu od 68.637.293,75 k</w:t>
      </w:r>
      <w:r w:rsidR="00A46DF3">
        <w:t>u</w:t>
      </w:r>
      <w:r w:rsidRPr="00930E6D">
        <w:t>n</w:t>
      </w:r>
      <w:r w:rsidR="00A46DF3">
        <w:t>a</w:t>
      </w:r>
      <w:r w:rsidRPr="00930E6D">
        <w:t>, od čega je za projekt „Unapređenje objedinjenog hitnog bolničkog prijema u sklopu KBC-a Osijek“ osigurano 20.500.000,00 k</w:t>
      </w:r>
      <w:r w:rsidR="00A46DF3">
        <w:t>u</w:t>
      </w:r>
      <w:r w:rsidRPr="00930E6D">
        <w:t>n</w:t>
      </w:r>
      <w:r w:rsidR="00A46DF3">
        <w:t>a</w:t>
      </w:r>
      <w:r w:rsidRPr="00930E6D">
        <w:t xml:space="preserve"> bespovratnih sredstva, a za projekt „Izgradnja i opremanje dnevnih bolnica i dnevnih kirurgija u sklopu KBC-a Osijek“ 48.137.293,75 k</w:t>
      </w:r>
      <w:r w:rsidR="00A46DF3">
        <w:t>u</w:t>
      </w:r>
      <w:r w:rsidRPr="00930E6D">
        <w:t>n</w:t>
      </w:r>
      <w:r w:rsidR="00A46DF3">
        <w:t>a</w:t>
      </w:r>
      <w:r w:rsidRPr="00930E6D">
        <w:t xml:space="preserve"> bespovratnih sredstava. </w:t>
      </w:r>
      <w:r w:rsidRPr="00930E6D">
        <w:rPr>
          <w:b/>
        </w:rPr>
        <w:t>Ukupna vrijednost projekata u trenutku ugovaranja procijenjena je na iznos od 80.996.662,50 k</w:t>
      </w:r>
      <w:r w:rsidR="00A46DF3">
        <w:rPr>
          <w:b/>
        </w:rPr>
        <w:t>u</w:t>
      </w:r>
      <w:r w:rsidRPr="00930E6D">
        <w:rPr>
          <w:b/>
        </w:rPr>
        <w:t>n</w:t>
      </w:r>
      <w:r w:rsidR="00A46DF3">
        <w:rPr>
          <w:b/>
        </w:rPr>
        <w:t>a</w:t>
      </w:r>
      <w:r w:rsidRPr="00930E6D">
        <w:t>, te je razliku sredstava u iznosu od 12.359.368,75 k</w:t>
      </w:r>
      <w:r w:rsidR="00A46DF3">
        <w:t>u</w:t>
      </w:r>
      <w:r w:rsidRPr="00930E6D">
        <w:t>n</w:t>
      </w:r>
      <w:r w:rsidR="00A46DF3">
        <w:t>a</w:t>
      </w:r>
      <w:r w:rsidRPr="00930E6D">
        <w:t xml:space="preserve"> KBC Osijek planirao osigurati iz izvora financiranja 43 Ostali prihodi za posebne namjene.</w:t>
      </w:r>
    </w:p>
    <w:p w14:paraId="469807C2" w14:textId="77777777" w:rsidR="00D360C1" w:rsidRPr="00930E6D" w:rsidRDefault="00D360C1" w:rsidP="00930E6D">
      <w:pPr>
        <w:jc w:val="both"/>
      </w:pPr>
    </w:p>
    <w:p w14:paraId="516E8673" w14:textId="77777777" w:rsidR="00D360C1" w:rsidRPr="00930E6D" w:rsidRDefault="00D360C1" w:rsidP="00930E6D">
      <w:pPr>
        <w:jc w:val="both"/>
        <w:rPr>
          <w:bCs/>
        </w:rPr>
      </w:pPr>
      <w:r w:rsidRPr="00930E6D">
        <w:rPr>
          <w:bCs/>
        </w:rPr>
        <w:t>U okviru navedenih projekata planirana je izgradnja i djelomično opremanje jedne samostojeće zgrade u postojećem bolničkom kompleksu u koju će se smjestiti dnevne bolnice i dnevne kirurgije (DB/DK) te objedinjeni hitni bolnički prijem (OHBP).</w:t>
      </w:r>
    </w:p>
    <w:p w14:paraId="1828D5FA" w14:textId="77777777" w:rsidR="00D360C1" w:rsidRPr="00930E6D" w:rsidRDefault="00D360C1" w:rsidP="00930E6D">
      <w:pPr>
        <w:jc w:val="both"/>
      </w:pPr>
    </w:p>
    <w:p w14:paraId="71A59662" w14:textId="35252D71" w:rsidR="00D360C1" w:rsidRPr="00930E6D" w:rsidRDefault="00D360C1" w:rsidP="00930E6D">
      <w:pPr>
        <w:jc w:val="both"/>
      </w:pPr>
      <w:r w:rsidRPr="00930E6D">
        <w:t>Za provedbu projekata u razdoblju od 2017. do 2021. KBC Osijek utrošio je iznos od 4.886.528,13 k</w:t>
      </w:r>
      <w:r w:rsidR="00A46DF3">
        <w:t>u</w:t>
      </w:r>
      <w:r w:rsidRPr="00930E6D">
        <w:t>n</w:t>
      </w:r>
      <w:r w:rsidR="00A46DF3">
        <w:t>a</w:t>
      </w:r>
      <w:r w:rsidRPr="00930E6D">
        <w:t>, od čega iz izvora financiranja 12 Sredstva učešća za pomoći iznos od 332.816,79 k</w:t>
      </w:r>
      <w:r w:rsidR="00A46DF3">
        <w:t>u</w:t>
      </w:r>
      <w:r w:rsidRPr="00930E6D">
        <w:t>n</w:t>
      </w:r>
      <w:r w:rsidR="00A46DF3">
        <w:t>a</w:t>
      </w:r>
      <w:r w:rsidRPr="00930E6D">
        <w:t>, izvora financiranja 563 Europski fond za regionalni razvoj (E</w:t>
      </w:r>
      <w:r w:rsidR="00F21B21">
        <w:t>FRR</w:t>
      </w:r>
      <w:r w:rsidRPr="00930E6D">
        <w:t>) iznos od 1.885.950,44 k</w:t>
      </w:r>
      <w:r w:rsidR="00A46DF3">
        <w:t>u</w:t>
      </w:r>
      <w:r w:rsidRPr="00930E6D">
        <w:t>n</w:t>
      </w:r>
      <w:r w:rsidR="00A46DF3">
        <w:t>e</w:t>
      </w:r>
      <w:r w:rsidRPr="00930E6D">
        <w:t xml:space="preserve"> te iz izvora financiranja 43 Ostali prihodi za posebne namjene iznos od 2.667.760,90 k</w:t>
      </w:r>
      <w:r w:rsidR="00A46DF3">
        <w:t>u</w:t>
      </w:r>
      <w:r w:rsidRPr="00930E6D">
        <w:t>n</w:t>
      </w:r>
      <w:r w:rsidR="00A46DF3">
        <w:t>a</w:t>
      </w:r>
      <w:r w:rsidRPr="00930E6D">
        <w:t xml:space="preserve"> na aktivnosti pripreme projektnih prijava, projektiranje, opremu te upravljanja projektima i administraciju. </w:t>
      </w:r>
    </w:p>
    <w:p w14:paraId="78872123" w14:textId="77777777" w:rsidR="00D360C1" w:rsidRPr="00930E6D" w:rsidRDefault="00D360C1" w:rsidP="00930E6D">
      <w:pPr>
        <w:jc w:val="both"/>
      </w:pPr>
    </w:p>
    <w:p w14:paraId="730F3F83" w14:textId="6D8A0561" w:rsidR="00D360C1" w:rsidRPr="00930E6D" w:rsidRDefault="00D360C1" w:rsidP="00930E6D">
      <w:pPr>
        <w:jc w:val="both"/>
      </w:pPr>
      <w:r w:rsidRPr="00930E6D">
        <w:rPr>
          <w:b/>
        </w:rPr>
        <w:t>Nakon provedenog postupka javne nabave za izvođenje radova na izgradnji zgrade OHBP i DB/DK, vrijednost ponuđene cijene za radove višestruko je premašila planirana i ugovorena sredstva, zbog čega je nova vrijednost projekta povećana za 88.165.033,02 k</w:t>
      </w:r>
      <w:r w:rsidR="00A46DF3">
        <w:rPr>
          <w:b/>
        </w:rPr>
        <w:t>u</w:t>
      </w:r>
      <w:r w:rsidRPr="00930E6D">
        <w:rPr>
          <w:b/>
        </w:rPr>
        <w:t>n</w:t>
      </w:r>
      <w:r w:rsidR="00A46DF3">
        <w:rPr>
          <w:b/>
        </w:rPr>
        <w:t>e</w:t>
      </w:r>
      <w:r w:rsidRPr="00930E6D">
        <w:rPr>
          <w:b/>
        </w:rPr>
        <w:t xml:space="preserve"> i ukupno iznosi 169.161.695,52 k</w:t>
      </w:r>
      <w:r w:rsidR="00A46DF3">
        <w:rPr>
          <w:b/>
        </w:rPr>
        <w:t>u</w:t>
      </w:r>
      <w:r w:rsidRPr="00930E6D">
        <w:rPr>
          <w:b/>
        </w:rPr>
        <w:t>n</w:t>
      </w:r>
      <w:r w:rsidR="00A46DF3">
        <w:rPr>
          <w:b/>
        </w:rPr>
        <w:t>e</w:t>
      </w:r>
      <w:r w:rsidRPr="00930E6D">
        <w:rPr>
          <w:b/>
        </w:rPr>
        <w:t>.</w:t>
      </w:r>
      <w:r w:rsidRPr="00930E6D">
        <w:t xml:space="preserve"> Nedostatna sredstva za realizaciju projekata osiguralo je Ministarstvo zdravstva na pozicijama KBC-a Osijek na kapitalnom projektu K890003 Operativni program konkurentnosti i kohezije na izvoru financiranja 11 Opći prihodi i primici u razdoblju od 2021. do 2023.</w:t>
      </w:r>
    </w:p>
    <w:p w14:paraId="2B0471E9" w14:textId="77777777" w:rsidR="00D360C1" w:rsidRPr="00930E6D" w:rsidRDefault="00D360C1" w:rsidP="00930E6D">
      <w:pPr>
        <w:jc w:val="both"/>
      </w:pPr>
    </w:p>
    <w:p w14:paraId="6492D215" w14:textId="77777777" w:rsidR="00D360C1" w:rsidRPr="00930E6D" w:rsidRDefault="00D360C1" w:rsidP="00930E6D">
      <w:pPr>
        <w:jc w:val="both"/>
      </w:pPr>
      <w:r w:rsidRPr="00930E6D">
        <w:t>Budući su pristigle ponude za usluge građevinskih radova na izgradnji nove zgrade KBC-a Osijek višestruko premašile procijenjenu vrijednost nabave radova provedena je neovisna analiza zaprimljenih ponuda koja je utvrdila da su iste u skladu s prosječnom tržišnom vrijednošću radova u Republici Hrvatskoj te kako novi postupak ne bi rezultirao cijenama bliže procijenjenoj vrijednosti.</w:t>
      </w:r>
    </w:p>
    <w:p w14:paraId="6F9252AE" w14:textId="77777777" w:rsidR="00D360C1" w:rsidRPr="00930E6D" w:rsidRDefault="00D360C1" w:rsidP="00930E6D">
      <w:pPr>
        <w:jc w:val="both"/>
      </w:pPr>
    </w:p>
    <w:p w14:paraId="5B7AE25B" w14:textId="20441958" w:rsidR="00D360C1" w:rsidRPr="00930E6D" w:rsidRDefault="00D360C1" w:rsidP="00930E6D">
      <w:pPr>
        <w:jc w:val="both"/>
      </w:pPr>
      <w:r w:rsidRPr="00930E6D">
        <w:lastRenderedPageBreak/>
        <w:t>Dana 7. prosinca 2020., Upravno vijeće KBC-a Osijek donijelo je Odluku o odabiru najpovoljnije ponude za nabavu radova na izgradnji zgrade OHBP i DB/DK za ekonomski najpovoljniju ponudu zajednice ponuditelja: PROJEKTGRADNJA plus d.o.o. i TROMONT d.o.o. s cijenom od 152.822.395,33 k</w:t>
      </w:r>
      <w:r w:rsidR="00A46DF3">
        <w:t>u</w:t>
      </w:r>
      <w:r w:rsidRPr="00930E6D">
        <w:t>n</w:t>
      </w:r>
      <w:r w:rsidR="00A46DF3">
        <w:t>e</w:t>
      </w:r>
      <w:r w:rsidRPr="00930E6D">
        <w:t>.</w:t>
      </w:r>
    </w:p>
    <w:p w14:paraId="144AB4B9" w14:textId="77777777" w:rsidR="00D360C1" w:rsidRPr="00930E6D" w:rsidRDefault="00D360C1" w:rsidP="00930E6D">
      <w:pPr>
        <w:jc w:val="both"/>
      </w:pPr>
    </w:p>
    <w:p w14:paraId="1103D3C2" w14:textId="2610696E" w:rsidR="00D360C1" w:rsidRPr="00930E6D" w:rsidRDefault="00D360C1" w:rsidP="00930E6D">
      <w:pPr>
        <w:jc w:val="both"/>
      </w:pPr>
      <w:r w:rsidRPr="00930E6D">
        <w:t>Nakon provedenog postupka javne nabave za usluge stručnog nadzora, Upravno vijeće KBC-a Osijek donijelo je Odluku o odabiru usluge stručnog nadzora nad izvođenjem radova na izgradnji zgrade OHBP i DB/DK za ekonomski najpovoljniju ponudu ponuditelja INSTITUT IGH d.d. s cijenom od 1.043.750,00 k</w:t>
      </w:r>
      <w:r w:rsidR="0002200E">
        <w:t>u</w:t>
      </w:r>
      <w:r w:rsidRPr="00930E6D">
        <w:t>n</w:t>
      </w:r>
      <w:r w:rsidR="0002200E">
        <w:t>a</w:t>
      </w:r>
      <w:r w:rsidRPr="00930E6D">
        <w:t>.</w:t>
      </w:r>
    </w:p>
    <w:p w14:paraId="5ADF75F1" w14:textId="77777777" w:rsidR="00D360C1" w:rsidRPr="00930E6D" w:rsidRDefault="00D360C1" w:rsidP="00930E6D">
      <w:pPr>
        <w:jc w:val="both"/>
      </w:pPr>
    </w:p>
    <w:p w14:paraId="49BC8ECB" w14:textId="77777777" w:rsidR="00D360C1" w:rsidRPr="00930E6D" w:rsidRDefault="00D360C1" w:rsidP="00930E6D">
      <w:pPr>
        <w:jc w:val="both"/>
      </w:pPr>
      <w:r w:rsidRPr="00930E6D">
        <w:t>Ministarstvo zdravstva podnijelo je zahtjev za davanje suglasnosti za preuzimanje obveza na teret sredstava državnog proračuna Republike Hrvatske sukladno članku 44. Zakona o proračunu za provedbu navedenih projekata.</w:t>
      </w:r>
    </w:p>
    <w:p w14:paraId="61BEDF54" w14:textId="77777777" w:rsidR="00D360C1" w:rsidRPr="00930E6D" w:rsidRDefault="00D360C1" w:rsidP="00930E6D">
      <w:pPr>
        <w:jc w:val="both"/>
      </w:pPr>
    </w:p>
    <w:p w14:paraId="728A94B2" w14:textId="662C1EE0" w:rsidR="00D360C1" w:rsidRPr="00930E6D" w:rsidRDefault="00D360C1" w:rsidP="00930E6D">
      <w:pPr>
        <w:jc w:val="both"/>
      </w:pPr>
      <w:r w:rsidRPr="00930E6D">
        <w:t xml:space="preserve">Slijedom navedenog, </w:t>
      </w:r>
      <w:r w:rsidRPr="00930E6D">
        <w:rPr>
          <w:b/>
        </w:rPr>
        <w:t>suglasnost po članku 44. Zakona o proračunu predlaže se samo za provedene postupke javne nabave (za izvođenje radova 152.822.395,33 k</w:t>
      </w:r>
      <w:r w:rsidR="0002200E">
        <w:rPr>
          <w:b/>
        </w:rPr>
        <w:t>u</w:t>
      </w:r>
      <w:r w:rsidRPr="00930E6D">
        <w:rPr>
          <w:b/>
        </w:rPr>
        <w:t>n</w:t>
      </w:r>
      <w:r w:rsidR="0002200E">
        <w:rPr>
          <w:b/>
        </w:rPr>
        <w:t>e</w:t>
      </w:r>
      <w:r w:rsidRPr="00930E6D">
        <w:rPr>
          <w:b/>
        </w:rPr>
        <w:t xml:space="preserve"> i stručni nadzor nad izvođenjem radova na izgradnji zgrade OHBP i DB/DK 1.043.750,00 k</w:t>
      </w:r>
      <w:r w:rsidR="0002200E">
        <w:rPr>
          <w:b/>
        </w:rPr>
        <w:t>u</w:t>
      </w:r>
      <w:r w:rsidRPr="00930E6D">
        <w:rPr>
          <w:b/>
        </w:rPr>
        <w:t>n</w:t>
      </w:r>
      <w:r w:rsidR="0002200E">
        <w:rPr>
          <w:b/>
        </w:rPr>
        <w:t>a</w:t>
      </w:r>
      <w:r w:rsidRPr="00930E6D">
        <w:rPr>
          <w:b/>
        </w:rPr>
        <w:t>)</w:t>
      </w:r>
      <w:r w:rsidR="0002200E">
        <w:rPr>
          <w:b/>
        </w:rPr>
        <w:t>,</w:t>
      </w:r>
      <w:r w:rsidRPr="00930E6D">
        <w:rPr>
          <w:b/>
        </w:rPr>
        <w:t xml:space="preserve"> u ukupnom iznosu od 153.866.145,33 k</w:t>
      </w:r>
      <w:r w:rsidR="0002200E">
        <w:rPr>
          <w:b/>
        </w:rPr>
        <w:t>u</w:t>
      </w:r>
      <w:r w:rsidRPr="00930E6D">
        <w:rPr>
          <w:b/>
        </w:rPr>
        <w:t>n</w:t>
      </w:r>
      <w:r w:rsidR="0002200E">
        <w:rPr>
          <w:b/>
        </w:rPr>
        <w:t>e</w:t>
      </w:r>
      <w:r w:rsidRPr="00930E6D">
        <w:t xml:space="preserve"> i to na teret izvora financiranja, po godinama i u iznosima kako slijedi:</w:t>
      </w:r>
    </w:p>
    <w:p w14:paraId="4977622E" w14:textId="77777777" w:rsidR="00D360C1" w:rsidRPr="00930E6D" w:rsidRDefault="00D360C1" w:rsidP="00930E6D">
      <w:pPr>
        <w:jc w:val="both"/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442"/>
        <w:gridCol w:w="1614"/>
        <w:gridCol w:w="1598"/>
        <w:gridCol w:w="1693"/>
        <w:gridCol w:w="1862"/>
      </w:tblGrid>
      <w:tr w:rsidR="00930E6D" w:rsidRPr="0002200E" w14:paraId="7C0A92A1" w14:textId="77777777" w:rsidTr="0002200E">
        <w:trPr>
          <w:trHeight w:val="33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FE5FBF" w14:textId="77777777" w:rsidR="00D360C1" w:rsidRPr="0002200E" w:rsidRDefault="00D360C1" w:rsidP="00930E6D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DE7B" w14:textId="77777777" w:rsidR="00D360C1" w:rsidRPr="0002200E" w:rsidRDefault="00D360C1" w:rsidP="00930E6D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2E215" w14:textId="77777777" w:rsidR="00D360C1" w:rsidRPr="0002200E" w:rsidRDefault="00D360C1" w:rsidP="00930E6D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2022.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831D1" w14:textId="77777777" w:rsidR="00D360C1" w:rsidRPr="0002200E" w:rsidRDefault="00D360C1" w:rsidP="00930E6D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2023.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C183C" w14:textId="77777777" w:rsidR="00D360C1" w:rsidRPr="0002200E" w:rsidRDefault="00D360C1" w:rsidP="00930E6D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930E6D" w:rsidRPr="0002200E" w14:paraId="29BE3415" w14:textId="77777777" w:rsidTr="0002200E">
        <w:trPr>
          <w:trHeight w:val="24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82CB7" w14:textId="77777777" w:rsidR="00D360C1" w:rsidRPr="0002200E" w:rsidRDefault="00D360C1" w:rsidP="00930E6D">
            <w:pPr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11 Opći prihodi i primici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36A2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25.000.000,00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A9A4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43.165.000,00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A251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19.500.034,33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B792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87.665.034,33</w:t>
            </w:r>
          </w:p>
        </w:tc>
      </w:tr>
      <w:tr w:rsidR="00930E6D" w:rsidRPr="0002200E" w14:paraId="733560C8" w14:textId="77777777" w:rsidTr="0002200E">
        <w:trPr>
          <w:trHeight w:val="24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0CD85" w14:textId="77777777" w:rsidR="00D360C1" w:rsidRPr="0002200E" w:rsidRDefault="00D360C1" w:rsidP="00930E6D">
            <w:pPr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43 Ostali prihodi za posebne namjene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0A28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3.007.487,42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8C21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3.520.729,83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ACFF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2.777.050,38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98C4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9.305.267,63</w:t>
            </w:r>
          </w:p>
        </w:tc>
      </w:tr>
      <w:tr w:rsidR="00930E6D" w:rsidRPr="0002200E" w14:paraId="08A4F82D" w14:textId="77777777" w:rsidTr="0002200E">
        <w:trPr>
          <w:trHeight w:val="24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EC0BB" w14:textId="77777777" w:rsidR="00D360C1" w:rsidRPr="0002200E" w:rsidRDefault="00D360C1" w:rsidP="00930E6D">
            <w:pPr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12 Sredstva učešća za pomoći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AB50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2.758.375,90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ECB0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3.229.164,76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E080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2.546.835,83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49B2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8.534.376,49</w:t>
            </w:r>
          </w:p>
        </w:tc>
      </w:tr>
      <w:tr w:rsidR="00930E6D" w:rsidRPr="0002200E" w14:paraId="34F223C7" w14:textId="77777777" w:rsidTr="0002200E">
        <w:trPr>
          <w:trHeight w:val="24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86E7" w14:textId="07F0BE5D" w:rsidR="00D360C1" w:rsidRPr="0002200E" w:rsidRDefault="00D360C1" w:rsidP="00F21B21">
            <w:pPr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563 Europski fond za regionalni razvoj E</w:t>
            </w:r>
            <w:r w:rsidR="00F21B21">
              <w:rPr>
                <w:sz w:val="22"/>
                <w:szCs w:val="22"/>
              </w:rPr>
              <w:t>FRR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1A5E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15.630.796,74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68CF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18.298.600,34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8CF7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14.432.069,80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A950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48.361.466,88</w:t>
            </w:r>
          </w:p>
        </w:tc>
      </w:tr>
      <w:tr w:rsidR="00930E6D" w:rsidRPr="0002200E" w14:paraId="0B0FE013" w14:textId="77777777" w:rsidTr="0002200E">
        <w:trPr>
          <w:trHeight w:val="24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3483C" w14:textId="77777777" w:rsidR="00D360C1" w:rsidRPr="0002200E" w:rsidRDefault="00D360C1" w:rsidP="00930E6D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6EF74" w14:textId="77777777" w:rsidR="00D360C1" w:rsidRPr="0002200E" w:rsidRDefault="00D360C1" w:rsidP="00930E6D">
            <w:pPr>
              <w:jc w:val="right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46.396.660,06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CFDD3" w14:textId="77777777" w:rsidR="00D360C1" w:rsidRPr="0002200E" w:rsidRDefault="00D360C1" w:rsidP="00930E6D">
            <w:pPr>
              <w:jc w:val="right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68.213.494,93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24279" w14:textId="77777777" w:rsidR="00D360C1" w:rsidRPr="0002200E" w:rsidRDefault="00D360C1" w:rsidP="00930E6D">
            <w:pPr>
              <w:jc w:val="right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39.255.990,34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CE5FD" w14:textId="77777777" w:rsidR="00D360C1" w:rsidRPr="0002200E" w:rsidRDefault="00D360C1" w:rsidP="00930E6D">
            <w:pPr>
              <w:jc w:val="right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153.866.145,33</w:t>
            </w:r>
          </w:p>
        </w:tc>
      </w:tr>
    </w:tbl>
    <w:p w14:paraId="7B13DF1D" w14:textId="77777777" w:rsidR="00D360C1" w:rsidRPr="0002200E" w:rsidRDefault="00D360C1" w:rsidP="00930E6D">
      <w:pPr>
        <w:jc w:val="both"/>
        <w:rPr>
          <w:sz w:val="22"/>
          <w:szCs w:val="22"/>
        </w:rPr>
      </w:pPr>
    </w:p>
    <w:p w14:paraId="44634DCD" w14:textId="695A0021" w:rsidR="00D360C1" w:rsidRPr="00930E6D" w:rsidRDefault="00D360C1" w:rsidP="00930E6D">
      <w:pPr>
        <w:jc w:val="both"/>
      </w:pPr>
      <w:r w:rsidRPr="00930E6D">
        <w:t>Sukladno ponudi zajednice ponuditelja: PROJEKTGRADNJA plus d.o.o. i TROMONT d.o.o. i Nacrtu ugovora o javnoj nabavi radova, sklopio bi se ugovor za izvođenje radova na izgradnji zgrade OHBP i DB/DK u sklopu KBC-a Osijek prema stvarno izvedenim količinama radova ovjerenih u građevinskoj knjizi i jediničnim cijenama iz ugovorenog troškovnika</w:t>
      </w:r>
      <w:r w:rsidR="0002200E">
        <w:t>,</w:t>
      </w:r>
      <w:r w:rsidRPr="00930E6D">
        <w:t xml:space="preserve"> u iznosu od 152.822.395,33 k</w:t>
      </w:r>
      <w:r w:rsidR="0002200E">
        <w:t>u</w:t>
      </w:r>
      <w:r w:rsidRPr="00930E6D">
        <w:t>n</w:t>
      </w:r>
      <w:r w:rsidR="0002200E">
        <w:t>e</w:t>
      </w:r>
      <w:r w:rsidRPr="00930E6D">
        <w:t xml:space="preserve"> s PDV-om.</w:t>
      </w:r>
    </w:p>
    <w:p w14:paraId="30AC8B76" w14:textId="77777777" w:rsidR="00D360C1" w:rsidRPr="00930E6D" w:rsidRDefault="00D360C1" w:rsidP="00930E6D">
      <w:pPr>
        <w:jc w:val="both"/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1560"/>
        <w:gridCol w:w="1559"/>
        <w:gridCol w:w="1591"/>
      </w:tblGrid>
      <w:tr w:rsidR="00930E6D" w:rsidRPr="0002200E" w14:paraId="3497235E" w14:textId="77777777" w:rsidTr="0002200E">
        <w:trPr>
          <w:trHeight w:val="5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6F0D79" w14:textId="77777777" w:rsidR="00D360C1" w:rsidRPr="0002200E" w:rsidRDefault="00D360C1" w:rsidP="00930E6D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Ugovor za izvođenje radova na izgradnji zgrade OHBP i DB/DK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D278" w14:textId="77777777" w:rsidR="00D360C1" w:rsidRPr="0002200E" w:rsidRDefault="00D360C1" w:rsidP="00930E6D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2021.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B1492" w14:textId="77777777" w:rsidR="00D360C1" w:rsidRPr="0002200E" w:rsidRDefault="00D360C1" w:rsidP="00930E6D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0E9BF" w14:textId="77777777" w:rsidR="00D360C1" w:rsidRPr="0002200E" w:rsidRDefault="00D360C1" w:rsidP="00930E6D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433E2" w14:textId="77777777" w:rsidR="00D360C1" w:rsidRPr="0002200E" w:rsidRDefault="00D360C1" w:rsidP="00930E6D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930E6D" w:rsidRPr="0002200E" w14:paraId="031FA4D1" w14:textId="77777777" w:rsidTr="0002200E">
        <w:trPr>
          <w:trHeight w:val="2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4A4D1" w14:textId="77777777" w:rsidR="00D360C1" w:rsidRPr="0002200E" w:rsidRDefault="00D360C1" w:rsidP="00930E6D">
            <w:pPr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11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AD54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25.000.000,00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D73B0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43.165.000,00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C10A9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19.500.034,33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808A0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87.665.034,33</w:t>
            </w:r>
          </w:p>
        </w:tc>
      </w:tr>
      <w:tr w:rsidR="00930E6D" w:rsidRPr="0002200E" w14:paraId="25BCA218" w14:textId="77777777" w:rsidTr="0002200E">
        <w:trPr>
          <w:trHeight w:val="2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28C5D" w14:textId="77777777" w:rsidR="00D360C1" w:rsidRPr="0002200E" w:rsidRDefault="00D360C1" w:rsidP="00930E6D">
            <w:pPr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43 Ostali prihodi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AC99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2.956.494,67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D27D9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3.455.485,91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E8780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2.747.991,21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00E8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9.159.971,79</w:t>
            </w:r>
          </w:p>
        </w:tc>
      </w:tr>
      <w:tr w:rsidR="00930E6D" w:rsidRPr="0002200E" w14:paraId="711E7188" w14:textId="77777777" w:rsidTr="0002200E">
        <w:trPr>
          <w:trHeight w:val="2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33614" w14:textId="77777777" w:rsidR="00D360C1" w:rsidRPr="0002200E" w:rsidRDefault="00D360C1" w:rsidP="00930E6D">
            <w:pPr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12 Sredstva učešća za pomoći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826C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2.711.077,94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E24F3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3.168.648,23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C7590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2.519.882,21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6F5BF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8.399.608,38</w:t>
            </w:r>
          </w:p>
        </w:tc>
      </w:tr>
      <w:tr w:rsidR="00930E6D" w:rsidRPr="0002200E" w14:paraId="7E8B2D19" w14:textId="77777777" w:rsidTr="0002200E">
        <w:trPr>
          <w:trHeight w:val="2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63BF" w14:textId="386A20DF" w:rsidR="00D360C1" w:rsidRPr="0002200E" w:rsidRDefault="00D360C1" w:rsidP="00F21B21">
            <w:pPr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563 Europski fond za regionalni razvoj E</w:t>
            </w:r>
            <w:r w:rsidR="00F21B21">
              <w:rPr>
                <w:sz w:val="22"/>
                <w:szCs w:val="22"/>
              </w:rPr>
              <w:t>FRR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5B40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15.362.774,95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256F4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17.955.673,31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EAB07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14.279.332,57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41AF5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47.597.780,83</w:t>
            </w:r>
          </w:p>
        </w:tc>
      </w:tr>
      <w:tr w:rsidR="00930E6D" w:rsidRPr="0002200E" w14:paraId="0CAC40BB" w14:textId="77777777" w:rsidTr="0002200E">
        <w:trPr>
          <w:trHeight w:val="3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E2147" w14:textId="77777777" w:rsidR="00D360C1" w:rsidRPr="0002200E" w:rsidRDefault="00D360C1" w:rsidP="00930E6D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F6AC0" w14:textId="77777777" w:rsidR="00D360C1" w:rsidRPr="0002200E" w:rsidRDefault="00D360C1" w:rsidP="00930E6D">
            <w:pPr>
              <w:jc w:val="right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46.030.347,56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F05F2" w14:textId="77777777" w:rsidR="00D360C1" w:rsidRPr="0002200E" w:rsidRDefault="00D360C1" w:rsidP="00930E6D">
            <w:pPr>
              <w:jc w:val="right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67.744.807,45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3BF3F" w14:textId="77777777" w:rsidR="00D360C1" w:rsidRPr="0002200E" w:rsidRDefault="00D360C1" w:rsidP="00930E6D">
            <w:pPr>
              <w:jc w:val="right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39.047.240,32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CC5C6" w14:textId="77777777" w:rsidR="00D360C1" w:rsidRPr="0002200E" w:rsidRDefault="00D360C1" w:rsidP="00930E6D">
            <w:pPr>
              <w:jc w:val="right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152.822.395,33</w:t>
            </w:r>
          </w:p>
        </w:tc>
      </w:tr>
    </w:tbl>
    <w:p w14:paraId="473C0CE4" w14:textId="77777777" w:rsidR="00D360C1" w:rsidRPr="00930E6D" w:rsidRDefault="00D360C1" w:rsidP="00930E6D">
      <w:pPr>
        <w:jc w:val="both"/>
      </w:pPr>
    </w:p>
    <w:p w14:paraId="65C76131" w14:textId="08B9F3D7" w:rsidR="00D360C1" w:rsidRPr="00930E6D" w:rsidRDefault="00D360C1" w:rsidP="00930E6D">
      <w:pPr>
        <w:jc w:val="both"/>
      </w:pPr>
      <w:r w:rsidRPr="00930E6D">
        <w:rPr>
          <w:b/>
        </w:rPr>
        <w:t>Za plaćanje obveza po navedenom ugovoru u 2021. osigurana su sredstva u iznosu od 44.790.130,62 k</w:t>
      </w:r>
      <w:r w:rsidR="0002200E">
        <w:rPr>
          <w:b/>
        </w:rPr>
        <w:t>u</w:t>
      </w:r>
      <w:r w:rsidRPr="00930E6D">
        <w:rPr>
          <w:b/>
        </w:rPr>
        <w:t>n</w:t>
      </w:r>
      <w:r w:rsidR="0002200E">
        <w:rPr>
          <w:b/>
        </w:rPr>
        <w:t>e</w:t>
      </w:r>
      <w:r w:rsidRPr="00930E6D">
        <w:t xml:space="preserve"> u Državnom proračunu Republike Hrvatske za 2021. godinu i projekcijama za 2022. i 2023. godinu na pozicijama Ministarstva zdravstva, KBC-a Osijek na kapitalnom projektu K890003 Operativni program konkurentnosti i kohezije i to na izvoru financiranja 11 Opći prihodi i primici u iznosu od 25.000.000,00 k</w:t>
      </w:r>
      <w:r w:rsidR="0002200E">
        <w:t>u</w:t>
      </w:r>
      <w:r w:rsidRPr="00930E6D">
        <w:t>n</w:t>
      </w:r>
      <w:r w:rsidR="0002200E">
        <w:t>a</w:t>
      </w:r>
      <w:r w:rsidRPr="00930E6D">
        <w:t xml:space="preserve">, na izvoru financiranja 12 Sredstva učešća za pomoći u iznosu </w:t>
      </w:r>
      <w:r w:rsidRPr="00930E6D">
        <w:lastRenderedPageBreak/>
        <w:t>od 1.470.861,00 k</w:t>
      </w:r>
      <w:r w:rsidR="0002200E">
        <w:t>u</w:t>
      </w:r>
      <w:r w:rsidRPr="00930E6D">
        <w:t>n</w:t>
      </w:r>
      <w:r w:rsidR="0002200E">
        <w:t>a</w:t>
      </w:r>
      <w:r w:rsidRPr="00930E6D">
        <w:t>, na izvoru financiranja 563 Europski fond za regionalni razvoj (EF</w:t>
      </w:r>
      <w:r w:rsidR="00F21B21">
        <w:t>RR</w:t>
      </w:r>
      <w:r w:rsidRPr="00930E6D">
        <w:t>) u iznosu od 15.362.774,95 k</w:t>
      </w:r>
      <w:r w:rsidR="0002200E">
        <w:t>u</w:t>
      </w:r>
      <w:r w:rsidRPr="00930E6D">
        <w:t>n</w:t>
      </w:r>
      <w:r w:rsidR="0002200E">
        <w:t>a</w:t>
      </w:r>
      <w:r w:rsidRPr="00930E6D">
        <w:t xml:space="preserve"> te na izvoru financiranja 43 Ostali prihodi za posebne namjene u iznosu od 2.956.494,67 k</w:t>
      </w:r>
      <w:r w:rsidR="0002200E">
        <w:t>u</w:t>
      </w:r>
      <w:r w:rsidRPr="00930E6D">
        <w:t>n</w:t>
      </w:r>
      <w:r w:rsidR="0002200E">
        <w:t>a</w:t>
      </w:r>
      <w:r w:rsidRPr="00930E6D">
        <w:t xml:space="preserve">. </w:t>
      </w:r>
      <w:r w:rsidRPr="00930E6D">
        <w:rPr>
          <w:b/>
        </w:rPr>
        <w:t>Nedostatna sredstva u iznosu od 1.240.216,94 kn u 2021.</w:t>
      </w:r>
      <w:r w:rsidRPr="00930E6D">
        <w:t xml:space="preserve"> na izvoru financiranja 12 Sredstva učešća za pomoći </w:t>
      </w:r>
      <w:r w:rsidRPr="00930E6D">
        <w:rPr>
          <w:b/>
        </w:rPr>
        <w:t>osigurat će se preraspodjelom sredstava u okviru razdjela 096 Ministarstvo zdravstva</w:t>
      </w:r>
      <w:r w:rsidRPr="00930E6D">
        <w:t>.</w:t>
      </w:r>
    </w:p>
    <w:p w14:paraId="2CE870E4" w14:textId="77777777" w:rsidR="00D360C1" w:rsidRPr="00930E6D" w:rsidRDefault="00D360C1" w:rsidP="00930E6D">
      <w:pPr>
        <w:jc w:val="both"/>
      </w:pPr>
    </w:p>
    <w:p w14:paraId="14CE1EEF" w14:textId="77777777" w:rsidR="005B36C4" w:rsidRDefault="005B36C4" w:rsidP="00930E6D">
      <w:pPr>
        <w:tabs>
          <w:tab w:val="left" w:pos="1176"/>
        </w:tabs>
        <w:jc w:val="both"/>
        <w:rPr>
          <w:bCs/>
        </w:rPr>
      </w:pPr>
    </w:p>
    <w:p w14:paraId="76CF54E1" w14:textId="77777777" w:rsidR="005B36C4" w:rsidRDefault="005B36C4" w:rsidP="00930E6D">
      <w:pPr>
        <w:tabs>
          <w:tab w:val="left" w:pos="1176"/>
        </w:tabs>
        <w:jc w:val="both"/>
        <w:rPr>
          <w:bCs/>
        </w:rPr>
      </w:pPr>
    </w:p>
    <w:p w14:paraId="6C3F975E" w14:textId="7BEAB930" w:rsidR="00D360C1" w:rsidRPr="00930E6D" w:rsidRDefault="00D360C1" w:rsidP="00930E6D">
      <w:pPr>
        <w:tabs>
          <w:tab w:val="left" w:pos="1176"/>
        </w:tabs>
        <w:jc w:val="both"/>
        <w:rPr>
          <w:bCs/>
        </w:rPr>
      </w:pPr>
      <w:r w:rsidRPr="00930E6D">
        <w:rPr>
          <w:bCs/>
        </w:rPr>
        <w:t>Od ukupnog potrebnog iznosa za sklapanje ugovora i preuzimanje ugovorne obveze u 2022. i 2023. od 106.792.047,77 k</w:t>
      </w:r>
      <w:r w:rsidR="0002200E">
        <w:rPr>
          <w:bCs/>
        </w:rPr>
        <w:t>u</w:t>
      </w:r>
      <w:r w:rsidRPr="00930E6D">
        <w:rPr>
          <w:bCs/>
        </w:rPr>
        <w:t>n</w:t>
      </w:r>
      <w:r w:rsidR="0002200E">
        <w:rPr>
          <w:bCs/>
        </w:rPr>
        <w:t>a</w:t>
      </w:r>
      <w:r w:rsidRPr="00930E6D">
        <w:rPr>
          <w:bCs/>
        </w:rPr>
        <w:t>, na prethodno navedenim pozicijama Ministarstva zdravstva, KBC-a Osijek, osiguran je ukupni iznos od 81.103.866,84 k</w:t>
      </w:r>
      <w:r w:rsidR="0002200E">
        <w:rPr>
          <w:bCs/>
        </w:rPr>
        <w:t>u</w:t>
      </w:r>
      <w:r w:rsidRPr="00930E6D">
        <w:rPr>
          <w:bCs/>
        </w:rPr>
        <w:t>n</w:t>
      </w:r>
      <w:r w:rsidR="0002200E">
        <w:rPr>
          <w:bCs/>
        </w:rPr>
        <w:t>e</w:t>
      </w:r>
      <w:r w:rsidRPr="00930E6D">
        <w:rPr>
          <w:bCs/>
        </w:rPr>
        <w:t>, dok će se n</w:t>
      </w:r>
      <w:r w:rsidRPr="00930E6D">
        <w:t>edostatna sredstva u 2022. i 2023. u ukupnom iznosu od 25.688.180,93 k</w:t>
      </w:r>
      <w:r w:rsidR="0002200E">
        <w:t>u</w:t>
      </w:r>
      <w:r w:rsidRPr="00930E6D">
        <w:t>n</w:t>
      </w:r>
      <w:r w:rsidR="0002200E">
        <w:t>e</w:t>
      </w:r>
      <w:r w:rsidRPr="00930E6D">
        <w:t xml:space="preserve"> osigurati </w:t>
      </w:r>
      <w:r w:rsidRPr="00930E6D">
        <w:rPr>
          <w:bCs/>
        </w:rPr>
        <w:t>u okviru limita ukupnih rashoda razdjela 096 Ministarstvo zdravstva usvojenih projekcijama za 2022. i 2023.</w:t>
      </w:r>
    </w:p>
    <w:p w14:paraId="5E9EE85C" w14:textId="77777777" w:rsidR="00D360C1" w:rsidRPr="00930E6D" w:rsidRDefault="00D360C1" w:rsidP="00930E6D">
      <w:pPr>
        <w:jc w:val="both"/>
      </w:pPr>
    </w:p>
    <w:p w14:paraId="1144EAF7" w14:textId="7AA723F7" w:rsidR="00D360C1" w:rsidRPr="00930E6D" w:rsidRDefault="00D360C1" w:rsidP="00930E6D">
      <w:pPr>
        <w:jc w:val="both"/>
      </w:pPr>
      <w:r w:rsidRPr="00930E6D">
        <w:t>Sukladno ponudi ponuditelja INSTITUT IGH d.d. i Nacrtu ugovora o javnoj nabavi usluga stručnog nadzora, sklopio bi se ugovor za izvršavanje usluge stručnog nadzora nad izvođenjem radova na izgradnji zgrade OHBP i DB/DK u sklopu KBC-a Osijek</w:t>
      </w:r>
      <w:r w:rsidR="0002200E">
        <w:t>,</w:t>
      </w:r>
      <w:r w:rsidRPr="00930E6D">
        <w:t xml:space="preserve"> u ukupnom iznosu od 1.043.750,00 kn s PDV-om.</w:t>
      </w:r>
    </w:p>
    <w:p w14:paraId="1BF6BB88" w14:textId="77777777" w:rsidR="00D360C1" w:rsidRPr="00930E6D" w:rsidRDefault="00D360C1" w:rsidP="00930E6D">
      <w:pPr>
        <w:jc w:val="both"/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3539"/>
        <w:gridCol w:w="1463"/>
        <w:gridCol w:w="1276"/>
        <w:gridCol w:w="1418"/>
        <w:gridCol w:w="1371"/>
      </w:tblGrid>
      <w:tr w:rsidR="00930E6D" w:rsidRPr="0002200E" w14:paraId="39727336" w14:textId="77777777" w:rsidTr="0002200E">
        <w:trPr>
          <w:trHeight w:val="7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8513EA" w14:textId="77777777" w:rsidR="00D360C1" w:rsidRPr="0002200E" w:rsidRDefault="00D360C1" w:rsidP="00930E6D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Ugovor o javnoj nabavi usluge stručnog nadzora nad izvođenjem radova na izgradnji zgrade OHBP i DB/DK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EB1A" w14:textId="77777777" w:rsidR="00D360C1" w:rsidRPr="0002200E" w:rsidRDefault="00D360C1" w:rsidP="00930E6D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CF7EC" w14:textId="77777777" w:rsidR="00D360C1" w:rsidRPr="0002200E" w:rsidRDefault="00D360C1" w:rsidP="00930E6D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2022.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FEA68" w14:textId="77777777" w:rsidR="00D360C1" w:rsidRPr="0002200E" w:rsidRDefault="00D360C1" w:rsidP="00930E6D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0712D" w14:textId="77777777" w:rsidR="00D360C1" w:rsidRPr="0002200E" w:rsidRDefault="00D360C1" w:rsidP="00930E6D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930E6D" w:rsidRPr="0002200E" w14:paraId="45FA8D35" w14:textId="77777777" w:rsidTr="0002200E">
        <w:trPr>
          <w:trHeight w:val="2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AAA5E" w14:textId="77777777" w:rsidR="00D360C1" w:rsidRPr="0002200E" w:rsidRDefault="00D360C1" w:rsidP="00930E6D">
            <w:pPr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43 Ostali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CA7C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50.992,75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2FE71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65.243,92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1795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29.059,17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D837F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145.295,84</w:t>
            </w:r>
          </w:p>
        </w:tc>
      </w:tr>
      <w:tr w:rsidR="00930E6D" w:rsidRPr="0002200E" w14:paraId="2DBEE545" w14:textId="77777777" w:rsidTr="0002200E">
        <w:trPr>
          <w:trHeight w:val="2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7FDA6" w14:textId="77777777" w:rsidR="00D360C1" w:rsidRPr="0002200E" w:rsidRDefault="00D360C1" w:rsidP="00930E6D">
            <w:pPr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12 Sredstva učešća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A984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47.297,96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5E91F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60.516,53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D1EA2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26.953,62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CF48F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134.768,11</w:t>
            </w:r>
          </w:p>
        </w:tc>
      </w:tr>
      <w:tr w:rsidR="00930E6D" w:rsidRPr="0002200E" w14:paraId="66F0E188" w14:textId="77777777" w:rsidTr="0002200E">
        <w:trPr>
          <w:trHeight w:val="2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E614F" w14:textId="5818B87C" w:rsidR="00D360C1" w:rsidRPr="0002200E" w:rsidRDefault="00D360C1" w:rsidP="00F21B21">
            <w:pPr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 xml:space="preserve"> 563 Europski fond za regionalni razvoj E</w:t>
            </w:r>
            <w:r w:rsidR="00F21B21">
              <w:rPr>
                <w:sz w:val="22"/>
                <w:szCs w:val="22"/>
              </w:rPr>
              <w:t>FRR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D3FE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268.021,79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C64E8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342.927,03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7E382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152.737,23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FDA27" w14:textId="77777777" w:rsidR="00D360C1" w:rsidRPr="0002200E" w:rsidRDefault="00D360C1" w:rsidP="00930E6D">
            <w:pPr>
              <w:jc w:val="right"/>
              <w:rPr>
                <w:sz w:val="22"/>
                <w:szCs w:val="22"/>
              </w:rPr>
            </w:pPr>
            <w:r w:rsidRPr="0002200E">
              <w:rPr>
                <w:sz w:val="22"/>
                <w:szCs w:val="22"/>
              </w:rPr>
              <w:t>763.686,05</w:t>
            </w:r>
          </w:p>
        </w:tc>
      </w:tr>
      <w:tr w:rsidR="00930E6D" w:rsidRPr="0002200E" w14:paraId="103E9163" w14:textId="77777777" w:rsidTr="0002200E">
        <w:trPr>
          <w:trHeight w:val="3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916AB" w14:textId="77777777" w:rsidR="00D360C1" w:rsidRPr="0002200E" w:rsidRDefault="00D360C1" w:rsidP="00930E6D">
            <w:pPr>
              <w:jc w:val="center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660D" w14:textId="77777777" w:rsidR="00D360C1" w:rsidRPr="0002200E" w:rsidRDefault="00D360C1" w:rsidP="00930E6D">
            <w:pPr>
              <w:jc w:val="right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366.312,50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2E8F3" w14:textId="77777777" w:rsidR="00D360C1" w:rsidRPr="0002200E" w:rsidRDefault="00D360C1" w:rsidP="00930E6D">
            <w:pPr>
              <w:jc w:val="right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468.687,48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F7F3A" w14:textId="77777777" w:rsidR="00D360C1" w:rsidRPr="0002200E" w:rsidRDefault="00D360C1" w:rsidP="00930E6D">
            <w:pPr>
              <w:jc w:val="right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208.750,02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C2D1" w14:textId="77777777" w:rsidR="00D360C1" w:rsidRPr="0002200E" w:rsidRDefault="00D360C1" w:rsidP="00930E6D">
            <w:pPr>
              <w:jc w:val="right"/>
              <w:rPr>
                <w:b/>
                <w:bCs/>
                <w:sz w:val="22"/>
                <w:szCs w:val="22"/>
              </w:rPr>
            </w:pPr>
            <w:r w:rsidRPr="0002200E">
              <w:rPr>
                <w:b/>
                <w:bCs/>
                <w:sz w:val="22"/>
                <w:szCs w:val="22"/>
              </w:rPr>
              <w:t>1.043.750,00</w:t>
            </w:r>
          </w:p>
        </w:tc>
      </w:tr>
    </w:tbl>
    <w:p w14:paraId="4B5C450D" w14:textId="77777777" w:rsidR="00D360C1" w:rsidRPr="00930E6D" w:rsidRDefault="00D360C1" w:rsidP="00930E6D">
      <w:pPr>
        <w:jc w:val="both"/>
      </w:pPr>
    </w:p>
    <w:p w14:paraId="2DD1E581" w14:textId="58DAB5D0" w:rsidR="00D360C1" w:rsidRPr="00930E6D" w:rsidRDefault="00D360C1" w:rsidP="00930E6D">
      <w:pPr>
        <w:jc w:val="both"/>
        <w:rPr>
          <w:b/>
        </w:rPr>
      </w:pPr>
      <w:r w:rsidRPr="00930E6D">
        <w:rPr>
          <w:b/>
        </w:rPr>
        <w:t>Za plaćanje obveza po navedenom ugovoru u 2021. osigurana su sredstva u iznosu od 158.349,44 k</w:t>
      </w:r>
      <w:r w:rsidR="0002200E">
        <w:rPr>
          <w:b/>
        </w:rPr>
        <w:t>u</w:t>
      </w:r>
      <w:r w:rsidRPr="00930E6D">
        <w:rPr>
          <w:b/>
        </w:rPr>
        <w:t>n</w:t>
      </w:r>
      <w:r w:rsidR="0002200E">
        <w:rPr>
          <w:b/>
        </w:rPr>
        <w:t>e</w:t>
      </w:r>
      <w:r w:rsidRPr="00930E6D">
        <w:t xml:space="preserve"> u Državnom proračunu Republike Hrvatske za 2021. godinu i projekcijama za 2022. i 2023. godinu na pozicijama Ministarstva zdravstva, KBC-a Osijek na kapitalnom projektu K890003 Operativni program konkurentnosti i kohezije, i to na izvoru financiranja 43 Ostali prihodi za posebne namjene u iznosu od 33.274,03 k</w:t>
      </w:r>
      <w:r w:rsidR="0002200E">
        <w:t>u</w:t>
      </w:r>
      <w:r w:rsidRPr="00930E6D">
        <w:t>n</w:t>
      </w:r>
      <w:r w:rsidR="0002200E">
        <w:t>e</w:t>
      </w:r>
      <w:r w:rsidRPr="00930E6D">
        <w:t>, na izvoru financiranja 12 Sredstva učešća za pomoći iznos od 10.046,00 k</w:t>
      </w:r>
      <w:r w:rsidR="0002200E">
        <w:t>u</w:t>
      </w:r>
      <w:r w:rsidRPr="00930E6D">
        <w:t>n</w:t>
      </w:r>
      <w:r w:rsidR="0002200E">
        <w:t>a</w:t>
      </w:r>
      <w:r w:rsidRPr="00930E6D">
        <w:t>, izvoru financiranja 563 Europski fond za regionalni razvoj (EF</w:t>
      </w:r>
      <w:r w:rsidR="00F21B21">
        <w:t>RR</w:t>
      </w:r>
      <w:r w:rsidRPr="00930E6D">
        <w:t>) u iznosu od 115.029,41 k</w:t>
      </w:r>
      <w:r w:rsidR="0002200E">
        <w:t>u</w:t>
      </w:r>
      <w:r w:rsidRPr="00930E6D">
        <w:t>n</w:t>
      </w:r>
      <w:r w:rsidR="0002200E">
        <w:t>u</w:t>
      </w:r>
      <w:r w:rsidRPr="00930E6D">
        <w:t xml:space="preserve">, </w:t>
      </w:r>
      <w:r w:rsidRPr="00930E6D">
        <w:rPr>
          <w:b/>
        </w:rPr>
        <w:t>dok će se nedostatna sredstva u ukupnom iznosu od 207.963,06 k</w:t>
      </w:r>
      <w:r w:rsidR="0002200E">
        <w:rPr>
          <w:b/>
        </w:rPr>
        <w:t>u</w:t>
      </w:r>
      <w:r w:rsidRPr="00930E6D">
        <w:rPr>
          <w:b/>
        </w:rPr>
        <w:t>n</w:t>
      </w:r>
      <w:r w:rsidR="0002200E">
        <w:rPr>
          <w:b/>
        </w:rPr>
        <w:t>a</w:t>
      </w:r>
      <w:r w:rsidRPr="00930E6D">
        <w:rPr>
          <w:b/>
        </w:rPr>
        <w:t xml:space="preserve"> osigurati preraspodjelom sredstava u okviru razdjela 096 Ministarstvo zdravstva.</w:t>
      </w:r>
    </w:p>
    <w:p w14:paraId="685E6146" w14:textId="77777777" w:rsidR="00D360C1" w:rsidRPr="00930E6D" w:rsidRDefault="00D360C1" w:rsidP="00930E6D">
      <w:pPr>
        <w:jc w:val="both"/>
      </w:pPr>
    </w:p>
    <w:p w14:paraId="07C6AB5A" w14:textId="6E6E7869" w:rsidR="00D360C1" w:rsidRPr="00930E6D" w:rsidRDefault="00D360C1" w:rsidP="00930E6D">
      <w:pPr>
        <w:tabs>
          <w:tab w:val="left" w:pos="1176"/>
        </w:tabs>
        <w:jc w:val="both"/>
        <w:rPr>
          <w:bCs/>
        </w:rPr>
      </w:pPr>
      <w:r w:rsidRPr="00930E6D">
        <w:rPr>
          <w:bCs/>
        </w:rPr>
        <w:t>Od ukupnog potrebnog iznosa za sklapanje ugovora i preuzimanje ugovorne obveze u 2022. i 2023. u iznosu od 677.437,50 k</w:t>
      </w:r>
      <w:r w:rsidR="0002200E">
        <w:rPr>
          <w:bCs/>
        </w:rPr>
        <w:t>u</w:t>
      </w:r>
      <w:r w:rsidRPr="00930E6D">
        <w:rPr>
          <w:bCs/>
        </w:rPr>
        <w:t>n</w:t>
      </w:r>
      <w:r w:rsidR="0002200E">
        <w:rPr>
          <w:bCs/>
        </w:rPr>
        <w:t>a</w:t>
      </w:r>
      <w:r w:rsidRPr="00930E6D">
        <w:rPr>
          <w:bCs/>
        </w:rPr>
        <w:t>, na prethodno navedenim pozicijama Ministarstva zdravstva, KBC-a Osijek, osiguran je iznos od 125.933,49 k</w:t>
      </w:r>
      <w:r w:rsidR="0002200E">
        <w:rPr>
          <w:bCs/>
        </w:rPr>
        <w:t>u</w:t>
      </w:r>
      <w:r w:rsidRPr="00930E6D">
        <w:rPr>
          <w:bCs/>
        </w:rPr>
        <w:t>n</w:t>
      </w:r>
      <w:r w:rsidR="0002200E">
        <w:rPr>
          <w:bCs/>
        </w:rPr>
        <w:t>a</w:t>
      </w:r>
      <w:r w:rsidRPr="00930E6D">
        <w:rPr>
          <w:bCs/>
        </w:rPr>
        <w:t xml:space="preserve">, dok će se </w:t>
      </w:r>
      <w:r w:rsidRPr="00930E6D">
        <w:t>nedostatna sredstva u iznosu od 551.504,01 k</w:t>
      </w:r>
      <w:r w:rsidR="0002200E">
        <w:t>u</w:t>
      </w:r>
      <w:r w:rsidRPr="00930E6D">
        <w:t>n</w:t>
      </w:r>
      <w:r w:rsidR="0002200E">
        <w:t>a</w:t>
      </w:r>
      <w:r w:rsidRPr="00930E6D">
        <w:t xml:space="preserve"> osigurati </w:t>
      </w:r>
      <w:r w:rsidRPr="00930E6D">
        <w:rPr>
          <w:bCs/>
        </w:rPr>
        <w:t>u okviru limita ukupnih rashoda razdjela 096 Ministarstvo zdravstva usvojenih projekcijama za 2022. i 2023.</w:t>
      </w:r>
    </w:p>
    <w:p w14:paraId="6BA844E7" w14:textId="77777777" w:rsidR="00D360C1" w:rsidRPr="00930E6D" w:rsidRDefault="00D360C1" w:rsidP="00930E6D">
      <w:pPr>
        <w:jc w:val="both"/>
      </w:pPr>
    </w:p>
    <w:p w14:paraId="31684E60" w14:textId="037E0D5A" w:rsidR="00D360C1" w:rsidRPr="00930E6D" w:rsidRDefault="00D360C1" w:rsidP="00930E6D">
      <w:pPr>
        <w:jc w:val="both"/>
      </w:pPr>
      <w:r w:rsidRPr="00930E6D">
        <w:lastRenderedPageBreak/>
        <w:t>Dakle, za razliku sredstva za preuzimanje obveza po ugovoru za izvođenje radova i ugovoru za usluge stručnog nadzora na izgradnji zgrade OHBP i DB/DK u 2022. i 2023.</w:t>
      </w:r>
      <w:r w:rsidR="0002200E">
        <w:t>,</w:t>
      </w:r>
      <w:r w:rsidRPr="00930E6D">
        <w:t xml:space="preserve"> u ukupnom iznosu od 107.469.485,27 k</w:t>
      </w:r>
      <w:r w:rsidR="0002200E">
        <w:t>u</w:t>
      </w:r>
      <w:r w:rsidRPr="00930E6D">
        <w:t>n</w:t>
      </w:r>
      <w:r w:rsidR="0002200E">
        <w:t>a</w:t>
      </w:r>
      <w:r w:rsidRPr="00930E6D">
        <w:t xml:space="preserve"> (</w:t>
      </w:r>
      <w:r w:rsidRPr="00930E6D">
        <w:rPr>
          <w:b/>
        </w:rPr>
        <w:t>za izvođenje radova 106.792.047,77 k</w:t>
      </w:r>
      <w:r w:rsidR="005B36C4">
        <w:rPr>
          <w:b/>
        </w:rPr>
        <w:t>u</w:t>
      </w:r>
      <w:r w:rsidRPr="00930E6D">
        <w:rPr>
          <w:b/>
        </w:rPr>
        <w:t>n</w:t>
      </w:r>
      <w:r w:rsidR="005B36C4">
        <w:rPr>
          <w:b/>
        </w:rPr>
        <w:t>a</w:t>
      </w:r>
      <w:r w:rsidRPr="00930E6D">
        <w:rPr>
          <w:b/>
        </w:rPr>
        <w:t xml:space="preserve"> i stručni nadzor nad izvođenjem radova na izgradnji zgrade OHBP i DB/DK 677.437,50 k</w:t>
      </w:r>
      <w:r w:rsidR="005B36C4">
        <w:rPr>
          <w:b/>
        </w:rPr>
        <w:t>u</w:t>
      </w:r>
      <w:r w:rsidRPr="00930E6D">
        <w:rPr>
          <w:b/>
        </w:rPr>
        <w:t>n</w:t>
      </w:r>
      <w:r w:rsidR="005B36C4">
        <w:rPr>
          <w:b/>
        </w:rPr>
        <w:t>a</w:t>
      </w:r>
      <w:r w:rsidRPr="00930E6D">
        <w:rPr>
          <w:b/>
        </w:rPr>
        <w:t>)</w:t>
      </w:r>
      <w:r w:rsidRPr="00930E6D">
        <w:t xml:space="preserve"> Ministarstvo zdravstva, KBC Osijek traži suglasnost za preuzimanje obveza na teret sredstava državnog proračuna Republike Hrvatske u 2022. i 2023. </w:t>
      </w:r>
    </w:p>
    <w:p w14:paraId="0993877A" w14:textId="77777777" w:rsidR="00D360C1" w:rsidRPr="00930E6D" w:rsidRDefault="00D360C1" w:rsidP="00930E6D">
      <w:pPr>
        <w:jc w:val="both"/>
      </w:pPr>
    </w:p>
    <w:p w14:paraId="7BC11B8C" w14:textId="38AAF961" w:rsidR="00D360C1" w:rsidRPr="00930E6D" w:rsidRDefault="00D360C1" w:rsidP="00930E6D">
      <w:pPr>
        <w:jc w:val="both"/>
      </w:pPr>
      <w:r w:rsidRPr="00930E6D">
        <w:t>Člankom 44. stavkom 2. Zakona o proračunu propisano je da proračunski korisnik može preuzeti obveze po ugovoru koji zahtijeva plaćanje u sljedećim godinama uz suglasnost Vlade, a na prijedlog ministra financija (Narodne novine, br</w:t>
      </w:r>
      <w:r w:rsidR="005B36C4">
        <w:t xml:space="preserve">. </w:t>
      </w:r>
      <w:r w:rsidRPr="00930E6D">
        <w:t>87/08</w:t>
      </w:r>
      <w:r w:rsidR="005B36C4">
        <w:t>.</w:t>
      </w:r>
      <w:r w:rsidRPr="00930E6D">
        <w:t>, 136/12</w:t>
      </w:r>
      <w:r w:rsidR="005B36C4">
        <w:t>.</w:t>
      </w:r>
      <w:r w:rsidRPr="00930E6D">
        <w:t xml:space="preserve"> i 15/15</w:t>
      </w:r>
      <w:r w:rsidR="005B36C4">
        <w:t>.</w:t>
      </w:r>
      <w:r w:rsidRPr="00930E6D">
        <w:t>).</w:t>
      </w:r>
    </w:p>
    <w:p w14:paraId="3A4ACDF5" w14:textId="3D238D1F" w:rsidR="00D360C1" w:rsidRDefault="00D360C1" w:rsidP="00930E6D">
      <w:pPr>
        <w:jc w:val="both"/>
      </w:pPr>
    </w:p>
    <w:p w14:paraId="17E9A55F" w14:textId="77777777" w:rsidR="005B36C4" w:rsidRPr="00930E6D" w:rsidRDefault="005B36C4" w:rsidP="00930E6D">
      <w:pPr>
        <w:jc w:val="both"/>
      </w:pPr>
    </w:p>
    <w:p w14:paraId="62CC12D5" w14:textId="23063209" w:rsidR="00D360C1" w:rsidRPr="00930E6D" w:rsidRDefault="00D360C1" w:rsidP="00930E6D">
      <w:pPr>
        <w:jc w:val="both"/>
      </w:pPr>
      <w:r w:rsidRPr="00930E6D">
        <w:t>Slijedom navedenog</w:t>
      </w:r>
      <w:r w:rsidR="005B36C4">
        <w:t>a</w:t>
      </w:r>
      <w:r w:rsidRPr="00930E6D">
        <w:t>, daje se suglasnost Ministarstvu zdravstva, KBC-u Osijek za preuzimanje obveza na teret sredstava državnog proračuna Republike Hrvatske u 2022. i 2023.</w:t>
      </w:r>
      <w:r w:rsidR="005B36C4">
        <w:t>,</w:t>
      </w:r>
      <w:r w:rsidRPr="00930E6D">
        <w:t xml:space="preserve"> u ukupnom iznosu od 107.469.485,27 k</w:t>
      </w:r>
      <w:r w:rsidR="005B36C4">
        <w:t>u</w:t>
      </w:r>
      <w:r w:rsidRPr="00930E6D">
        <w:t>n</w:t>
      </w:r>
      <w:r w:rsidR="005B36C4">
        <w:t>a</w:t>
      </w:r>
      <w:r w:rsidRPr="00930E6D">
        <w:t xml:space="preserve"> i to u 2022. u iznosu od </w:t>
      </w:r>
      <w:r w:rsidRPr="00930E6D">
        <w:rPr>
          <w:rFonts w:eastAsia="Calibri"/>
          <w:lang w:eastAsia="en-US"/>
        </w:rPr>
        <w:t xml:space="preserve">68.213.494,93 </w:t>
      </w:r>
      <w:r w:rsidRPr="00930E6D">
        <w:t>k</w:t>
      </w:r>
      <w:r w:rsidR="005B36C4">
        <w:t>u</w:t>
      </w:r>
      <w:r w:rsidRPr="00930E6D">
        <w:t>n</w:t>
      </w:r>
      <w:r w:rsidR="005B36C4">
        <w:t>e</w:t>
      </w:r>
      <w:r w:rsidRPr="00930E6D">
        <w:t xml:space="preserve"> i u 2023. u iznosu od 39.255.990,34 k</w:t>
      </w:r>
      <w:r w:rsidR="005B36C4">
        <w:t>u</w:t>
      </w:r>
      <w:r w:rsidRPr="00930E6D">
        <w:t>n</w:t>
      </w:r>
      <w:r w:rsidR="005B36C4">
        <w:t>e</w:t>
      </w:r>
      <w:r w:rsidRPr="00930E6D">
        <w:t xml:space="preserve"> za sklapanje ugovora o nabavi radova na izgradnji zgrade OHBP i DB/DK te usluga stručnog nadzora nad navedenim radovima.</w:t>
      </w:r>
    </w:p>
    <w:p w14:paraId="49FB659F" w14:textId="77777777" w:rsidR="00D360C1" w:rsidRPr="00930E6D" w:rsidRDefault="00D360C1" w:rsidP="00930E6D">
      <w:pPr>
        <w:tabs>
          <w:tab w:val="left" w:pos="-1440"/>
          <w:tab w:val="left" w:pos="-720"/>
          <w:tab w:val="center" w:pos="6711"/>
        </w:tabs>
        <w:suppressAutoHyphens/>
      </w:pPr>
    </w:p>
    <w:p w14:paraId="47DDD8C5" w14:textId="1B26B1C5" w:rsidR="008B478F" w:rsidRPr="00930E6D" w:rsidRDefault="009604AA" w:rsidP="00930E6D"/>
    <w:sectPr w:rsidR="008B478F" w:rsidRPr="00930E6D" w:rsidSect="00CF0022">
      <w:headerReference w:type="default" r:id="rId14"/>
      <w:footerReference w:type="even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D3C19" w14:textId="77777777" w:rsidR="005D4B6D" w:rsidRDefault="005D4B6D">
      <w:r>
        <w:separator/>
      </w:r>
    </w:p>
  </w:endnote>
  <w:endnote w:type="continuationSeparator" w:id="0">
    <w:p w14:paraId="48F53078" w14:textId="77777777" w:rsidR="005D4B6D" w:rsidRDefault="005D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1B71E" w14:textId="77777777" w:rsidR="007B34A2" w:rsidRPr="007B34A2" w:rsidRDefault="007B34A2" w:rsidP="007B34A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7B34A2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DD8C8" w14:textId="77777777" w:rsidR="00D25C41" w:rsidRDefault="00943786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DD8C9" w14:textId="77777777" w:rsidR="00D25C41" w:rsidRDefault="009604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DD8CA" w14:textId="77777777" w:rsidR="002B0FA0" w:rsidRDefault="009604AA">
    <w:pPr>
      <w:pStyle w:val="Footer"/>
      <w:jc w:val="center"/>
    </w:pPr>
  </w:p>
  <w:p w14:paraId="47DDD8CB" w14:textId="77777777" w:rsidR="002B0FA0" w:rsidRDefault="00960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F41D7" w14:textId="77777777" w:rsidR="005D4B6D" w:rsidRDefault="005D4B6D">
      <w:r>
        <w:separator/>
      </w:r>
    </w:p>
  </w:footnote>
  <w:footnote w:type="continuationSeparator" w:id="0">
    <w:p w14:paraId="53BD34E1" w14:textId="77777777" w:rsidR="005D4B6D" w:rsidRDefault="005D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427062"/>
      <w:docPartObj>
        <w:docPartGallery w:val="Page Numbers (Top of Page)"/>
        <w:docPartUnique/>
      </w:docPartObj>
    </w:sdtPr>
    <w:sdtEndPr/>
    <w:sdtContent>
      <w:p w14:paraId="0F0DCE2D" w14:textId="31FDA91B" w:rsidR="00930E6D" w:rsidRPr="00930E6D" w:rsidRDefault="00930E6D" w:rsidP="00930E6D">
        <w:pPr>
          <w:pStyle w:val="Header"/>
          <w:jc w:val="center"/>
        </w:pPr>
        <w:r w:rsidRPr="00930E6D">
          <w:fldChar w:fldCharType="begin"/>
        </w:r>
        <w:r w:rsidRPr="00930E6D">
          <w:instrText>PAGE   \* MERGEFORMAT</w:instrText>
        </w:r>
        <w:r w:rsidRPr="00930E6D">
          <w:fldChar w:fldCharType="separate"/>
        </w:r>
        <w:r w:rsidR="009604AA">
          <w:rPr>
            <w:noProof/>
          </w:rPr>
          <w:t>6</w:t>
        </w:r>
        <w:r w:rsidRPr="00930E6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C84E1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BAF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0AB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C2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C5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9CF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EB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00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986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CBECB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F43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4F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AE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4D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E2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6C9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A9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8AE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5172"/>
    <w:multiLevelType w:val="hybridMultilevel"/>
    <w:tmpl w:val="B51A5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73EC"/>
    <w:multiLevelType w:val="hybridMultilevel"/>
    <w:tmpl w:val="5DCCC0EC"/>
    <w:lvl w:ilvl="0" w:tplc="8F74F8A8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CE3C512A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38F6B0EA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B566BEB2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2FE02C56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330826F0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45B23DDE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D8CA6E8A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22268296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D25"/>
    <w:multiLevelType w:val="hybridMultilevel"/>
    <w:tmpl w:val="720EE7EC"/>
    <w:lvl w:ilvl="0" w:tplc="B110464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6E9E427C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03672DC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BE96159C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85EC2BC8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FE86E742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78829DAE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A95CDDFA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40045284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65ED7178"/>
    <w:multiLevelType w:val="hybridMultilevel"/>
    <w:tmpl w:val="9C2E3784"/>
    <w:lvl w:ilvl="0" w:tplc="8696A5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47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448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A5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C8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8E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47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5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CAF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B05A07"/>
    <w:multiLevelType w:val="hybridMultilevel"/>
    <w:tmpl w:val="172C7024"/>
    <w:lvl w:ilvl="0" w:tplc="45FC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09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067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B8A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02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B2F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8D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A2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81C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63CDD"/>
    <w:multiLevelType w:val="hybridMultilevel"/>
    <w:tmpl w:val="43C43734"/>
    <w:lvl w:ilvl="0" w:tplc="4B2E8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8E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A45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C2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AC8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8D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A8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69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2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C7"/>
    <w:rsid w:val="0002200E"/>
    <w:rsid w:val="00213E0C"/>
    <w:rsid w:val="00294CC6"/>
    <w:rsid w:val="003C6BC7"/>
    <w:rsid w:val="00413A18"/>
    <w:rsid w:val="005B36C4"/>
    <w:rsid w:val="005D4B6D"/>
    <w:rsid w:val="005D6377"/>
    <w:rsid w:val="0067789E"/>
    <w:rsid w:val="006B32B3"/>
    <w:rsid w:val="00714E24"/>
    <w:rsid w:val="007B34A2"/>
    <w:rsid w:val="00846FC4"/>
    <w:rsid w:val="008D46E7"/>
    <w:rsid w:val="00930E6D"/>
    <w:rsid w:val="00943786"/>
    <w:rsid w:val="009604AA"/>
    <w:rsid w:val="00A46DF3"/>
    <w:rsid w:val="00B06846"/>
    <w:rsid w:val="00B92ABA"/>
    <w:rsid w:val="00CB1266"/>
    <w:rsid w:val="00CD66FC"/>
    <w:rsid w:val="00CF0022"/>
    <w:rsid w:val="00D360C1"/>
    <w:rsid w:val="00D37078"/>
    <w:rsid w:val="00D67C7D"/>
    <w:rsid w:val="00E12967"/>
    <w:rsid w:val="00EA398B"/>
    <w:rsid w:val="00F21B21"/>
    <w:rsid w:val="00F62496"/>
    <w:rsid w:val="00FA5830"/>
    <w:rsid w:val="00F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DD898"/>
  <w15:docId w15:val="{DBDBFF6B-A1D6-4927-BABD-81D1E2E6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B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0FA0"/>
    <w:rPr>
      <w:sz w:val="24"/>
      <w:szCs w:val="24"/>
    </w:rPr>
  </w:style>
  <w:style w:type="table" w:customStyle="1" w:styleId="Reetkatablice1">
    <w:name w:val="Rešetka tablice1"/>
    <w:basedOn w:val="TableNormal"/>
    <w:uiPriority w:val="59"/>
    <w:rsid w:val="00D360C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AZJMDCZ6QSYZ-12-2716</_dlc_DocId>
    <_dlc_DocIdUrl xmlns="a494813a-d0d8-4dad-94cb-0d196f36ba15">
      <Url>https://ekoordinacije.vlada.hr/sjednice-drustvo/_layouts/15/DocIdRedir.aspx?ID=AZJMDCZ6QSYZ-12-2716</Url>
      <Description>AZJMDCZ6QSYZ-12-2716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A658-3B5F-4D5A-BE79-CF8191903160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972A08-6350-4222-84FC-43396DAA67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E6D13A-723E-4596-B457-FF5AA089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C4C006-3F90-4BBB-B7C0-763AD344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1917</Words>
  <Characters>10929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mfkor</dc:creator>
  <cp:lastModifiedBy>Marija Pišonić</cp:lastModifiedBy>
  <cp:revision>16</cp:revision>
  <cp:lastPrinted>2021-05-27T12:03:00Z</cp:lastPrinted>
  <dcterms:created xsi:type="dcterms:W3CDTF">2021-06-14T13:08:00Z</dcterms:created>
  <dcterms:modified xsi:type="dcterms:W3CDTF">2021-06-21T15:54:00Z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bf618b05-b9dc-4b65-a732-add8fefdb607</vt:lpwstr>
  </property>
</Properties>
</file>